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spacing w:line="360" w:lineRule="auto"/>
        <w:rPr>
          <w:rFonts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ADDIN CNKISM.UserStyle</w:instrTex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 </w:t>
      </w:r>
      <w:r>
        <w:rPr>
          <w:rFonts w:hint="eastAsia" w:ascii="仿宋" w:hAnsi="仿宋" w:eastAsia="仿宋" w:cs="仿宋"/>
          <w:b/>
          <w:color w:val="auto"/>
          <w:sz w:val="32"/>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ADDIN CNKISM.UserStyle</w:instrText>
      </w:r>
      <w:r>
        <w:rPr>
          <w:rFonts w:hint="eastAsia" w:ascii="仿宋" w:hAnsi="仿宋" w:eastAsia="仿宋" w:cs="仿宋"/>
          <w:color w:val="auto"/>
          <w:highlight w:val="none"/>
        </w:rPr>
        <w:fldChar w:fldCharType="end"/>
      </w:r>
    </w:p>
    <w:p>
      <w:pPr>
        <w:pStyle w:val="32"/>
        <w:spacing w:line="360" w:lineRule="auto"/>
        <w:rPr>
          <w:rFonts w:ascii="仿宋" w:hAnsi="仿宋" w:eastAsia="仿宋" w:cs="仿宋"/>
          <w:color w:val="auto"/>
          <w:highlight w:val="none"/>
        </w:rPr>
      </w:pPr>
    </w:p>
    <w:p>
      <w:pPr>
        <w:spacing w:line="360" w:lineRule="auto"/>
        <w:jc w:val="center"/>
        <w:rPr>
          <w:rFonts w:hint="eastAsia" w:ascii="仿宋" w:hAnsi="仿宋" w:eastAsia="仿宋" w:cs="仿宋"/>
          <w:b/>
          <w:bCs/>
          <w:color w:val="auto"/>
          <w:kern w:val="0"/>
          <w:sz w:val="72"/>
          <w:szCs w:val="72"/>
          <w:highlight w:val="none"/>
          <w:lang w:eastAsia="zh-CN"/>
        </w:rPr>
      </w:pPr>
      <w:r>
        <w:rPr>
          <w:rFonts w:hint="eastAsia" w:ascii="仿宋" w:hAnsi="仿宋" w:eastAsia="仿宋" w:cs="仿宋"/>
          <w:b/>
          <w:bCs/>
          <w:color w:val="auto"/>
          <w:sz w:val="72"/>
          <w:szCs w:val="72"/>
          <w:highlight w:val="none"/>
          <w:lang w:eastAsia="zh-CN"/>
        </w:rPr>
        <w:t>德州市消防救援支队消防装备采购项目</w:t>
      </w:r>
    </w:p>
    <w:p>
      <w:pPr>
        <w:spacing w:line="360" w:lineRule="auto"/>
        <w:jc w:val="center"/>
        <w:rPr>
          <w:rFonts w:ascii="仿宋" w:hAnsi="仿宋" w:eastAsia="仿宋" w:cs="仿宋"/>
          <w:b/>
          <w:color w:val="auto"/>
          <w:sz w:val="72"/>
          <w:szCs w:val="72"/>
          <w:highlight w:val="none"/>
        </w:rPr>
      </w:pPr>
    </w:p>
    <w:p>
      <w:pPr>
        <w:spacing w:line="360" w:lineRule="auto"/>
        <w:jc w:val="center"/>
        <w:rPr>
          <w:rFonts w:ascii="仿宋" w:hAnsi="仿宋" w:eastAsia="仿宋" w:cs="仿宋"/>
          <w:b/>
          <w:bCs/>
          <w:color w:val="auto"/>
          <w:sz w:val="84"/>
          <w:szCs w:val="84"/>
          <w:highlight w:val="none"/>
        </w:rPr>
      </w:pPr>
      <w:r>
        <w:rPr>
          <w:rFonts w:hint="eastAsia" w:ascii="仿宋" w:hAnsi="仿宋" w:eastAsia="仿宋" w:cs="仿宋"/>
          <w:b/>
          <w:color w:val="auto"/>
          <w:sz w:val="72"/>
          <w:szCs w:val="72"/>
          <w:highlight w:val="none"/>
        </w:rPr>
        <w:t>招标文件</w:t>
      </w:r>
    </w:p>
    <w:p>
      <w:pPr>
        <w:widowControl/>
        <w:spacing w:line="360" w:lineRule="auto"/>
        <w:jc w:val="center"/>
        <w:rPr>
          <w:rFonts w:hint="eastAsia" w:ascii="仿宋" w:hAnsi="仿宋" w:eastAsia="仿宋" w:cs="仿宋"/>
          <w:b/>
          <w:bCs/>
          <w:color w:val="auto"/>
          <w:sz w:val="32"/>
          <w:szCs w:val="28"/>
          <w:highlight w:val="none"/>
          <w:lang w:eastAsia="zh-CN"/>
        </w:rPr>
      </w:pPr>
      <w:r>
        <w:rPr>
          <w:rFonts w:hint="eastAsia" w:ascii="仿宋" w:hAnsi="仿宋" w:eastAsia="仿宋" w:cs="仿宋"/>
          <w:b/>
          <w:bCs/>
          <w:color w:val="auto"/>
          <w:sz w:val="32"/>
          <w:szCs w:val="28"/>
          <w:highlight w:val="none"/>
        </w:rPr>
        <w:t>项目编号：</w:t>
      </w:r>
      <w:r>
        <w:rPr>
          <w:rFonts w:hint="eastAsia" w:ascii="仿宋" w:hAnsi="仿宋" w:eastAsia="仿宋" w:cs="仿宋"/>
          <w:b/>
          <w:bCs/>
          <w:color w:val="auto"/>
          <w:sz w:val="32"/>
          <w:szCs w:val="28"/>
          <w:highlight w:val="none"/>
          <w:lang w:eastAsia="zh-CN"/>
        </w:rPr>
        <w:t>SYZB2021-141</w:t>
      </w:r>
    </w:p>
    <w:p>
      <w:pPr>
        <w:widowControl/>
        <w:spacing w:line="360" w:lineRule="auto"/>
        <w:jc w:val="center"/>
        <w:rPr>
          <w:rFonts w:ascii="仿宋" w:hAnsi="仿宋" w:eastAsia="仿宋" w:cs="仿宋"/>
          <w:b/>
          <w:bCs/>
          <w:color w:val="auto"/>
          <w:sz w:val="32"/>
          <w:szCs w:val="28"/>
          <w:highlight w:val="none"/>
        </w:rPr>
      </w:pPr>
    </w:p>
    <w:p>
      <w:pPr>
        <w:pStyle w:val="2"/>
        <w:spacing w:line="360" w:lineRule="auto"/>
        <w:rPr>
          <w:rFonts w:ascii="仿宋" w:hAnsi="仿宋" w:eastAsia="仿宋" w:cs="仿宋"/>
          <w:color w:val="auto"/>
          <w:highlight w:val="none"/>
        </w:rPr>
      </w:pPr>
    </w:p>
    <w:p>
      <w:pPr>
        <w:pStyle w:val="2"/>
        <w:spacing w:line="360" w:lineRule="auto"/>
        <w:rPr>
          <w:rFonts w:ascii="仿宋" w:hAnsi="仿宋" w:eastAsia="仿宋" w:cs="仿宋"/>
          <w:color w:val="auto"/>
          <w:highlight w:val="none"/>
        </w:rPr>
      </w:pPr>
    </w:p>
    <w:p>
      <w:pPr>
        <w:rPr>
          <w:rFonts w:ascii="仿宋" w:hAnsi="仿宋" w:eastAsia="仿宋" w:cs="仿宋"/>
          <w:color w:val="auto"/>
          <w:highlight w:val="none"/>
        </w:rPr>
      </w:pPr>
    </w:p>
    <w:p>
      <w:pPr>
        <w:pStyle w:val="22"/>
        <w:ind w:firstLine="480"/>
        <w:rPr>
          <w:rFonts w:ascii="仿宋" w:hAnsi="仿宋" w:eastAsia="仿宋" w:cs="仿宋"/>
          <w:color w:val="auto"/>
          <w:highlight w:val="none"/>
        </w:rPr>
      </w:pPr>
    </w:p>
    <w:p>
      <w:pPr>
        <w:pStyle w:val="22"/>
        <w:ind w:firstLine="480"/>
        <w:rPr>
          <w:rFonts w:ascii="仿宋" w:hAnsi="仿宋" w:eastAsia="仿宋" w:cs="仿宋"/>
          <w:color w:val="auto"/>
          <w:highlight w:val="none"/>
        </w:rPr>
      </w:pPr>
    </w:p>
    <w:p>
      <w:pPr>
        <w:pStyle w:val="22"/>
        <w:ind w:firstLine="480"/>
        <w:rPr>
          <w:rFonts w:ascii="仿宋" w:hAnsi="仿宋" w:eastAsia="仿宋" w:cs="仿宋"/>
          <w:color w:val="auto"/>
          <w:highlight w:val="none"/>
        </w:rPr>
      </w:pPr>
    </w:p>
    <w:p>
      <w:pPr>
        <w:pStyle w:val="2"/>
        <w:spacing w:line="360" w:lineRule="auto"/>
        <w:rPr>
          <w:rFonts w:ascii="仿宋" w:hAnsi="仿宋" w:eastAsia="仿宋" w:cs="仿宋"/>
          <w:color w:val="auto"/>
          <w:highlight w:val="none"/>
        </w:rPr>
      </w:pPr>
    </w:p>
    <w:p>
      <w:pPr>
        <w:tabs>
          <w:tab w:val="left" w:pos="1134"/>
          <w:tab w:val="left" w:pos="5481"/>
          <w:tab w:val="left" w:pos="5859"/>
        </w:tabs>
        <w:spacing w:line="360" w:lineRule="auto"/>
        <w:ind w:left="1518" w:leftChars="723"/>
        <w:jc w:val="left"/>
        <w:rPr>
          <w:rFonts w:hint="eastAsia" w:ascii="仿宋" w:hAnsi="仿宋" w:eastAsia="仿宋" w:cs="仿宋"/>
          <w:bCs/>
          <w:color w:val="auto"/>
          <w:sz w:val="24"/>
          <w:highlight w:val="none"/>
          <w:lang w:eastAsia="zh-CN"/>
        </w:rPr>
      </w:pPr>
      <w:r>
        <w:rPr>
          <w:rFonts w:hint="eastAsia" w:ascii="仿宋" w:hAnsi="仿宋" w:eastAsia="仿宋" w:cs="仿宋"/>
          <w:b/>
          <w:color w:val="auto"/>
          <w:sz w:val="32"/>
          <w:szCs w:val="32"/>
          <w:highlight w:val="none"/>
        </w:rPr>
        <w:t>采   购   人：</w:t>
      </w:r>
      <w:r>
        <w:rPr>
          <w:rFonts w:hint="eastAsia" w:ascii="仿宋" w:hAnsi="仿宋" w:eastAsia="仿宋" w:cs="仿宋"/>
          <w:b/>
          <w:color w:val="auto"/>
          <w:sz w:val="32"/>
          <w:szCs w:val="32"/>
          <w:highlight w:val="none"/>
          <w:lang w:eastAsia="zh-CN"/>
        </w:rPr>
        <w:t>德州市消防救援支队</w:t>
      </w:r>
    </w:p>
    <w:p>
      <w:pPr>
        <w:tabs>
          <w:tab w:val="left" w:pos="1134"/>
          <w:tab w:val="left" w:pos="5481"/>
          <w:tab w:val="left" w:pos="5859"/>
        </w:tabs>
        <w:spacing w:line="360" w:lineRule="auto"/>
        <w:ind w:left="1518" w:leftChars="723"/>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采购代理机构</w:t>
      </w:r>
      <w:r>
        <w:rPr>
          <w:rFonts w:hint="eastAsia" w:ascii="仿宋" w:hAnsi="仿宋" w:eastAsia="仿宋" w:cs="仿宋"/>
          <w:b/>
          <w:color w:val="auto"/>
          <w:sz w:val="32"/>
          <w:szCs w:val="32"/>
          <w:highlight w:val="none"/>
        </w:rPr>
        <w:t>：山东善誉招标咨询有限公司</w:t>
      </w:r>
    </w:p>
    <w:p>
      <w:pPr>
        <w:widowControl/>
        <w:spacing w:line="480" w:lineRule="auto"/>
        <w:jc w:val="center"/>
        <w:rPr>
          <w:rFonts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二〇二一年</w:t>
      </w:r>
      <w:r>
        <w:rPr>
          <w:rFonts w:hint="eastAsia" w:ascii="仿宋" w:hAnsi="仿宋" w:eastAsia="仿宋" w:cs="仿宋"/>
          <w:b/>
          <w:bCs/>
          <w:color w:val="auto"/>
          <w:sz w:val="32"/>
          <w:szCs w:val="28"/>
          <w:highlight w:val="none"/>
          <w:lang w:eastAsia="zh-CN"/>
        </w:rPr>
        <w:t>九</w:t>
      </w:r>
      <w:r>
        <w:rPr>
          <w:rFonts w:hint="eastAsia" w:ascii="仿宋" w:hAnsi="仿宋" w:eastAsia="仿宋" w:cs="仿宋"/>
          <w:b/>
          <w:bCs/>
          <w:color w:val="auto"/>
          <w:sz w:val="32"/>
          <w:szCs w:val="28"/>
          <w:highlight w:val="none"/>
        </w:rPr>
        <w:t>月</w:t>
      </w:r>
    </w:p>
    <w:p>
      <w:pPr>
        <w:widowControl/>
        <w:jc w:val="left"/>
        <w:rPr>
          <w:rFonts w:ascii="仿宋" w:hAnsi="仿宋" w:eastAsia="仿宋" w:cs="仿宋"/>
          <w:b/>
          <w:color w:val="auto"/>
          <w:kern w:val="0"/>
          <w:sz w:val="36"/>
          <w:szCs w:val="20"/>
          <w:highlight w:val="none"/>
        </w:rPr>
      </w:pPr>
    </w:p>
    <w:p>
      <w:pPr>
        <w:rPr>
          <w:rFonts w:ascii="仿宋" w:hAnsi="仿宋" w:eastAsia="仿宋" w:cs="仿宋"/>
          <w:b/>
          <w:color w:val="auto"/>
          <w:sz w:val="36"/>
          <w:highlight w:val="none"/>
        </w:rPr>
      </w:pPr>
      <w:r>
        <w:rPr>
          <w:rFonts w:hint="eastAsia" w:ascii="仿宋" w:hAnsi="仿宋" w:eastAsia="仿宋" w:cs="仿宋"/>
          <w:b/>
          <w:color w:val="auto"/>
          <w:sz w:val="36"/>
          <w:highlight w:val="none"/>
        </w:rPr>
        <w:br w:type="page"/>
      </w:r>
    </w:p>
    <w:p>
      <w:pPr>
        <w:pStyle w:val="10"/>
        <w:spacing w:line="360" w:lineRule="auto"/>
        <w:ind w:left="0" w:leftChars="0" w:firstLine="0" w:firstLineChars="0"/>
        <w:jc w:val="center"/>
        <w:rPr>
          <w:rFonts w:ascii="仿宋" w:hAnsi="仿宋" w:eastAsia="仿宋" w:cs="仿宋"/>
          <w:b/>
          <w:color w:val="auto"/>
          <w:sz w:val="36"/>
          <w:highlight w:val="none"/>
        </w:rPr>
      </w:pPr>
      <w:r>
        <w:rPr>
          <w:rFonts w:hint="eastAsia" w:ascii="仿宋" w:hAnsi="仿宋" w:eastAsia="仿宋" w:cs="仿宋"/>
          <w:b/>
          <w:color w:val="auto"/>
          <w:sz w:val="36"/>
          <w:highlight w:val="none"/>
        </w:rPr>
        <w:t>目录</w:t>
      </w:r>
    </w:p>
    <w:p>
      <w:pPr>
        <w:pStyle w:val="19"/>
        <w:tabs>
          <w:tab w:val="right" w:leader="dot" w:pos="9073"/>
        </w:tabs>
        <w:spacing w:line="360" w:lineRule="auto"/>
        <w:rPr>
          <w:color w:val="auto"/>
          <w:highlight w:val="none"/>
        </w:rPr>
      </w:pPr>
      <w:r>
        <w:rPr>
          <w:rFonts w:hint="eastAsia" w:ascii="仿宋" w:hAnsi="仿宋" w:eastAsia="仿宋" w:cs="仿宋"/>
          <w:bCs w:val="0"/>
          <w:caps w:val="0"/>
          <w:color w:val="auto"/>
          <w:sz w:val="44"/>
          <w:szCs w:val="24"/>
          <w:highlight w:val="none"/>
        </w:rPr>
        <w:fldChar w:fldCharType="begin"/>
      </w:r>
      <w:r>
        <w:rPr>
          <w:rFonts w:hint="eastAsia" w:ascii="仿宋" w:hAnsi="仿宋" w:eastAsia="仿宋" w:cs="仿宋"/>
          <w:bCs w:val="0"/>
          <w:caps w:val="0"/>
          <w:color w:val="auto"/>
          <w:sz w:val="44"/>
          <w:szCs w:val="24"/>
          <w:highlight w:val="none"/>
        </w:rPr>
        <w:instrText xml:space="preserve"> TOC \o "1-3" \h \z \u </w:instrText>
      </w:r>
      <w:r>
        <w:rPr>
          <w:rFonts w:hint="eastAsia" w:ascii="仿宋" w:hAnsi="仿宋" w:eastAsia="仿宋" w:cs="仿宋"/>
          <w:bCs w:val="0"/>
          <w:caps w:val="0"/>
          <w:color w:val="auto"/>
          <w:sz w:val="44"/>
          <w:szCs w:val="24"/>
          <w:highlight w:val="none"/>
        </w:rPr>
        <w:fldChar w:fldCharType="separate"/>
      </w:r>
      <w:r>
        <w:rPr>
          <w:rFonts w:hint="eastAsia" w:ascii="仿宋" w:hAnsi="仿宋" w:eastAsia="仿宋" w:cs="仿宋"/>
          <w:bCs w:val="0"/>
          <w:caps w:val="0"/>
          <w:color w:val="auto"/>
          <w:szCs w:val="24"/>
          <w:highlight w:val="none"/>
        </w:rPr>
        <w:fldChar w:fldCharType="begin"/>
      </w:r>
      <w:r>
        <w:rPr>
          <w:rFonts w:hint="eastAsia" w:ascii="仿宋" w:hAnsi="仿宋" w:eastAsia="仿宋" w:cs="仿宋"/>
          <w:bCs w:val="0"/>
          <w:caps w:val="0"/>
          <w:color w:val="auto"/>
          <w:szCs w:val="24"/>
          <w:highlight w:val="none"/>
        </w:rPr>
        <w:instrText xml:space="preserve"> HYPERLINK \l _Toc303 </w:instrText>
      </w:r>
      <w:r>
        <w:rPr>
          <w:rFonts w:hint="eastAsia" w:ascii="仿宋" w:hAnsi="仿宋" w:eastAsia="仿宋" w:cs="仿宋"/>
          <w:bCs w:val="0"/>
          <w:caps w:val="0"/>
          <w:color w:val="auto"/>
          <w:szCs w:val="24"/>
          <w:highlight w:val="none"/>
        </w:rPr>
        <w:fldChar w:fldCharType="separate"/>
      </w:r>
      <w:r>
        <w:rPr>
          <w:rFonts w:hint="eastAsia" w:ascii="仿宋" w:hAnsi="仿宋" w:eastAsia="仿宋" w:cs="仿宋"/>
          <w:color w:val="auto"/>
          <w:kern w:val="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_Toc303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bCs w:val="0"/>
          <w:caps w:val="0"/>
          <w:color w:val="auto"/>
          <w:szCs w:val="24"/>
          <w:highlight w:val="none"/>
        </w:rPr>
        <w:fldChar w:fldCharType="end"/>
      </w:r>
    </w:p>
    <w:p>
      <w:pPr>
        <w:pStyle w:val="19"/>
        <w:tabs>
          <w:tab w:val="right" w:leader="dot" w:pos="9073"/>
        </w:tabs>
        <w:spacing w:line="360" w:lineRule="auto"/>
        <w:rPr>
          <w:color w:val="auto"/>
          <w:highlight w:val="none"/>
        </w:rPr>
      </w:pPr>
      <w:r>
        <w:rPr>
          <w:rFonts w:hint="eastAsia" w:ascii="仿宋" w:hAnsi="仿宋" w:eastAsia="仿宋" w:cs="仿宋"/>
          <w:bCs/>
          <w:caps/>
          <w:color w:val="auto"/>
          <w:highlight w:val="none"/>
        </w:rPr>
        <w:fldChar w:fldCharType="begin"/>
      </w:r>
      <w:r>
        <w:rPr>
          <w:rFonts w:hint="eastAsia" w:ascii="仿宋" w:hAnsi="仿宋" w:eastAsia="仿宋" w:cs="仿宋"/>
          <w:bCs/>
          <w:caps/>
          <w:color w:val="auto"/>
          <w:highlight w:val="none"/>
        </w:rPr>
        <w:instrText xml:space="preserve"> HYPERLINK \l _Toc22435 </w:instrText>
      </w:r>
      <w:r>
        <w:rPr>
          <w:rFonts w:hint="eastAsia" w:ascii="仿宋" w:hAnsi="仿宋" w:eastAsia="仿宋" w:cs="仿宋"/>
          <w:bCs/>
          <w:caps/>
          <w:color w:val="auto"/>
          <w:highlight w:val="none"/>
        </w:rPr>
        <w:fldChar w:fldCharType="separate"/>
      </w:r>
      <w:r>
        <w:rPr>
          <w:rFonts w:hint="eastAsia" w:ascii="仿宋" w:hAnsi="仿宋" w:eastAsia="仿宋" w:cs="仿宋"/>
          <w:color w:val="auto"/>
          <w:kern w:val="2"/>
          <w:highlight w:val="none"/>
        </w:rPr>
        <w:t xml:space="preserve">第二章  </w:t>
      </w:r>
      <w:r>
        <w:rPr>
          <w:rFonts w:hint="eastAsia" w:ascii="仿宋" w:hAnsi="仿宋" w:eastAsia="仿宋" w:cs="仿宋"/>
          <w:color w:val="auto"/>
          <w:kern w:val="2"/>
          <w:highlight w:val="none"/>
          <w:lang w:eastAsia="zh-CN"/>
        </w:rPr>
        <w:t>投标人</w:t>
      </w:r>
      <w:r>
        <w:rPr>
          <w:rFonts w:hint="eastAsia" w:ascii="仿宋" w:hAnsi="仿宋" w:eastAsia="仿宋" w:cs="仿宋"/>
          <w:color w:val="auto"/>
          <w:kern w:val="2"/>
          <w:highlight w:val="none"/>
        </w:rPr>
        <w:t>须知</w:t>
      </w:r>
      <w:r>
        <w:rPr>
          <w:color w:val="auto"/>
          <w:highlight w:val="none"/>
        </w:rPr>
        <w:tab/>
      </w:r>
      <w:r>
        <w:rPr>
          <w:color w:val="auto"/>
          <w:highlight w:val="none"/>
        </w:rPr>
        <w:fldChar w:fldCharType="begin"/>
      </w:r>
      <w:r>
        <w:rPr>
          <w:color w:val="auto"/>
          <w:highlight w:val="none"/>
        </w:rPr>
        <w:instrText xml:space="preserve"> PAGEREF _Toc22435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仿宋"/>
          <w:bCs/>
          <w:caps/>
          <w:color w:val="auto"/>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_Toc10417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一、说明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_Toc10417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_Toc7792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二、招标文件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_Toc7792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_Toc11840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三、投标文件编写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_Toc11840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_Toc1430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四、投标文件递交</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_Toc1430 \h </w:instrText>
      </w:r>
      <w:r>
        <w:rPr>
          <w:color w:val="auto"/>
          <w:sz w:val="24"/>
          <w:szCs w:val="24"/>
          <w:highlight w:val="none"/>
        </w:rPr>
        <w:fldChar w:fldCharType="separate"/>
      </w:r>
      <w:r>
        <w:rPr>
          <w:color w:val="auto"/>
          <w:sz w:val="24"/>
          <w:szCs w:val="24"/>
          <w:highlight w:val="none"/>
        </w:rPr>
        <w:t>17</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_Toc7538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五、开标与评标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_Toc7538 \h </w:instrText>
      </w:r>
      <w:r>
        <w:rPr>
          <w:color w:val="auto"/>
          <w:sz w:val="24"/>
          <w:szCs w:val="24"/>
          <w:highlight w:val="none"/>
        </w:rPr>
        <w:fldChar w:fldCharType="separate"/>
      </w:r>
      <w:r>
        <w:rPr>
          <w:color w:val="auto"/>
          <w:sz w:val="24"/>
          <w:szCs w:val="24"/>
          <w:highlight w:val="none"/>
        </w:rPr>
        <w:t>18</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_Toc9659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六、询问、质疑、处罚</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_Toc9659 \h </w:instrText>
      </w:r>
      <w:r>
        <w:rPr>
          <w:color w:val="auto"/>
          <w:sz w:val="24"/>
          <w:szCs w:val="24"/>
          <w:highlight w:val="none"/>
        </w:rPr>
        <w:fldChar w:fldCharType="separate"/>
      </w:r>
      <w:r>
        <w:rPr>
          <w:color w:val="auto"/>
          <w:sz w:val="24"/>
          <w:szCs w:val="24"/>
          <w:highlight w:val="none"/>
        </w:rPr>
        <w:t>28</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_Toc24825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七、授予合同</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_Toc24825 \h </w:instrText>
      </w:r>
      <w:r>
        <w:rPr>
          <w:color w:val="auto"/>
          <w:sz w:val="24"/>
          <w:szCs w:val="24"/>
          <w:highlight w:val="none"/>
        </w:rPr>
        <w:fldChar w:fldCharType="separate"/>
      </w:r>
      <w:r>
        <w:rPr>
          <w:color w:val="auto"/>
          <w:sz w:val="24"/>
          <w:szCs w:val="24"/>
          <w:highlight w:val="none"/>
        </w:rPr>
        <w:t>30</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_Toc10213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八、履约保证金</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_Toc10213 \h </w:instrText>
      </w:r>
      <w:r>
        <w:rPr>
          <w:color w:val="auto"/>
          <w:sz w:val="24"/>
          <w:szCs w:val="24"/>
          <w:highlight w:val="none"/>
        </w:rPr>
        <w:fldChar w:fldCharType="separate"/>
      </w:r>
      <w:r>
        <w:rPr>
          <w:color w:val="auto"/>
          <w:sz w:val="24"/>
          <w:szCs w:val="24"/>
          <w:highlight w:val="none"/>
        </w:rPr>
        <w:t>30</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_Toc19036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九、相关费用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_Toc19036 \h </w:instrText>
      </w:r>
      <w:r>
        <w:rPr>
          <w:color w:val="auto"/>
          <w:sz w:val="24"/>
          <w:szCs w:val="24"/>
          <w:highlight w:val="none"/>
        </w:rPr>
        <w:fldChar w:fldCharType="separate"/>
      </w:r>
      <w:r>
        <w:rPr>
          <w:color w:val="auto"/>
          <w:sz w:val="24"/>
          <w:szCs w:val="24"/>
          <w:highlight w:val="none"/>
        </w:rPr>
        <w:t>30</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_Toc6579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十、处罚</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_Toc6579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_Toc29230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十一、保密和披露</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_Toc29230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_Toc5423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十一、解释权</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_Toc5423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9"/>
        <w:tabs>
          <w:tab w:val="right" w:leader="dot" w:pos="9073"/>
        </w:tabs>
        <w:spacing w:line="360" w:lineRule="auto"/>
        <w:rPr>
          <w:color w:val="auto"/>
          <w:highlight w:val="none"/>
        </w:rPr>
      </w:pPr>
      <w:r>
        <w:rPr>
          <w:rFonts w:hint="eastAsia" w:ascii="仿宋" w:hAnsi="仿宋" w:eastAsia="仿宋" w:cs="仿宋"/>
          <w:bCs/>
          <w:caps/>
          <w:color w:val="auto"/>
          <w:highlight w:val="none"/>
        </w:rPr>
        <w:fldChar w:fldCharType="begin"/>
      </w:r>
      <w:r>
        <w:rPr>
          <w:rFonts w:hint="eastAsia" w:ascii="仿宋" w:hAnsi="仿宋" w:eastAsia="仿宋" w:cs="仿宋"/>
          <w:bCs/>
          <w:caps/>
          <w:color w:val="auto"/>
          <w:highlight w:val="none"/>
        </w:rPr>
        <w:instrText xml:space="preserve"> HYPERLINK \l _Toc26372 </w:instrText>
      </w:r>
      <w:r>
        <w:rPr>
          <w:rFonts w:hint="eastAsia" w:ascii="仿宋" w:hAnsi="仿宋" w:eastAsia="仿宋" w:cs="仿宋"/>
          <w:bCs/>
          <w:caps/>
          <w:color w:val="auto"/>
          <w:highlight w:val="none"/>
        </w:rPr>
        <w:fldChar w:fldCharType="separate"/>
      </w:r>
      <w:r>
        <w:rPr>
          <w:rFonts w:hint="eastAsia" w:ascii="仿宋" w:hAnsi="仿宋" w:eastAsia="仿宋" w:cs="仿宋"/>
          <w:color w:val="auto"/>
          <w:kern w:val="2"/>
          <w:highlight w:val="none"/>
        </w:rPr>
        <w:t>第三章  评分办法</w:t>
      </w:r>
      <w:r>
        <w:rPr>
          <w:color w:val="auto"/>
          <w:highlight w:val="none"/>
        </w:rPr>
        <w:tab/>
      </w:r>
      <w:r>
        <w:rPr>
          <w:color w:val="auto"/>
          <w:highlight w:val="none"/>
        </w:rPr>
        <w:fldChar w:fldCharType="begin"/>
      </w:r>
      <w:r>
        <w:rPr>
          <w:color w:val="auto"/>
          <w:highlight w:val="none"/>
        </w:rPr>
        <w:instrText xml:space="preserve"> PAGEREF _Toc26372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仿宋"/>
          <w:bCs/>
          <w:caps/>
          <w:color w:val="auto"/>
          <w:highlight w:val="none"/>
        </w:rPr>
        <w:fldChar w:fldCharType="end"/>
      </w:r>
    </w:p>
    <w:p>
      <w:pPr>
        <w:pStyle w:val="19"/>
        <w:tabs>
          <w:tab w:val="right" w:leader="dot" w:pos="9073"/>
        </w:tabs>
        <w:spacing w:line="360" w:lineRule="auto"/>
        <w:rPr>
          <w:color w:val="auto"/>
          <w:highlight w:val="none"/>
        </w:rPr>
      </w:pPr>
      <w:r>
        <w:rPr>
          <w:rFonts w:hint="eastAsia" w:ascii="仿宋" w:hAnsi="仿宋" w:eastAsia="仿宋" w:cs="仿宋"/>
          <w:bCs/>
          <w:caps/>
          <w:color w:val="auto"/>
          <w:highlight w:val="none"/>
        </w:rPr>
        <w:fldChar w:fldCharType="begin"/>
      </w:r>
      <w:r>
        <w:rPr>
          <w:rFonts w:hint="eastAsia" w:ascii="仿宋" w:hAnsi="仿宋" w:eastAsia="仿宋" w:cs="仿宋"/>
          <w:bCs/>
          <w:caps/>
          <w:color w:val="auto"/>
          <w:highlight w:val="none"/>
        </w:rPr>
        <w:instrText xml:space="preserve"> HYPERLINK \l _Toc16489 </w:instrText>
      </w:r>
      <w:r>
        <w:rPr>
          <w:rFonts w:hint="eastAsia" w:ascii="仿宋" w:hAnsi="仿宋" w:eastAsia="仿宋" w:cs="仿宋"/>
          <w:bCs/>
          <w:caps/>
          <w:color w:val="auto"/>
          <w:highlight w:val="none"/>
        </w:rPr>
        <w:fldChar w:fldCharType="separate"/>
      </w:r>
      <w:r>
        <w:rPr>
          <w:rFonts w:hint="eastAsia" w:ascii="仿宋" w:hAnsi="仿宋" w:eastAsia="仿宋" w:cs="仿宋"/>
          <w:color w:val="auto"/>
          <w:kern w:val="2"/>
          <w:highlight w:val="none"/>
        </w:rPr>
        <w:t>第四章  采购内容及项目要求</w:t>
      </w:r>
      <w:r>
        <w:rPr>
          <w:color w:val="auto"/>
          <w:highlight w:val="none"/>
        </w:rPr>
        <w:tab/>
      </w:r>
      <w:r>
        <w:rPr>
          <w:color w:val="auto"/>
          <w:highlight w:val="none"/>
        </w:rPr>
        <w:fldChar w:fldCharType="begin"/>
      </w:r>
      <w:r>
        <w:rPr>
          <w:color w:val="auto"/>
          <w:highlight w:val="none"/>
        </w:rPr>
        <w:instrText xml:space="preserve"> PAGEREF _Toc16489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bCs/>
          <w:caps/>
          <w:color w:val="auto"/>
          <w:highlight w:val="none"/>
        </w:rPr>
        <w:fldChar w:fldCharType="end"/>
      </w:r>
    </w:p>
    <w:p>
      <w:pPr>
        <w:pStyle w:val="19"/>
        <w:tabs>
          <w:tab w:val="right" w:leader="dot" w:pos="9073"/>
        </w:tabs>
        <w:spacing w:line="360" w:lineRule="auto"/>
        <w:rPr>
          <w:color w:val="auto"/>
          <w:highlight w:val="none"/>
        </w:rPr>
      </w:pPr>
      <w:r>
        <w:rPr>
          <w:rFonts w:hint="eastAsia" w:ascii="仿宋" w:hAnsi="仿宋" w:eastAsia="仿宋" w:cs="仿宋"/>
          <w:bCs/>
          <w:caps/>
          <w:color w:val="auto"/>
          <w:highlight w:val="none"/>
        </w:rPr>
        <w:fldChar w:fldCharType="begin"/>
      </w:r>
      <w:r>
        <w:rPr>
          <w:rFonts w:hint="eastAsia" w:ascii="仿宋" w:hAnsi="仿宋" w:eastAsia="仿宋" w:cs="仿宋"/>
          <w:bCs/>
          <w:caps/>
          <w:color w:val="auto"/>
          <w:highlight w:val="none"/>
        </w:rPr>
        <w:instrText xml:space="preserve"> HYPERLINK \l _Toc2364 </w:instrText>
      </w:r>
      <w:r>
        <w:rPr>
          <w:rFonts w:hint="eastAsia" w:ascii="仿宋" w:hAnsi="仿宋" w:eastAsia="仿宋" w:cs="仿宋"/>
          <w:bCs/>
          <w:caps/>
          <w:color w:val="auto"/>
          <w:highlight w:val="none"/>
        </w:rPr>
        <w:fldChar w:fldCharType="separate"/>
      </w:r>
      <w:r>
        <w:rPr>
          <w:rFonts w:hint="eastAsia" w:ascii="仿宋" w:hAnsi="仿宋" w:eastAsia="仿宋" w:cs="仿宋"/>
          <w:color w:val="auto"/>
          <w:kern w:val="2"/>
          <w:highlight w:val="none"/>
        </w:rPr>
        <w:t>第五章  合同格式</w:t>
      </w:r>
      <w:r>
        <w:rPr>
          <w:color w:val="auto"/>
          <w:highlight w:val="none"/>
        </w:rPr>
        <w:tab/>
      </w:r>
      <w:r>
        <w:rPr>
          <w:color w:val="auto"/>
          <w:highlight w:val="none"/>
        </w:rPr>
        <w:fldChar w:fldCharType="begin"/>
      </w:r>
      <w:r>
        <w:rPr>
          <w:color w:val="auto"/>
          <w:highlight w:val="none"/>
        </w:rPr>
        <w:instrText xml:space="preserve"> PAGEREF _Toc2364 \h </w:instrText>
      </w:r>
      <w:r>
        <w:rPr>
          <w:color w:val="auto"/>
          <w:highlight w:val="none"/>
        </w:rPr>
        <w:fldChar w:fldCharType="separate"/>
      </w:r>
      <w:r>
        <w:rPr>
          <w:color w:val="auto"/>
          <w:highlight w:val="none"/>
        </w:rPr>
        <w:t>158</w:t>
      </w:r>
      <w:r>
        <w:rPr>
          <w:color w:val="auto"/>
          <w:highlight w:val="none"/>
        </w:rPr>
        <w:fldChar w:fldCharType="end"/>
      </w:r>
      <w:r>
        <w:rPr>
          <w:rFonts w:hint="eastAsia" w:ascii="仿宋" w:hAnsi="仿宋" w:eastAsia="仿宋" w:cs="仿宋"/>
          <w:bCs/>
          <w:caps/>
          <w:color w:val="auto"/>
          <w:highlight w:val="none"/>
        </w:rPr>
        <w:fldChar w:fldCharType="end"/>
      </w:r>
    </w:p>
    <w:p>
      <w:pPr>
        <w:pStyle w:val="19"/>
        <w:tabs>
          <w:tab w:val="right" w:leader="dot" w:pos="9073"/>
        </w:tabs>
        <w:spacing w:line="360" w:lineRule="auto"/>
        <w:rPr>
          <w:color w:val="auto"/>
          <w:highlight w:val="none"/>
        </w:rPr>
      </w:pPr>
      <w:r>
        <w:rPr>
          <w:rFonts w:hint="eastAsia" w:ascii="仿宋" w:hAnsi="仿宋" w:eastAsia="仿宋" w:cs="仿宋"/>
          <w:bCs/>
          <w:caps/>
          <w:color w:val="auto"/>
          <w:highlight w:val="none"/>
        </w:rPr>
        <w:fldChar w:fldCharType="begin"/>
      </w:r>
      <w:r>
        <w:rPr>
          <w:rFonts w:hint="eastAsia" w:ascii="仿宋" w:hAnsi="仿宋" w:eastAsia="仿宋" w:cs="仿宋"/>
          <w:bCs/>
          <w:caps/>
          <w:color w:val="auto"/>
          <w:highlight w:val="none"/>
        </w:rPr>
        <w:instrText xml:space="preserve"> HYPERLINK \l _Toc10925 </w:instrText>
      </w:r>
      <w:r>
        <w:rPr>
          <w:rFonts w:hint="eastAsia" w:ascii="仿宋" w:hAnsi="仿宋" w:eastAsia="仿宋" w:cs="仿宋"/>
          <w:bCs/>
          <w:caps/>
          <w:color w:val="auto"/>
          <w:highlight w:val="none"/>
        </w:rPr>
        <w:fldChar w:fldCharType="separate"/>
      </w:r>
      <w:r>
        <w:rPr>
          <w:rFonts w:hint="eastAsia" w:ascii="仿宋" w:hAnsi="仿宋" w:eastAsia="仿宋" w:cs="仿宋"/>
          <w:color w:val="auto"/>
          <w:kern w:val="2"/>
          <w:highlight w:val="none"/>
        </w:rPr>
        <w:t>第六章  附件（投标文件格式）</w:t>
      </w:r>
      <w:r>
        <w:rPr>
          <w:color w:val="auto"/>
          <w:highlight w:val="none"/>
        </w:rPr>
        <w:tab/>
      </w:r>
      <w:r>
        <w:rPr>
          <w:color w:val="auto"/>
          <w:highlight w:val="none"/>
        </w:rPr>
        <w:fldChar w:fldCharType="begin"/>
      </w:r>
      <w:r>
        <w:rPr>
          <w:color w:val="auto"/>
          <w:highlight w:val="none"/>
        </w:rPr>
        <w:instrText xml:space="preserve"> PAGEREF _Toc10925 \h </w:instrText>
      </w:r>
      <w:r>
        <w:rPr>
          <w:color w:val="auto"/>
          <w:highlight w:val="none"/>
        </w:rPr>
        <w:fldChar w:fldCharType="separate"/>
      </w:r>
      <w:r>
        <w:rPr>
          <w:color w:val="auto"/>
          <w:highlight w:val="none"/>
        </w:rPr>
        <w:t>164</w:t>
      </w:r>
      <w:r>
        <w:rPr>
          <w:color w:val="auto"/>
          <w:highlight w:val="none"/>
        </w:rPr>
        <w:fldChar w:fldCharType="end"/>
      </w:r>
      <w:r>
        <w:rPr>
          <w:rFonts w:hint="eastAsia" w:ascii="仿宋" w:hAnsi="仿宋" w:eastAsia="仿宋" w:cs="仿宋"/>
          <w:bCs/>
          <w:caps/>
          <w:color w:val="auto"/>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_Toc8652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附件一：投标函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_Toc8652 \h </w:instrText>
      </w:r>
      <w:r>
        <w:rPr>
          <w:color w:val="auto"/>
          <w:sz w:val="24"/>
          <w:szCs w:val="24"/>
          <w:highlight w:val="none"/>
        </w:rPr>
        <w:fldChar w:fldCharType="separate"/>
      </w:r>
      <w:r>
        <w:rPr>
          <w:color w:val="auto"/>
          <w:sz w:val="24"/>
          <w:szCs w:val="24"/>
          <w:highlight w:val="none"/>
        </w:rPr>
        <w:t>165</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_Toc31882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附件二：法定代表人授权委托书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_Toc31882 \h </w:instrText>
      </w:r>
      <w:r>
        <w:rPr>
          <w:color w:val="auto"/>
          <w:sz w:val="24"/>
          <w:szCs w:val="24"/>
          <w:highlight w:val="none"/>
        </w:rPr>
        <w:fldChar w:fldCharType="separate"/>
      </w:r>
      <w:r>
        <w:rPr>
          <w:color w:val="auto"/>
          <w:sz w:val="24"/>
          <w:szCs w:val="24"/>
          <w:highlight w:val="none"/>
        </w:rPr>
        <w:t>166</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_Toc29871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附件三：开标一览表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_Toc29871 \h </w:instrText>
      </w:r>
      <w:r>
        <w:rPr>
          <w:color w:val="auto"/>
          <w:sz w:val="24"/>
          <w:szCs w:val="24"/>
          <w:highlight w:val="none"/>
        </w:rPr>
        <w:fldChar w:fldCharType="separate"/>
      </w:r>
      <w:r>
        <w:rPr>
          <w:color w:val="auto"/>
          <w:sz w:val="24"/>
          <w:szCs w:val="24"/>
          <w:highlight w:val="none"/>
        </w:rPr>
        <w:t>167</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_Toc22800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附件四：分项报价表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_Toc22800 \h </w:instrText>
      </w:r>
      <w:r>
        <w:rPr>
          <w:color w:val="auto"/>
          <w:sz w:val="24"/>
          <w:szCs w:val="24"/>
          <w:highlight w:val="none"/>
        </w:rPr>
        <w:fldChar w:fldCharType="separate"/>
      </w:r>
      <w:r>
        <w:rPr>
          <w:color w:val="auto"/>
          <w:sz w:val="24"/>
          <w:szCs w:val="24"/>
          <w:highlight w:val="none"/>
        </w:rPr>
        <w:t>168</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_Toc21428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附件五：技术条款偏离表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_Toc21428 \h </w:instrText>
      </w:r>
      <w:r>
        <w:rPr>
          <w:color w:val="auto"/>
          <w:sz w:val="24"/>
          <w:szCs w:val="24"/>
          <w:highlight w:val="none"/>
        </w:rPr>
        <w:fldChar w:fldCharType="separate"/>
      </w:r>
      <w:r>
        <w:rPr>
          <w:color w:val="auto"/>
          <w:sz w:val="24"/>
          <w:szCs w:val="24"/>
          <w:highlight w:val="none"/>
        </w:rPr>
        <w:t>171</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_Toc482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bCs w:val="0"/>
          <w:color w:val="auto"/>
          <w:sz w:val="24"/>
          <w:szCs w:val="24"/>
          <w:highlight w:val="none"/>
        </w:rPr>
        <w:t>附件六：项目拟投入人员情况一览表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_Toc482 \h </w:instrText>
      </w:r>
      <w:r>
        <w:rPr>
          <w:color w:val="auto"/>
          <w:sz w:val="24"/>
          <w:szCs w:val="24"/>
          <w:highlight w:val="none"/>
        </w:rPr>
        <w:fldChar w:fldCharType="separate"/>
      </w:r>
      <w:r>
        <w:rPr>
          <w:color w:val="auto"/>
          <w:sz w:val="24"/>
          <w:szCs w:val="24"/>
          <w:highlight w:val="none"/>
        </w:rPr>
        <w:t>172</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_Toc7347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附件六：近年类似业绩一览表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_Toc7347 \h </w:instrText>
      </w:r>
      <w:r>
        <w:rPr>
          <w:color w:val="auto"/>
          <w:sz w:val="24"/>
          <w:szCs w:val="24"/>
          <w:highlight w:val="none"/>
        </w:rPr>
        <w:fldChar w:fldCharType="separate"/>
      </w:r>
      <w:r>
        <w:rPr>
          <w:color w:val="auto"/>
          <w:sz w:val="24"/>
          <w:szCs w:val="24"/>
          <w:highlight w:val="none"/>
        </w:rPr>
        <w:t>173</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_Toc7455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eastAsia="zh-CN"/>
        </w:rPr>
        <w:t>七</w:t>
      </w:r>
      <w:r>
        <w:rPr>
          <w:rFonts w:hint="eastAsia" w:ascii="仿宋" w:hAnsi="仿宋" w:eastAsia="仿宋" w:cs="仿宋"/>
          <w:color w:val="auto"/>
          <w:sz w:val="24"/>
          <w:szCs w:val="24"/>
          <w:highlight w:val="none"/>
        </w:rPr>
        <w:t>：近三年无重大违法记录的声明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_Toc7455 \h </w:instrText>
      </w:r>
      <w:r>
        <w:rPr>
          <w:color w:val="auto"/>
          <w:sz w:val="24"/>
          <w:szCs w:val="24"/>
          <w:highlight w:val="none"/>
        </w:rPr>
        <w:fldChar w:fldCharType="separate"/>
      </w:r>
      <w:r>
        <w:rPr>
          <w:color w:val="auto"/>
          <w:sz w:val="24"/>
          <w:szCs w:val="24"/>
          <w:highlight w:val="none"/>
        </w:rPr>
        <w:t>174</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20"/>
        <w:tabs>
          <w:tab w:val="right" w:leader="dot" w:pos="9073"/>
          <w:tab w:val="clear" w:pos="8597"/>
        </w:tabs>
        <w:spacing w:line="360" w:lineRule="auto"/>
        <w:ind w:firstLine="240" w:firstLineChars="100"/>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_Toc9843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eastAsia="zh-CN"/>
        </w:rPr>
        <w:t>八</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政府采购诚信承诺</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_Toc9843 \h </w:instrText>
      </w:r>
      <w:r>
        <w:rPr>
          <w:color w:val="auto"/>
          <w:sz w:val="24"/>
          <w:szCs w:val="24"/>
          <w:highlight w:val="none"/>
        </w:rPr>
        <w:fldChar w:fldCharType="separate"/>
      </w:r>
      <w:r>
        <w:rPr>
          <w:color w:val="auto"/>
          <w:sz w:val="24"/>
          <w:szCs w:val="24"/>
          <w:highlight w:val="none"/>
        </w:rPr>
        <w:t>175</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_Toc13088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附件九：中小企业声明函（如有）</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_Toc13088 \h </w:instrText>
      </w:r>
      <w:r>
        <w:rPr>
          <w:color w:val="auto"/>
          <w:sz w:val="24"/>
          <w:szCs w:val="24"/>
          <w:highlight w:val="none"/>
        </w:rPr>
        <w:fldChar w:fldCharType="separate"/>
      </w:r>
      <w:r>
        <w:rPr>
          <w:color w:val="auto"/>
          <w:sz w:val="24"/>
          <w:szCs w:val="24"/>
          <w:highlight w:val="none"/>
        </w:rPr>
        <w:t>176</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_Toc31180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残疾人福利性单位声明函（如有）</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_Toc31180 \h </w:instrText>
      </w:r>
      <w:r>
        <w:rPr>
          <w:color w:val="auto"/>
          <w:sz w:val="24"/>
          <w:szCs w:val="24"/>
          <w:highlight w:val="none"/>
        </w:rPr>
        <w:fldChar w:fldCharType="separate"/>
      </w:r>
      <w:r>
        <w:rPr>
          <w:color w:val="auto"/>
          <w:sz w:val="24"/>
          <w:szCs w:val="24"/>
          <w:highlight w:val="none"/>
        </w:rPr>
        <w:t>177</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pStyle w:val="12"/>
        <w:tabs>
          <w:tab w:val="right" w:leader="dot" w:pos="9073"/>
        </w:tabs>
        <w:spacing w:line="360" w:lineRule="auto"/>
        <w:rPr>
          <w:color w:val="auto"/>
          <w:sz w:val="24"/>
          <w:szCs w:val="24"/>
          <w:highlight w:val="none"/>
        </w:rPr>
      </w:pPr>
      <w:r>
        <w:rPr>
          <w:rFonts w:hint="eastAsia" w:ascii="仿宋" w:hAnsi="仿宋" w:eastAsia="仿宋" w:cs="仿宋"/>
          <w:bCs/>
          <w:caps/>
          <w:color w:val="auto"/>
          <w:sz w:val="24"/>
          <w:szCs w:val="24"/>
          <w:highlight w:val="none"/>
        </w:rPr>
        <w:fldChar w:fldCharType="begin"/>
      </w:r>
      <w:r>
        <w:rPr>
          <w:rFonts w:hint="eastAsia" w:ascii="仿宋" w:hAnsi="仿宋" w:eastAsia="仿宋" w:cs="仿宋"/>
          <w:bCs/>
          <w:caps/>
          <w:color w:val="auto"/>
          <w:sz w:val="24"/>
          <w:szCs w:val="24"/>
          <w:highlight w:val="none"/>
        </w:rPr>
        <w:instrText xml:space="preserve"> HYPERLINK \l _Toc27553 </w:instrText>
      </w:r>
      <w:r>
        <w:rPr>
          <w:rFonts w:hint="eastAsia" w:ascii="仿宋" w:hAnsi="仿宋" w:eastAsia="仿宋" w:cs="仿宋"/>
          <w:bCs/>
          <w:caps/>
          <w:color w:val="auto"/>
          <w:sz w:val="24"/>
          <w:szCs w:val="24"/>
          <w:highlight w:val="none"/>
        </w:rPr>
        <w:fldChar w:fldCharType="separate"/>
      </w:r>
      <w:r>
        <w:rPr>
          <w:rFonts w:hint="eastAsia" w:ascii="仿宋" w:hAnsi="仿宋" w:eastAsia="仿宋" w:cs="仿宋"/>
          <w:color w:val="auto"/>
          <w:sz w:val="24"/>
          <w:szCs w:val="24"/>
          <w:highlight w:val="none"/>
        </w:rPr>
        <w:t>附件十</w:t>
      </w: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：投标文件密封封套标记格式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_Toc27553 \h </w:instrText>
      </w:r>
      <w:r>
        <w:rPr>
          <w:color w:val="auto"/>
          <w:sz w:val="24"/>
          <w:szCs w:val="24"/>
          <w:highlight w:val="none"/>
        </w:rPr>
        <w:fldChar w:fldCharType="separate"/>
      </w:r>
      <w:r>
        <w:rPr>
          <w:color w:val="auto"/>
          <w:sz w:val="24"/>
          <w:szCs w:val="24"/>
          <w:highlight w:val="none"/>
        </w:rPr>
        <w:t>178</w:t>
      </w:r>
      <w:r>
        <w:rPr>
          <w:color w:val="auto"/>
          <w:sz w:val="24"/>
          <w:szCs w:val="24"/>
          <w:highlight w:val="none"/>
        </w:rPr>
        <w:fldChar w:fldCharType="end"/>
      </w:r>
      <w:r>
        <w:rPr>
          <w:rFonts w:hint="eastAsia" w:ascii="仿宋" w:hAnsi="仿宋" w:eastAsia="仿宋" w:cs="仿宋"/>
          <w:bCs/>
          <w:caps/>
          <w:color w:val="auto"/>
          <w:sz w:val="24"/>
          <w:szCs w:val="24"/>
          <w:highlight w:val="none"/>
        </w:rPr>
        <w:fldChar w:fldCharType="end"/>
      </w:r>
    </w:p>
    <w:p>
      <w:pPr>
        <w:spacing w:line="360" w:lineRule="auto"/>
        <w:rPr>
          <w:rFonts w:ascii="仿宋" w:hAnsi="仿宋" w:eastAsia="仿宋" w:cs="仿宋"/>
          <w:color w:val="auto"/>
          <w:highlight w:val="none"/>
        </w:rPr>
      </w:pPr>
      <w:r>
        <w:rPr>
          <w:rFonts w:hint="eastAsia" w:ascii="仿宋" w:hAnsi="仿宋" w:eastAsia="仿宋" w:cs="仿宋"/>
          <w:bCs/>
          <w:caps/>
          <w:color w:val="auto"/>
          <w:highlight w:val="none"/>
        </w:rPr>
        <w:fldChar w:fldCharType="end"/>
      </w:r>
    </w:p>
    <w:p>
      <w:pPr>
        <w:rPr>
          <w:rFonts w:hint="eastAsia" w:ascii="仿宋" w:hAnsi="仿宋" w:eastAsia="仿宋" w:cs="仿宋"/>
          <w:color w:val="auto"/>
          <w:kern w:val="2"/>
          <w:sz w:val="32"/>
          <w:highlight w:val="none"/>
        </w:rPr>
      </w:pPr>
      <w:bookmarkStart w:id="0" w:name="_Toc303"/>
      <w:r>
        <w:rPr>
          <w:rFonts w:hint="eastAsia" w:ascii="仿宋" w:hAnsi="仿宋" w:eastAsia="仿宋" w:cs="仿宋"/>
          <w:color w:val="auto"/>
          <w:kern w:val="2"/>
          <w:sz w:val="32"/>
          <w:highlight w:val="none"/>
        </w:rPr>
        <w:br w:type="page"/>
      </w:r>
    </w:p>
    <w:p>
      <w:pPr>
        <w:pStyle w:val="4"/>
        <w:spacing w:before="240" w:beforeLines="100" w:after="0" w:line="360" w:lineRule="auto"/>
        <w:jc w:val="center"/>
        <w:rPr>
          <w:rFonts w:ascii="仿宋" w:hAnsi="仿宋" w:eastAsia="仿宋" w:cs="仿宋"/>
          <w:color w:val="auto"/>
          <w:sz w:val="28"/>
          <w:szCs w:val="28"/>
          <w:highlight w:val="none"/>
        </w:rPr>
      </w:pPr>
      <w:r>
        <w:rPr>
          <w:rFonts w:hint="eastAsia" w:ascii="仿宋" w:hAnsi="仿宋" w:eastAsia="仿宋" w:cs="仿宋"/>
          <w:color w:val="auto"/>
          <w:kern w:val="2"/>
          <w:sz w:val="32"/>
          <w:highlight w:val="none"/>
        </w:rPr>
        <w:t xml:space="preserve">第一章  </w:t>
      </w:r>
      <w:bookmarkStart w:id="1" w:name="_Hlk70942405"/>
      <w:r>
        <w:rPr>
          <w:rFonts w:hint="eastAsia" w:ascii="仿宋" w:hAnsi="仿宋" w:eastAsia="仿宋" w:cs="仿宋"/>
          <w:color w:val="auto"/>
          <w:kern w:val="2"/>
          <w:sz w:val="32"/>
          <w:highlight w:val="none"/>
        </w:rPr>
        <w:t>招标公告</w:t>
      </w:r>
      <w:bookmarkEnd w:id="0"/>
    </w:p>
    <w:p>
      <w:pPr>
        <w:tabs>
          <w:tab w:val="left" w:pos="1134"/>
          <w:tab w:val="left" w:pos="5481"/>
          <w:tab w:val="left" w:pos="5859"/>
        </w:tabs>
        <w:jc w:val="center"/>
        <w:rPr>
          <w:rFonts w:ascii="仿宋" w:hAnsi="仿宋" w:eastAsia="仿宋" w:cs="仿宋"/>
          <w:b/>
          <w:snapToGrid w:val="0"/>
          <w:color w:val="auto"/>
          <w:kern w:val="0"/>
          <w:sz w:val="28"/>
          <w:szCs w:val="28"/>
          <w:highlight w:val="none"/>
        </w:rPr>
      </w:pPr>
    </w:p>
    <w:p>
      <w:pPr>
        <w:tabs>
          <w:tab w:val="left" w:pos="1134"/>
          <w:tab w:val="left" w:pos="5481"/>
          <w:tab w:val="left" w:pos="5859"/>
        </w:tabs>
        <w:jc w:val="center"/>
        <w:rPr>
          <w:rFonts w:ascii="仿宋" w:hAnsi="仿宋" w:eastAsia="仿宋" w:cs="仿宋"/>
          <w:b/>
          <w:snapToGrid w:val="0"/>
          <w:color w:val="auto"/>
          <w:kern w:val="0"/>
          <w:sz w:val="32"/>
          <w:szCs w:val="32"/>
          <w:highlight w:val="none"/>
        </w:rPr>
      </w:pPr>
      <w:r>
        <w:rPr>
          <w:rFonts w:hint="eastAsia" w:ascii="仿宋" w:hAnsi="仿宋" w:eastAsia="仿宋" w:cs="仿宋"/>
          <w:b/>
          <w:snapToGrid w:val="0"/>
          <w:color w:val="auto"/>
          <w:kern w:val="0"/>
          <w:sz w:val="32"/>
          <w:szCs w:val="32"/>
          <w:highlight w:val="none"/>
          <w:lang w:eastAsia="zh-CN"/>
        </w:rPr>
        <w:t>德州市消防救援支队消防装备采购项目</w:t>
      </w:r>
      <w:r>
        <w:rPr>
          <w:rFonts w:hint="eastAsia" w:ascii="仿宋" w:hAnsi="仿宋" w:eastAsia="仿宋" w:cs="仿宋"/>
          <w:b/>
          <w:snapToGrid w:val="0"/>
          <w:color w:val="auto"/>
          <w:kern w:val="0"/>
          <w:sz w:val="32"/>
          <w:szCs w:val="32"/>
          <w:highlight w:val="none"/>
        </w:rPr>
        <w:t>招标公告</w:t>
      </w:r>
    </w:p>
    <w:p>
      <w:pPr>
        <w:pStyle w:val="22"/>
        <w:ind w:firstLine="480"/>
        <w:rPr>
          <w:rFonts w:ascii="仿宋" w:hAnsi="仿宋" w:eastAsia="仿宋" w:cs="仿宋"/>
          <w:color w:val="auto"/>
          <w:highlight w:val="none"/>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德州市消防救援支队消防装备采购项目</w:t>
      </w:r>
      <w:r>
        <w:rPr>
          <w:rFonts w:hint="eastAsia" w:ascii="仿宋" w:hAnsi="仿宋" w:eastAsia="仿宋" w:cs="仿宋"/>
          <w:color w:val="auto"/>
          <w:sz w:val="24"/>
          <w:highlight w:val="none"/>
        </w:rPr>
        <w:t>的潜在投标人应在</w:t>
      </w:r>
      <w:r>
        <w:rPr>
          <w:rFonts w:hint="eastAsia" w:ascii="仿宋" w:hAnsi="仿宋" w:eastAsia="仿宋" w:cs="仿宋"/>
          <w:color w:val="auto"/>
          <w:kern w:val="0"/>
          <w:sz w:val="24"/>
          <w:highlight w:val="none"/>
        </w:rPr>
        <w:t>山东省济南市高新区舜华南路汉峪金谷A2地块4号楼</w:t>
      </w:r>
      <w:r>
        <w:rPr>
          <w:rFonts w:hint="eastAsia" w:ascii="仿宋" w:hAnsi="仿宋" w:eastAsia="仿宋" w:cs="仿宋"/>
          <w:color w:val="auto"/>
          <w:kern w:val="0"/>
          <w:sz w:val="24"/>
          <w:highlight w:val="none"/>
          <w:lang w:val="en-US" w:eastAsia="zh-CN"/>
        </w:rPr>
        <w:t>23</w:t>
      </w:r>
      <w:r>
        <w:rPr>
          <w:rFonts w:hint="eastAsia" w:ascii="仿宋" w:hAnsi="仿宋" w:eastAsia="仿宋" w:cs="仿宋"/>
          <w:color w:val="auto"/>
          <w:kern w:val="0"/>
          <w:sz w:val="24"/>
          <w:highlight w:val="none"/>
        </w:rPr>
        <w:t>层</w:t>
      </w:r>
      <w:r>
        <w:rPr>
          <w:rFonts w:hint="eastAsia" w:ascii="仿宋" w:hAnsi="仿宋" w:eastAsia="仿宋" w:cs="仿宋"/>
          <w:color w:val="auto"/>
          <w:sz w:val="24"/>
          <w:highlight w:val="none"/>
          <w:lang w:val="en-US" w:eastAsia="zh-CN"/>
        </w:rPr>
        <w:t>2302</w:t>
      </w:r>
      <w:r>
        <w:rPr>
          <w:rFonts w:hint="eastAsia" w:ascii="仿宋" w:hAnsi="仿宋" w:eastAsia="仿宋" w:cs="仿宋"/>
          <w:color w:val="auto"/>
          <w:sz w:val="24"/>
          <w:highlight w:val="none"/>
        </w:rPr>
        <w:t>室获取招标文件，并于</w:t>
      </w:r>
      <w:r>
        <w:rPr>
          <w:rFonts w:hint="eastAsia" w:ascii="仿宋" w:hAnsi="仿宋" w:eastAsia="仿宋" w:cs="仿宋"/>
          <w:color w:val="auto"/>
          <w:kern w:val="0"/>
          <w:sz w:val="24"/>
          <w:highlight w:val="none"/>
        </w:rPr>
        <w:t>2021年</w:t>
      </w:r>
      <w:r>
        <w:rPr>
          <w:rFonts w:hint="eastAsia" w:ascii="仿宋" w:hAnsi="仿宋" w:eastAsia="仿宋" w:cs="仿宋"/>
          <w:color w:val="auto"/>
          <w:kern w:val="0"/>
          <w:sz w:val="24"/>
          <w:highlight w:val="none"/>
          <w:lang w:val="en-US" w:eastAsia="zh-CN"/>
        </w:rPr>
        <w:t>10</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19</w:t>
      </w:r>
      <w:r>
        <w:rPr>
          <w:rFonts w:hint="eastAsia" w:ascii="仿宋" w:hAnsi="仿宋" w:eastAsia="仿宋" w:cs="仿宋"/>
          <w:color w:val="auto"/>
          <w:kern w:val="0"/>
          <w:sz w:val="24"/>
          <w:highlight w:val="none"/>
        </w:rPr>
        <w:t>日09点30分（北京时间）</w:t>
      </w:r>
      <w:r>
        <w:rPr>
          <w:rFonts w:hint="eastAsia" w:ascii="仿宋" w:hAnsi="仿宋" w:eastAsia="仿宋" w:cs="仿宋"/>
          <w:bCs/>
          <w:color w:val="auto"/>
          <w:sz w:val="24"/>
          <w:highlight w:val="none"/>
        </w:rPr>
        <w:t>前递交投标文件</w:t>
      </w:r>
      <w:r>
        <w:rPr>
          <w:rFonts w:hint="eastAsia" w:ascii="仿宋" w:hAnsi="仿宋" w:eastAsia="仿宋" w:cs="仿宋"/>
          <w:color w:val="auto"/>
          <w:sz w:val="24"/>
          <w:highlight w:val="none"/>
        </w:rPr>
        <w:t>。</w:t>
      </w:r>
    </w:p>
    <w:p>
      <w:pPr>
        <w:spacing w:before="240" w:beforeLines="100" w:line="360" w:lineRule="auto"/>
        <w:rPr>
          <w:rFonts w:ascii="仿宋" w:hAnsi="仿宋" w:eastAsia="仿宋" w:cs="仿宋"/>
          <w:b/>
          <w:bCs/>
          <w:color w:val="auto"/>
          <w:sz w:val="24"/>
          <w:highlight w:val="none"/>
        </w:rPr>
      </w:pPr>
      <w:bookmarkStart w:id="2" w:name="_Toc35393790"/>
      <w:bookmarkStart w:id="3" w:name="_Toc28359079"/>
      <w:bookmarkStart w:id="4" w:name="_Toc35393621"/>
      <w:bookmarkStart w:id="5" w:name="_Toc28359002"/>
      <w:bookmarkStart w:id="6" w:name="_Hlk24379207"/>
      <w:r>
        <w:rPr>
          <w:rFonts w:hint="eastAsia" w:ascii="仿宋" w:hAnsi="仿宋" w:eastAsia="仿宋" w:cs="仿宋"/>
          <w:b/>
          <w:bCs/>
          <w:color w:val="auto"/>
          <w:sz w:val="24"/>
          <w:highlight w:val="none"/>
        </w:rPr>
        <w:t>一、项目基本情况</w:t>
      </w:r>
      <w:bookmarkEnd w:id="2"/>
      <w:bookmarkEnd w:id="3"/>
      <w:bookmarkEnd w:id="4"/>
      <w:bookmarkEnd w:id="5"/>
    </w:p>
    <w:p>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SYZB2021-141</w:t>
      </w:r>
    </w:p>
    <w:p>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德州市消防救援支队消防装备采购项目</w:t>
      </w:r>
    </w:p>
    <w:bookmarkEnd w:id="6"/>
    <w:p>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color w:val="auto"/>
          <w:sz w:val="24"/>
          <w:highlight w:val="none"/>
        </w:rPr>
        <w:t>预算金额/最高限价：</w:t>
      </w:r>
      <w:r>
        <w:rPr>
          <w:rFonts w:hint="eastAsia" w:ascii="仿宋" w:hAnsi="仿宋" w:eastAsia="仿宋" w:cs="仿宋"/>
          <w:bCs/>
          <w:color w:val="auto"/>
          <w:sz w:val="24"/>
          <w:highlight w:val="none"/>
          <w:lang w:val="en-US" w:eastAsia="zh-CN"/>
        </w:rPr>
        <w:t>591.387</w:t>
      </w:r>
      <w:r>
        <w:rPr>
          <w:rFonts w:hint="eastAsia" w:ascii="仿宋" w:hAnsi="仿宋" w:eastAsia="仿宋" w:cs="仿宋"/>
          <w:bCs/>
          <w:color w:val="auto"/>
          <w:sz w:val="24"/>
          <w:highlight w:val="none"/>
        </w:rPr>
        <w:t xml:space="preserve">万元  </w:t>
      </w:r>
    </w:p>
    <w:p>
      <w:pPr>
        <w:spacing w:line="360" w:lineRule="auto"/>
        <w:ind w:firstLine="480" w:firstLineChars="200"/>
        <w:rPr>
          <w:rFonts w:ascii="仿宋" w:hAnsi="仿宋" w:eastAsia="仿宋" w:cs="仿宋"/>
          <w:bCs/>
          <w:color w:val="auto"/>
          <w:sz w:val="24"/>
          <w:highlight w:val="none"/>
        </w:rPr>
      </w:pPr>
      <w:r>
        <w:rPr>
          <w:rFonts w:hint="eastAsia" w:ascii="仿宋" w:hAnsi="仿宋" w:eastAsia="仿宋" w:cs="仿宋"/>
          <w:color w:val="auto"/>
          <w:sz w:val="24"/>
          <w:highlight w:val="none"/>
        </w:rPr>
        <w:t>采购需求：</w:t>
      </w:r>
    </w:p>
    <w:tbl>
      <w:tblPr>
        <w:tblStyle w:val="23"/>
        <w:tblW w:w="46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8"/>
        <w:gridCol w:w="3676"/>
        <w:gridCol w:w="1513"/>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包号</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名称</w:t>
            </w:r>
          </w:p>
        </w:tc>
        <w:tc>
          <w:tcPr>
            <w:tcW w:w="898" w:type="pct"/>
            <w:tcMar>
              <w:top w:w="12" w:type="dxa"/>
              <w:left w:w="12" w:type="dxa"/>
              <w:right w:w="12" w:type="dxa"/>
            </w:tcMar>
            <w:vAlign w:val="center"/>
          </w:tcPr>
          <w:p>
            <w:pPr>
              <w:jc w:val="center"/>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数量及要求</w:t>
            </w:r>
          </w:p>
        </w:tc>
        <w:tc>
          <w:tcPr>
            <w:tcW w:w="1307" w:type="pct"/>
            <w:tcMar>
              <w:top w:w="12" w:type="dxa"/>
              <w:left w:w="12" w:type="dxa"/>
              <w:right w:w="12" w:type="dxa"/>
            </w:tcMar>
            <w:vAlign w:val="center"/>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1包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个人防护装备</w:t>
            </w:r>
          </w:p>
        </w:tc>
        <w:tc>
          <w:tcPr>
            <w:tcW w:w="898" w:type="pct"/>
            <w:vMerge w:val="restart"/>
            <w:noWrap/>
            <w:tcMar>
              <w:top w:w="12" w:type="dxa"/>
              <w:left w:w="12" w:type="dxa"/>
              <w:right w:w="12" w:type="dxa"/>
            </w:tcMar>
            <w:vAlign w:val="center"/>
          </w:tcPr>
          <w:p>
            <w:pPr>
              <w:jc w:val="center"/>
              <w:rPr>
                <w:rFonts w:hint="eastAsia" w:ascii="仿宋" w:hAnsi="仿宋" w:eastAsia="仿宋" w:cs="仿宋"/>
                <w:bCs/>
                <w:color w:val="auto"/>
                <w:sz w:val="24"/>
                <w:highlight w:val="none"/>
                <w:lang w:val="en-US" w:eastAsia="zh-CN"/>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278.202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2包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水域救援、救生类</w:t>
            </w:r>
            <w:r>
              <w:rPr>
                <w:rFonts w:hint="eastAsia" w:ascii="仿宋" w:hAnsi="仿宋" w:eastAsia="仿宋" w:cs="仿宋"/>
                <w:bCs/>
                <w:color w:val="auto"/>
                <w:sz w:val="24"/>
                <w:highlight w:val="none"/>
                <w:lang w:eastAsia="zh-CN"/>
              </w:rPr>
              <w:t>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57.82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3包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侦检、破拆、堵漏、输转类</w:t>
            </w:r>
            <w:r>
              <w:rPr>
                <w:rFonts w:hint="eastAsia" w:ascii="仿宋" w:hAnsi="仿宋" w:eastAsia="仿宋" w:cs="仿宋"/>
                <w:bCs/>
                <w:color w:val="auto"/>
                <w:sz w:val="24"/>
                <w:highlight w:val="none"/>
                <w:lang w:eastAsia="zh-CN"/>
              </w:rPr>
              <w:t>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142.365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4包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其他装备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113</w:t>
            </w:r>
          </w:p>
        </w:tc>
      </w:tr>
    </w:tbl>
    <w:p>
      <w:pPr>
        <w:spacing w:line="360" w:lineRule="auto"/>
        <w:ind w:firstLine="442" w:firstLineChars="200"/>
        <w:jc w:val="left"/>
        <w:rPr>
          <w:rFonts w:hint="eastAsia" w:ascii="仿宋" w:hAnsi="仿宋" w:eastAsia="仿宋" w:cs="仿宋"/>
          <w:color w:val="auto"/>
          <w:sz w:val="24"/>
          <w:highlight w:val="none"/>
          <w:lang w:eastAsia="zh-CN"/>
        </w:rPr>
      </w:pPr>
      <w:r>
        <w:rPr>
          <w:rFonts w:hint="eastAsia" w:ascii="仿宋" w:hAnsi="仿宋" w:eastAsia="仿宋" w:cs="仿宋"/>
          <w:b/>
          <w:bCs/>
          <w:color w:val="auto"/>
          <w:sz w:val="22"/>
          <w:szCs w:val="22"/>
          <w:highlight w:val="none"/>
        </w:rPr>
        <w:t>注：</w:t>
      </w:r>
      <w:r>
        <w:rPr>
          <w:rFonts w:hint="eastAsia" w:ascii="仿宋" w:hAnsi="仿宋" w:eastAsia="仿宋" w:cs="仿宋"/>
          <w:b/>
          <w:bCs/>
          <w:color w:val="auto"/>
          <w:sz w:val="22"/>
          <w:szCs w:val="22"/>
          <w:highlight w:val="none"/>
          <w:lang w:eastAsia="zh-CN"/>
        </w:rPr>
        <w:t>①</w:t>
      </w:r>
      <w:r>
        <w:rPr>
          <w:rFonts w:hint="eastAsia" w:ascii="仿宋" w:hAnsi="仿宋" w:eastAsia="仿宋" w:cs="仿宋"/>
          <w:b/>
          <w:bCs/>
          <w:color w:val="auto"/>
          <w:sz w:val="22"/>
          <w:szCs w:val="22"/>
          <w:highlight w:val="none"/>
        </w:rPr>
        <w:t>各包报价均不能超过分包预算。</w:t>
      </w:r>
      <w:r>
        <w:rPr>
          <w:rFonts w:hint="eastAsia" w:ascii="仿宋" w:hAnsi="仿宋" w:eastAsia="仿宋" w:cs="仿宋"/>
          <w:b/>
          <w:bCs/>
          <w:color w:val="auto"/>
          <w:sz w:val="22"/>
          <w:szCs w:val="22"/>
          <w:highlight w:val="none"/>
          <w:lang w:eastAsia="zh-CN"/>
        </w:rPr>
        <w:t>②本项目各包兼投不兼中。</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本项目不接受联合体投标；</w:t>
      </w:r>
    </w:p>
    <w:p>
      <w:pPr>
        <w:spacing w:line="360" w:lineRule="auto"/>
        <w:rPr>
          <w:rFonts w:ascii="仿宋" w:hAnsi="仿宋" w:eastAsia="仿宋" w:cs="仿宋"/>
          <w:b/>
          <w:bCs/>
          <w:color w:val="auto"/>
          <w:sz w:val="24"/>
          <w:highlight w:val="none"/>
        </w:rPr>
      </w:pPr>
      <w:bookmarkStart w:id="7" w:name="_Toc35393622"/>
      <w:bookmarkStart w:id="8" w:name="_Toc28359080"/>
      <w:bookmarkStart w:id="9" w:name="_Toc35393791"/>
      <w:bookmarkStart w:id="10" w:name="_Toc28359003"/>
      <w:r>
        <w:rPr>
          <w:rFonts w:hint="eastAsia" w:ascii="仿宋" w:hAnsi="仿宋" w:eastAsia="仿宋" w:cs="仿宋"/>
          <w:b/>
          <w:bCs/>
          <w:color w:val="auto"/>
          <w:sz w:val="24"/>
          <w:highlight w:val="none"/>
        </w:rPr>
        <w:t>二、申请人的资格要求：</w:t>
      </w:r>
      <w:bookmarkEnd w:id="7"/>
      <w:bookmarkEnd w:id="8"/>
      <w:bookmarkEnd w:id="9"/>
      <w:bookmarkEnd w:id="10"/>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pPr>
        <w:spacing w:line="360" w:lineRule="auto"/>
        <w:ind w:firstLine="480" w:firstLineChars="200"/>
        <w:rPr>
          <w:rFonts w:ascii="仿宋" w:hAnsi="仿宋" w:eastAsia="仿宋" w:cs="仿宋"/>
          <w:color w:val="auto"/>
          <w:sz w:val="24"/>
          <w:highlight w:val="none"/>
        </w:rPr>
      </w:pPr>
      <w:bookmarkStart w:id="11" w:name="_Toc28359004"/>
      <w:bookmarkStart w:id="12" w:name="_Toc28359081"/>
      <w:r>
        <w:rPr>
          <w:rFonts w:hint="eastAsia" w:ascii="仿宋" w:hAnsi="仿宋" w:eastAsia="仿宋" w:cs="仿宋"/>
          <w:color w:val="auto"/>
          <w:sz w:val="24"/>
          <w:highlight w:val="none"/>
        </w:rPr>
        <w:t>2.落实政府采购政策需满足的资格要求：</w:t>
      </w:r>
      <w:r>
        <w:rPr>
          <w:rFonts w:hint="eastAsia" w:ascii="仿宋" w:hAnsi="仿宋" w:eastAsia="仿宋" w:cs="仿宋"/>
          <w:color w:val="auto"/>
          <w:sz w:val="24"/>
          <w:highlight w:val="none"/>
          <w:lang w:eastAsia="zh-CN"/>
        </w:rPr>
        <w:t>无</w:t>
      </w:r>
      <w:r>
        <w:rPr>
          <w:rFonts w:hint="eastAsia" w:ascii="仿宋" w:hAnsi="仿宋" w:eastAsia="仿宋" w:cs="仿宋"/>
          <w:color w:val="auto"/>
          <w:sz w:val="24"/>
          <w:highlight w:val="none"/>
        </w:rPr>
        <w:t>。</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3.本项目的特定资格要求：</w:t>
      </w:r>
    </w:p>
    <w:p>
      <w:pPr>
        <w:pStyle w:val="10"/>
        <w:keepNext w:val="0"/>
        <w:keepLines w:val="0"/>
        <w:pageBreakBefore w:val="0"/>
        <w:widowControl w:val="0"/>
        <w:kinsoku/>
        <w:wordWrap/>
        <w:overflowPunct/>
        <w:topLinePunct w:val="0"/>
        <w:autoSpaceDE/>
        <w:autoSpaceDN/>
        <w:bidi w:val="0"/>
        <w:adjustRightInd/>
        <w:snapToGrid/>
        <w:spacing w:after="0" w:line="440" w:lineRule="exact"/>
        <w:ind w:left="0" w:leftChars="0" w:right="-78" w:rightChars="-37" w:firstLine="480" w:firstLineChars="200"/>
        <w:jc w:val="left"/>
        <w:textAlignment w:val="auto"/>
        <w:rPr>
          <w:rFonts w:hint="eastAsia" w:ascii="仿宋_GB2312" w:hAnsi="宋体" w:eastAsia="仿宋_GB2312"/>
          <w:bCs/>
          <w:color w:val="auto"/>
          <w:sz w:val="24"/>
          <w:szCs w:val="24"/>
          <w:highlight w:val="none"/>
        </w:rPr>
      </w:pPr>
      <w:r>
        <w:rPr>
          <w:rFonts w:hint="eastAsia" w:ascii="仿宋" w:hAnsi="仿宋" w:eastAsia="仿宋" w:cs="仿宋"/>
          <w:color w:val="auto"/>
          <w:sz w:val="24"/>
          <w:highlight w:val="none"/>
        </w:rPr>
        <w:t>（1）</w:t>
      </w:r>
      <w:r>
        <w:rPr>
          <w:rFonts w:hint="eastAsia" w:ascii="仿宋_GB2312" w:hAnsi="宋体" w:eastAsia="仿宋_GB2312"/>
          <w:bCs/>
          <w:color w:val="auto"/>
          <w:sz w:val="24"/>
          <w:szCs w:val="24"/>
          <w:highlight w:val="none"/>
        </w:rPr>
        <w:t>投标人须是具有独立承担民事责任能力的设备制造商或制造商的授权代理商或经销商；</w:t>
      </w:r>
    </w:p>
    <w:p>
      <w:pPr>
        <w:spacing w:line="360" w:lineRule="auto"/>
        <w:ind w:firstLine="480" w:firstLineChars="200"/>
        <w:rPr>
          <w:rFonts w:hint="eastAsia" w:ascii="仿宋" w:hAnsi="仿宋" w:eastAsia="仿宋" w:cs="仿宋"/>
          <w:color w:val="auto"/>
          <w:sz w:val="24"/>
          <w:highlight w:val="none"/>
        </w:rPr>
      </w:pP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单位负责人为同一人或者存在直接控股、管理关系的不同</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，不得参加同一合同项下（同一包号）的政府采购活动；</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）在</w:t>
      </w:r>
      <w:r>
        <w:rPr>
          <w:rFonts w:hint="eastAsia" w:ascii="仿宋" w:hAnsi="仿宋" w:eastAsia="仿宋" w:cs="仿宋"/>
          <w:color w:val="auto"/>
          <w:sz w:val="24"/>
          <w:highlight w:val="none"/>
        </w:rPr>
        <w:t>“信用中国”（www.creditchina.gov.cn）、中国政府采购网（www.ccgp.gov.cn）、“信用山东”（www. creditsd.gov.cn）等网站中被列入失信被执行人、重大税收违法案件当事人名单、政府采购严重违法失信行为记录名单的</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，不得参加本次政府采购活动；</w:t>
      </w:r>
    </w:p>
    <w:p>
      <w:pPr>
        <w:spacing w:line="360" w:lineRule="auto"/>
        <w:rPr>
          <w:rFonts w:ascii="仿宋" w:hAnsi="仿宋" w:eastAsia="仿宋" w:cs="仿宋"/>
          <w:b/>
          <w:bCs/>
          <w:color w:val="auto"/>
          <w:sz w:val="24"/>
          <w:highlight w:val="none"/>
        </w:rPr>
      </w:pPr>
      <w:bookmarkStart w:id="13" w:name="_Toc35393623"/>
      <w:bookmarkStart w:id="14" w:name="_Toc35393792"/>
      <w:r>
        <w:rPr>
          <w:rFonts w:hint="eastAsia" w:ascii="仿宋" w:hAnsi="仿宋" w:eastAsia="仿宋" w:cs="仿宋"/>
          <w:b/>
          <w:bCs/>
          <w:color w:val="auto"/>
          <w:sz w:val="24"/>
          <w:highlight w:val="none"/>
        </w:rPr>
        <w:t>三、获取招标文件</w:t>
      </w:r>
      <w:bookmarkEnd w:id="11"/>
      <w:bookmarkEnd w:id="12"/>
      <w:bookmarkEnd w:id="13"/>
      <w:bookmarkEnd w:id="14"/>
    </w:p>
    <w:p>
      <w:pPr>
        <w:spacing w:line="360" w:lineRule="auto"/>
        <w:ind w:firstLine="540"/>
        <w:rPr>
          <w:rFonts w:ascii="仿宋" w:hAnsi="仿宋" w:eastAsia="仿宋" w:cs="仿宋"/>
          <w:color w:val="auto"/>
          <w:sz w:val="24"/>
          <w:highlight w:val="none"/>
        </w:rPr>
      </w:pPr>
      <w:r>
        <w:rPr>
          <w:rFonts w:hint="eastAsia" w:ascii="仿宋" w:hAnsi="仿宋" w:eastAsia="仿宋" w:cs="仿宋"/>
          <w:color w:val="auto"/>
          <w:sz w:val="24"/>
          <w:highlight w:val="none"/>
        </w:rPr>
        <w:t>1.获取时间：2021年0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rPr>
        <w:t>日至2021年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29</w:t>
      </w:r>
      <w:r>
        <w:rPr>
          <w:rFonts w:hint="eastAsia" w:ascii="仿宋" w:hAnsi="仿宋" w:eastAsia="仿宋" w:cs="仿宋"/>
          <w:color w:val="auto"/>
          <w:sz w:val="24"/>
          <w:highlight w:val="none"/>
        </w:rPr>
        <w:t>日，每天上午</w:t>
      </w:r>
      <w:r>
        <w:rPr>
          <w:rFonts w:hint="eastAsia" w:ascii="仿宋" w:hAnsi="仿宋" w:eastAsia="仿宋" w:cs="仿宋"/>
          <w:color w:val="auto"/>
          <w:sz w:val="24"/>
          <w:highlight w:val="none"/>
          <w:lang w:val="en-US" w:eastAsia="zh-CN"/>
        </w:rPr>
        <w:t>08</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0至11:30，下午13:30至</w:t>
      </w: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（北京时间，公休日、法定节假日除外）</w:t>
      </w:r>
    </w:p>
    <w:p>
      <w:pPr>
        <w:spacing w:line="360" w:lineRule="auto"/>
        <w:ind w:firstLine="540"/>
        <w:rPr>
          <w:rFonts w:ascii="仿宋" w:hAnsi="仿宋" w:eastAsia="仿宋" w:cs="仿宋"/>
          <w:color w:val="auto"/>
          <w:sz w:val="24"/>
          <w:highlight w:val="none"/>
          <w:u w:val="single"/>
        </w:rPr>
      </w:pPr>
      <w:r>
        <w:rPr>
          <w:rFonts w:hint="eastAsia" w:ascii="仿宋" w:hAnsi="仿宋" w:eastAsia="仿宋" w:cs="仿宋"/>
          <w:color w:val="auto"/>
          <w:sz w:val="24"/>
          <w:highlight w:val="none"/>
        </w:rPr>
        <w:t>2.获取地点：</w:t>
      </w:r>
      <w:r>
        <w:rPr>
          <w:rFonts w:hint="eastAsia" w:ascii="仿宋" w:hAnsi="仿宋" w:eastAsia="仿宋" w:cs="仿宋"/>
          <w:color w:val="auto"/>
          <w:kern w:val="0"/>
          <w:sz w:val="24"/>
          <w:highlight w:val="none"/>
        </w:rPr>
        <w:t>山东省济南市高新区舜华南路汉峪金谷A2地块4号楼</w:t>
      </w:r>
      <w:r>
        <w:rPr>
          <w:rFonts w:hint="eastAsia" w:ascii="仿宋" w:hAnsi="仿宋" w:eastAsia="仿宋" w:cs="仿宋"/>
          <w:color w:val="auto"/>
          <w:kern w:val="0"/>
          <w:sz w:val="24"/>
          <w:highlight w:val="none"/>
          <w:lang w:val="en-US" w:eastAsia="zh-CN"/>
        </w:rPr>
        <w:t>23</w:t>
      </w:r>
      <w:r>
        <w:rPr>
          <w:rFonts w:hint="eastAsia" w:ascii="仿宋" w:hAnsi="仿宋" w:eastAsia="仿宋" w:cs="仿宋"/>
          <w:color w:val="auto"/>
          <w:kern w:val="0"/>
          <w:sz w:val="24"/>
          <w:highlight w:val="none"/>
        </w:rPr>
        <w:t>层</w:t>
      </w: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02室。</w:t>
      </w:r>
    </w:p>
    <w:p>
      <w:pPr>
        <w:tabs>
          <w:tab w:val="left" w:pos="9741"/>
        </w:tabs>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3.获取方式：</w:t>
      </w:r>
    </w:p>
    <w:p>
      <w:pPr>
        <w:autoSpaceDE w:val="0"/>
        <w:autoSpaceDN w:val="0"/>
        <w:spacing w:line="360" w:lineRule="auto"/>
        <w:ind w:firstLine="482" w:firstLineChars="200"/>
        <w:outlineLvl w:val="0"/>
        <w:rPr>
          <w:rFonts w:ascii="仿宋" w:hAnsi="仿宋" w:eastAsia="仿宋" w:cs="仿宋"/>
          <w:b/>
          <w:bCs/>
          <w:color w:val="auto"/>
          <w:sz w:val="24"/>
          <w:highlight w:val="none"/>
        </w:rPr>
      </w:pPr>
      <w:bookmarkStart w:id="15" w:name="_Toc30140"/>
      <w:r>
        <w:rPr>
          <w:rFonts w:hint="eastAsia" w:ascii="仿宋" w:hAnsi="仿宋" w:eastAsia="仿宋" w:cs="仿宋"/>
          <w:b/>
          <w:bCs/>
          <w:color w:val="auto"/>
          <w:sz w:val="24"/>
          <w:highlight w:val="none"/>
        </w:rPr>
        <w:t>方式一：现场获取,请携带营业执照副本复印件加盖公章、法定代表人授权委托书原件及被授权人身份证。</w:t>
      </w:r>
      <w:bookmarkEnd w:id="15"/>
    </w:p>
    <w:p>
      <w:pPr>
        <w:autoSpaceDE w:val="0"/>
        <w:autoSpaceDN w:val="0"/>
        <w:spacing w:line="360" w:lineRule="auto"/>
        <w:ind w:firstLine="482" w:firstLineChars="200"/>
        <w:outlineLvl w:val="0"/>
        <w:rPr>
          <w:rFonts w:ascii="仿宋_GB2312" w:hAnsi="仿宋_GB2312" w:eastAsia="仿宋_GB2312" w:cs="仿宋_GB2312"/>
          <w:b/>
          <w:bCs/>
          <w:color w:val="auto"/>
          <w:sz w:val="24"/>
          <w:highlight w:val="none"/>
        </w:rPr>
      </w:pPr>
      <w:bookmarkStart w:id="16" w:name="_Toc11033"/>
      <w:r>
        <w:rPr>
          <w:rFonts w:hint="eastAsia" w:ascii="仿宋" w:hAnsi="仿宋" w:eastAsia="仿宋" w:cs="仿宋"/>
          <w:b/>
          <w:bCs/>
          <w:color w:val="auto"/>
          <w:sz w:val="24"/>
          <w:highlight w:val="none"/>
        </w:rPr>
        <w:t>方式二：网上报名获取，凡有意参加本次采购的投标人必须将营业执照副本复印件（加盖公章）扫描件、法定代表人授权委托书原件扫描件</w:t>
      </w:r>
      <w:r>
        <w:rPr>
          <w:rFonts w:hint="eastAsia" w:ascii="仿宋" w:hAnsi="仿宋" w:eastAsia="仿宋" w:cs="仿宋"/>
          <w:b/>
          <w:bCs/>
          <w:color w:val="auto"/>
          <w:sz w:val="24"/>
          <w:highlight w:val="none"/>
          <w:lang w:eastAsia="zh-CN"/>
        </w:rPr>
        <w:t>、报名登记表（加盖公章扫描件和</w:t>
      </w:r>
      <w:r>
        <w:rPr>
          <w:rFonts w:hint="eastAsia" w:ascii="仿宋" w:hAnsi="仿宋" w:eastAsia="仿宋" w:cs="仿宋"/>
          <w:b/>
          <w:bCs/>
          <w:color w:val="auto"/>
          <w:sz w:val="24"/>
          <w:highlight w:val="none"/>
          <w:lang w:val="en-US" w:eastAsia="zh-CN"/>
        </w:rPr>
        <w:t>Word可编辑版</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发至公司邮箱（sdsyzb1@163.com）；并电话告知我公司，根据其要求填写电子版报名表格、提交标书费后报名成功</w:t>
      </w:r>
      <w:r>
        <w:rPr>
          <w:rFonts w:hint="eastAsia" w:ascii="仿宋_GB2312" w:hAnsi="仿宋_GB2312" w:eastAsia="仿宋_GB2312" w:cs="仿宋_GB2312"/>
          <w:b/>
          <w:bCs/>
          <w:color w:val="auto"/>
          <w:sz w:val="24"/>
          <w:highlight w:val="none"/>
        </w:rPr>
        <w:t>。</w:t>
      </w:r>
      <w:bookmarkEnd w:id="16"/>
    </w:p>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开户名：山东善誉招标咨询有限公司</w:t>
      </w:r>
    </w:p>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开户银行：</w:t>
      </w:r>
      <w:r>
        <w:rPr>
          <w:rFonts w:hint="eastAsia" w:ascii="仿宋" w:hAnsi="仿宋" w:eastAsia="仿宋" w:cs="仿宋"/>
          <w:color w:val="auto"/>
          <w:sz w:val="24"/>
          <w:highlight w:val="none"/>
        </w:rPr>
        <w:t>齐鲁银行济南自贸区支行（经十东路支行）</w:t>
      </w:r>
    </w:p>
    <w:p>
      <w:pPr>
        <w:spacing w:line="360" w:lineRule="auto"/>
        <w:ind w:firstLine="523" w:firstLineChars="218"/>
        <w:rPr>
          <w:rFonts w:ascii="仿宋" w:hAnsi="仿宋" w:eastAsia="仿宋" w:cs="仿宋"/>
          <w:color w:val="auto"/>
          <w:highlight w:val="none"/>
        </w:rPr>
      </w:pPr>
      <w:r>
        <w:rPr>
          <w:rFonts w:hint="eastAsia" w:ascii="仿宋" w:hAnsi="仿宋" w:eastAsia="仿宋" w:cs="仿宋"/>
          <w:snapToGrid w:val="0"/>
          <w:color w:val="auto"/>
          <w:kern w:val="0"/>
          <w:sz w:val="24"/>
          <w:highlight w:val="none"/>
        </w:rPr>
        <w:t>账号：</w:t>
      </w:r>
      <w:r>
        <w:rPr>
          <w:rFonts w:hint="eastAsia" w:ascii="仿宋" w:hAnsi="仿宋" w:eastAsia="仿宋" w:cs="仿宋"/>
          <w:color w:val="auto"/>
          <w:sz w:val="24"/>
          <w:highlight w:val="none"/>
        </w:rPr>
        <w:t>86611765101421008782</w:t>
      </w:r>
    </w:p>
    <w:p>
      <w:pPr>
        <w:tabs>
          <w:tab w:val="left" w:pos="9741"/>
        </w:tabs>
        <w:spacing w:line="360" w:lineRule="auto"/>
        <w:ind w:firstLine="480" w:firstLineChars="200"/>
        <w:rPr>
          <w:rFonts w:ascii="仿宋" w:hAnsi="仿宋" w:eastAsia="仿宋" w:cs="仿宋"/>
          <w:snapToGrid w:val="0"/>
          <w:color w:val="auto"/>
          <w:kern w:val="0"/>
          <w:sz w:val="24"/>
          <w:highlight w:val="none"/>
        </w:rPr>
      </w:pPr>
      <w:r>
        <w:rPr>
          <w:rFonts w:hint="eastAsia" w:ascii="仿宋" w:hAnsi="仿宋" w:eastAsia="仿宋" w:cs="仿宋"/>
          <w:color w:val="auto"/>
          <w:sz w:val="24"/>
          <w:highlight w:val="none"/>
        </w:rPr>
        <w:t>售价：</w:t>
      </w:r>
      <w:r>
        <w:rPr>
          <w:rFonts w:hint="eastAsia" w:ascii="仿宋" w:hAnsi="仿宋" w:eastAsia="仿宋" w:cs="仿宋"/>
          <w:snapToGrid w:val="0"/>
          <w:color w:val="auto"/>
          <w:kern w:val="0"/>
          <w:sz w:val="24"/>
          <w:highlight w:val="none"/>
        </w:rPr>
        <w:t>500元/</w:t>
      </w:r>
      <w:r>
        <w:rPr>
          <w:rFonts w:hint="eastAsia" w:ascii="仿宋" w:hAnsi="仿宋" w:eastAsia="仿宋" w:cs="仿宋"/>
          <w:snapToGrid w:val="0"/>
          <w:color w:val="auto"/>
          <w:kern w:val="0"/>
          <w:sz w:val="24"/>
          <w:highlight w:val="none"/>
          <w:lang w:eastAsia="zh-CN"/>
        </w:rPr>
        <w:t>包</w:t>
      </w:r>
      <w:r>
        <w:rPr>
          <w:rFonts w:hint="eastAsia" w:ascii="仿宋" w:hAnsi="仿宋" w:eastAsia="仿宋" w:cs="仿宋"/>
          <w:snapToGrid w:val="0"/>
          <w:color w:val="auto"/>
          <w:kern w:val="0"/>
          <w:sz w:val="24"/>
          <w:highlight w:val="none"/>
        </w:rPr>
        <w:t>。</w:t>
      </w:r>
    </w:p>
    <w:p>
      <w:pP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snapToGrid w:val="0"/>
          <w:color w:val="auto"/>
          <w:kern w:val="0"/>
          <w:sz w:val="24"/>
          <w:highlight w:val="none"/>
        </w:rPr>
        <w:t>注：</w:t>
      </w:r>
      <w:r>
        <w:rPr>
          <w:rFonts w:hint="eastAsia" w:ascii="仿宋" w:hAnsi="仿宋" w:eastAsia="仿宋" w:cs="仿宋"/>
          <w:b/>
          <w:bCs/>
          <w:color w:val="auto"/>
          <w:sz w:val="24"/>
          <w:highlight w:val="none"/>
        </w:rPr>
        <w:t>本项目实行资格后审，获取招标文件成功不代表资格后审的通过。</w:t>
      </w:r>
    </w:p>
    <w:p>
      <w:pPr>
        <w:spacing w:line="360" w:lineRule="auto"/>
        <w:rPr>
          <w:rFonts w:ascii="仿宋" w:hAnsi="仿宋" w:eastAsia="仿宋" w:cs="仿宋"/>
          <w:b/>
          <w:bCs/>
          <w:color w:val="auto"/>
          <w:sz w:val="24"/>
          <w:highlight w:val="none"/>
        </w:rPr>
      </w:pPr>
      <w:bookmarkStart w:id="17" w:name="_Toc28359005"/>
      <w:bookmarkStart w:id="18" w:name="_Toc28359082"/>
      <w:bookmarkStart w:id="19" w:name="_Toc35393793"/>
      <w:bookmarkStart w:id="20" w:name="_Toc35393624"/>
      <w:r>
        <w:rPr>
          <w:rFonts w:hint="eastAsia" w:ascii="仿宋" w:hAnsi="仿宋" w:eastAsia="仿宋" w:cs="仿宋"/>
          <w:b/>
          <w:bCs/>
          <w:color w:val="auto"/>
          <w:sz w:val="24"/>
          <w:highlight w:val="none"/>
        </w:rPr>
        <w:t>四、提交投标文件</w:t>
      </w:r>
      <w:bookmarkEnd w:id="17"/>
      <w:bookmarkEnd w:id="18"/>
      <w:r>
        <w:rPr>
          <w:rFonts w:hint="eastAsia" w:ascii="仿宋" w:hAnsi="仿宋" w:eastAsia="仿宋" w:cs="仿宋"/>
          <w:b/>
          <w:bCs/>
          <w:color w:val="auto"/>
          <w:sz w:val="24"/>
          <w:highlight w:val="none"/>
        </w:rPr>
        <w:t>截止时间、开标时间和地点</w:t>
      </w:r>
      <w:bookmarkEnd w:id="19"/>
      <w:bookmarkEnd w:id="20"/>
    </w:p>
    <w:p>
      <w:pPr>
        <w:tabs>
          <w:tab w:val="left" w:pos="9741"/>
        </w:tabs>
        <w:spacing w:line="360" w:lineRule="auto"/>
        <w:ind w:firstLine="480" w:firstLineChars="200"/>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时间：2021年</w:t>
      </w:r>
      <w:r>
        <w:rPr>
          <w:rFonts w:hint="eastAsia" w:ascii="仿宋" w:hAnsi="仿宋" w:eastAsia="仿宋" w:cs="仿宋"/>
          <w:snapToGrid w:val="0"/>
          <w:color w:val="auto"/>
          <w:kern w:val="0"/>
          <w:sz w:val="24"/>
          <w:highlight w:val="none"/>
          <w:lang w:val="en-US" w:eastAsia="zh-CN"/>
        </w:rPr>
        <w:t>10</w:t>
      </w:r>
      <w:r>
        <w:rPr>
          <w:rFonts w:hint="eastAsia" w:ascii="仿宋" w:hAnsi="仿宋" w:eastAsia="仿宋" w:cs="仿宋"/>
          <w:snapToGrid w:val="0"/>
          <w:color w:val="auto"/>
          <w:kern w:val="0"/>
          <w:sz w:val="24"/>
          <w:highlight w:val="none"/>
        </w:rPr>
        <w:t>月</w:t>
      </w:r>
      <w:r>
        <w:rPr>
          <w:rFonts w:hint="eastAsia" w:ascii="仿宋" w:hAnsi="仿宋" w:eastAsia="仿宋" w:cs="仿宋"/>
          <w:snapToGrid w:val="0"/>
          <w:color w:val="auto"/>
          <w:kern w:val="0"/>
          <w:sz w:val="24"/>
          <w:highlight w:val="none"/>
          <w:lang w:val="en-US" w:eastAsia="zh-CN"/>
        </w:rPr>
        <w:t>19</w:t>
      </w:r>
      <w:r>
        <w:rPr>
          <w:rFonts w:hint="eastAsia" w:ascii="仿宋" w:hAnsi="仿宋" w:eastAsia="仿宋" w:cs="仿宋"/>
          <w:snapToGrid w:val="0"/>
          <w:color w:val="auto"/>
          <w:kern w:val="0"/>
          <w:sz w:val="24"/>
          <w:highlight w:val="none"/>
        </w:rPr>
        <w:t>日09点30分（北京时间）</w:t>
      </w:r>
    </w:p>
    <w:p>
      <w:pPr>
        <w:tabs>
          <w:tab w:val="left" w:pos="9741"/>
        </w:tabs>
        <w:spacing w:line="360" w:lineRule="auto"/>
        <w:ind w:firstLine="480" w:firstLineChars="200"/>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地点：山东省济南市高新区舜华南路汉峪金谷A2地块4号楼24层开标厅。</w:t>
      </w:r>
    </w:p>
    <w:p>
      <w:pPr>
        <w:numPr>
          <w:ilvl w:val="0"/>
          <w:numId w:val="1"/>
        </w:numPr>
        <w:spacing w:before="240" w:beforeLines="100" w:line="360" w:lineRule="auto"/>
        <w:rPr>
          <w:rFonts w:ascii="仿宋" w:hAnsi="仿宋" w:eastAsia="仿宋" w:cs="仿宋"/>
          <w:b/>
          <w:bCs/>
          <w:color w:val="auto"/>
          <w:sz w:val="24"/>
          <w:highlight w:val="none"/>
        </w:rPr>
      </w:pPr>
      <w:bookmarkStart w:id="21" w:name="_Toc28359007"/>
      <w:bookmarkStart w:id="22" w:name="_Toc35393625"/>
      <w:bookmarkStart w:id="23" w:name="_Toc28359084"/>
      <w:bookmarkStart w:id="24" w:name="_Toc35393794"/>
      <w:r>
        <w:rPr>
          <w:rFonts w:hint="eastAsia" w:ascii="仿宋" w:hAnsi="仿宋" w:eastAsia="仿宋" w:cs="仿宋"/>
          <w:b/>
          <w:bCs/>
          <w:color w:val="auto"/>
          <w:sz w:val="24"/>
          <w:highlight w:val="none"/>
        </w:rPr>
        <w:t>公告期限</w:t>
      </w:r>
      <w:bookmarkEnd w:id="21"/>
      <w:bookmarkEnd w:id="22"/>
      <w:bookmarkEnd w:id="23"/>
      <w:bookmarkEnd w:id="24"/>
    </w:p>
    <w:p>
      <w:pPr>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自本公告发布之日起5个工作日。</w:t>
      </w:r>
    </w:p>
    <w:p>
      <w:pPr>
        <w:spacing w:before="240" w:beforeLines="100"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六、发布媒介</w:t>
      </w:r>
    </w:p>
    <w:p>
      <w:pPr>
        <w:tabs>
          <w:tab w:val="left" w:pos="9741"/>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本次公告在《中国政府采购网》发布。</w:t>
      </w:r>
    </w:p>
    <w:p>
      <w:pPr>
        <w:spacing w:before="240" w:beforeLines="100" w:line="360" w:lineRule="auto"/>
        <w:rPr>
          <w:rFonts w:ascii="仿宋" w:hAnsi="仿宋" w:eastAsia="仿宋" w:cs="仿宋"/>
          <w:b/>
          <w:bCs/>
          <w:color w:val="auto"/>
          <w:sz w:val="24"/>
          <w:highlight w:val="none"/>
        </w:rPr>
      </w:pPr>
      <w:bookmarkStart w:id="25" w:name="_Toc35393795"/>
      <w:bookmarkStart w:id="26" w:name="_Toc35393626"/>
      <w:r>
        <w:rPr>
          <w:rFonts w:hint="eastAsia" w:ascii="仿宋" w:hAnsi="仿宋" w:eastAsia="仿宋" w:cs="仿宋"/>
          <w:b/>
          <w:bCs/>
          <w:color w:val="auto"/>
          <w:sz w:val="24"/>
          <w:highlight w:val="none"/>
        </w:rPr>
        <w:t>七、其他补充事宜</w:t>
      </w:r>
      <w:bookmarkEnd w:id="25"/>
      <w:bookmarkEnd w:id="26"/>
    </w:p>
    <w:p>
      <w:pPr>
        <w:tabs>
          <w:tab w:val="left" w:pos="9741"/>
        </w:tabs>
        <w:spacing w:line="360" w:lineRule="auto"/>
        <w:ind w:left="961" w:leftChars="228" w:hanging="482" w:hangingChars="200"/>
        <w:rPr>
          <w:rFonts w:ascii="仿宋" w:hAnsi="仿宋" w:eastAsia="仿宋" w:cs="仿宋"/>
          <w:b/>
          <w:bCs/>
          <w:snapToGrid w:val="0"/>
          <w:color w:val="auto"/>
          <w:kern w:val="0"/>
          <w:sz w:val="24"/>
          <w:highlight w:val="none"/>
        </w:rPr>
      </w:pPr>
      <w:r>
        <w:rPr>
          <w:rFonts w:hint="eastAsia" w:ascii="仿宋" w:hAnsi="仿宋" w:eastAsia="仿宋" w:cs="仿宋"/>
          <w:b/>
          <w:bCs/>
          <w:snapToGrid w:val="0"/>
          <w:color w:val="auto"/>
          <w:kern w:val="0"/>
          <w:sz w:val="24"/>
          <w:highlight w:val="none"/>
        </w:rPr>
        <w:t>采购项目需要落实的政府采购政策</w:t>
      </w:r>
    </w:p>
    <w:p>
      <w:pPr>
        <w:tabs>
          <w:tab w:val="left" w:pos="9741"/>
        </w:tabs>
        <w:spacing w:line="360" w:lineRule="auto"/>
        <w:ind w:left="958" w:leftChars="456"/>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（一）中小微型企业政府采购政策</w:t>
      </w:r>
    </w:p>
    <w:p>
      <w:pPr>
        <w:tabs>
          <w:tab w:val="left" w:pos="9741"/>
        </w:tabs>
        <w:spacing w:line="360" w:lineRule="auto"/>
        <w:ind w:left="958" w:leftChars="456"/>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（二）监狱企业政府采购政策</w:t>
      </w:r>
    </w:p>
    <w:p>
      <w:pPr>
        <w:tabs>
          <w:tab w:val="left" w:pos="9741"/>
        </w:tabs>
        <w:spacing w:line="360" w:lineRule="auto"/>
        <w:ind w:left="958" w:leftChars="456"/>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（三）促进残疾人就业政府采购政策</w:t>
      </w:r>
    </w:p>
    <w:p>
      <w:pPr>
        <w:tabs>
          <w:tab w:val="left" w:pos="9741"/>
        </w:tabs>
        <w:spacing w:line="360" w:lineRule="auto"/>
        <w:ind w:left="958" w:leftChars="456"/>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（四）节能、环保产品政府采购政策</w:t>
      </w:r>
    </w:p>
    <w:p>
      <w:pPr>
        <w:pStyle w:val="33"/>
        <w:ind w:left="495" w:firstLine="480"/>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rPr>
        <w:t>详见招标文件</w:t>
      </w:r>
    </w:p>
    <w:p>
      <w:pPr>
        <w:spacing w:before="240" w:beforeLines="100" w:line="360" w:lineRule="auto"/>
        <w:rPr>
          <w:rFonts w:ascii="仿宋" w:hAnsi="仿宋" w:eastAsia="仿宋" w:cs="仿宋"/>
          <w:b/>
          <w:bCs/>
          <w:color w:val="auto"/>
          <w:sz w:val="24"/>
          <w:highlight w:val="none"/>
        </w:rPr>
      </w:pPr>
      <w:bookmarkStart w:id="27" w:name="_Toc28359008"/>
      <w:bookmarkStart w:id="28" w:name="_Toc35393796"/>
      <w:bookmarkStart w:id="29" w:name="_Toc35393627"/>
      <w:bookmarkStart w:id="30" w:name="_Toc28359085"/>
      <w:r>
        <w:rPr>
          <w:rFonts w:hint="eastAsia" w:ascii="仿宋" w:hAnsi="仿宋" w:eastAsia="仿宋" w:cs="仿宋"/>
          <w:b/>
          <w:bCs/>
          <w:color w:val="auto"/>
          <w:sz w:val="24"/>
          <w:highlight w:val="none"/>
        </w:rPr>
        <w:t>八、对本次招标提出询问，请按以下方式联系。</w:t>
      </w:r>
      <w:bookmarkEnd w:id="27"/>
      <w:bookmarkEnd w:id="28"/>
      <w:bookmarkEnd w:id="29"/>
      <w:bookmarkEnd w:id="30"/>
    </w:p>
    <w:p>
      <w:pPr>
        <w:spacing w:line="360" w:lineRule="auto"/>
        <w:ind w:firstLine="720" w:firstLineChars="300"/>
        <w:rPr>
          <w:rFonts w:ascii="仿宋" w:hAnsi="仿宋" w:eastAsia="仿宋" w:cs="仿宋"/>
          <w:color w:val="auto"/>
          <w:sz w:val="24"/>
          <w:highlight w:val="none"/>
        </w:rPr>
      </w:pPr>
      <w:r>
        <w:rPr>
          <w:rFonts w:hint="eastAsia" w:ascii="仿宋" w:hAnsi="仿宋" w:eastAsia="仿宋" w:cs="仿宋"/>
          <w:color w:val="auto"/>
          <w:sz w:val="24"/>
          <w:highlight w:val="none"/>
        </w:rPr>
        <w:t>1.采购人信息</w:t>
      </w:r>
    </w:p>
    <w:p>
      <w:pPr>
        <w:spacing w:line="360" w:lineRule="auto"/>
        <w:ind w:firstLine="720" w:firstLineChars="3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德州市消防救援支队</w:t>
      </w:r>
    </w:p>
    <w:p>
      <w:pPr>
        <w:spacing w:line="360" w:lineRule="auto"/>
        <w:ind w:firstLine="720" w:firstLineChars="3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地址：德州市德城区大学西路1235号</w:t>
      </w:r>
    </w:p>
    <w:p>
      <w:pPr>
        <w:spacing w:line="360" w:lineRule="auto"/>
        <w:ind w:firstLine="720" w:firstLineChars="3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联系方式：</w:t>
      </w:r>
      <w:bookmarkStart w:id="31" w:name="_Toc28359009"/>
      <w:bookmarkStart w:id="32" w:name="_Toc28359086"/>
      <w:r>
        <w:rPr>
          <w:rFonts w:hint="eastAsia" w:ascii="仿宋" w:hAnsi="仿宋" w:eastAsia="仿宋" w:cs="仿宋"/>
          <w:color w:val="auto"/>
          <w:sz w:val="24"/>
          <w:highlight w:val="none"/>
          <w:lang w:val="en-US" w:eastAsia="zh-CN"/>
        </w:rPr>
        <w:t>0534-8102031</w:t>
      </w:r>
    </w:p>
    <w:p>
      <w:pPr>
        <w:spacing w:line="360" w:lineRule="auto"/>
        <w:ind w:left="1079" w:leftChars="371" w:hanging="300" w:hangingChars="125"/>
        <w:jc w:val="left"/>
        <w:rPr>
          <w:rFonts w:ascii="仿宋" w:hAnsi="仿宋" w:eastAsia="仿宋" w:cs="仿宋"/>
          <w:color w:val="auto"/>
          <w:sz w:val="24"/>
          <w:highlight w:val="none"/>
        </w:rPr>
      </w:pPr>
      <w:r>
        <w:rPr>
          <w:rFonts w:hint="eastAsia" w:ascii="仿宋" w:hAnsi="仿宋" w:eastAsia="仿宋" w:cs="仿宋"/>
          <w:color w:val="auto"/>
          <w:sz w:val="24"/>
          <w:highlight w:val="none"/>
        </w:rPr>
        <w:t>2.采购代理机构信息</w:t>
      </w:r>
      <w:bookmarkEnd w:id="31"/>
      <w:bookmarkEnd w:id="32"/>
      <w:r>
        <w:rPr>
          <w:rFonts w:hint="eastAsia" w:ascii="仿宋" w:hAnsi="仿宋" w:eastAsia="仿宋" w:cs="仿宋"/>
          <w:color w:val="auto"/>
          <w:sz w:val="24"/>
          <w:highlight w:val="none"/>
        </w:rPr>
        <w:t xml:space="preserve"> </w:t>
      </w:r>
    </w:p>
    <w:p>
      <w:pPr>
        <w:spacing w:line="360" w:lineRule="auto"/>
        <w:ind w:firstLine="720" w:firstLineChars="300"/>
        <w:rPr>
          <w:rFonts w:ascii="仿宋" w:hAnsi="仿宋" w:eastAsia="仿宋" w:cs="仿宋"/>
          <w:color w:val="auto"/>
          <w:sz w:val="24"/>
          <w:highlight w:val="none"/>
        </w:rPr>
      </w:pPr>
      <w:r>
        <w:rPr>
          <w:rFonts w:hint="eastAsia" w:ascii="仿宋" w:hAnsi="仿宋" w:eastAsia="仿宋" w:cs="仿宋"/>
          <w:color w:val="auto"/>
          <w:sz w:val="24"/>
          <w:highlight w:val="none"/>
        </w:rPr>
        <w:t>名称：</w:t>
      </w:r>
      <w:r>
        <w:rPr>
          <w:rFonts w:hint="eastAsia" w:ascii="仿宋" w:hAnsi="仿宋" w:eastAsia="仿宋" w:cs="仿宋"/>
          <w:color w:val="auto"/>
          <w:kern w:val="0"/>
          <w:sz w:val="24"/>
          <w:highlight w:val="none"/>
        </w:rPr>
        <w:t>山东善誉招标咨询有限公司</w:t>
      </w:r>
    </w:p>
    <w:p>
      <w:pPr>
        <w:spacing w:line="360" w:lineRule="auto"/>
        <w:ind w:firstLine="720" w:firstLineChars="300"/>
        <w:rPr>
          <w:rFonts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kern w:val="0"/>
          <w:sz w:val="24"/>
          <w:highlight w:val="none"/>
        </w:rPr>
        <w:t>山东省济南市高新区舜华南路汉峪金谷A2地块4号楼</w:t>
      </w:r>
      <w:r>
        <w:rPr>
          <w:rFonts w:hint="eastAsia" w:ascii="仿宋" w:hAnsi="仿宋" w:eastAsia="仿宋" w:cs="仿宋"/>
          <w:color w:val="auto"/>
          <w:kern w:val="0"/>
          <w:sz w:val="24"/>
          <w:highlight w:val="none"/>
          <w:lang w:val="en-US" w:eastAsia="zh-CN"/>
        </w:rPr>
        <w:t>23</w:t>
      </w:r>
      <w:r>
        <w:rPr>
          <w:rFonts w:hint="eastAsia" w:ascii="仿宋" w:hAnsi="仿宋" w:eastAsia="仿宋" w:cs="仿宋"/>
          <w:color w:val="auto"/>
          <w:kern w:val="0"/>
          <w:sz w:val="24"/>
          <w:highlight w:val="none"/>
        </w:rPr>
        <w:t>层</w:t>
      </w:r>
    </w:p>
    <w:p>
      <w:pPr>
        <w:spacing w:line="360" w:lineRule="auto"/>
        <w:ind w:firstLine="720" w:firstLineChars="3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联系方式：</w:t>
      </w:r>
      <w:bookmarkStart w:id="33" w:name="_Toc28359010"/>
      <w:bookmarkStart w:id="34" w:name="_Toc28359087"/>
      <w:r>
        <w:rPr>
          <w:rFonts w:hint="eastAsia" w:ascii="仿宋" w:hAnsi="仿宋" w:eastAsia="仿宋" w:cs="仿宋"/>
          <w:color w:val="auto"/>
          <w:sz w:val="24"/>
          <w:highlight w:val="none"/>
        </w:rPr>
        <w:t>0531-5551689</w:t>
      </w:r>
      <w:r>
        <w:rPr>
          <w:rFonts w:hint="eastAsia" w:ascii="仿宋" w:hAnsi="仿宋" w:eastAsia="仿宋" w:cs="仿宋"/>
          <w:color w:val="auto"/>
          <w:sz w:val="24"/>
          <w:highlight w:val="none"/>
          <w:lang w:val="en-US" w:eastAsia="zh-CN"/>
        </w:rPr>
        <w:t>2</w:t>
      </w:r>
    </w:p>
    <w:p>
      <w:pPr>
        <w:spacing w:line="360" w:lineRule="auto"/>
        <w:ind w:firstLine="720" w:firstLineChars="300"/>
        <w:rPr>
          <w:rFonts w:ascii="仿宋" w:hAnsi="仿宋" w:eastAsia="仿宋" w:cs="仿宋"/>
          <w:color w:val="auto"/>
          <w:sz w:val="24"/>
          <w:highlight w:val="none"/>
          <w:u w:val="single"/>
        </w:rPr>
      </w:pPr>
      <w:r>
        <w:rPr>
          <w:rFonts w:hint="eastAsia" w:ascii="仿宋" w:hAnsi="仿宋" w:eastAsia="仿宋" w:cs="仿宋"/>
          <w:color w:val="auto"/>
          <w:sz w:val="24"/>
          <w:highlight w:val="none"/>
        </w:rPr>
        <w:t>3.项目联系方式</w:t>
      </w:r>
      <w:bookmarkEnd w:id="33"/>
      <w:bookmarkEnd w:id="34"/>
    </w:p>
    <w:p>
      <w:pPr>
        <w:pStyle w:val="13"/>
        <w:spacing w:line="360" w:lineRule="auto"/>
        <w:ind w:firstLine="720" w:firstLineChars="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项目联系人：郭老师</w:t>
      </w:r>
    </w:p>
    <w:p>
      <w:pPr>
        <w:widowControl/>
        <w:spacing w:line="360" w:lineRule="auto"/>
        <w:ind w:firstLine="720" w:firstLineChars="300"/>
        <w:rPr>
          <w:rFonts w:hint="eastAsia" w:ascii="仿宋" w:hAnsi="仿宋" w:eastAsia="仿宋" w:cs="仿宋"/>
          <w:color w:val="auto"/>
          <w:sz w:val="18"/>
          <w:szCs w:val="18"/>
          <w:highlight w:val="none"/>
          <w:lang w:eastAsia="zh-CN"/>
        </w:rPr>
      </w:pPr>
      <w:r>
        <w:rPr>
          <w:rFonts w:hint="eastAsia" w:ascii="仿宋" w:hAnsi="仿宋" w:eastAsia="仿宋" w:cs="仿宋"/>
          <w:color w:val="auto"/>
          <w:sz w:val="24"/>
          <w:highlight w:val="none"/>
        </w:rPr>
        <w:t>电话：0531-5551689</w:t>
      </w:r>
      <w:r>
        <w:rPr>
          <w:rFonts w:hint="eastAsia" w:ascii="仿宋" w:hAnsi="仿宋" w:eastAsia="仿宋" w:cs="仿宋"/>
          <w:color w:val="auto"/>
          <w:sz w:val="24"/>
          <w:highlight w:val="none"/>
          <w:lang w:val="en-US" w:eastAsia="zh-CN"/>
        </w:rPr>
        <w:t>2</w:t>
      </w:r>
    </w:p>
    <w:bookmarkEnd w:id="1"/>
    <w:p>
      <w:pPr>
        <w:rPr>
          <w:rFonts w:ascii="仿宋" w:hAnsi="仿宋" w:eastAsia="仿宋" w:cs="仿宋"/>
          <w:color w:val="auto"/>
          <w:highlight w:val="none"/>
        </w:rPr>
      </w:pPr>
    </w:p>
    <w:p>
      <w:pPr>
        <w:widowControl/>
        <w:jc w:val="left"/>
        <w:rPr>
          <w:rFonts w:ascii="仿宋" w:hAnsi="仿宋" w:eastAsia="仿宋" w:cs="仿宋"/>
          <w:b/>
          <w:color w:val="auto"/>
          <w:sz w:val="32"/>
          <w:szCs w:val="20"/>
          <w:highlight w:val="none"/>
        </w:rPr>
      </w:pPr>
      <w:r>
        <w:rPr>
          <w:rFonts w:ascii="仿宋" w:hAnsi="仿宋" w:eastAsia="仿宋" w:cs="仿宋"/>
          <w:color w:val="auto"/>
          <w:sz w:val="32"/>
          <w:highlight w:val="none"/>
        </w:rPr>
        <w:br w:type="page"/>
      </w:r>
    </w:p>
    <w:p>
      <w:pPr>
        <w:pStyle w:val="4"/>
        <w:spacing w:before="120" w:after="120" w:line="360" w:lineRule="auto"/>
        <w:jc w:val="center"/>
        <w:rPr>
          <w:rFonts w:ascii="仿宋" w:hAnsi="仿宋" w:eastAsia="仿宋" w:cs="仿宋"/>
          <w:color w:val="auto"/>
          <w:kern w:val="2"/>
          <w:sz w:val="32"/>
          <w:highlight w:val="none"/>
        </w:rPr>
      </w:pPr>
      <w:bookmarkStart w:id="35" w:name="_Toc22435"/>
      <w:r>
        <w:rPr>
          <w:rFonts w:hint="eastAsia" w:ascii="仿宋" w:hAnsi="仿宋" w:eastAsia="仿宋" w:cs="仿宋"/>
          <w:color w:val="auto"/>
          <w:kern w:val="2"/>
          <w:sz w:val="32"/>
          <w:highlight w:val="none"/>
        </w:rPr>
        <w:t xml:space="preserve">第二章  </w:t>
      </w:r>
      <w:r>
        <w:rPr>
          <w:rFonts w:hint="eastAsia" w:ascii="仿宋" w:hAnsi="仿宋" w:eastAsia="仿宋" w:cs="仿宋"/>
          <w:color w:val="auto"/>
          <w:kern w:val="2"/>
          <w:sz w:val="32"/>
          <w:highlight w:val="none"/>
          <w:lang w:eastAsia="zh-CN"/>
        </w:rPr>
        <w:t>投标人</w:t>
      </w:r>
      <w:r>
        <w:rPr>
          <w:rFonts w:hint="eastAsia" w:ascii="仿宋" w:hAnsi="仿宋" w:eastAsia="仿宋" w:cs="仿宋"/>
          <w:color w:val="auto"/>
          <w:kern w:val="2"/>
          <w:sz w:val="32"/>
          <w:highlight w:val="none"/>
        </w:rPr>
        <w:t>须知</w:t>
      </w:r>
      <w:bookmarkEnd w:id="35"/>
    </w:p>
    <w:p>
      <w:pPr>
        <w:pStyle w:val="4"/>
        <w:spacing w:before="0" w:after="0" w:line="360" w:lineRule="auto"/>
        <w:jc w:val="center"/>
        <w:rPr>
          <w:rFonts w:ascii="仿宋" w:hAnsi="仿宋" w:eastAsia="仿宋" w:cs="仿宋"/>
          <w:bCs/>
          <w:color w:val="auto"/>
          <w:sz w:val="30"/>
          <w:szCs w:val="30"/>
          <w:highlight w:val="none"/>
        </w:rPr>
      </w:pPr>
      <w:bookmarkStart w:id="36" w:name="_Toc6935"/>
      <w:r>
        <w:rPr>
          <w:rFonts w:hint="eastAsia" w:ascii="仿宋" w:hAnsi="仿宋" w:eastAsia="仿宋" w:cs="仿宋"/>
          <w:color w:val="auto"/>
          <w:sz w:val="30"/>
          <w:szCs w:val="30"/>
          <w:highlight w:val="none"/>
          <w:lang w:eastAsia="zh-CN"/>
        </w:rPr>
        <w:t>投标人</w:t>
      </w:r>
      <w:r>
        <w:rPr>
          <w:rFonts w:hint="eastAsia" w:ascii="仿宋" w:hAnsi="仿宋" w:eastAsia="仿宋" w:cs="仿宋"/>
          <w:color w:val="auto"/>
          <w:sz w:val="30"/>
          <w:szCs w:val="30"/>
          <w:highlight w:val="none"/>
        </w:rPr>
        <w:t>须知前附表</w:t>
      </w:r>
      <w:bookmarkEnd w:id="36"/>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本表是对“</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须知”正文的具体补充和修改，如有不一致，以“前附表”为准。</w:t>
      </w:r>
    </w:p>
    <w:tbl>
      <w:tblPr>
        <w:tblStyle w:val="23"/>
        <w:tblW w:w="1001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619"/>
        <w:gridCol w:w="1504"/>
        <w:gridCol w:w="7895"/>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72" w:hRule="atLeast"/>
          <w:tblHeader/>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504" w:type="dxa"/>
            <w:vAlign w:val="center"/>
          </w:tcPr>
          <w:p>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内  容</w:t>
            </w:r>
          </w:p>
        </w:tc>
        <w:tc>
          <w:tcPr>
            <w:tcW w:w="7895" w:type="dxa"/>
            <w:vAlign w:val="center"/>
          </w:tcPr>
          <w:p>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说明或要求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项目信息</w:t>
            </w:r>
          </w:p>
        </w:tc>
        <w:tc>
          <w:tcPr>
            <w:tcW w:w="7895" w:type="dxa"/>
            <w:vAlign w:val="center"/>
          </w:tcPr>
          <w:p>
            <w:pPr>
              <w:spacing w:line="360" w:lineRule="auto"/>
              <w:ind w:firstLine="523" w:firstLineChars="218"/>
              <w:rPr>
                <w:rFonts w:hint="eastAsia" w:ascii="仿宋" w:hAnsi="仿宋" w:eastAsia="仿宋" w:cs="仿宋"/>
                <w:snapToGrid w:val="0"/>
                <w:color w:val="auto"/>
                <w:kern w:val="0"/>
                <w:sz w:val="24"/>
                <w:highlight w:val="none"/>
                <w:lang w:eastAsia="zh-CN"/>
              </w:rPr>
            </w:pPr>
            <w:r>
              <w:rPr>
                <w:rFonts w:hint="eastAsia" w:ascii="仿宋" w:hAnsi="仿宋" w:eastAsia="仿宋" w:cs="仿宋"/>
                <w:snapToGrid w:val="0"/>
                <w:color w:val="auto"/>
                <w:kern w:val="0"/>
                <w:sz w:val="24"/>
                <w:highlight w:val="none"/>
              </w:rPr>
              <w:t>项目名称：</w:t>
            </w:r>
            <w:r>
              <w:rPr>
                <w:rFonts w:hint="eastAsia" w:ascii="仿宋" w:hAnsi="仿宋" w:eastAsia="仿宋" w:cs="仿宋"/>
                <w:color w:val="auto"/>
                <w:sz w:val="24"/>
                <w:highlight w:val="none"/>
                <w:lang w:eastAsia="zh-CN"/>
              </w:rPr>
              <w:t>德州市消防救援支队消防装备采购项目</w:t>
            </w:r>
          </w:p>
          <w:p>
            <w:pPr>
              <w:spacing w:line="360" w:lineRule="auto"/>
              <w:ind w:firstLine="523" w:firstLineChars="218"/>
              <w:rPr>
                <w:rFonts w:hint="eastAsia" w:ascii="仿宋" w:hAnsi="仿宋" w:eastAsia="仿宋" w:cs="仿宋"/>
                <w:color w:val="auto"/>
                <w:sz w:val="24"/>
                <w:highlight w:val="none"/>
                <w:lang w:eastAsia="zh-CN"/>
              </w:rPr>
            </w:pPr>
            <w:r>
              <w:rPr>
                <w:rFonts w:hint="eastAsia" w:ascii="仿宋" w:hAnsi="仿宋" w:eastAsia="仿宋" w:cs="仿宋"/>
                <w:snapToGrid w:val="0"/>
                <w:color w:val="auto"/>
                <w:kern w:val="0"/>
                <w:sz w:val="24"/>
                <w:highlight w:val="none"/>
              </w:rPr>
              <w:t>项目编号：</w:t>
            </w:r>
            <w:r>
              <w:rPr>
                <w:rFonts w:hint="eastAsia" w:ascii="仿宋" w:hAnsi="仿宋" w:eastAsia="仿宋" w:cs="仿宋"/>
                <w:color w:val="auto"/>
                <w:sz w:val="24"/>
                <w:highlight w:val="none"/>
                <w:lang w:eastAsia="zh-CN"/>
              </w:rPr>
              <w:t>SYZB2021-141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504" w:type="dxa"/>
            <w:vAlign w:val="center"/>
          </w:tcPr>
          <w:p>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采购人</w:t>
            </w:r>
          </w:p>
        </w:tc>
        <w:tc>
          <w:tcPr>
            <w:tcW w:w="7895" w:type="dxa"/>
            <w:vAlign w:val="center"/>
          </w:tcPr>
          <w:p>
            <w:pPr>
              <w:spacing w:line="360" w:lineRule="auto"/>
              <w:ind w:firstLine="523" w:firstLineChars="218"/>
              <w:rPr>
                <w:rFonts w:hint="eastAsia" w:ascii="仿宋" w:hAnsi="仿宋" w:eastAsia="仿宋" w:cs="仿宋"/>
                <w:snapToGrid w:val="0"/>
                <w:color w:val="auto"/>
                <w:kern w:val="0"/>
                <w:sz w:val="24"/>
                <w:highlight w:val="none"/>
                <w:lang w:eastAsia="zh-CN"/>
              </w:rPr>
            </w:pPr>
            <w:r>
              <w:rPr>
                <w:rFonts w:hint="eastAsia" w:ascii="仿宋" w:hAnsi="仿宋" w:eastAsia="仿宋" w:cs="仿宋"/>
                <w:snapToGrid w:val="0"/>
                <w:color w:val="auto"/>
                <w:kern w:val="0"/>
                <w:sz w:val="24"/>
                <w:highlight w:val="none"/>
                <w:lang w:eastAsia="zh-CN"/>
              </w:rPr>
              <w:t>采购人</w:t>
            </w:r>
            <w:r>
              <w:rPr>
                <w:rFonts w:hint="eastAsia" w:ascii="仿宋" w:hAnsi="仿宋" w:eastAsia="仿宋" w:cs="仿宋"/>
                <w:snapToGrid w:val="0"/>
                <w:color w:val="auto"/>
                <w:kern w:val="0"/>
                <w:sz w:val="24"/>
                <w:highlight w:val="none"/>
              </w:rPr>
              <w:t>：</w:t>
            </w:r>
            <w:r>
              <w:rPr>
                <w:rFonts w:hint="eastAsia" w:ascii="仿宋" w:hAnsi="仿宋" w:eastAsia="仿宋" w:cs="仿宋"/>
                <w:snapToGrid w:val="0"/>
                <w:color w:val="auto"/>
                <w:kern w:val="0"/>
                <w:sz w:val="24"/>
                <w:highlight w:val="none"/>
                <w:lang w:eastAsia="zh-CN"/>
              </w:rPr>
              <w:t>德州市消防救援支队</w:t>
            </w:r>
          </w:p>
          <w:p>
            <w:pPr>
              <w:spacing w:line="360" w:lineRule="auto"/>
              <w:ind w:firstLine="523" w:firstLineChars="218"/>
              <w:rPr>
                <w:rFonts w:hint="eastAsia" w:ascii="仿宋" w:hAnsi="仿宋" w:eastAsia="仿宋" w:cs="仿宋"/>
                <w:snapToGrid w:val="0"/>
                <w:color w:val="auto"/>
                <w:kern w:val="0"/>
                <w:sz w:val="24"/>
                <w:highlight w:val="none"/>
                <w:lang w:eastAsia="zh-CN"/>
              </w:rPr>
            </w:pPr>
            <w:r>
              <w:rPr>
                <w:rFonts w:hint="eastAsia" w:ascii="仿宋" w:hAnsi="仿宋" w:eastAsia="仿宋" w:cs="仿宋"/>
                <w:snapToGrid w:val="0"/>
                <w:color w:val="auto"/>
                <w:kern w:val="0"/>
                <w:sz w:val="24"/>
                <w:highlight w:val="none"/>
              </w:rPr>
              <w:t>联系人：</w:t>
            </w:r>
            <w:r>
              <w:rPr>
                <w:rFonts w:hint="eastAsia" w:ascii="仿宋" w:hAnsi="仿宋" w:eastAsia="仿宋" w:cs="仿宋"/>
                <w:snapToGrid w:val="0"/>
                <w:color w:val="auto"/>
                <w:kern w:val="0"/>
                <w:sz w:val="24"/>
                <w:highlight w:val="none"/>
                <w:lang w:eastAsia="zh-CN"/>
              </w:rPr>
              <w:t>张科长</w:t>
            </w:r>
          </w:p>
          <w:p>
            <w:pPr>
              <w:spacing w:line="360" w:lineRule="auto"/>
              <w:ind w:firstLine="523" w:firstLineChars="218"/>
              <w:rPr>
                <w:rFonts w:hint="default" w:ascii="仿宋" w:hAnsi="仿宋" w:eastAsia="仿宋" w:cs="仿宋"/>
                <w:color w:val="auto"/>
                <w:sz w:val="24"/>
                <w:highlight w:val="none"/>
                <w:lang w:val="en-US" w:eastAsia="zh-CN"/>
              </w:rPr>
            </w:pPr>
            <w:r>
              <w:rPr>
                <w:rFonts w:hint="eastAsia" w:ascii="仿宋" w:hAnsi="仿宋" w:eastAsia="仿宋" w:cs="仿宋"/>
                <w:snapToGrid w:val="0"/>
                <w:color w:val="auto"/>
                <w:kern w:val="0"/>
                <w:sz w:val="24"/>
                <w:highlight w:val="none"/>
              </w:rPr>
              <w:t>联系方式：</w:t>
            </w:r>
            <w:r>
              <w:rPr>
                <w:rFonts w:hint="eastAsia" w:ascii="仿宋" w:hAnsi="仿宋" w:eastAsia="仿宋" w:cs="仿宋"/>
                <w:snapToGrid w:val="0"/>
                <w:color w:val="auto"/>
                <w:kern w:val="0"/>
                <w:sz w:val="24"/>
                <w:highlight w:val="none"/>
                <w:lang w:val="en-US" w:eastAsia="zh-CN"/>
              </w:rPr>
              <w:t>0534-8102031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498"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代理机构</w:t>
            </w:r>
          </w:p>
        </w:tc>
        <w:tc>
          <w:tcPr>
            <w:tcW w:w="7895" w:type="dxa"/>
            <w:vAlign w:val="center"/>
          </w:tcPr>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代理机构：山东善誉招标咨询有限公司</w:t>
            </w:r>
          </w:p>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联系人：</w:t>
            </w:r>
            <w:r>
              <w:rPr>
                <w:rFonts w:hint="eastAsia" w:ascii="仿宋" w:hAnsi="仿宋" w:eastAsia="仿宋" w:cs="仿宋"/>
                <w:color w:val="auto"/>
                <w:sz w:val="24"/>
                <w:highlight w:val="none"/>
              </w:rPr>
              <w:t>郭老师</w:t>
            </w:r>
            <w:r>
              <w:rPr>
                <w:rFonts w:hint="eastAsia" w:ascii="仿宋" w:hAnsi="仿宋" w:eastAsia="仿宋" w:cs="仿宋"/>
                <w:snapToGrid w:val="0"/>
                <w:color w:val="auto"/>
                <w:kern w:val="0"/>
                <w:sz w:val="24"/>
                <w:highlight w:val="none"/>
              </w:rPr>
              <w:t xml:space="preserve">    </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rPr>
              <w:t>联系电话：</w:t>
            </w:r>
            <w:r>
              <w:rPr>
                <w:rFonts w:hint="eastAsia" w:ascii="仿宋" w:hAnsi="仿宋" w:eastAsia="仿宋" w:cs="仿宋"/>
                <w:color w:val="auto"/>
                <w:sz w:val="24"/>
                <w:highlight w:val="none"/>
              </w:rPr>
              <w:t>0531-5551689</w:t>
            </w:r>
            <w:r>
              <w:rPr>
                <w:rFonts w:hint="eastAsia" w:ascii="仿宋" w:hAnsi="仿宋" w:eastAsia="仿宋" w:cs="仿宋"/>
                <w:color w:val="auto"/>
                <w:sz w:val="24"/>
                <w:highlight w:val="none"/>
                <w:lang w:val="en-US" w:eastAsia="zh-CN"/>
              </w:rPr>
              <w:t>2</w:t>
            </w:r>
            <w:r>
              <w:rPr>
                <w:rFonts w:hint="eastAsia" w:ascii="仿宋" w:hAnsi="仿宋" w:eastAsia="仿宋" w:cs="仿宋"/>
                <w:snapToGrid w:val="0"/>
                <w:color w:val="auto"/>
                <w:kern w:val="0"/>
                <w:sz w:val="24"/>
                <w:highlight w:val="none"/>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资金来源与采购预算</w:t>
            </w:r>
          </w:p>
        </w:tc>
        <w:tc>
          <w:tcPr>
            <w:tcW w:w="7895" w:type="dxa"/>
          </w:tcPr>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资金来源：财政资金</w:t>
            </w:r>
          </w:p>
          <w:p>
            <w:pPr>
              <w:pStyle w:val="2"/>
              <w:ind w:firstLine="482" w:firstLineChars="200"/>
              <w:rPr>
                <w:rFonts w:ascii="仿宋" w:hAnsi="仿宋" w:eastAsia="仿宋" w:cs="仿宋"/>
                <w:b/>
                <w:snapToGrid w:val="0"/>
                <w:color w:val="auto"/>
                <w:szCs w:val="24"/>
                <w:highlight w:val="none"/>
              </w:rPr>
            </w:pPr>
            <w:r>
              <w:rPr>
                <w:rFonts w:hint="eastAsia" w:ascii="仿宋" w:hAnsi="仿宋" w:eastAsia="仿宋" w:cs="仿宋"/>
                <w:b/>
                <w:bCs w:val="0"/>
                <w:snapToGrid w:val="0"/>
                <w:color w:val="auto"/>
                <w:szCs w:val="24"/>
                <w:highlight w:val="none"/>
              </w:rPr>
              <w:t>预算金额：</w:t>
            </w:r>
            <w:r>
              <w:rPr>
                <w:rFonts w:hint="eastAsia" w:ascii="仿宋" w:hAnsi="仿宋" w:eastAsia="仿宋" w:cs="仿宋"/>
                <w:b/>
                <w:bCs w:val="0"/>
                <w:snapToGrid w:val="0"/>
                <w:color w:val="auto"/>
                <w:szCs w:val="24"/>
                <w:highlight w:val="none"/>
                <w:lang w:val="en-US" w:eastAsia="zh-CN"/>
              </w:rPr>
              <w:t>591.387</w:t>
            </w:r>
            <w:r>
              <w:rPr>
                <w:rFonts w:hint="eastAsia" w:ascii="仿宋" w:hAnsi="仿宋" w:eastAsia="仿宋" w:cs="仿宋"/>
                <w:b/>
                <w:bCs w:val="0"/>
                <w:color w:val="auto"/>
                <w:szCs w:val="24"/>
                <w:highlight w:val="none"/>
              </w:rPr>
              <w:t>万元</w:t>
            </w:r>
            <w:r>
              <w:rPr>
                <w:rFonts w:hint="eastAsia" w:ascii="仿宋" w:hAnsi="仿宋" w:eastAsia="仿宋" w:cs="仿宋"/>
                <w:bCs/>
                <w:color w:val="auto"/>
                <w:szCs w:val="24"/>
                <w:highlight w:val="none"/>
              </w:rPr>
              <w:t>。</w:t>
            </w:r>
          </w:p>
          <w:tbl>
            <w:tblPr>
              <w:tblStyle w:val="23"/>
              <w:tblW w:w="46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5"/>
              <w:gridCol w:w="3163"/>
              <w:gridCol w:w="1302"/>
              <w:gridCol w:w="1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包号</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名称</w:t>
                  </w:r>
                </w:p>
              </w:tc>
              <w:tc>
                <w:tcPr>
                  <w:tcW w:w="898" w:type="pct"/>
                  <w:tcMar>
                    <w:top w:w="12" w:type="dxa"/>
                    <w:left w:w="12" w:type="dxa"/>
                    <w:right w:w="12" w:type="dxa"/>
                  </w:tcMar>
                  <w:vAlign w:val="center"/>
                </w:tcPr>
                <w:p>
                  <w:pPr>
                    <w:jc w:val="center"/>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数量及要求</w:t>
                  </w:r>
                </w:p>
              </w:tc>
              <w:tc>
                <w:tcPr>
                  <w:tcW w:w="1307" w:type="pct"/>
                  <w:tcMar>
                    <w:top w:w="12" w:type="dxa"/>
                    <w:left w:w="12" w:type="dxa"/>
                    <w:right w:w="12" w:type="dxa"/>
                  </w:tcMar>
                  <w:vAlign w:val="center"/>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8"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1包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个人防护装备</w:t>
                  </w:r>
                </w:p>
              </w:tc>
              <w:tc>
                <w:tcPr>
                  <w:tcW w:w="898" w:type="pct"/>
                  <w:vMerge w:val="restart"/>
                  <w:noWrap/>
                  <w:tcMar>
                    <w:top w:w="12" w:type="dxa"/>
                    <w:left w:w="12" w:type="dxa"/>
                    <w:right w:w="12" w:type="dxa"/>
                  </w:tcMar>
                  <w:vAlign w:val="center"/>
                </w:tcPr>
                <w:p>
                  <w:pPr>
                    <w:jc w:val="center"/>
                    <w:rPr>
                      <w:rFonts w:hint="eastAsia" w:ascii="仿宋" w:hAnsi="仿宋" w:eastAsia="仿宋" w:cs="仿宋"/>
                      <w:bCs/>
                      <w:color w:val="auto"/>
                      <w:sz w:val="24"/>
                      <w:highlight w:val="none"/>
                      <w:lang w:val="en-US" w:eastAsia="zh-CN"/>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278.202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2包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水域救援、救生类</w:t>
                  </w:r>
                  <w:r>
                    <w:rPr>
                      <w:rFonts w:hint="eastAsia" w:ascii="仿宋" w:hAnsi="仿宋" w:eastAsia="仿宋" w:cs="仿宋"/>
                      <w:bCs/>
                      <w:color w:val="auto"/>
                      <w:sz w:val="24"/>
                      <w:highlight w:val="none"/>
                      <w:lang w:eastAsia="zh-CN"/>
                    </w:rPr>
                    <w:t>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57.82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3包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侦检、破拆、堵漏、输转类</w:t>
                  </w:r>
                  <w:r>
                    <w:rPr>
                      <w:rFonts w:hint="eastAsia" w:ascii="仿宋" w:hAnsi="仿宋" w:eastAsia="仿宋" w:cs="仿宋"/>
                      <w:bCs/>
                      <w:color w:val="auto"/>
                      <w:sz w:val="24"/>
                      <w:highlight w:val="none"/>
                      <w:lang w:eastAsia="zh-CN"/>
                    </w:rPr>
                    <w:t>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142.365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4包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其他装备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113</w:t>
                  </w:r>
                </w:p>
              </w:tc>
            </w:tr>
          </w:tbl>
          <w:p>
            <w:pPr>
              <w:spacing w:line="360" w:lineRule="auto"/>
              <w:ind w:firstLine="442" w:firstLineChars="200"/>
              <w:jc w:val="left"/>
              <w:rPr>
                <w:rFonts w:ascii="仿宋" w:hAnsi="仿宋" w:eastAsia="仿宋" w:cs="仿宋"/>
                <w:b/>
                <w:snapToGrid w:val="0"/>
                <w:color w:val="auto"/>
                <w:highlight w:val="none"/>
              </w:rPr>
            </w:pPr>
            <w:r>
              <w:rPr>
                <w:rFonts w:hint="eastAsia" w:ascii="仿宋" w:hAnsi="仿宋" w:eastAsia="仿宋" w:cs="仿宋"/>
                <w:b/>
                <w:bCs/>
                <w:color w:val="auto"/>
                <w:sz w:val="22"/>
                <w:szCs w:val="22"/>
                <w:highlight w:val="none"/>
              </w:rPr>
              <w:t>注：</w:t>
            </w:r>
            <w:r>
              <w:rPr>
                <w:rFonts w:hint="eastAsia" w:ascii="仿宋" w:hAnsi="仿宋" w:eastAsia="仿宋" w:cs="仿宋"/>
                <w:b/>
                <w:bCs/>
                <w:color w:val="auto"/>
                <w:sz w:val="22"/>
                <w:szCs w:val="22"/>
                <w:highlight w:val="none"/>
                <w:lang w:eastAsia="zh-CN"/>
              </w:rPr>
              <w:t>①</w:t>
            </w:r>
            <w:r>
              <w:rPr>
                <w:rFonts w:hint="eastAsia" w:ascii="仿宋" w:hAnsi="仿宋" w:eastAsia="仿宋" w:cs="仿宋"/>
                <w:b/>
                <w:bCs/>
                <w:color w:val="auto"/>
                <w:sz w:val="22"/>
                <w:szCs w:val="22"/>
                <w:highlight w:val="none"/>
              </w:rPr>
              <w:t>各包报价均不能超过分包预算。</w:t>
            </w:r>
            <w:r>
              <w:rPr>
                <w:rFonts w:hint="eastAsia" w:ascii="仿宋" w:hAnsi="仿宋" w:eastAsia="仿宋" w:cs="仿宋"/>
                <w:b/>
                <w:bCs/>
                <w:color w:val="auto"/>
                <w:sz w:val="22"/>
                <w:szCs w:val="22"/>
                <w:highlight w:val="none"/>
                <w:lang w:eastAsia="zh-CN"/>
              </w:rPr>
              <w:t>②本项目各包兼投不兼中。</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应提供的资格证明材料</w:t>
            </w:r>
          </w:p>
        </w:tc>
        <w:tc>
          <w:tcPr>
            <w:tcW w:w="7895" w:type="dxa"/>
            <w:vAlign w:val="center"/>
          </w:tcPr>
          <w:p>
            <w:pPr>
              <w:spacing w:line="360" w:lineRule="auto"/>
              <w:ind w:firstLine="523" w:firstLineChars="21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资格要求：</w:t>
            </w:r>
          </w:p>
          <w:p>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详见第一章招标公告。</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应提供能够证明符合资格条件的下列材料</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须具有独立承担民事责任的能力，须提供相关证明材料，其中：</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是企业（包括合伙企业）的，应提供其在工商部门注册的有效“企业法人营业执照”或“营业执照”的复印件；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是事业单位的，应提供其有效的“事业单位法人证书”复印件；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是非企业专业服务机构的，应提供其有效的执业许可证复印件；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是个体工商户的，应提供其有效的“个体工商户营业执照”复印件；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是自然人的，应提供其有效的自然人身份证明。</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须具有良好的商业信誉和健全的财务会计制度，须提供相关证明材料，其中：</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是法人的，应提供</w:t>
            </w:r>
            <w:r>
              <w:rPr>
                <w:rFonts w:hint="eastAsia" w:ascii="仿宋" w:hAnsi="仿宋" w:eastAsia="仿宋" w:cs="仿宋"/>
                <w:color w:val="auto"/>
                <w:sz w:val="24"/>
                <w:szCs w:val="24"/>
                <w:highlight w:val="none"/>
                <w:lang w:val="en-US" w:eastAsia="zh-CN"/>
              </w:rPr>
              <w:t>2020年度</w:t>
            </w:r>
            <w:r>
              <w:rPr>
                <w:rFonts w:hint="eastAsia" w:ascii="仿宋" w:hAnsi="仿宋" w:eastAsia="仿宋" w:cs="仿宋"/>
                <w:color w:val="auto"/>
                <w:sz w:val="24"/>
                <w:szCs w:val="24"/>
                <w:highlight w:val="none"/>
              </w:rPr>
              <w:t>经审计的财务报告复印件（须包括资产负债表、利润表、现金流量表</w:t>
            </w:r>
            <w:r>
              <w:rPr>
                <w:rFonts w:hint="eastAsia" w:ascii="仿宋" w:hAnsi="仿宋" w:eastAsia="仿宋" w:cs="仿宋"/>
                <w:color w:val="auto"/>
                <w:sz w:val="24"/>
                <w:szCs w:val="24"/>
                <w:highlight w:val="none"/>
                <w:lang w:eastAsia="zh-CN"/>
              </w:rPr>
              <w:t>、所有者权益变动表及其附注</w:t>
            </w:r>
            <w:r>
              <w:rPr>
                <w:rFonts w:hint="eastAsia" w:ascii="仿宋" w:hAnsi="仿宋" w:eastAsia="仿宋" w:cs="仿宋"/>
                <w:color w:val="auto"/>
                <w:sz w:val="24"/>
                <w:szCs w:val="24"/>
                <w:highlight w:val="none"/>
              </w:rPr>
              <w:t>），或开标日前三个月内其基本开户银行出具的资信证明原件；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是其他组织或自然人的，应提供银行出具的资信证明原件。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 xml:space="preserve">须具有履行合同所必需的设备和专业技术能力，须附相关证明材料或书面声明。 </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须具有依法缴纳税收和社会保障资金的良好记录，须提供相关证明材料，其中：</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是法人的，缴纳税收的证明材料，应提供开标前三个月内任意一个月</w:t>
            </w:r>
            <w:r>
              <w:rPr>
                <w:rFonts w:hint="eastAsia" w:ascii="仿宋" w:hAnsi="仿宋" w:eastAsia="仿宋" w:cs="仿宋"/>
                <w:color w:val="auto"/>
                <w:sz w:val="24"/>
                <w:szCs w:val="24"/>
                <w:highlight w:val="none"/>
                <w:lang w:eastAsia="zh-CN"/>
              </w:rPr>
              <w:t>（指纳税所属时期）</w:t>
            </w:r>
            <w:r>
              <w:rPr>
                <w:rFonts w:hint="eastAsia" w:ascii="仿宋" w:hAnsi="仿宋" w:eastAsia="仿宋" w:cs="仿宋"/>
                <w:color w:val="auto"/>
                <w:sz w:val="24"/>
                <w:szCs w:val="24"/>
                <w:highlight w:val="none"/>
              </w:rPr>
              <w:t>的依法缴税凭据复印件；</w:t>
            </w:r>
          </w:p>
          <w:p>
            <w:pPr>
              <w:autoSpaceDE w:val="0"/>
              <w:autoSpaceDN w:val="0"/>
              <w:adjustRightInd w:val="0"/>
              <w:snapToGrid w:val="0"/>
              <w:spacing w:line="360" w:lineRule="auto"/>
              <w:ind w:firstLine="840" w:firstLineChars="3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是法人的，缴纳社会保障资金的证明材料，应提供开标前三个月内任意一个月</w:t>
            </w:r>
            <w:r>
              <w:rPr>
                <w:rFonts w:hint="eastAsia" w:ascii="仿宋" w:hAnsi="仿宋" w:eastAsia="仿宋" w:cs="仿宋"/>
                <w:color w:val="auto"/>
                <w:sz w:val="24"/>
                <w:szCs w:val="24"/>
                <w:highlight w:val="none"/>
                <w:lang w:eastAsia="zh-CN"/>
              </w:rPr>
              <w:t>授权代表在本单位</w:t>
            </w:r>
            <w:r>
              <w:rPr>
                <w:rFonts w:hint="eastAsia" w:ascii="仿宋" w:hAnsi="仿宋" w:eastAsia="仿宋" w:cs="仿宋"/>
                <w:color w:val="auto"/>
                <w:sz w:val="24"/>
                <w:szCs w:val="24"/>
                <w:highlight w:val="none"/>
              </w:rPr>
              <w:t>的缴纳社会保险的凭据（专用收据或社会保险缴纳清单）复印件；</w:t>
            </w:r>
          </w:p>
          <w:p>
            <w:pPr>
              <w:autoSpaceDE w:val="0"/>
              <w:autoSpaceDN w:val="0"/>
              <w:adjustRightInd w:val="0"/>
              <w:snapToGrid w:val="0"/>
              <w:spacing w:line="360" w:lineRule="auto"/>
              <w:ind w:firstLine="840" w:firstLineChars="3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是其他组织和自然人的，需要提供开标前三个月内任意一个月</w:t>
            </w:r>
            <w:r>
              <w:rPr>
                <w:rFonts w:hint="eastAsia" w:ascii="仿宋" w:hAnsi="仿宋" w:eastAsia="仿宋" w:cs="仿宋"/>
                <w:color w:val="auto"/>
                <w:sz w:val="24"/>
                <w:szCs w:val="24"/>
                <w:highlight w:val="none"/>
                <w:lang w:eastAsia="zh-CN"/>
              </w:rPr>
              <w:t>授权代表在本单位</w:t>
            </w:r>
            <w:r>
              <w:rPr>
                <w:rFonts w:hint="eastAsia" w:ascii="仿宋" w:hAnsi="仿宋" w:eastAsia="仿宋" w:cs="仿宋"/>
                <w:color w:val="auto"/>
                <w:sz w:val="24"/>
                <w:szCs w:val="24"/>
                <w:highlight w:val="none"/>
              </w:rPr>
              <w:t>的缴纳税收和社会保险的凭据。</w:t>
            </w:r>
          </w:p>
          <w:p>
            <w:pPr>
              <w:autoSpaceDE w:val="0"/>
              <w:autoSpaceDN w:val="0"/>
              <w:adjustRightInd w:val="0"/>
              <w:snapToGrid w:val="0"/>
              <w:spacing w:line="360" w:lineRule="auto"/>
              <w:ind w:firstLine="840" w:firstLineChars="3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注：依法免税或不需要缴纳社会保障资金的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，须提供相应文件证明其依法免税或不需要缴纳社会保障资金。</w:t>
            </w:r>
          </w:p>
          <w:p>
            <w:pPr>
              <w:pStyle w:val="22"/>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（5）投标人近3年内在经营活动中没有重大违法记录的声明</w:t>
            </w:r>
            <w:r>
              <w:rPr>
                <w:rFonts w:hint="eastAsia" w:ascii="仿宋" w:hAnsi="仿宋" w:eastAsia="仿宋" w:cs="仿宋"/>
                <w:color w:val="auto"/>
                <w:sz w:val="24"/>
                <w:szCs w:val="24"/>
                <w:highlight w:val="none"/>
                <w:lang w:eastAsia="zh-CN"/>
              </w:rPr>
              <w:t>及政府采购诚信承诺</w:t>
            </w:r>
            <w:r>
              <w:rPr>
                <w:rFonts w:hint="eastAsia" w:ascii="仿宋" w:hAnsi="仿宋" w:eastAsia="仿宋" w:cs="仿宋"/>
                <w:color w:val="auto"/>
                <w:sz w:val="24"/>
                <w:szCs w:val="24"/>
                <w:highlight w:val="none"/>
              </w:rPr>
              <w:t>，其中：</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重大违法记录是指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因违法经营受到刑事处罚或者责令停产停业、吊销许可证或者执照、较大数额罚款等行政处罚；</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投标人须提供参与本采购活动前三年内在经营活动中没有重大违法记录的书面声明</w:t>
            </w:r>
            <w:r>
              <w:rPr>
                <w:rFonts w:hint="eastAsia" w:ascii="仿宋" w:hAnsi="仿宋" w:eastAsia="仿宋" w:cs="仿宋"/>
                <w:color w:val="auto"/>
                <w:sz w:val="24"/>
                <w:szCs w:val="24"/>
                <w:highlight w:val="none"/>
                <w:lang w:eastAsia="zh-CN"/>
              </w:rPr>
              <w:t>及政府采购诚信承诺</w:t>
            </w:r>
            <w:r>
              <w:rPr>
                <w:rFonts w:hint="eastAsia" w:ascii="仿宋" w:hAnsi="仿宋" w:eastAsia="仿宋" w:cs="仿宋"/>
                <w:color w:val="auto"/>
                <w:sz w:val="24"/>
                <w:szCs w:val="24"/>
                <w:highlight w:val="none"/>
              </w:rPr>
              <w:t>。</w:t>
            </w:r>
          </w:p>
          <w:p>
            <w:pPr>
              <w:autoSpaceDE w:val="0"/>
              <w:autoSpaceDN w:val="0"/>
              <w:adjustRightInd w:val="0"/>
              <w:snapToGrid w:val="0"/>
              <w:spacing w:line="360" w:lineRule="auto"/>
              <w:ind w:firstLine="600" w:firstLineChars="250"/>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单位负责人为同一人或者存在直接控股、管理关系的不同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，不得参加同一包的投标或者未划分包的同一招标项目的投标，</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须提供书面声明。</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在“信用中国”（www.creditchina.gov.cn）、“中国政府采购网”（www.ccgp.gov.cn）、“信用山东”（www. creditsd.gov.cn）被列入失信被执行人、重大税收违法案件当事人名单的、政府采购严重违法失信行为记录名单（处罚期限尚未届满的）的，不得参与本项目的政府采购活动。</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依法对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的资格进行审查时，将在“信用中国”、“中国政府采购网”和“信用山东”网站上对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查询并打印查询记录，查询截止时点为：本项目投标截止期当日。对经查询被“信用中国”网站、“中国政府采购网”和“信用山东”网站被列入失信被执行人、重大税收违法案件当事人名单的、政府采购严重违法失信行为记录名单（处罚期限尚未届满的）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，其投标将按无效投标处理。</w:t>
            </w:r>
          </w:p>
          <w:p>
            <w:pPr>
              <w:pStyle w:val="2"/>
              <w:spacing w:after="0" w:line="360" w:lineRule="auto"/>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对于查询到的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失信行为事由、处理机关名称及处理日期、处理有效期间等，以屏幕截图的方式保存，查询记录仅用于本次采购活动过程中，不用于其他目的。</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（8）为采购项目提供过整体设计、规范编制或者项目管理、监理、检测等服务的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及其附属机构，不得再参加本采购项目的其他采购活动，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须提供书面声明。</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已按照招标公告要求获取了招标文件。</w:t>
            </w:r>
          </w:p>
          <w:p>
            <w:pPr>
              <w:autoSpaceDE w:val="0"/>
              <w:autoSpaceDN w:val="0"/>
              <w:adjustRightInd w:val="0"/>
              <w:snapToGrid w:val="0"/>
              <w:spacing w:line="360" w:lineRule="auto"/>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符合法律、行政法规规定的其它要求。</w:t>
            </w:r>
          </w:p>
          <w:p>
            <w:pPr>
              <w:pStyle w:val="2"/>
              <w:spacing w:line="360" w:lineRule="auto"/>
              <w:ind w:firstLine="482" w:firstLineChars="200"/>
              <w:rPr>
                <w:color w:val="auto"/>
                <w:highlight w:val="none"/>
              </w:rPr>
            </w:pPr>
            <w:r>
              <w:rPr>
                <w:rFonts w:hint="eastAsia" w:ascii="仿宋" w:hAnsi="仿宋" w:eastAsia="仿宋" w:cs="仿宋"/>
                <w:b/>
                <w:bCs/>
                <w:color w:val="auto"/>
                <w:szCs w:val="24"/>
                <w:highlight w:val="none"/>
                <w:u w:val="single"/>
              </w:rPr>
              <w:t>投标单位对提供的以上资料的真实性负责（以上材料逐页加盖公章），评标过程中</w:t>
            </w:r>
            <w:r>
              <w:rPr>
                <w:rFonts w:hint="eastAsia" w:ascii="仿宋" w:hAnsi="仿宋" w:eastAsia="仿宋" w:cs="仿宋"/>
                <w:b/>
                <w:bCs/>
                <w:color w:val="auto"/>
                <w:szCs w:val="24"/>
                <w:highlight w:val="none"/>
                <w:u w:val="single"/>
                <w:lang w:val="en-US" w:eastAsia="zh-CN"/>
              </w:rPr>
              <w:t>采购人</w:t>
            </w:r>
            <w:r>
              <w:rPr>
                <w:rFonts w:hint="eastAsia" w:ascii="仿宋" w:hAnsi="仿宋" w:eastAsia="仿宋" w:cs="仿宋"/>
                <w:b/>
                <w:bCs/>
                <w:color w:val="auto"/>
                <w:szCs w:val="24"/>
                <w:highlight w:val="none"/>
                <w:u w:val="single"/>
              </w:rPr>
              <w:t>对以上投标单位提供的资料有异议，可要求投标单位提供原件进行复核，若发现有不实之处，按</w:t>
            </w:r>
            <w:r>
              <w:rPr>
                <w:rFonts w:hint="eastAsia" w:ascii="仿宋" w:hAnsi="仿宋" w:eastAsia="仿宋" w:cs="仿宋"/>
                <w:b/>
                <w:bCs/>
                <w:color w:val="auto"/>
                <w:szCs w:val="24"/>
                <w:highlight w:val="none"/>
                <w:u w:val="single"/>
                <w:lang w:eastAsia="zh-CN"/>
              </w:rPr>
              <w:t>无效投标</w:t>
            </w:r>
            <w:r>
              <w:rPr>
                <w:rFonts w:hint="eastAsia" w:ascii="仿宋" w:hAnsi="仿宋" w:eastAsia="仿宋" w:cs="仿宋"/>
                <w:b/>
                <w:bCs/>
                <w:color w:val="auto"/>
                <w:szCs w:val="24"/>
                <w:highlight w:val="none"/>
                <w:u w:val="single"/>
              </w:rPr>
              <w:t>处理。</w:t>
            </w:r>
            <w:r>
              <w:rPr>
                <w:rFonts w:hint="eastAsia" w:ascii="仿宋" w:hAnsi="仿宋" w:eastAsia="仿宋" w:cs="仿宋"/>
                <w:b/>
                <w:bCs/>
                <w:color w:val="auto"/>
                <w:szCs w:val="24"/>
                <w:highlight w:val="none"/>
                <w:u w:val="single"/>
                <w:lang w:val="en-US" w:eastAsia="zh-CN"/>
              </w:rPr>
              <w:t>其中（1）-（8）项为必备条件</w:t>
            </w:r>
            <w:r>
              <w:rPr>
                <w:rFonts w:hint="eastAsia" w:ascii="仿宋" w:hAnsi="仿宋" w:eastAsia="仿宋" w:cs="仿宋"/>
                <w:b/>
                <w:bCs/>
                <w:color w:val="auto"/>
                <w:szCs w:val="24"/>
                <w:highlight w:val="none"/>
                <w:u w:val="single"/>
              </w:rPr>
              <w:t>，投标单位若不按要求提供则资格后审不合格。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1504" w:type="dxa"/>
            <w:vAlign w:val="center"/>
          </w:tcPr>
          <w:p>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对招标文件的疑问</w:t>
            </w:r>
          </w:p>
        </w:tc>
        <w:tc>
          <w:tcPr>
            <w:tcW w:w="7895" w:type="dxa"/>
            <w:vAlign w:val="center"/>
          </w:tcPr>
          <w:p>
            <w:pPr>
              <w:snapToGrid w:val="0"/>
              <w:spacing w:line="360" w:lineRule="auto"/>
              <w:ind w:firstLine="480" w:firstLineChars="200"/>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提交疑问时间：2021年</w:t>
            </w:r>
            <w:r>
              <w:rPr>
                <w:rFonts w:hint="eastAsia" w:ascii="仿宋" w:hAnsi="仿宋" w:eastAsia="仿宋" w:cs="仿宋"/>
                <w:snapToGrid w:val="0"/>
                <w:color w:val="auto"/>
                <w:kern w:val="0"/>
                <w:sz w:val="24"/>
                <w:highlight w:val="none"/>
                <w:lang w:val="en-US" w:eastAsia="zh-CN"/>
              </w:rPr>
              <w:t>09</w:t>
            </w:r>
            <w:r>
              <w:rPr>
                <w:rFonts w:hint="eastAsia" w:ascii="仿宋" w:hAnsi="仿宋" w:eastAsia="仿宋" w:cs="仿宋"/>
                <w:snapToGrid w:val="0"/>
                <w:color w:val="auto"/>
                <w:kern w:val="0"/>
                <w:sz w:val="24"/>
                <w:highlight w:val="none"/>
              </w:rPr>
              <w:t>月</w:t>
            </w:r>
            <w:r>
              <w:rPr>
                <w:rFonts w:hint="eastAsia" w:ascii="仿宋" w:hAnsi="仿宋" w:eastAsia="仿宋" w:cs="仿宋"/>
                <w:snapToGrid w:val="0"/>
                <w:color w:val="auto"/>
                <w:kern w:val="0"/>
                <w:sz w:val="24"/>
                <w:highlight w:val="none"/>
                <w:lang w:val="en-US" w:eastAsia="zh-CN"/>
              </w:rPr>
              <w:t>30</w:t>
            </w:r>
            <w:r>
              <w:rPr>
                <w:rFonts w:hint="eastAsia" w:ascii="仿宋" w:hAnsi="仿宋" w:eastAsia="仿宋" w:cs="仿宋"/>
                <w:snapToGrid w:val="0"/>
                <w:color w:val="auto"/>
                <w:kern w:val="0"/>
                <w:sz w:val="24"/>
                <w:highlight w:val="none"/>
              </w:rPr>
              <w:t>日1</w:t>
            </w:r>
            <w:r>
              <w:rPr>
                <w:rFonts w:hint="eastAsia" w:ascii="仿宋" w:hAnsi="仿宋" w:eastAsia="仿宋" w:cs="仿宋"/>
                <w:snapToGrid w:val="0"/>
                <w:color w:val="auto"/>
                <w:kern w:val="0"/>
                <w:sz w:val="24"/>
                <w:highlight w:val="none"/>
                <w:lang w:val="en-US" w:eastAsia="zh-CN"/>
              </w:rPr>
              <w:t>0</w:t>
            </w:r>
            <w:r>
              <w:rPr>
                <w:rFonts w:hint="eastAsia" w:ascii="仿宋" w:hAnsi="仿宋" w:eastAsia="仿宋" w:cs="仿宋"/>
                <w:snapToGrid w:val="0"/>
                <w:color w:val="auto"/>
                <w:kern w:val="0"/>
                <w:sz w:val="24"/>
                <w:highlight w:val="none"/>
              </w:rPr>
              <w:t>:30前。</w:t>
            </w:r>
          </w:p>
          <w:p>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rPr>
              <w:t>提交疑问方式：</w:t>
            </w:r>
            <w:r>
              <w:rPr>
                <w:color w:val="auto"/>
                <w:highlight w:val="none"/>
              </w:rPr>
              <w:fldChar w:fldCharType="begin"/>
            </w:r>
            <w:r>
              <w:rPr>
                <w:color w:val="auto"/>
                <w:highlight w:val="none"/>
              </w:rPr>
              <w:instrText xml:space="preserve"> HYPERLINK "mailto:发电子邮件至sdsyzb1@163.com" </w:instrText>
            </w:r>
            <w:r>
              <w:rPr>
                <w:color w:val="auto"/>
                <w:highlight w:val="none"/>
              </w:rPr>
              <w:fldChar w:fldCharType="separate"/>
            </w:r>
            <w:r>
              <w:rPr>
                <w:rStyle w:val="29"/>
                <w:rFonts w:hint="eastAsia" w:ascii="仿宋" w:hAnsi="仿宋" w:eastAsia="仿宋" w:cs="仿宋"/>
                <w:snapToGrid w:val="0"/>
                <w:color w:val="auto"/>
                <w:kern w:val="0"/>
                <w:sz w:val="24"/>
                <w:highlight w:val="none"/>
              </w:rPr>
              <w:t>发电子邮件至sdsyzb1@163.com</w:t>
            </w:r>
            <w:r>
              <w:rPr>
                <w:rStyle w:val="29"/>
                <w:rFonts w:hint="eastAsia" w:ascii="仿宋" w:hAnsi="仿宋" w:eastAsia="仿宋" w:cs="仿宋"/>
                <w:snapToGrid w:val="0"/>
                <w:color w:val="auto"/>
                <w:kern w:val="0"/>
                <w:sz w:val="24"/>
                <w:highlight w:val="none"/>
              </w:rPr>
              <w:fldChar w:fldCharType="end"/>
            </w:r>
            <w:r>
              <w:rPr>
                <w:rFonts w:hint="eastAsia" w:ascii="仿宋" w:hAnsi="仿宋" w:eastAsia="仿宋" w:cs="仿宋"/>
                <w:snapToGrid w:val="0"/>
                <w:color w:val="auto"/>
                <w:kern w:val="0"/>
                <w:sz w:val="24"/>
                <w:highlight w:val="none"/>
              </w:rPr>
              <w:t>邮箱（word文档及加盖公章的扫描件各一份）并电话通知招标代理人员（电话：0</w:t>
            </w:r>
            <w:r>
              <w:rPr>
                <w:rFonts w:ascii="仿宋" w:hAnsi="仿宋" w:eastAsia="仿宋" w:cs="仿宋"/>
                <w:snapToGrid w:val="0"/>
                <w:color w:val="auto"/>
                <w:kern w:val="0"/>
                <w:sz w:val="24"/>
                <w:highlight w:val="none"/>
              </w:rPr>
              <w:t>531</w:t>
            </w:r>
            <w:r>
              <w:rPr>
                <w:rFonts w:hint="eastAsia" w:ascii="仿宋" w:hAnsi="仿宋" w:eastAsia="仿宋" w:cs="仿宋"/>
                <w:snapToGrid w:val="0"/>
                <w:color w:val="auto"/>
                <w:kern w:val="0"/>
                <w:sz w:val="24"/>
                <w:highlight w:val="none"/>
              </w:rPr>
              <w:t>-</w:t>
            </w:r>
            <w:r>
              <w:rPr>
                <w:rFonts w:ascii="仿宋" w:hAnsi="仿宋" w:eastAsia="仿宋" w:cs="仿宋"/>
                <w:snapToGrid w:val="0"/>
                <w:color w:val="auto"/>
                <w:kern w:val="0"/>
                <w:sz w:val="24"/>
                <w:highlight w:val="none"/>
              </w:rPr>
              <w:t>5551689</w:t>
            </w:r>
            <w:r>
              <w:rPr>
                <w:rFonts w:hint="eastAsia" w:ascii="仿宋" w:hAnsi="仿宋" w:eastAsia="仿宋" w:cs="仿宋"/>
                <w:snapToGrid w:val="0"/>
                <w:color w:val="auto"/>
                <w:kern w:val="0"/>
                <w:sz w:val="24"/>
                <w:highlight w:val="none"/>
                <w:lang w:val="en-US" w:eastAsia="zh-CN"/>
              </w:rPr>
              <w:t>2</w:t>
            </w:r>
            <w:r>
              <w:rPr>
                <w:rFonts w:hint="eastAsia" w:ascii="仿宋" w:hAnsi="仿宋" w:eastAsia="仿宋" w:cs="仿宋"/>
                <w:snapToGrid w:val="0"/>
                <w:color w:val="auto"/>
                <w:kern w:val="0"/>
                <w:sz w:val="24"/>
                <w:highlight w:val="none"/>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1504" w:type="dxa"/>
            <w:vAlign w:val="center"/>
          </w:tcPr>
          <w:p>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招标文件澄清</w:t>
            </w:r>
          </w:p>
        </w:tc>
        <w:tc>
          <w:tcPr>
            <w:tcW w:w="7895" w:type="dxa"/>
            <w:vAlign w:val="center"/>
          </w:tcPr>
          <w:p>
            <w:pPr>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澄清和修改文件发送时间（如有）：</w:t>
            </w:r>
            <w:r>
              <w:rPr>
                <w:rFonts w:hint="eastAsia" w:ascii="仿宋" w:hAnsi="仿宋" w:eastAsia="仿宋" w:cs="仿宋"/>
                <w:snapToGrid w:val="0"/>
                <w:color w:val="auto"/>
                <w:kern w:val="0"/>
                <w:sz w:val="24"/>
                <w:highlight w:val="none"/>
              </w:rPr>
              <w:t>2021年</w:t>
            </w:r>
            <w:r>
              <w:rPr>
                <w:rFonts w:hint="eastAsia" w:ascii="仿宋" w:hAnsi="仿宋" w:eastAsia="仿宋" w:cs="仿宋"/>
                <w:snapToGrid w:val="0"/>
                <w:color w:val="auto"/>
                <w:kern w:val="0"/>
                <w:sz w:val="24"/>
                <w:highlight w:val="none"/>
                <w:lang w:val="en-US" w:eastAsia="zh-CN"/>
              </w:rPr>
              <w:t>09</w:t>
            </w:r>
            <w:r>
              <w:rPr>
                <w:rFonts w:hint="eastAsia" w:ascii="仿宋" w:hAnsi="仿宋" w:eastAsia="仿宋" w:cs="仿宋"/>
                <w:snapToGrid w:val="0"/>
                <w:color w:val="auto"/>
                <w:kern w:val="0"/>
                <w:sz w:val="24"/>
                <w:highlight w:val="none"/>
              </w:rPr>
              <w:t>月</w:t>
            </w:r>
            <w:r>
              <w:rPr>
                <w:rFonts w:hint="eastAsia" w:ascii="仿宋" w:hAnsi="仿宋" w:eastAsia="仿宋" w:cs="仿宋"/>
                <w:snapToGrid w:val="0"/>
                <w:color w:val="auto"/>
                <w:kern w:val="0"/>
                <w:sz w:val="24"/>
                <w:highlight w:val="none"/>
                <w:lang w:val="en-US" w:eastAsia="zh-CN"/>
              </w:rPr>
              <w:t>30</w:t>
            </w:r>
            <w:r>
              <w:rPr>
                <w:rFonts w:hint="eastAsia" w:ascii="仿宋" w:hAnsi="仿宋" w:eastAsia="仿宋" w:cs="仿宋"/>
                <w:snapToGrid w:val="0"/>
                <w:color w:val="auto"/>
                <w:kern w:val="0"/>
                <w:sz w:val="24"/>
                <w:highlight w:val="none"/>
              </w:rPr>
              <w:t>日1</w:t>
            </w:r>
            <w:r>
              <w:rPr>
                <w:rFonts w:hint="eastAsia" w:ascii="仿宋" w:hAnsi="仿宋" w:eastAsia="仿宋" w:cs="仿宋"/>
                <w:snapToGrid w:val="0"/>
                <w:color w:val="auto"/>
                <w:kern w:val="0"/>
                <w:sz w:val="24"/>
                <w:highlight w:val="none"/>
                <w:lang w:val="en-US" w:eastAsia="zh-CN"/>
              </w:rPr>
              <w:t>6</w:t>
            </w:r>
            <w:r>
              <w:rPr>
                <w:rFonts w:hint="eastAsia" w:ascii="仿宋" w:hAnsi="仿宋" w:eastAsia="仿宋" w:cs="仿宋"/>
                <w:snapToGrid w:val="0"/>
                <w:color w:val="auto"/>
                <w:kern w:val="0"/>
                <w:sz w:val="24"/>
                <w:highlight w:val="none"/>
              </w:rPr>
              <w:t>:00</w:t>
            </w:r>
            <w:r>
              <w:rPr>
                <w:rFonts w:hint="eastAsia" w:ascii="仿宋" w:hAnsi="仿宋" w:eastAsia="仿宋" w:cs="仿宋"/>
                <w:color w:val="auto"/>
                <w:sz w:val="24"/>
                <w:highlight w:val="none"/>
              </w:rPr>
              <w:t>前；</w:t>
            </w:r>
          </w:p>
          <w:p>
            <w:pPr>
              <w:pStyle w:val="2"/>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szCs w:val="24"/>
                <w:highlight w:val="none"/>
              </w:rPr>
              <w:t>澄清和修改文件发送方式：发送电子版至各</w:t>
            </w:r>
            <w:r>
              <w:rPr>
                <w:rFonts w:hint="eastAsia" w:ascii="仿宋" w:hAnsi="仿宋" w:eastAsia="仿宋" w:cs="仿宋"/>
                <w:color w:val="auto"/>
                <w:szCs w:val="24"/>
                <w:highlight w:val="none"/>
                <w:lang w:eastAsia="zh-CN"/>
              </w:rPr>
              <w:t>投标人</w:t>
            </w:r>
            <w:r>
              <w:rPr>
                <w:rFonts w:hint="eastAsia" w:ascii="仿宋" w:hAnsi="仿宋" w:eastAsia="仿宋" w:cs="仿宋"/>
                <w:b/>
                <w:bCs/>
                <w:color w:val="auto"/>
                <w:szCs w:val="24"/>
                <w:highlight w:val="none"/>
              </w:rPr>
              <w:t>预留</w:t>
            </w:r>
            <w:r>
              <w:rPr>
                <w:rFonts w:hint="eastAsia" w:ascii="仿宋" w:hAnsi="仿宋" w:eastAsia="仿宋" w:cs="仿宋"/>
                <w:color w:val="auto"/>
                <w:szCs w:val="24"/>
                <w:highlight w:val="none"/>
              </w:rPr>
              <w:t>的邮箱。</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1504" w:type="dxa"/>
            <w:vAlign w:val="center"/>
          </w:tcPr>
          <w:p>
            <w:pPr>
              <w:pStyle w:val="2"/>
              <w:spacing w:after="0" w:line="360" w:lineRule="auto"/>
              <w:jc w:val="center"/>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投标文件份数及编制要求</w:t>
            </w:r>
          </w:p>
        </w:tc>
        <w:tc>
          <w:tcPr>
            <w:tcW w:w="7895" w:type="dxa"/>
            <w:vAlign w:val="center"/>
          </w:tcPr>
          <w:p>
            <w:pPr>
              <w:pStyle w:val="2"/>
              <w:adjustRightInd w:val="0"/>
              <w:snapToGrid w:val="0"/>
              <w:spacing w:after="0" w:line="360" w:lineRule="auto"/>
              <w:ind w:firstLine="600" w:firstLineChars="250"/>
              <w:rPr>
                <w:rFonts w:ascii="仿宋" w:hAnsi="仿宋" w:eastAsia="仿宋" w:cs="仿宋"/>
                <w:bCs/>
                <w:snapToGrid w:val="0"/>
                <w:color w:val="auto"/>
                <w:szCs w:val="24"/>
                <w:highlight w:val="none"/>
              </w:rPr>
            </w:pPr>
            <w:r>
              <w:rPr>
                <w:rFonts w:hint="eastAsia" w:ascii="仿宋" w:hAnsi="仿宋" w:eastAsia="仿宋" w:cs="仿宋"/>
                <w:bCs/>
                <w:snapToGrid w:val="0"/>
                <w:color w:val="auto"/>
                <w:szCs w:val="24"/>
                <w:highlight w:val="none"/>
              </w:rPr>
              <w:t>纸质投标文件</w:t>
            </w:r>
            <w:r>
              <w:rPr>
                <w:rFonts w:hint="eastAsia" w:ascii="仿宋" w:hAnsi="仿宋" w:eastAsia="仿宋" w:cs="仿宋"/>
                <w:bCs/>
                <w:snapToGrid w:val="0"/>
                <w:color w:val="auto"/>
                <w:szCs w:val="24"/>
                <w:highlight w:val="none"/>
                <w:u w:val="single"/>
              </w:rPr>
              <w:t>5</w:t>
            </w:r>
            <w:r>
              <w:rPr>
                <w:rFonts w:hint="eastAsia" w:ascii="仿宋" w:hAnsi="仿宋" w:eastAsia="仿宋" w:cs="仿宋"/>
                <w:bCs/>
                <w:snapToGrid w:val="0"/>
                <w:color w:val="auto"/>
                <w:szCs w:val="24"/>
                <w:highlight w:val="none"/>
              </w:rPr>
              <w:t>份，其中正本</w:t>
            </w:r>
            <w:r>
              <w:rPr>
                <w:rFonts w:hint="eastAsia" w:ascii="仿宋" w:hAnsi="仿宋" w:eastAsia="仿宋" w:cs="仿宋"/>
                <w:bCs/>
                <w:snapToGrid w:val="0"/>
                <w:color w:val="auto"/>
                <w:szCs w:val="24"/>
                <w:highlight w:val="none"/>
                <w:u w:val="single"/>
              </w:rPr>
              <w:t>1</w:t>
            </w:r>
            <w:r>
              <w:rPr>
                <w:rFonts w:hint="eastAsia" w:ascii="仿宋" w:hAnsi="仿宋" w:eastAsia="仿宋" w:cs="仿宋"/>
                <w:bCs/>
                <w:snapToGrid w:val="0"/>
                <w:color w:val="auto"/>
                <w:szCs w:val="24"/>
                <w:highlight w:val="none"/>
              </w:rPr>
              <w:t>份和副本</w:t>
            </w:r>
            <w:r>
              <w:rPr>
                <w:rFonts w:hint="eastAsia" w:ascii="仿宋" w:hAnsi="仿宋" w:eastAsia="仿宋" w:cs="仿宋"/>
                <w:bCs/>
                <w:snapToGrid w:val="0"/>
                <w:color w:val="auto"/>
                <w:szCs w:val="24"/>
                <w:highlight w:val="none"/>
                <w:u w:val="single"/>
              </w:rPr>
              <w:t>4</w:t>
            </w:r>
            <w:r>
              <w:rPr>
                <w:rFonts w:hint="eastAsia" w:ascii="仿宋" w:hAnsi="仿宋" w:eastAsia="仿宋" w:cs="仿宋"/>
                <w:bCs/>
                <w:snapToGrid w:val="0"/>
                <w:color w:val="auto"/>
                <w:szCs w:val="24"/>
                <w:highlight w:val="none"/>
              </w:rPr>
              <w:t>份；</w:t>
            </w:r>
          </w:p>
          <w:p>
            <w:pPr>
              <w:pStyle w:val="2"/>
              <w:adjustRightInd w:val="0"/>
              <w:snapToGrid w:val="0"/>
              <w:spacing w:after="0" w:line="360" w:lineRule="auto"/>
              <w:ind w:firstLine="600" w:firstLineChars="250"/>
              <w:rPr>
                <w:rFonts w:ascii="仿宋" w:hAnsi="仿宋" w:eastAsia="仿宋" w:cs="仿宋"/>
                <w:bCs/>
                <w:snapToGrid w:val="0"/>
                <w:color w:val="auto"/>
                <w:szCs w:val="24"/>
                <w:highlight w:val="none"/>
              </w:rPr>
            </w:pPr>
            <w:r>
              <w:rPr>
                <w:rFonts w:hint="eastAsia" w:ascii="仿宋" w:hAnsi="仿宋" w:eastAsia="仿宋" w:cs="仿宋"/>
                <w:bCs/>
                <w:snapToGrid w:val="0"/>
                <w:color w:val="auto"/>
                <w:szCs w:val="24"/>
                <w:highlight w:val="none"/>
              </w:rPr>
              <w:t>USB接口设备存储的电子版投标文件</w:t>
            </w:r>
            <w:r>
              <w:rPr>
                <w:rFonts w:hint="eastAsia" w:ascii="仿宋" w:hAnsi="仿宋" w:eastAsia="仿宋" w:cs="仿宋"/>
                <w:bCs/>
                <w:snapToGrid w:val="0"/>
                <w:color w:val="auto"/>
                <w:szCs w:val="24"/>
                <w:highlight w:val="none"/>
                <w:u w:val="single"/>
              </w:rPr>
              <w:t>1</w:t>
            </w:r>
            <w:r>
              <w:rPr>
                <w:rFonts w:hint="eastAsia" w:ascii="仿宋" w:hAnsi="仿宋" w:eastAsia="仿宋" w:cs="仿宋"/>
                <w:bCs/>
                <w:snapToGrid w:val="0"/>
                <w:color w:val="auto"/>
                <w:szCs w:val="24"/>
                <w:highlight w:val="none"/>
              </w:rPr>
              <w:t>份；开标一览表一式</w:t>
            </w:r>
            <w:r>
              <w:rPr>
                <w:rFonts w:hint="eastAsia" w:ascii="仿宋" w:hAnsi="仿宋" w:eastAsia="仿宋" w:cs="仿宋"/>
                <w:bCs/>
                <w:snapToGrid w:val="0"/>
                <w:color w:val="auto"/>
                <w:szCs w:val="24"/>
                <w:highlight w:val="none"/>
                <w:u w:val="single"/>
                <w:lang w:val="en-US" w:eastAsia="zh-CN"/>
              </w:rPr>
              <w:t>3</w:t>
            </w:r>
            <w:r>
              <w:rPr>
                <w:rFonts w:hint="eastAsia" w:ascii="仿宋" w:hAnsi="仿宋" w:eastAsia="仿宋" w:cs="仿宋"/>
                <w:bCs/>
                <w:snapToGrid w:val="0"/>
                <w:color w:val="auto"/>
                <w:szCs w:val="24"/>
                <w:highlight w:val="none"/>
              </w:rPr>
              <w:t>份。</w:t>
            </w:r>
          </w:p>
          <w:p>
            <w:pPr>
              <w:pStyle w:val="2"/>
              <w:adjustRightInd w:val="0"/>
              <w:snapToGrid w:val="0"/>
              <w:spacing w:after="0" w:line="360" w:lineRule="auto"/>
              <w:ind w:firstLine="600" w:firstLineChars="250"/>
              <w:rPr>
                <w:rFonts w:ascii="仿宋" w:hAnsi="仿宋" w:eastAsia="仿宋" w:cs="仿宋"/>
                <w:snapToGrid w:val="0"/>
                <w:color w:val="auto"/>
                <w:szCs w:val="24"/>
                <w:highlight w:val="none"/>
              </w:rPr>
            </w:pPr>
            <w:r>
              <w:rPr>
                <w:rFonts w:hint="eastAsia" w:ascii="仿宋" w:hAnsi="仿宋" w:eastAsia="仿宋" w:cs="仿宋"/>
                <w:snapToGrid w:val="0"/>
                <w:color w:val="auto"/>
                <w:szCs w:val="24"/>
                <w:highlight w:val="none"/>
              </w:rPr>
              <w:t>注：</w:t>
            </w:r>
          </w:p>
          <w:p>
            <w:pPr>
              <w:pStyle w:val="2"/>
              <w:adjustRightInd w:val="0"/>
              <w:snapToGrid w:val="0"/>
              <w:spacing w:after="0" w:line="360" w:lineRule="auto"/>
              <w:ind w:firstLine="600" w:firstLineChars="250"/>
              <w:rPr>
                <w:rFonts w:ascii="仿宋" w:hAnsi="仿宋" w:eastAsia="仿宋" w:cs="仿宋"/>
                <w:snapToGrid w:val="0"/>
                <w:color w:val="auto"/>
                <w:szCs w:val="24"/>
                <w:highlight w:val="none"/>
              </w:rPr>
            </w:pPr>
            <w:r>
              <w:rPr>
                <w:rFonts w:hint="eastAsia" w:ascii="仿宋" w:hAnsi="仿宋" w:eastAsia="仿宋" w:cs="仿宋"/>
                <w:snapToGrid w:val="0"/>
                <w:color w:val="auto"/>
                <w:szCs w:val="24"/>
                <w:highlight w:val="none"/>
              </w:rPr>
              <w:t>1）纸质投标文件建议双面打印，胶装成册，</w:t>
            </w:r>
            <w:r>
              <w:rPr>
                <w:rFonts w:hint="eastAsia" w:ascii="仿宋" w:hAnsi="仿宋" w:eastAsia="仿宋" w:cs="仿宋"/>
                <w:snapToGrid w:val="0"/>
                <w:color w:val="auto"/>
                <w:szCs w:val="24"/>
                <w:highlight w:val="none"/>
                <w:lang w:eastAsia="zh-CN"/>
              </w:rPr>
              <w:t>编制目录，</w:t>
            </w:r>
            <w:r>
              <w:rPr>
                <w:rFonts w:hint="eastAsia" w:ascii="仿宋" w:hAnsi="仿宋" w:eastAsia="仿宋" w:cs="仿宋"/>
                <w:snapToGrid w:val="0"/>
                <w:color w:val="auto"/>
                <w:szCs w:val="24"/>
                <w:highlight w:val="none"/>
              </w:rPr>
              <w:t>每页均应标注页码；</w:t>
            </w:r>
            <w:r>
              <w:rPr>
                <w:rFonts w:hint="eastAsia" w:ascii="仿宋" w:hAnsi="仿宋" w:eastAsia="仿宋" w:cs="仿宋"/>
                <w:color w:val="auto"/>
                <w:highlight w:val="none"/>
              </w:rPr>
              <w:t>投标文件封装背脊打印：“</w:t>
            </w:r>
            <w:r>
              <w:rPr>
                <w:rFonts w:hint="eastAsia" w:ascii="仿宋" w:hAnsi="仿宋" w:eastAsia="仿宋" w:cs="仿宋"/>
                <w:color w:val="auto"/>
                <w:highlight w:val="none"/>
                <w:u w:val="single"/>
              </w:rPr>
              <w:t xml:space="preserve">项目名称+包号及包号名称+投标单位名称 </w:t>
            </w:r>
            <w:r>
              <w:rPr>
                <w:rFonts w:hint="eastAsia" w:ascii="仿宋" w:hAnsi="仿宋" w:eastAsia="仿宋" w:cs="仿宋"/>
                <w:color w:val="auto"/>
                <w:highlight w:val="none"/>
              </w:rPr>
              <w:t>投标文件”</w:t>
            </w:r>
          </w:p>
          <w:p>
            <w:pPr>
              <w:pStyle w:val="2"/>
              <w:adjustRightInd w:val="0"/>
              <w:snapToGrid w:val="0"/>
              <w:spacing w:after="0" w:line="360" w:lineRule="auto"/>
              <w:ind w:firstLine="600" w:firstLineChars="250"/>
              <w:rPr>
                <w:rFonts w:ascii="仿宋" w:hAnsi="仿宋" w:eastAsia="仿宋" w:cs="仿宋"/>
                <w:bCs/>
                <w:snapToGrid w:val="0"/>
                <w:color w:val="auto"/>
                <w:szCs w:val="24"/>
                <w:highlight w:val="none"/>
              </w:rPr>
            </w:pPr>
            <w:r>
              <w:rPr>
                <w:rFonts w:hint="eastAsia" w:ascii="仿宋" w:hAnsi="仿宋" w:eastAsia="仿宋" w:cs="仿宋"/>
                <w:snapToGrid w:val="0"/>
                <w:color w:val="auto"/>
                <w:szCs w:val="24"/>
                <w:highlight w:val="none"/>
              </w:rPr>
              <w:t>2）电子版内容应与正本投标文件内容一致；</w:t>
            </w:r>
            <w:r>
              <w:rPr>
                <w:rFonts w:hint="eastAsia" w:ascii="仿宋" w:hAnsi="仿宋" w:eastAsia="仿宋" w:cs="仿宋"/>
                <w:color w:val="auto"/>
                <w:kern w:val="2"/>
                <w:szCs w:val="24"/>
                <w:highlight w:val="none"/>
              </w:rPr>
              <w:t>电子版内容应包含投标文件的全部商务、报价、技术内容及技术资料，其中有英文资料的还应提供中、英文对照文本。</w:t>
            </w:r>
          </w:p>
          <w:p>
            <w:pPr>
              <w:pStyle w:val="2"/>
              <w:adjustRightInd w:val="0"/>
              <w:snapToGrid w:val="0"/>
              <w:spacing w:after="0" w:line="360" w:lineRule="auto"/>
              <w:ind w:firstLine="602" w:firstLineChars="250"/>
              <w:rPr>
                <w:rFonts w:ascii="仿宋" w:hAnsi="仿宋" w:eastAsia="仿宋" w:cs="仿宋"/>
                <w:color w:val="auto"/>
                <w:kern w:val="2"/>
                <w:szCs w:val="24"/>
                <w:highlight w:val="none"/>
              </w:rPr>
            </w:pPr>
            <w:r>
              <w:rPr>
                <w:rFonts w:hint="eastAsia" w:ascii="仿宋" w:hAnsi="仿宋" w:eastAsia="仿宋" w:cs="仿宋"/>
                <w:b/>
                <w:bCs/>
                <w:snapToGrid w:val="0"/>
                <w:color w:val="auto"/>
                <w:szCs w:val="24"/>
                <w:highlight w:val="none"/>
              </w:rPr>
              <w:t>如</w:t>
            </w:r>
            <w:r>
              <w:rPr>
                <w:rFonts w:hint="eastAsia" w:ascii="仿宋" w:hAnsi="仿宋" w:eastAsia="仿宋" w:cs="仿宋"/>
                <w:b/>
                <w:bCs/>
                <w:snapToGrid w:val="0"/>
                <w:color w:val="auto"/>
                <w:szCs w:val="24"/>
                <w:highlight w:val="none"/>
                <w:lang w:eastAsia="zh-CN"/>
              </w:rPr>
              <w:t>投标人</w:t>
            </w:r>
            <w:r>
              <w:rPr>
                <w:rFonts w:hint="eastAsia" w:ascii="仿宋" w:hAnsi="仿宋" w:eastAsia="仿宋" w:cs="仿宋"/>
                <w:b/>
                <w:bCs/>
                <w:snapToGrid w:val="0"/>
                <w:color w:val="auto"/>
                <w:szCs w:val="24"/>
                <w:highlight w:val="none"/>
              </w:rPr>
              <w:t>对多个包进行投标响应，</w:t>
            </w:r>
            <w:r>
              <w:rPr>
                <w:rFonts w:hint="eastAsia" w:ascii="仿宋" w:hAnsi="仿宋" w:eastAsia="仿宋" w:cs="仿宋"/>
                <w:b/>
                <w:bCs/>
                <w:snapToGrid w:val="0"/>
                <w:color w:val="auto"/>
                <w:szCs w:val="24"/>
                <w:highlight w:val="none"/>
                <w:lang w:eastAsia="zh-CN"/>
              </w:rPr>
              <w:t>投标人</w:t>
            </w:r>
            <w:r>
              <w:rPr>
                <w:rFonts w:hint="eastAsia" w:ascii="仿宋" w:hAnsi="仿宋" w:eastAsia="仿宋" w:cs="仿宋"/>
                <w:b/>
                <w:bCs/>
                <w:snapToGrid w:val="0"/>
                <w:color w:val="auto"/>
                <w:szCs w:val="24"/>
                <w:highlight w:val="none"/>
              </w:rPr>
              <w:t>必须将所投各包的投标文件分别编制，并在封套注明所投包号及包号名称。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投标文件密封和标记</w:t>
            </w:r>
          </w:p>
        </w:tc>
        <w:tc>
          <w:tcPr>
            <w:tcW w:w="7895" w:type="dxa"/>
            <w:vAlign w:val="center"/>
          </w:tcPr>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应将投标文件正本、副本、电子版及开标一览表密封，并在封套明显处注明以下内容：</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1) 项目编号、项目名称、包号 </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 正本或副本或电子版或开标一览表</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3) </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b/>
                <w:color w:val="auto"/>
                <w:sz w:val="24"/>
                <w:highlight w:val="none"/>
              </w:rPr>
              <w:t>（加盖公章）</w:t>
            </w:r>
            <w:r>
              <w:rPr>
                <w:rFonts w:hint="eastAsia" w:ascii="仿宋" w:hAnsi="仿宋" w:eastAsia="仿宋" w:cs="仿宋"/>
                <w:color w:val="auto"/>
                <w:sz w:val="24"/>
                <w:highlight w:val="none"/>
              </w:rPr>
              <w:t>、地址、电话</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4）每一密封件在封口处注明“于20__年__月__日时之前不准启封”字样。</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注：单包所有副本密封在一个包封内即可。</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1504" w:type="dxa"/>
            <w:vAlign w:val="center"/>
          </w:tcPr>
          <w:p>
            <w:pPr>
              <w:pStyle w:val="2"/>
              <w:spacing w:after="0" w:line="360" w:lineRule="auto"/>
              <w:jc w:val="center"/>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投标文件的签署</w:t>
            </w:r>
          </w:p>
        </w:tc>
        <w:tc>
          <w:tcPr>
            <w:tcW w:w="7895" w:type="dxa"/>
            <w:vAlign w:val="center"/>
          </w:tcPr>
          <w:p>
            <w:pPr>
              <w:pStyle w:val="2"/>
              <w:spacing w:after="0" w:line="360" w:lineRule="auto"/>
              <w:ind w:firstLine="602" w:firstLineChars="250"/>
              <w:rPr>
                <w:rFonts w:ascii="仿宋" w:hAnsi="仿宋" w:eastAsia="仿宋" w:cs="仿宋"/>
                <w:color w:val="auto"/>
                <w:kern w:val="2"/>
                <w:szCs w:val="24"/>
                <w:highlight w:val="none"/>
              </w:rPr>
            </w:pPr>
            <w:r>
              <w:rPr>
                <w:rFonts w:hint="eastAsia" w:ascii="仿宋" w:hAnsi="仿宋" w:eastAsia="仿宋" w:cs="仿宋"/>
                <w:b/>
                <w:bCs/>
                <w:color w:val="auto"/>
                <w:szCs w:val="24"/>
                <w:highlight w:val="none"/>
              </w:rPr>
              <w:t>投标函、开标一览表以及招标文件格式要求中注明需盖章的资料</w:t>
            </w:r>
            <w:r>
              <w:rPr>
                <w:rFonts w:hint="eastAsia" w:ascii="仿宋" w:hAnsi="仿宋" w:eastAsia="仿宋" w:cs="仿宋"/>
                <w:color w:val="auto"/>
                <w:szCs w:val="24"/>
                <w:highlight w:val="none"/>
              </w:rPr>
              <w:t>均应按要求签署。</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17"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11</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7895" w:type="dxa"/>
            <w:vAlign w:val="center"/>
          </w:tcPr>
          <w:p>
            <w:pPr>
              <w:pStyle w:val="2"/>
              <w:ind w:firstLine="482" w:firstLineChars="200"/>
              <w:rPr>
                <w:rFonts w:ascii="仿宋" w:hAnsi="仿宋" w:eastAsia="仿宋" w:cs="仿宋"/>
                <w:b/>
                <w:color w:val="auto"/>
                <w:highlight w:val="none"/>
              </w:rPr>
            </w:pPr>
            <w:r>
              <w:rPr>
                <w:rFonts w:hint="eastAsia" w:ascii="仿宋" w:hAnsi="仿宋" w:eastAsia="仿宋" w:cs="仿宋"/>
                <w:b/>
                <w:bCs/>
                <w:snapToGrid w:val="0"/>
                <w:color w:val="auto"/>
                <w:highlight w:val="none"/>
              </w:rPr>
              <w:t>本次投标对信用良好的投标人不收取保证金。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43"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12</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7895" w:type="dxa"/>
            <w:vAlign w:val="center"/>
          </w:tcPr>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自投标截止之日起</w:t>
            </w:r>
            <w:r>
              <w:rPr>
                <w:rFonts w:hint="eastAsia" w:ascii="仿宋" w:hAnsi="仿宋" w:eastAsia="仿宋" w:cs="仿宋"/>
                <w:color w:val="auto"/>
                <w:sz w:val="24"/>
                <w:highlight w:val="none"/>
                <w:u w:val="single"/>
                <w:lang w:val="en-US" w:eastAsia="zh-CN"/>
              </w:rPr>
              <w:t>120</w:t>
            </w:r>
            <w:r>
              <w:rPr>
                <w:rFonts w:hint="eastAsia" w:ascii="仿宋" w:hAnsi="仿宋" w:eastAsia="仿宋" w:cs="仿宋"/>
                <w:color w:val="auto"/>
                <w:sz w:val="24"/>
                <w:highlight w:val="none"/>
              </w:rPr>
              <w:t>日历天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49"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13</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开标时间、开标地点</w:t>
            </w:r>
          </w:p>
        </w:tc>
        <w:tc>
          <w:tcPr>
            <w:tcW w:w="7895" w:type="dxa"/>
            <w:vAlign w:val="center"/>
          </w:tcPr>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lang w:eastAsia="zh-CN"/>
              </w:rPr>
              <w:t>：</w:t>
            </w:r>
            <w:r>
              <w:rPr>
                <w:rFonts w:hint="eastAsia" w:ascii="仿宋" w:hAnsi="仿宋" w:eastAsia="仿宋" w:cs="仿宋"/>
                <w:snapToGrid w:val="0"/>
                <w:color w:val="auto"/>
                <w:kern w:val="0"/>
                <w:sz w:val="24"/>
                <w:highlight w:val="none"/>
              </w:rPr>
              <w:t>2021年</w:t>
            </w:r>
            <w:r>
              <w:rPr>
                <w:rFonts w:hint="eastAsia" w:ascii="仿宋" w:hAnsi="仿宋" w:eastAsia="仿宋" w:cs="仿宋"/>
                <w:snapToGrid w:val="0"/>
                <w:color w:val="auto"/>
                <w:kern w:val="0"/>
                <w:sz w:val="24"/>
                <w:highlight w:val="none"/>
                <w:lang w:val="en-US" w:eastAsia="zh-CN"/>
              </w:rPr>
              <w:t>10</w:t>
            </w:r>
            <w:r>
              <w:rPr>
                <w:rFonts w:hint="eastAsia" w:ascii="仿宋" w:hAnsi="仿宋" w:eastAsia="仿宋" w:cs="仿宋"/>
                <w:snapToGrid w:val="0"/>
                <w:color w:val="auto"/>
                <w:kern w:val="0"/>
                <w:sz w:val="24"/>
                <w:highlight w:val="none"/>
              </w:rPr>
              <w:t>月</w:t>
            </w:r>
            <w:r>
              <w:rPr>
                <w:rFonts w:hint="eastAsia" w:ascii="仿宋" w:hAnsi="仿宋" w:eastAsia="仿宋" w:cs="仿宋"/>
                <w:snapToGrid w:val="0"/>
                <w:color w:val="auto"/>
                <w:kern w:val="0"/>
                <w:sz w:val="24"/>
                <w:highlight w:val="none"/>
                <w:lang w:val="en-US" w:eastAsia="zh-CN"/>
              </w:rPr>
              <w:t>19</w:t>
            </w:r>
            <w:r>
              <w:rPr>
                <w:rFonts w:hint="eastAsia" w:ascii="仿宋" w:hAnsi="仿宋" w:eastAsia="仿宋" w:cs="仿宋"/>
                <w:snapToGrid w:val="0"/>
                <w:color w:val="auto"/>
                <w:kern w:val="0"/>
                <w:sz w:val="24"/>
                <w:highlight w:val="none"/>
              </w:rPr>
              <w:t>日09点</w:t>
            </w:r>
            <w:r>
              <w:rPr>
                <w:rFonts w:hint="eastAsia" w:ascii="仿宋" w:hAnsi="仿宋" w:eastAsia="仿宋" w:cs="仿宋"/>
                <w:snapToGrid w:val="0"/>
                <w:color w:val="auto"/>
                <w:kern w:val="0"/>
                <w:sz w:val="24"/>
                <w:highlight w:val="none"/>
                <w:lang w:val="en-US" w:eastAsia="zh-CN"/>
              </w:rPr>
              <w:t>0</w:t>
            </w:r>
            <w:r>
              <w:rPr>
                <w:rFonts w:hint="eastAsia" w:ascii="仿宋" w:hAnsi="仿宋" w:eastAsia="仿宋" w:cs="仿宋"/>
                <w:snapToGrid w:val="0"/>
                <w:color w:val="auto"/>
                <w:kern w:val="0"/>
                <w:sz w:val="24"/>
                <w:highlight w:val="none"/>
              </w:rPr>
              <w:t>0分</w:t>
            </w:r>
            <w:r>
              <w:rPr>
                <w:rFonts w:hint="eastAsia" w:ascii="仿宋" w:hAnsi="仿宋" w:eastAsia="仿宋" w:cs="仿宋"/>
                <w:snapToGrid w:val="0"/>
                <w:color w:val="auto"/>
                <w:kern w:val="0"/>
                <w:sz w:val="24"/>
                <w:highlight w:val="none"/>
                <w:lang w:eastAsia="zh-CN"/>
              </w:rPr>
              <w:t>至</w:t>
            </w:r>
            <w:r>
              <w:rPr>
                <w:rFonts w:hint="eastAsia" w:ascii="仿宋" w:hAnsi="仿宋" w:eastAsia="仿宋" w:cs="仿宋"/>
                <w:snapToGrid w:val="0"/>
                <w:color w:val="auto"/>
                <w:kern w:val="0"/>
                <w:sz w:val="24"/>
                <w:highlight w:val="none"/>
              </w:rPr>
              <w:t>09点30分（北京时间）</w:t>
            </w:r>
            <w:r>
              <w:rPr>
                <w:rFonts w:hint="eastAsia" w:ascii="仿宋" w:hAnsi="仿宋" w:eastAsia="仿宋" w:cs="仿宋"/>
                <w:color w:val="auto"/>
                <w:sz w:val="24"/>
                <w:highlight w:val="none"/>
              </w:rPr>
              <w:t>；</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地点：山东省济南市高新区舜华南路汉峪金谷A2地块4号楼24层开标厅；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058"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14</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投标文件递交</w:t>
            </w:r>
          </w:p>
        </w:tc>
        <w:tc>
          <w:tcPr>
            <w:tcW w:w="7895" w:type="dxa"/>
            <w:vAlign w:val="center"/>
          </w:tcPr>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投标文件递交时间：</w:t>
            </w:r>
            <w:r>
              <w:rPr>
                <w:rFonts w:hint="eastAsia" w:ascii="仿宋" w:hAnsi="仿宋" w:eastAsia="仿宋" w:cs="仿宋"/>
                <w:color w:val="auto"/>
                <w:sz w:val="24"/>
                <w:highlight w:val="none"/>
                <w:lang w:eastAsia="zh-CN"/>
              </w:rPr>
              <w:t>同</w:t>
            </w:r>
            <w:r>
              <w:rPr>
                <w:rFonts w:hint="eastAsia" w:ascii="仿宋" w:hAnsi="仿宋" w:eastAsia="仿宋" w:cs="仿宋"/>
                <w:color w:val="auto"/>
                <w:sz w:val="24"/>
                <w:highlight w:val="none"/>
              </w:rPr>
              <w:t>开标时间；</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投标文件递交地点：同</w:t>
            </w:r>
            <w:r>
              <w:rPr>
                <w:rFonts w:hint="eastAsia" w:ascii="仿宋" w:hAnsi="仿宋" w:eastAsia="仿宋" w:cs="仿宋"/>
                <w:color w:val="auto"/>
                <w:sz w:val="24"/>
                <w:highlight w:val="none"/>
                <w:lang w:eastAsia="zh-CN"/>
              </w:rPr>
              <w:t>开标</w:t>
            </w:r>
            <w:r>
              <w:rPr>
                <w:rFonts w:hint="eastAsia" w:ascii="仿宋" w:hAnsi="仿宋" w:eastAsia="仿宋" w:cs="仿宋"/>
                <w:color w:val="auto"/>
                <w:sz w:val="24"/>
                <w:highlight w:val="none"/>
              </w:rPr>
              <w:t>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719"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15</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用于评分的证明材料</w:t>
            </w:r>
          </w:p>
          <w:p>
            <w:pPr>
              <w:spacing w:line="360" w:lineRule="auto"/>
              <w:ind w:firstLine="523" w:firstLineChars="218"/>
              <w:jc w:val="center"/>
              <w:rPr>
                <w:rFonts w:ascii="仿宋" w:hAnsi="仿宋" w:eastAsia="仿宋" w:cs="仿宋"/>
                <w:color w:val="auto"/>
                <w:sz w:val="24"/>
                <w:highlight w:val="none"/>
              </w:rPr>
            </w:pPr>
          </w:p>
        </w:tc>
        <w:tc>
          <w:tcPr>
            <w:tcW w:w="7895" w:type="dxa"/>
            <w:vAlign w:val="center"/>
          </w:tcPr>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1)执行政府采购优惠政策的有效的证明材料（如有）：</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①《中小企业声明函》；</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② 省级以上监狱管理局、戒毒管理局（含新疆生产建设兵团）出具的属于监狱企业的证明文件；</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③《残疾人福利性单位声明函》；</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kern w:val="0"/>
                <w:sz w:val="24"/>
                <w:highlight w:val="none"/>
              </w:rPr>
              <w:fldChar w:fldCharType="begin"/>
            </w:r>
            <w:r>
              <w:rPr>
                <w:rFonts w:hint="eastAsia" w:ascii="仿宋" w:hAnsi="仿宋" w:eastAsia="仿宋" w:cs="仿宋"/>
                <w:color w:val="auto"/>
                <w:kern w:val="0"/>
                <w:sz w:val="24"/>
                <w:highlight w:val="none"/>
              </w:rPr>
              <w:instrText xml:space="preserve"> = 4 \* GB3 </w:instrText>
            </w:r>
            <w:r>
              <w:rPr>
                <w:rFonts w:hint="eastAsia" w:ascii="仿宋" w:hAnsi="仿宋" w:eastAsia="仿宋" w:cs="仿宋"/>
                <w:color w:val="auto"/>
                <w:kern w:val="0"/>
                <w:sz w:val="24"/>
                <w:highlight w:val="none"/>
              </w:rPr>
              <w:fldChar w:fldCharType="separate"/>
            </w:r>
            <w:r>
              <w:rPr>
                <w:rFonts w:hint="eastAsia" w:ascii="仿宋" w:hAnsi="仿宋" w:eastAsia="仿宋" w:cs="仿宋"/>
                <w:color w:val="auto"/>
                <w:kern w:val="0"/>
                <w:sz w:val="24"/>
                <w:highlight w:val="none"/>
              </w:rPr>
              <w:t>④</w:t>
            </w:r>
            <w:r>
              <w:rPr>
                <w:rFonts w:hint="eastAsia" w:ascii="仿宋" w:hAnsi="仿宋" w:eastAsia="仿宋" w:cs="仿宋"/>
                <w:color w:val="auto"/>
                <w:kern w:val="0"/>
                <w:sz w:val="24"/>
                <w:highlight w:val="none"/>
              </w:rPr>
              <w:fldChar w:fldCharType="end"/>
            </w:r>
            <w:r>
              <w:rPr>
                <w:rFonts w:hint="eastAsia" w:ascii="仿宋" w:hAnsi="仿宋" w:eastAsia="仿宋" w:cs="仿宋"/>
                <w:color w:val="auto"/>
                <w:sz w:val="24"/>
                <w:highlight w:val="none"/>
              </w:rPr>
              <w:t>《国家节能产品认证证书》、《中国环境标志产品认证证书》。</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2)提供评分办法涉及的业绩合同、信誉或荣誉证书、获奖证书等证明材料（详见评分办法）。</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16</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年份要求</w:t>
            </w:r>
          </w:p>
        </w:tc>
        <w:tc>
          <w:tcPr>
            <w:tcW w:w="7895" w:type="dxa"/>
            <w:vAlign w:val="center"/>
          </w:tcPr>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 xml:space="preserve">财务状况年份要求：2020年； </w:t>
            </w:r>
          </w:p>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color w:val="auto"/>
                <w:sz w:val="24"/>
                <w:highlight w:val="none"/>
              </w:rPr>
              <w:t>近三年：2018年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月1日至今；</w:t>
            </w:r>
          </w:p>
          <w:p>
            <w:pPr>
              <w:spacing w:line="360" w:lineRule="auto"/>
              <w:ind w:firstLine="523" w:firstLineChars="218"/>
              <w:rPr>
                <w:rFonts w:ascii="仿宋" w:hAnsi="仿宋" w:eastAsia="仿宋" w:cs="仿宋"/>
                <w:color w:val="auto"/>
                <w:highlight w:val="none"/>
              </w:rPr>
            </w:pPr>
            <w:r>
              <w:rPr>
                <w:rFonts w:hint="eastAsia" w:ascii="仿宋" w:hAnsi="仿宋" w:eastAsia="仿宋" w:cs="仿宋"/>
                <w:color w:val="auto"/>
                <w:sz w:val="24"/>
                <w:highlight w:val="none"/>
              </w:rPr>
              <w:t>如成立时间较短的</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，可提供成立至今的相关证明材料。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17</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评标委员会组成</w:t>
            </w:r>
          </w:p>
        </w:tc>
        <w:tc>
          <w:tcPr>
            <w:tcW w:w="7895" w:type="dxa"/>
            <w:vAlign w:val="center"/>
          </w:tcPr>
          <w:p>
            <w:pPr>
              <w:spacing w:line="360" w:lineRule="auto"/>
              <w:ind w:firstLine="523" w:firstLineChars="218"/>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rPr>
              <w:t>根据本项目的特点组建评标委员会，其成员由有关评审专家和</w:t>
            </w:r>
            <w:r>
              <w:rPr>
                <w:rFonts w:hint="eastAsia" w:ascii="仿宋" w:hAnsi="仿宋" w:eastAsia="仿宋" w:cs="仿宋"/>
                <w:snapToGrid w:val="0"/>
                <w:color w:val="auto"/>
                <w:kern w:val="0"/>
                <w:sz w:val="24"/>
                <w:highlight w:val="none"/>
                <w:lang w:eastAsia="zh-CN"/>
              </w:rPr>
              <w:t>采购人</w:t>
            </w:r>
            <w:r>
              <w:rPr>
                <w:rFonts w:hint="eastAsia" w:ascii="仿宋" w:hAnsi="仿宋" w:eastAsia="仿宋" w:cs="仿宋"/>
                <w:snapToGrid w:val="0"/>
                <w:color w:val="auto"/>
                <w:kern w:val="0"/>
                <w:sz w:val="24"/>
                <w:highlight w:val="none"/>
              </w:rPr>
              <w:t>代表等五人或以上单数组成，其中评审专家不得少于成员总数的三分之二</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18</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评标方法</w:t>
            </w:r>
          </w:p>
        </w:tc>
        <w:tc>
          <w:tcPr>
            <w:tcW w:w="7895" w:type="dxa"/>
            <w:vAlign w:val="center"/>
          </w:tcPr>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本次评标采用综合评分法，评标委员会成员根据第三章“评分办法”进行打分，按照得分由高到低顺序对各</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进行排序，提出书面评标报告，推荐中标候选人</w:t>
            </w:r>
            <w:r>
              <w:rPr>
                <w:rFonts w:hint="eastAsia" w:ascii="仿宋" w:hAnsi="仿宋" w:eastAsia="仿宋" w:cs="仿宋"/>
                <w:color w:val="auto"/>
                <w:sz w:val="24"/>
                <w:highlight w:val="none"/>
                <w:lang w:eastAsia="zh-CN"/>
              </w:rPr>
              <w:t>名单或</w:t>
            </w:r>
            <w:r>
              <w:rPr>
                <w:rFonts w:hint="eastAsia" w:ascii="仿宋" w:hAnsi="仿宋" w:eastAsia="仿宋" w:cs="仿宋"/>
                <w:color w:val="auto"/>
                <w:sz w:val="24"/>
                <w:highlight w:val="none"/>
              </w:rPr>
              <w:t>经采购人委托直接确定的中标人。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19</w:t>
            </w:r>
          </w:p>
        </w:tc>
        <w:tc>
          <w:tcPr>
            <w:tcW w:w="1504"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7895" w:type="dxa"/>
            <w:vAlign w:val="center"/>
          </w:tcPr>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否，评标委员会每包推荐3名中标候选人，由</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依法确定中标人；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20</w:t>
            </w:r>
          </w:p>
        </w:tc>
        <w:tc>
          <w:tcPr>
            <w:tcW w:w="1504" w:type="dxa"/>
            <w:vAlign w:val="center"/>
          </w:tcPr>
          <w:p>
            <w:pPr>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相关费用</w:t>
            </w:r>
          </w:p>
        </w:tc>
        <w:tc>
          <w:tcPr>
            <w:tcW w:w="7895" w:type="dxa"/>
            <w:vAlign w:val="center"/>
          </w:tcPr>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中标服务费：</w:t>
            </w:r>
          </w:p>
          <w:p>
            <w:pPr>
              <w:spacing w:line="360" w:lineRule="auto"/>
              <w:ind w:firstLine="523" w:firstLineChars="218"/>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本项目中标服务费按差额累进法计算计取，具体计算办法见后附表。中标服务费由中标人支付</w:t>
            </w:r>
            <w:r>
              <w:rPr>
                <w:rFonts w:hint="eastAsia" w:ascii="仿宋" w:hAnsi="仿宋" w:eastAsia="仿宋" w:cs="仿宋"/>
                <w:snapToGrid w:val="0"/>
                <w:color w:val="auto"/>
                <w:kern w:val="0"/>
                <w:highlight w:val="none"/>
              </w:rPr>
              <w:t>。</w:t>
            </w:r>
          </w:p>
          <w:p>
            <w:pPr>
              <w:spacing w:line="360" w:lineRule="auto"/>
              <w:ind w:firstLine="523" w:firstLineChars="218"/>
              <w:rPr>
                <w:rFonts w:ascii="仿宋" w:hAnsi="仿宋" w:eastAsia="仿宋" w:cs="仿宋"/>
                <w:color w:val="auto"/>
                <w:kern w:val="0"/>
                <w:sz w:val="24"/>
                <w:highlight w:val="none"/>
              </w:rPr>
            </w:pPr>
            <w:r>
              <w:rPr>
                <w:rFonts w:hint="eastAsia" w:ascii="仿宋" w:hAnsi="仿宋" w:eastAsia="仿宋" w:cs="仿宋"/>
                <w:snapToGrid w:val="0"/>
                <w:color w:val="auto"/>
                <w:kern w:val="0"/>
                <w:sz w:val="24"/>
                <w:highlight w:val="none"/>
              </w:rPr>
              <w:t>见证费：</w:t>
            </w:r>
            <w:r>
              <w:rPr>
                <w:rFonts w:hint="eastAsia" w:ascii="仿宋" w:hAnsi="仿宋" w:eastAsia="仿宋" w:cs="仿宋"/>
                <w:snapToGrid w:val="0"/>
                <w:color w:val="auto"/>
                <w:kern w:val="0"/>
                <w:sz w:val="24"/>
                <w:highlight w:val="none"/>
                <w:lang w:eastAsia="zh-CN"/>
              </w:rPr>
              <w:t>每包</w:t>
            </w:r>
            <w:r>
              <w:rPr>
                <w:rFonts w:hint="eastAsia" w:ascii="仿宋" w:hAnsi="仿宋" w:eastAsia="仿宋" w:cs="仿宋"/>
                <w:snapToGrid w:val="0"/>
                <w:color w:val="auto"/>
                <w:kern w:val="0"/>
                <w:sz w:val="24"/>
                <w:highlight w:val="none"/>
              </w:rPr>
              <w:t>中标人按1‰向见证单位交纳，见证费如不足500元，按500元交纳，上限5000元。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97" w:hRule="atLeast"/>
          <w:jc w:val="center"/>
        </w:trPr>
        <w:tc>
          <w:tcPr>
            <w:tcW w:w="619" w:type="dxa"/>
            <w:tcBorders>
              <w:right w:val="single" w:color="auto" w:sz="4" w:space="0"/>
            </w:tcBorders>
            <w:vAlign w:val="center"/>
          </w:tcPr>
          <w:p>
            <w:pPr>
              <w:spacing w:line="360" w:lineRule="auto"/>
              <w:jc w:val="center"/>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21</w:t>
            </w:r>
          </w:p>
        </w:tc>
        <w:tc>
          <w:tcPr>
            <w:tcW w:w="1504" w:type="dxa"/>
            <w:tcBorders>
              <w:right w:val="single" w:color="auto" w:sz="4" w:space="0"/>
            </w:tcBorders>
            <w:vAlign w:val="center"/>
          </w:tcPr>
          <w:p>
            <w:pPr>
              <w:spacing w:line="360" w:lineRule="auto"/>
              <w:jc w:val="center"/>
              <w:rPr>
                <w:rFonts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t>履约保证金</w:t>
            </w:r>
          </w:p>
        </w:tc>
        <w:tc>
          <w:tcPr>
            <w:tcW w:w="7895" w:type="dxa"/>
            <w:tcBorders>
              <w:left w:val="single" w:color="auto" w:sz="4" w:space="0"/>
            </w:tcBorders>
            <w:vAlign w:val="center"/>
          </w:tcPr>
          <w:p>
            <w:pPr>
              <w:spacing w:line="360" w:lineRule="auto"/>
              <w:ind w:firstLine="523" w:firstLineChars="218"/>
              <w:rPr>
                <w:rFonts w:hint="eastAsia" w:ascii="仿宋" w:hAnsi="仿宋" w:eastAsia="仿宋" w:cs="仿宋"/>
                <w:snapToGrid w:val="0"/>
                <w:color w:val="auto"/>
                <w:kern w:val="0"/>
                <w:sz w:val="24"/>
                <w:highlight w:val="none"/>
              </w:rPr>
            </w:pPr>
            <w:r>
              <w:rPr>
                <w:rFonts w:hint="eastAsia" w:ascii="仿宋" w:hAnsi="仿宋" w:eastAsia="仿宋" w:cs="仿宋"/>
                <w:snapToGrid w:val="0"/>
                <w:color w:val="auto"/>
                <w:kern w:val="0"/>
                <w:sz w:val="24"/>
                <w:highlight w:val="none"/>
              </w:rPr>
              <w:sym w:font="Wingdings 2" w:char="0052"/>
            </w:r>
            <w:r>
              <w:rPr>
                <w:rFonts w:hint="eastAsia" w:ascii="仿宋" w:hAnsi="仿宋" w:eastAsia="仿宋" w:cs="仿宋"/>
                <w:snapToGrid w:val="0"/>
                <w:color w:val="auto"/>
                <w:kern w:val="0"/>
                <w:sz w:val="24"/>
                <w:highlight w:val="none"/>
              </w:rPr>
              <w:t>不需要</w:t>
            </w:r>
          </w:p>
          <w:p>
            <w:pPr>
              <w:spacing w:line="360" w:lineRule="auto"/>
              <w:ind w:firstLine="523" w:firstLineChars="218"/>
              <w:rPr>
                <w:rFonts w:hint="default" w:ascii="仿宋" w:hAnsi="仿宋" w:eastAsia="仿宋" w:cs="仿宋"/>
                <w:snapToGrid w:val="0"/>
                <w:color w:val="auto"/>
                <w:kern w:val="0"/>
                <w:sz w:val="24"/>
                <w:highlight w:val="none"/>
                <w:lang w:val="en-US" w:eastAsia="zh-CN"/>
              </w:rPr>
            </w:pPr>
            <w:r>
              <w:rPr>
                <w:rFonts w:hint="eastAsia" w:ascii="仿宋" w:hAnsi="仿宋" w:eastAsia="仿宋" w:cs="仿宋"/>
                <w:snapToGrid w:val="0"/>
                <w:color w:val="auto"/>
                <w:kern w:val="0"/>
                <w:sz w:val="24"/>
                <w:highlight w:val="none"/>
              </w:rPr>
              <w:sym w:font="Wingdings 2" w:char="00A3"/>
            </w:r>
            <w:r>
              <w:rPr>
                <w:rFonts w:hint="eastAsia" w:ascii="仿宋" w:hAnsi="仿宋" w:eastAsia="仿宋" w:cs="仿宋"/>
                <w:snapToGrid w:val="0"/>
                <w:color w:val="auto"/>
                <w:kern w:val="0"/>
                <w:sz w:val="24"/>
                <w:highlight w:val="none"/>
              </w:rPr>
              <w:t>需要</w:t>
            </w:r>
            <w:r>
              <w:rPr>
                <w:rFonts w:hint="eastAsia" w:ascii="仿宋" w:hAnsi="仿宋" w:eastAsia="仿宋" w:cs="仿宋"/>
                <w:snapToGrid w:val="0"/>
                <w:color w:val="auto"/>
                <w:kern w:val="0"/>
                <w:sz w:val="24"/>
                <w:highlight w:val="none"/>
                <w:lang w:val="en-US" w:eastAsia="zh-CN"/>
              </w:rPr>
              <w:t xml:space="preserve">    </w:t>
            </w:r>
            <w:r>
              <w:rPr>
                <w:rFonts w:hint="eastAsia" w:ascii="仿宋" w:hAnsi="仿宋" w:eastAsia="仿宋" w:cs="仿宋"/>
                <w:snapToGrid w:val="0"/>
                <w:color w:val="auto"/>
                <w:kern w:val="0"/>
                <w:sz w:val="24"/>
                <w:highlight w:val="none"/>
              </w:rPr>
              <w:t>履约保证金</w:t>
            </w:r>
            <w:r>
              <w:rPr>
                <w:rFonts w:hint="eastAsia" w:ascii="仿宋" w:hAnsi="仿宋" w:eastAsia="仿宋" w:cs="仿宋"/>
                <w:snapToGrid w:val="0"/>
                <w:color w:val="auto"/>
                <w:kern w:val="0"/>
                <w:sz w:val="24"/>
                <w:highlight w:val="none"/>
                <w:lang w:eastAsia="zh-CN"/>
              </w:rPr>
              <w:t>金额：</w:t>
            </w:r>
            <w:r>
              <w:rPr>
                <w:rFonts w:hint="eastAsia" w:ascii="仿宋" w:hAnsi="仿宋" w:eastAsia="仿宋" w:cs="仿宋"/>
                <w:snapToGrid w:val="0"/>
                <w:color w:val="auto"/>
                <w:kern w:val="0"/>
                <w:sz w:val="24"/>
                <w:highlight w:val="none"/>
                <w:lang w:val="en-US" w:eastAsia="zh-CN"/>
              </w:rPr>
              <w:t xml:space="preserve">    形式：  </w:t>
            </w:r>
          </w:p>
          <w:p>
            <w:pPr>
              <w:spacing w:line="360" w:lineRule="auto"/>
              <w:ind w:firstLine="1720" w:firstLineChars="717"/>
              <w:rPr>
                <w:rFonts w:hint="default" w:ascii="仿宋" w:hAnsi="仿宋" w:eastAsia="仿宋" w:cs="仿宋"/>
                <w:snapToGrid w:val="0"/>
                <w:color w:val="auto"/>
                <w:kern w:val="0"/>
                <w:sz w:val="24"/>
                <w:highlight w:val="none"/>
                <w:lang w:val="en-US" w:eastAsia="zh-CN"/>
              </w:rPr>
            </w:pPr>
            <w:r>
              <w:rPr>
                <w:rFonts w:hint="eastAsia" w:ascii="仿宋" w:hAnsi="仿宋" w:eastAsia="仿宋" w:cs="仿宋"/>
                <w:snapToGrid w:val="0"/>
                <w:color w:val="auto"/>
                <w:kern w:val="0"/>
                <w:sz w:val="24"/>
                <w:highlight w:val="none"/>
                <w:lang w:val="en-US" w:eastAsia="zh-CN"/>
              </w:rPr>
              <w:t xml:space="preserve">退还时间：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97" w:hRule="atLeast"/>
          <w:jc w:val="center"/>
        </w:trPr>
        <w:tc>
          <w:tcPr>
            <w:tcW w:w="10018" w:type="dxa"/>
            <w:gridSpan w:val="3"/>
            <w:vAlign w:val="center"/>
          </w:tcPr>
          <w:p>
            <w:pPr>
              <w:spacing w:line="276" w:lineRule="auto"/>
              <w:ind w:left="420" w:hanging="420" w:hangingChars="15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其他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22</w:t>
            </w:r>
          </w:p>
        </w:tc>
        <w:tc>
          <w:tcPr>
            <w:tcW w:w="1504" w:type="dxa"/>
            <w:tcBorders>
              <w:right w:val="single" w:color="auto" w:sz="4" w:space="0"/>
            </w:tcBorders>
            <w:vAlign w:val="center"/>
          </w:tcPr>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供货</w:t>
            </w:r>
            <w:r>
              <w:rPr>
                <w:rFonts w:hint="eastAsia" w:ascii="仿宋" w:hAnsi="仿宋" w:eastAsia="仿宋" w:cs="仿宋"/>
                <w:b/>
                <w:bCs/>
                <w:color w:val="auto"/>
                <w:sz w:val="24"/>
                <w:highlight w:val="none"/>
              </w:rPr>
              <w:t>时间</w:t>
            </w:r>
          </w:p>
        </w:tc>
        <w:tc>
          <w:tcPr>
            <w:tcW w:w="7895" w:type="dxa"/>
            <w:tcBorders>
              <w:left w:val="single" w:color="auto" w:sz="4" w:space="0"/>
            </w:tcBorders>
            <w:vAlign w:val="center"/>
          </w:tcPr>
          <w:p>
            <w:pPr>
              <w:spacing w:line="360" w:lineRule="auto"/>
              <w:ind w:firstLine="482" w:firstLineChars="200"/>
              <w:jc w:val="both"/>
              <w:rPr>
                <w:rFonts w:hint="eastAsia" w:eastAsia="仿宋"/>
                <w:color w:val="auto"/>
                <w:highlight w:val="none"/>
                <w:lang w:eastAsia="zh-CN"/>
              </w:rPr>
            </w:pPr>
            <w:r>
              <w:rPr>
                <w:rFonts w:hint="eastAsia" w:ascii="仿宋" w:hAnsi="仿宋" w:eastAsia="仿宋" w:cs="仿宋"/>
                <w:b/>
                <w:bCs/>
                <w:snapToGrid w:val="0"/>
                <w:color w:val="auto"/>
                <w:kern w:val="0"/>
                <w:sz w:val="24"/>
                <w:highlight w:val="none"/>
                <w:lang w:val="en-US" w:eastAsia="zh-CN"/>
              </w:rPr>
              <w:t>1-4包供货期：</w:t>
            </w:r>
            <w:r>
              <w:rPr>
                <w:rFonts w:hint="eastAsia" w:ascii="仿宋" w:hAnsi="仿宋" w:eastAsia="仿宋" w:cs="仿宋"/>
                <w:b/>
                <w:bCs/>
                <w:snapToGrid w:val="0"/>
                <w:color w:val="auto"/>
                <w:kern w:val="0"/>
                <w:sz w:val="24"/>
                <w:highlight w:val="none"/>
              </w:rPr>
              <w:t>合同签订之日起</w:t>
            </w:r>
            <w:r>
              <w:rPr>
                <w:rFonts w:hint="eastAsia" w:ascii="仿宋" w:hAnsi="仿宋" w:eastAsia="仿宋" w:cs="仿宋"/>
                <w:b/>
                <w:bCs/>
                <w:snapToGrid w:val="0"/>
                <w:color w:val="auto"/>
                <w:kern w:val="0"/>
                <w:sz w:val="24"/>
                <w:highlight w:val="none"/>
                <w:lang w:val="en-US" w:eastAsia="zh-CN"/>
              </w:rPr>
              <w:t>3个月</w:t>
            </w:r>
            <w:r>
              <w:rPr>
                <w:rFonts w:hint="eastAsia" w:ascii="仿宋" w:hAnsi="仿宋" w:eastAsia="仿宋" w:cs="仿宋"/>
                <w:b/>
                <w:bCs/>
                <w:snapToGrid w:val="0"/>
                <w:color w:val="auto"/>
                <w:kern w:val="0"/>
                <w:sz w:val="24"/>
                <w:highlight w:val="none"/>
              </w:rPr>
              <w:t>内按</w:t>
            </w:r>
            <w:r>
              <w:rPr>
                <w:rFonts w:hint="eastAsia" w:ascii="仿宋" w:hAnsi="仿宋" w:eastAsia="仿宋" w:cs="仿宋"/>
                <w:b/>
                <w:bCs/>
                <w:snapToGrid w:val="0"/>
                <w:color w:val="auto"/>
                <w:kern w:val="0"/>
                <w:sz w:val="24"/>
                <w:highlight w:val="none"/>
                <w:lang w:eastAsia="zh-CN"/>
              </w:rPr>
              <w:t>采购人</w:t>
            </w:r>
            <w:r>
              <w:rPr>
                <w:rFonts w:hint="eastAsia" w:ascii="仿宋" w:hAnsi="仿宋" w:eastAsia="仿宋" w:cs="仿宋"/>
                <w:b/>
                <w:bCs/>
                <w:snapToGrid w:val="0"/>
                <w:color w:val="auto"/>
                <w:kern w:val="0"/>
                <w:sz w:val="24"/>
                <w:highlight w:val="none"/>
              </w:rPr>
              <w:t>要求完成供货</w:t>
            </w:r>
            <w:r>
              <w:rPr>
                <w:rFonts w:hint="eastAsia" w:ascii="仿宋" w:hAnsi="仿宋" w:eastAsia="仿宋" w:cs="仿宋"/>
                <w:b/>
                <w:bCs/>
                <w:snapToGrid w:val="0"/>
                <w:color w:val="auto"/>
                <w:kern w:val="0"/>
                <w:sz w:val="24"/>
                <w:highlight w:val="none"/>
                <w:lang w:eastAsia="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23</w:t>
            </w:r>
          </w:p>
        </w:tc>
        <w:tc>
          <w:tcPr>
            <w:tcW w:w="1504" w:type="dxa"/>
            <w:tcBorders>
              <w:right w:val="single" w:color="auto" w:sz="4" w:space="0"/>
            </w:tcBorders>
            <w:vAlign w:val="center"/>
          </w:tcPr>
          <w:p>
            <w:pPr>
              <w:spacing w:line="360" w:lineRule="auto"/>
              <w:jc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质保期</w:t>
            </w:r>
          </w:p>
        </w:tc>
        <w:tc>
          <w:tcPr>
            <w:tcW w:w="7895" w:type="dxa"/>
            <w:tcBorders>
              <w:left w:val="single" w:color="auto" w:sz="4" w:space="0"/>
            </w:tcBorders>
            <w:vAlign w:val="center"/>
          </w:tcPr>
          <w:p>
            <w:pPr>
              <w:spacing w:line="360" w:lineRule="auto"/>
              <w:ind w:firstLine="482" w:firstLineChars="200"/>
              <w:jc w:val="both"/>
              <w:rPr>
                <w:rFonts w:hint="eastAsia" w:ascii="仿宋" w:hAnsi="仿宋" w:eastAsia="仿宋" w:cs="仿宋"/>
                <w:b/>
                <w:bCs/>
                <w:snapToGrid w:val="0"/>
                <w:color w:val="auto"/>
                <w:kern w:val="0"/>
                <w:sz w:val="24"/>
                <w:highlight w:val="none"/>
                <w:lang w:val="en-US" w:eastAsia="zh-CN"/>
              </w:rPr>
            </w:pPr>
            <w:r>
              <w:rPr>
                <w:rFonts w:hint="eastAsia" w:ascii="仿宋" w:hAnsi="仿宋" w:eastAsia="仿宋" w:cs="仿宋"/>
                <w:b/>
                <w:bCs/>
                <w:snapToGrid w:val="0"/>
                <w:color w:val="auto"/>
                <w:kern w:val="0"/>
                <w:sz w:val="24"/>
                <w:highlight w:val="none"/>
                <w:lang w:val="en-US" w:eastAsia="zh-CN"/>
              </w:rPr>
              <w:t>1-4包质保期：</w:t>
            </w:r>
            <w:r>
              <w:rPr>
                <w:rFonts w:hint="eastAsia" w:ascii="仿宋" w:hAnsi="仿宋" w:eastAsia="仿宋" w:cs="仿宋"/>
                <w:b/>
                <w:bCs/>
                <w:snapToGrid w:val="0"/>
                <w:color w:val="auto"/>
                <w:kern w:val="0"/>
                <w:sz w:val="24"/>
                <w:highlight w:val="none"/>
              </w:rPr>
              <w:t>合同签订之日起</w:t>
            </w:r>
            <w:r>
              <w:rPr>
                <w:rFonts w:hint="eastAsia" w:ascii="仿宋" w:hAnsi="仿宋" w:eastAsia="仿宋" w:cs="仿宋"/>
                <w:b/>
                <w:bCs/>
                <w:snapToGrid w:val="0"/>
                <w:color w:val="auto"/>
                <w:kern w:val="0"/>
                <w:sz w:val="24"/>
                <w:highlight w:val="none"/>
                <w:lang w:val="en-US" w:eastAsia="zh-CN"/>
              </w:rPr>
              <w:t>不少于三年，投标人可自行竞报</w:t>
            </w:r>
            <w:r>
              <w:rPr>
                <w:rFonts w:hint="eastAsia" w:ascii="仿宋" w:hAnsi="仿宋" w:eastAsia="仿宋" w:cs="仿宋"/>
                <w:b/>
                <w:bCs/>
                <w:snapToGrid w:val="0"/>
                <w:color w:val="auto"/>
                <w:kern w:val="0"/>
                <w:sz w:val="24"/>
                <w:highlight w:val="none"/>
                <w:lang w:eastAsia="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tcBorders>
              <w:right w:val="single" w:color="auto" w:sz="4" w:space="0"/>
            </w:tcBorders>
            <w:vAlign w:val="center"/>
          </w:tcPr>
          <w:p>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4</w:t>
            </w:r>
          </w:p>
        </w:tc>
        <w:tc>
          <w:tcPr>
            <w:tcW w:w="1504" w:type="dxa"/>
            <w:tcBorders>
              <w:right w:val="single" w:color="auto" w:sz="4" w:space="0"/>
            </w:tcBorders>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7895" w:type="dxa"/>
            <w:tcBorders>
              <w:left w:val="single" w:color="auto" w:sz="4" w:space="0"/>
            </w:tcBorders>
            <w:vAlign w:val="center"/>
          </w:tcPr>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合同签订后预付合同金额的30％ 作为预付款，供货完成验收合格后付至合同金额的95％，剩余5％作为质保金，于质保期满两年后无质量问题一次性付清。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5</w:t>
            </w:r>
          </w:p>
        </w:tc>
        <w:tc>
          <w:tcPr>
            <w:tcW w:w="1504" w:type="dxa"/>
            <w:tcBorders>
              <w:right w:val="single" w:color="auto" w:sz="4" w:space="0"/>
            </w:tcBorders>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是否统一踏勘现场</w:t>
            </w:r>
          </w:p>
        </w:tc>
        <w:tc>
          <w:tcPr>
            <w:tcW w:w="7895" w:type="dxa"/>
            <w:tcBorders>
              <w:left w:val="single" w:color="auto" w:sz="4" w:space="0"/>
            </w:tcBorders>
            <w:vAlign w:val="center"/>
          </w:tcPr>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本项目不统一踏勘现场。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6</w:t>
            </w:r>
          </w:p>
        </w:tc>
        <w:tc>
          <w:tcPr>
            <w:tcW w:w="1504" w:type="dxa"/>
            <w:tcBorders>
              <w:right w:val="single" w:color="auto" w:sz="4" w:space="0"/>
            </w:tcBorders>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择标顺序</w:t>
            </w:r>
          </w:p>
        </w:tc>
        <w:tc>
          <w:tcPr>
            <w:tcW w:w="7895" w:type="dxa"/>
            <w:tcBorders>
              <w:left w:val="single" w:color="auto" w:sz="4" w:space="0"/>
            </w:tcBorders>
            <w:vAlign w:val="center"/>
          </w:tcPr>
          <w:p>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若</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在所投多个包中同时排名第一，则按照</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自报的择标顺序进行推荐，其他包不再推荐为中标候选人。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7</w:t>
            </w:r>
          </w:p>
        </w:tc>
        <w:tc>
          <w:tcPr>
            <w:tcW w:w="9399" w:type="dxa"/>
            <w:gridSpan w:val="2"/>
            <w:vAlign w:val="center"/>
          </w:tcPr>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说明</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招标文件各章节中，有加粗的文字，表示是重要的内容，应引起</w:t>
            </w:r>
            <w:r>
              <w:rPr>
                <w:rFonts w:hint="eastAsia" w:ascii="仿宋" w:hAnsi="仿宋" w:eastAsia="仿宋" w:cs="仿宋"/>
                <w:b/>
                <w:bCs/>
                <w:color w:val="auto"/>
                <w:sz w:val="24"/>
                <w:highlight w:val="none"/>
                <w:lang w:eastAsia="zh-CN"/>
              </w:rPr>
              <w:t>投标人</w:t>
            </w:r>
            <w:r>
              <w:rPr>
                <w:rFonts w:hint="eastAsia" w:ascii="仿宋" w:hAnsi="仿宋" w:eastAsia="仿宋" w:cs="仿宋"/>
                <w:b/>
                <w:bCs/>
                <w:color w:val="auto"/>
                <w:sz w:val="24"/>
                <w:highlight w:val="none"/>
              </w:rPr>
              <w:t>的注意。</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28</w:t>
            </w:r>
          </w:p>
        </w:tc>
        <w:tc>
          <w:tcPr>
            <w:tcW w:w="9399" w:type="dxa"/>
            <w:gridSpan w:val="2"/>
            <w:vAlign w:val="center"/>
          </w:tcPr>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应派熟知本项目的技术人员出席开标会议，评标过程中评标委员会可能会要求</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代表进行答疑和澄清。</w:t>
            </w:r>
          </w:p>
        </w:tc>
      </w:tr>
    </w:tbl>
    <w:p>
      <w:pPr>
        <w:spacing w:line="360" w:lineRule="auto"/>
        <w:rPr>
          <w:rFonts w:ascii="仿宋" w:hAnsi="仿宋" w:eastAsia="仿宋" w:cs="仿宋"/>
          <w:color w:val="auto"/>
          <w:sz w:val="24"/>
          <w:highlight w:val="none"/>
        </w:rPr>
      </w:pPr>
      <w:bookmarkStart w:id="37" w:name="_Toc346372875"/>
      <w:r>
        <w:rPr>
          <w:rFonts w:hint="eastAsia" w:ascii="仿宋" w:hAnsi="仿宋" w:eastAsia="仿宋" w:cs="仿宋"/>
          <w:color w:val="auto"/>
          <w:sz w:val="24"/>
          <w:highlight w:val="none"/>
        </w:rPr>
        <w:t>附表：</w:t>
      </w:r>
    </w:p>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采购代理服务费收费标准</w:t>
      </w:r>
    </w:p>
    <w:tbl>
      <w:tblPr>
        <w:tblStyle w:val="2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1"/>
        <w:gridCol w:w="2602"/>
        <w:gridCol w:w="2010"/>
        <w:gridCol w:w="1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3521" w:type="dxa"/>
            <w:tcBorders>
              <w:tl2br w:val="single" w:color="auto" w:sz="2" w:space="0"/>
            </w:tcBorders>
            <w:vAlign w:val="center"/>
          </w:tcPr>
          <w:p>
            <w:pPr>
              <w:widowControl/>
              <w:spacing w:line="360" w:lineRule="auto"/>
              <w:jc w:val="right"/>
              <w:rPr>
                <w:rFonts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代理服务类型</w:t>
            </w:r>
          </w:p>
          <w:p>
            <w:pPr>
              <w:widowControl/>
              <w:spacing w:line="360" w:lineRule="auto"/>
              <w:jc w:val="left"/>
              <w:rPr>
                <w:rFonts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中标（成交）</w:t>
            </w:r>
          </w:p>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bCs/>
                <w:color w:val="auto"/>
                <w:kern w:val="0"/>
                <w:sz w:val="24"/>
                <w:highlight w:val="none"/>
              </w:rPr>
              <w:t>金额（万元）</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bCs/>
                <w:color w:val="auto"/>
                <w:kern w:val="0"/>
                <w:sz w:val="24"/>
                <w:highlight w:val="none"/>
              </w:rPr>
              <w:t>货物采购</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bCs/>
                <w:color w:val="auto"/>
                <w:kern w:val="0"/>
                <w:sz w:val="24"/>
                <w:highlight w:val="none"/>
              </w:rPr>
              <w:t>服务采购</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bCs/>
                <w:color w:val="auto"/>
                <w:kern w:val="0"/>
                <w:sz w:val="24"/>
                <w:highlight w:val="none"/>
              </w:rPr>
              <w:t>工程采购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100以下</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1.5％</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1.5％</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100—500</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1.1％</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0.8％</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500—1000</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0.8％</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0.45％</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1000—5000</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0.5％</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0.25％</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5000—10000</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0.25％</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0.1％</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10000—100000</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0.05％</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0.05％</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21" w:type="dxa"/>
            <w:vAlign w:val="center"/>
          </w:tcPr>
          <w:p>
            <w:pPr>
              <w:widowControl/>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100000以上</w:t>
            </w:r>
          </w:p>
        </w:tc>
        <w:tc>
          <w:tcPr>
            <w:tcW w:w="2602"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0.01％</w:t>
            </w:r>
          </w:p>
        </w:tc>
        <w:tc>
          <w:tcPr>
            <w:tcW w:w="2010"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0.01％</w:t>
            </w:r>
          </w:p>
        </w:tc>
        <w:tc>
          <w:tcPr>
            <w:tcW w:w="1851" w:type="dxa"/>
            <w:vAlign w:val="center"/>
          </w:tcPr>
          <w:p>
            <w:pPr>
              <w:widowControl/>
              <w:spacing w:line="360" w:lineRule="auto"/>
              <w:jc w:val="center"/>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0.01％</w:t>
            </w:r>
          </w:p>
        </w:tc>
      </w:tr>
      <w:bookmarkEnd w:id="37"/>
    </w:tbl>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r>
    </w:p>
    <w:p>
      <w:pPr>
        <w:pStyle w:val="7"/>
        <w:tabs>
          <w:tab w:val="left" w:pos="780"/>
          <w:tab w:val="left" w:pos="1146"/>
        </w:tabs>
        <w:spacing w:line="360" w:lineRule="auto"/>
        <w:ind w:left="571" w:leftChars="272" w:firstLine="2" w:firstLineChars="0"/>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lang w:eastAsia="zh-CN"/>
        </w:rPr>
        <w:t>投标人</w:t>
      </w:r>
      <w:r>
        <w:rPr>
          <w:rFonts w:hint="eastAsia" w:ascii="仿宋" w:hAnsi="仿宋" w:eastAsia="仿宋" w:cs="仿宋"/>
          <w:b/>
          <w:color w:val="auto"/>
          <w:sz w:val="30"/>
          <w:szCs w:val="30"/>
          <w:highlight w:val="none"/>
        </w:rPr>
        <w:t>须知正文</w:t>
      </w:r>
    </w:p>
    <w:p>
      <w:pPr>
        <w:pStyle w:val="5"/>
        <w:spacing w:before="120" w:after="120" w:line="360" w:lineRule="auto"/>
        <w:ind w:firstLine="516" w:firstLineChars="214"/>
        <w:rPr>
          <w:rFonts w:ascii="仿宋" w:hAnsi="仿宋" w:eastAsia="仿宋" w:cs="仿宋"/>
          <w:color w:val="auto"/>
          <w:szCs w:val="24"/>
          <w:highlight w:val="none"/>
        </w:rPr>
      </w:pPr>
      <w:bookmarkStart w:id="38" w:name="_Toc10417"/>
      <w:r>
        <w:rPr>
          <w:rFonts w:hint="eastAsia" w:ascii="仿宋" w:hAnsi="仿宋" w:eastAsia="仿宋" w:cs="仿宋"/>
          <w:color w:val="auto"/>
          <w:szCs w:val="24"/>
          <w:highlight w:val="none"/>
        </w:rPr>
        <w:t>一、说明</w:t>
      </w:r>
      <w:bookmarkEnd w:id="38"/>
    </w:p>
    <w:p>
      <w:pPr>
        <w:pStyle w:val="2"/>
        <w:tabs>
          <w:tab w:val="left" w:pos="955"/>
        </w:tabs>
        <w:spacing w:after="0" w:line="360" w:lineRule="auto"/>
        <w:ind w:left="1146" w:leftChars="273" w:hanging="573" w:hangingChars="238"/>
        <w:rPr>
          <w:rFonts w:hint="eastAsia" w:ascii="仿宋" w:hAnsi="仿宋" w:eastAsia="仿宋" w:cs="仿宋"/>
          <w:b/>
          <w:color w:val="auto"/>
          <w:highlight w:val="none"/>
          <w:lang w:eastAsia="zh-CN"/>
        </w:rPr>
      </w:pPr>
      <w:bookmarkStart w:id="39" w:name="_Toc346372877"/>
      <w:bookmarkStart w:id="40" w:name="_Toc346306730"/>
      <w:bookmarkStart w:id="41" w:name="_Toc352332851"/>
      <w:r>
        <w:rPr>
          <w:rFonts w:hint="eastAsia" w:ascii="仿宋" w:hAnsi="仿宋" w:eastAsia="仿宋" w:cs="仿宋"/>
          <w:b/>
          <w:color w:val="auto"/>
          <w:highlight w:val="none"/>
        </w:rPr>
        <w:t xml:space="preserve">1.   </w:t>
      </w:r>
      <w:bookmarkEnd w:id="39"/>
      <w:bookmarkEnd w:id="40"/>
      <w:bookmarkEnd w:id="41"/>
      <w:r>
        <w:rPr>
          <w:rFonts w:hint="eastAsia" w:ascii="仿宋" w:hAnsi="仿宋" w:eastAsia="仿宋" w:cs="仿宋"/>
          <w:b/>
          <w:color w:val="auto"/>
          <w:highlight w:val="none"/>
          <w:lang w:eastAsia="zh-CN"/>
        </w:rPr>
        <w:t>采购人</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详见</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须知前附表。</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42" w:name="_Toc352332852"/>
      <w:bookmarkStart w:id="43" w:name="_Toc346306731"/>
      <w:bookmarkStart w:id="44" w:name="_Toc346372878"/>
      <w:r>
        <w:rPr>
          <w:rFonts w:hint="eastAsia" w:ascii="仿宋" w:hAnsi="仿宋" w:eastAsia="仿宋" w:cs="仿宋"/>
          <w:b/>
          <w:color w:val="auto"/>
          <w:highlight w:val="none"/>
        </w:rPr>
        <w:t xml:space="preserve">2.   </w:t>
      </w:r>
      <w:bookmarkEnd w:id="42"/>
      <w:bookmarkEnd w:id="43"/>
      <w:bookmarkEnd w:id="44"/>
      <w:r>
        <w:rPr>
          <w:rFonts w:hint="eastAsia" w:ascii="仿宋" w:hAnsi="仿宋" w:eastAsia="仿宋" w:cs="仿宋"/>
          <w:b/>
          <w:color w:val="auto"/>
          <w:highlight w:val="none"/>
        </w:rPr>
        <w:t>代理机构</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bookmarkStart w:id="45" w:name="_Toc346372879"/>
      <w:bookmarkStart w:id="46" w:name="_Toc352332853"/>
      <w:bookmarkStart w:id="47" w:name="_Toc346306732"/>
      <w:r>
        <w:rPr>
          <w:rFonts w:hint="eastAsia" w:ascii="仿宋" w:hAnsi="仿宋" w:eastAsia="仿宋" w:cs="仿宋"/>
          <w:color w:val="auto"/>
          <w:kern w:val="0"/>
          <w:sz w:val="24"/>
          <w:highlight w:val="none"/>
        </w:rPr>
        <w:t>详见</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须知前附表。</w:t>
      </w:r>
    </w:p>
    <w:p>
      <w:pPr>
        <w:pStyle w:val="2"/>
        <w:tabs>
          <w:tab w:val="left" w:pos="955"/>
        </w:tabs>
        <w:spacing w:after="0" w:line="360" w:lineRule="auto"/>
        <w:ind w:left="1146" w:leftChars="273" w:hanging="573" w:hangingChars="238"/>
        <w:rPr>
          <w:rFonts w:hint="eastAsia" w:ascii="仿宋" w:hAnsi="仿宋" w:eastAsia="仿宋" w:cs="仿宋"/>
          <w:b/>
          <w:color w:val="auto"/>
          <w:highlight w:val="none"/>
          <w:lang w:eastAsia="zh-CN"/>
        </w:rPr>
      </w:pPr>
      <w:r>
        <w:rPr>
          <w:rFonts w:hint="eastAsia" w:ascii="仿宋" w:hAnsi="仿宋" w:eastAsia="仿宋" w:cs="仿宋"/>
          <w:b/>
          <w:color w:val="auto"/>
          <w:highlight w:val="none"/>
        </w:rPr>
        <w:t>3.   合格</w:t>
      </w:r>
      <w:bookmarkEnd w:id="45"/>
      <w:bookmarkEnd w:id="46"/>
      <w:bookmarkEnd w:id="47"/>
      <w:r>
        <w:rPr>
          <w:rFonts w:hint="eastAsia" w:ascii="仿宋" w:hAnsi="仿宋" w:eastAsia="仿宋" w:cs="仿宋"/>
          <w:b/>
          <w:color w:val="auto"/>
          <w:highlight w:val="none"/>
          <w:lang w:eastAsia="zh-CN"/>
        </w:rPr>
        <w:t>投标人</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详见</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须知前附表。</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48" w:name="_Toc346372880"/>
      <w:bookmarkStart w:id="49" w:name="_Toc352332854"/>
      <w:bookmarkStart w:id="50" w:name="_Toc346306733"/>
      <w:r>
        <w:rPr>
          <w:rFonts w:hint="eastAsia" w:ascii="仿宋" w:hAnsi="仿宋" w:eastAsia="仿宋" w:cs="仿宋"/>
          <w:b/>
          <w:color w:val="auto"/>
          <w:highlight w:val="none"/>
        </w:rPr>
        <w:t>4.   投标费用</w:t>
      </w:r>
      <w:bookmarkEnd w:id="48"/>
      <w:bookmarkEnd w:id="49"/>
      <w:bookmarkEnd w:id="50"/>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无论投标过程中的方法和结果如何，</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自行承担所有与参加投标有关费用。</w:t>
      </w:r>
    </w:p>
    <w:p>
      <w:pPr>
        <w:pStyle w:val="5"/>
        <w:spacing w:before="120" w:after="120" w:line="360" w:lineRule="auto"/>
        <w:ind w:firstLine="516" w:firstLineChars="214"/>
        <w:rPr>
          <w:rFonts w:ascii="仿宋" w:hAnsi="仿宋" w:eastAsia="仿宋" w:cs="仿宋"/>
          <w:color w:val="auto"/>
          <w:szCs w:val="24"/>
          <w:highlight w:val="none"/>
        </w:rPr>
      </w:pPr>
      <w:bookmarkStart w:id="51" w:name="_Toc7792"/>
      <w:r>
        <w:rPr>
          <w:rFonts w:hint="eastAsia" w:ascii="仿宋" w:hAnsi="仿宋" w:eastAsia="仿宋" w:cs="仿宋"/>
          <w:color w:val="auto"/>
          <w:szCs w:val="24"/>
          <w:highlight w:val="none"/>
        </w:rPr>
        <w:t>二、招标文件</w:t>
      </w:r>
      <w:bookmarkEnd w:id="51"/>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52" w:name="_Toc352332856"/>
      <w:bookmarkStart w:id="53" w:name="_Toc346306735"/>
      <w:bookmarkStart w:id="54" w:name="_Toc346372882"/>
      <w:r>
        <w:rPr>
          <w:rFonts w:hint="eastAsia" w:ascii="仿宋" w:hAnsi="仿宋" w:eastAsia="仿宋" w:cs="仿宋"/>
          <w:b/>
          <w:color w:val="auto"/>
          <w:highlight w:val="none"/>
        </w:rPr>
        <w:t>5.   招标文件组成</w:t>
      </w:r>
      <w:bookmarkEnd w:id="52"/>
      <w:bookmarkEnd w:id="53"/>
      <w:bookmarkEnd w:id="54"/>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本招标文件由招标文件目录所列内容及按本招标文件要求发出的澄清、答疑和修改组成。</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55" w:name="_Toc346306736"/>
      <w:bookmarkStart w:id="56" w:name="_Toc352332857"/>
      <w:bookmarkStart w:id="57" w:name="_Toc346372883"/>
      <w:r>
        <w:rPr>
          <w:rFonts w:hint="eastAsia" w:ascii="仿宋" w:hAnsi="仿宋" w:eastAsia="仿宋" w:cs="仿宋"/>
          <w:b/>
          <w:color w:val="auto"/>
          <w:highlight w:val="none"/>
        </w:rPr>
        <w:t>6.   招标文件答疑</w:t>
      </w:r>
      <w:bookmarkEnd w:id="55"/>
      <w:bookmarkEnd w:id="56"/>
      <w:bookmarkEnd w:id="57"/>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对招标文件如有疑问，应于前附表所述时间以前以书面形式通知到代理机构。在前附表所述时间之前，代理机构将视情况以书面形式予以答复，如有必要可将答复内容包括原提出的问题（但不表明问题的来源），分发给所有取得同一招标文件的</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须在收到代理机构的书面答复后24小时内书面回执。</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58" w:name="_Toc346306737"/>
      <w:bookmarkStart w:id="59" w:name="_Toc346372884"/>
      <w:bookmarkStart w:id="60" w:name="_Toc352332858"/>
      <w:r>
        <w:rPr>
          <w:rFonts w:hint="eastAsia" w:ascii="仿宋" w:hAnsi="仿宋" w:eastAsia="仿宋" w:cs="仿宋"/>
          <w:b/>
          <w:color w:val="auto"/>
          <w:highlight w:val="none"/>
        </w:rPr>
        <w:t>7.   招标文件澄清和修改</w:t>
      </w:r>
      <w:bookmarkEnd w:id="58"/>
      <w:bookmarkEnd w:id="59"/>
      <w:bookmarkEnd w:id="60"/>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7.1  代理机构对招标文件有澄清或修改的内容，将以书面补充文件形式通知已购买招标文件的所有</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。补充文件作为招标文件的组成部分，对所有</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具有约束力。</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7.2  为使</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有足够的时间按招标文件的要求修改投标文件，代理机构可酌情推迟投标的截止时间与开标时间，并将此变更书面通知各</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7.3  </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须在收到代理机构的澄清、修改或变更后24小时内书面回执。</w:t>
      </w:r>
    </w:p>
    <w:p>
      <w:pPr>
        <w:pStyle w:val="5"/>
        <w:spacing w:before="120" w:after="120" w:line="360" w:lineRule="auto"/>
        <w:ind w:firstLine="516" w:firstLineChars="214"/>
        <w:rPr>
          <w:rFonts w:ascii="仿宋" w:hAnsi="仿宋" w:eastAsia="仿宋" w:cs="仿宋"/>
          <w:color w:val="auto"/>
          <w:szCs w:val="24"/>
          <w:highlight w:val="none"/>
        </w:rPr>
      </w:pPr>
      <w:bookmarkStart w:id="61" w:name="_Toc11840"/>
      <w:r>
        <w:rPr>
          <w:rFonts w:hint="eastAsia" w:ascii="仿宋" w:hAnsi="仿宋" w:eastAsia="仿宋" w:cs="仿宋"/>
          <w:color w:val="auto"/>
          <w:szCs w:val="24"/>
          <w:highlight w:val="none"/>
        </w:rPr>
        <w:t>三、投标文件编写</w:t>
      </w:r>
      <w:bookmarkEnd w:id="61"/>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62" w:name="_Toc346306739"/>
      <w:bookmarkStart w:id="63" w:name="_Toc346372886"/>
      <w:bookmarkStart w:id="64" w:name="_Toc352332860"/>
      <w:r>
        <w:rPr>
          <w:rFonts w:hint="eastAsia" w:ascii="仿宋" w:hAnsi="仿宋" w:eastAsia="仿宋" w:cs="仿宋"/>
          <w:b/>
          <w:color w:val="auto"/>
          <w:highlight w:val="none"/>
        </w:rPr>
        <w:t>8.   投标语言及计量单位</w:t>
      </w:r>
      <w:bookmarkEnd w:id="62"/>
      <w:bookmarkEnd w:id="63"/>
      <w:bookmarkEnd w:id="64"/>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8.1  </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和代理机构就招投标交换的文件和来往信函均使用中文。</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8.2  除招标文件的技术要求中另有规定外，投标文件中所使用的计量单位应使用中华人民共和国法定计量单位。</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8.3 </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一旦决定放弃本项目的竞争，应及时通知</w:t>
      </w:r>
      <w:r>
        <w:rPr>
          <w:rFonts w:hint="eastAsia" w:ascii="仿宋" w:hAnsi="仿宋" w:eastAsia="仿宋" w:cs="仿宋"/>
          <w:color w:val="auto"/>
          <w:kern w:val="0"/>
          <w:sz w:val="24"/>
          <w:highlight w:val="none"/>
          <w:lang w:eastAsia="zh-CN"/>
        </w:rPr>
        <w:t>采购代理机构</w:t>
      </w:r>
      <w:r>
        <w:rPr>
          <w:rFonts w:hint="eastAsia" w:ascii="仿宋" w:hAnsi="仿宋" w:eastAsia="仿宋" w:cs="仿宋"/>
          <w:color w:val="auto"/>
          <w:kern w:val="0"/>
          <w:sz w:val="24"/>
          <w:highlight w:val="none"/>
        </w:rPr>
        <w:t>。报名后无正当理由不参与本投标项目且不通知</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或</w:t>
      </w:r>
      <w:r>
        <w:rPr>
          <w:rFonts w:hint="eastAsia" w:ascii="仿宋" w:hAnsi="仿宋" w:eastAsia="仿宋" w:cs="仿宋"/>
          <w:color w:val="auto"/>
          <w:kern w:val="0"/>
          <w:sz w:val="24"/>
          <w:highlight w:val="none"/>
          <w:lang w:eastAsia="zh-CN"/>
        </w:rPr>
        <w:t>采购代理机构</w:t>
      </w:r>
      <w:r>
        <w:rPr>
          <w:rFonts w:hint="eastAsia" w:ascii="仿宋" w:hAnsi="仿宋" w:eastAsia="仿宋" w:cs="仿宋"/>
          <w:color w:val="auto"/>
          <w:kern w:val="0"/>
          <w:sz w:val="24"/>
          <w:highlight w:val="none"/>
        </w:rPr>
        <w:t>的,</w:t>
      </w:r>
      <w:r>
        <w:rPr>
          <w:rFonts w:hint="eastAsia" w:ascii="仿宋" w:hAnsi="仿宋" w:eastAsia="仿宋" w:cs="仿宋"/>
          <w:color w:val="auto"/>
          <w:highlight w:val="none"/>
        </w:rPr>
        <w:t xml:space="preserve"> </w:t>
      </w:r>
      <w:r>
        <w:rPr>
          <w:rFonts w:hint="eastAsia" w:ascii="仿宋" w:hAnsi="仿宋" w:eastAsia="仿宋" w:cs="仿宋"/>
          <w:color w:val="auto"/>
          <w:kern w:val="0"/>
          <w:sz w:val="24"/>
          <w:highlight w:val="none"/>
          <w:lang w:eastAsia="zh-CN"/>
        </w:rPr>
        <w:t>采购代理机构</w:t>
      </w:r>
      <w:r>
        <w:rPr>
          <w:rFonts w:hint="eastAsia" w:ascii="仿宋" w:hAnsi="仿宋" w:eastAsia="仿宋" w:cs="仿宋"/>
          <w:color w:val="auto"/>
          <w:kern w:val="0"/>
          <w:sz w:val="24"/>
          <w:highlight w:val="none"/>
        </w:rPr>
        <w:t>将如实记录。</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65" w:name="_Toc346306740"/>
      <w:bookmarkStart w:id="66" w:name="_Toc352332861"/>
      <w:bookmarkStart w:id="67" w:name="_Toc346372887"/>
      <w:r>
        <w:rPr>
          <w:rFonts w:hint="eastAsia" w:ascii="仿宋" w:hAnsi="仿宋" w:eastAsia="仿宋" w:cs="仿宋"/>
          <w:b/>
          <w:color w:val="auto"/>
          <w:highlight w:val="none"/>
        </w:rPr>
        <w:t>9.   投标文件组成</w:t>
      </w:r>
      <w:bookmarkEnd w:id="65"/>
      <w:bookmarkEnd w:id="66"/>
      <w:bookmarkEnd w:id="67"/>
    </w:p>
    <w:p>
      <w:pPr>
        <w:pStyle w:val="2"/>
        <w:spacing w:after="0" w:line="360" w:lineRule="auto"/>
        <w:ind w:firstLine="573" w:firstLineChars="238"/>
        <w:rPr>
          <w:rFonts w:ascii="仿宋" w:hAnsi="仿宋" w:eastAsia="仿宋" w:cs="仿宋"/>
          <w:b/>
          <w:color w:val="auto"/>
          <w:highlight w:val="none"/>
        </w:rPr>
      </w:pPr>
      <w:r>
        <w:rPr>
          <w:rFonts w:hint="eastAsia" w:ascii="仿宋" w:hAnsi="仿宋" w:eastAsia="仿宋" w:cs="仿宋"/>
          <w:b/>
          <w:color w:val="auto"/>
          <w:highlight w:val="none"/>
        </w:rPr>
        <w:t>9.1 报价部分</w:t>
      </w:r>
    </w:p>
    <w:p>
      <w:pPr>
        <w:pStyle w:val="14"/>
        <w:spacing w:line="360" w:lineRule="auto"/>
        <w:ind w:left="1144" w:leftChars="272" w:hanging="573" w:hangingChars="239"/>
        <w:rPr>
          <w:rFonts w:ascii="仿宋" w:hAnsi="仿宋" w:eastAsia="仿宋" w:cs="仿宋"/>
          <w:color w:val="auto"/>
          <w:highlight w:val="none"/>
        </w:rPr>
      </w:pPr>
      <w:bookmarkStart w:id="68" w:name="_Toc352332863"/>
      <w:bookmarkStart w:id="69" w:name="_Toc346372889"/>
      <w:bookmarkStart w:id="70" w:name="_Toc346306742"/>
      <w:r>
        <w:rPr>
          <w:rFonts w:hint="eastAsia" w:ascii="仿宋" w:hAnsi="仿宋" w:eastAsia="仿宋" w:cs="仿宋"/>
          <w:color w:val="auto"/>
          <w:highlight w:val="none"/>
        </w:rPr>
        <w:t>★（1）投标函；</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★（2）法定代表人授权委托书；</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★（3）开标一览表；</w:t>
      </w:r>
    </w:p>
    <w:p>
      <w:pPr>
        <w:pStyle w:val="2"/>
        <w:spacing w:after="0" w:line="360" w:lineRule="auto"/>
        <w:ind w:firstLine="571" w:firstLineChars="238"/>
        <w:rPr>
          <w:rFonts w:hint="eastAsia" w:ascii="仿宋" w:hAnsi="仿宋" w:eastAsia="仿宋" w:cs="仿宋"/>
          <w:color w:val="auto"/>
          <w:highlight w:val="none"/>
          <w:lang w:eastAsia="zh-CN"/>
        </w:rPr>
      </w:pPr>
      <w:r>
        <w:rPr>
          <w:rFonts w:hint="eastAsia" w:ascii="仿宋" w:hAnsi="仿宋" w:eastAsia="仿宋" w:cs="仿宋"/>
          <w:color w:val="auto"/>
          <w:highlight w:val="none"/>
        </w:rPr>
        <w:t>★（</w:t>
      </w:r>
      <w:r>
        <w:rPr>
          <w:rFonts w:ascii="仿宋" w:hAnsi="仿宋" w:eastAsia="仿宋" w:cs="仿宋"/>
          <w:color w:val="auto"/>
          <w:highlight w:val="none"/>
        </w:rPr>
        <w:t>4</w:t>
      </w:r>
      <w:r>
        <w:rPr>
          <w:rFonts w:hint="eastAsia" w:ascii="仿宋" w:hAnsi="仿宋" w:eastAsia="仿宋" w:cs="仿宋"/>
          <w:color w:val="auto"/>
          <w:highlight w:val="none"/>
        </w:rPr>
        <w:t>）分项报价表</w:t>
      </w:r>
      <w:r>
        <w:rPr>
          <w:rFonts w:hint="eastAsia" w:ascii="仿宋" w:hAnsi="仿宋" w:eastAsia="仿宋" w:cs="仿宋"/>
          <w:color w:val="auto"/>
          <w:highlight w:val="none"/>
          <w:lang w:eastAsia="zh-CN"/>
        </w:rPr>
        <w:t>；</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w:t>
      </w:r>
      <w:r>
        <w:rPr>
          <w:rFonts w:ascii="仿宋" w:hAnsi="仿宋" w:eastAsia="仿宋" w:cs="仿宋"/>
          <w:color w:val="auto"/>
          <w:highlight w:val="none"/>
        </w:rPr>
        <w:t>5</w:t>
      </w:r>
      <w:r>
        <w:rPr>
          <w:rFonts w:hint="eastAsia" w:ascii="仿宋" w:hAnsi="仿宋" w:eastAsia="仿宋" w:cs="仿宋"/>
          <w:color w:val="auto"/>
          <w:highlight w:val="none"/>
        </w:rPr>
        <w:t>）政府强制采购节能产品、节能产品、环保产品明细表及其认证证书或官网截图（如有）；</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w:t>
      </w:r>
      <w:r>
        <w:rPr>
          <w:rFonts w:ascii="仿宋" w:hAnsi="仿宋" w:eastAsia="仿宋" w:cs="仿宋"/>
          <w:color w:val="auto"/>
          <w:highlight w:val="none"/>
        </w:rPr>
        <w:t>6</w:t>
      </w:r>
      <w:r>
        <w:rPr>
          <w:rFonts w:hint="eastAsia" w:ascii="仿宋" w:hAnsi="仿宋" w:eastAsia="仿宋" w:cs="仿宋"/>
          <w:color w:val="auto"/>
          <w:highlight w:val="none"/>
        </w:rPr>
        <w:t>）产品生产企业《中小企业声明函》或监狱企业的证明文件（如有）；</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w:t>
      </w:r>
      <w:r>
        <w:rPr>
          <w:rFonts w:ascii="仿宋" w:hAnsi="仿宋" w:eastAsia="仿宋" w:cs="仿宋"/>
          <w:color w:val="auto"/>
          <w:highlight w:val="none"/>
        </w:rPr>
        <w:t>7</w:t>
      </w:r>
      <w:r>
        <w:rPr>
          <w:rFonts w:hint="eastAsia" w:ascii="仿宋" w:hAnsi="仿宋" w:eastAsia="仿宋" w:cs="仿宋"/>
          <w:color w:val="auto"/>
          <w:highlight w:val="none"/>
        </w:rPr>
        <w:t>）《残疾人福利性单位声明函》（如有）；</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w:t>
      </w:r>
      <w:r>
        <w:rPr>
          <w:rFonts w:ascii="仿宋" w:hAnsi="仿宋" w:eastAsia="仿宋" w:cs="仿宋"/>
          <w:color w:val="auto"/>
          <w:highlight w:val="none"/>
        </w:rPr>
        <w:t>8</w:t>
      </w:r>
      <w:r>
        <w:rPr>
          <w:rFonts w:hint="eastAsia" w:ascii="仿宋" w:hAnsi="仿宋" w:eastAsia="仿宋" w:cs="仿宋"/>
          <w:color w:val="auto"/>
          <w:highlight w:val="none"/>
        </w:rPr>
        <w:t>）报价内容的其他要求。</w:t>
      </w:r>
    </w:p>
    <w:p>
      <w:pPr>
        <w:pStyle w:val="2"/>
        <w:spacing w:after="0" w:line="360" w:lineRule="auto"/>
        <w:ind w:firstLine="691" w:firstLineChars="287"/>
        <w:rPr>
          <w:rFonts w:ascii="仿宋" w:hAnsi="仿宋" w:eastAsia="仿宋" w:cs="仿宋"/>
          <w:color w:val="auto"/>
          <w:highlight w:val="none"/>
        </w:rPr>
      </w:pPr>
      <w:r>
        <w:rPr>
          <w:rFonts w:hint="eastAsia" w:ascii="仿宋" w:hAnsi="仿宋" w:eastAsia="仿宋" w:cs="仿宋"/>
          <w:b/>
          <w:color w:val="auto"/>
          <w:highlight w:val="none"/>
        </w:rPr>
        <w:t>9.2 技术文件：</w:t>
      </w:r>
    </w:p>
    <w:p>
      <w:pPr>
        <w:pStyle w:val="2"/>
        <w:spacing w:after="0" w:line="360" w:lineRule="auto"/>
        <w:ind w:firstLine="573" w:firstLineChars="238"/>
        <w:rPr>
          <w:rFonts w:hint="default"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技术文件：</w:t>
      </w:r>
    </w:p>
    <w:p>
      <w:pPr>
        <w:pStyle w:val="2"/>
        <w:numPr>
          <w:ilvl w:val="0"/>
          <w:numId w:val="2"/>
        </w:numPr>
        <w:spacing w:after="0" w:line="360" w:lineRule="auto"/>
        <w:ind w:firstLine="571" w:firstLineChars="238"/>
        <w:rPr>
          <w:rFonts w:ascii="仿宋_GB2312" w:hAnsi="宋体" w:eastAsia="仿宋_GB2312"/>
          <w:color w:val="auto"/>
          <w:sz w:val="24"/>
          <w:highlight w:val="none"/>
        </w:rPr>
      </w:pPr>
      <w:r>
        <w:rPr>
          <w:rFonts w:ascii="仿宋_GB2312" w:hAnsi="宋体" w:eastAsia="仿宋_GB2312"/>
          <w:color w:val="auto"/>
          <w:sz w:val="24"/>
          <w:highlight w:val="none"/>
        </w:rPr>
        <w:t>所投产品的</w:t>
      </w:r>
      <w:r>
        <w:rPr>
          <w:rFonts w:hint="eastAsia" w:ascii="仿宋_GB2312" w:hAnsi="宋体" w:eastAsia="仿宋_GB2312"/>
          <w:color w:val="auto"/>
          <w:sz w:val="24"/>
          <w:highlight w:val="none"/>
          <w:lang w:val="en-US" w:eastAsia="zh-CN"/>
        </w:rPr>
        <w:t>整体及主要组成部件的</w:t>
      </w:r>
      <w:r>
        <w:rPr>
          <w:rFonts w:ascii="仿宋_GB2312" w:hAnsi="宋体" w:eastAsia="仿宋_GB2312"/>
          <w:color w:val="auto"/>
          <w:sz w:val="24"/>
          <w:highlight w:val="none"/>
        </w:rPr>
        <w:t>规格型号、</w:t>
      </w:r>
      <w:r>
        <w:rPr>
          <w:rFonts w:hint="eastAsia" w:ascii="仿宋_GB2312" w:hAnsi="宋体" w:eastAsia="仿宋_GB2312"/>
          <w:color w:val="auto"/>
          <w:sz w:val="24"/>
          <w:highlight w:val="none"/>
          <w:lang w:eastAsia="zh-CN"/>
        </w:rPr>
        <w:t>生厂厂家、</w:t>
      </w:r>
      <w:r>
        <w:rPr>
          <w:rFonts w:ascii="仿宋_GB2312" w:hAnsi="宋体" w:eastAsia="仿宋_GB2312"/>
          <w:color w:val="auto"/>
          <w:sz w:val="24"/>
          <w:highlight w:val="none"/>
        </w:rPr>
        <w:t>详细配置</w:t>
      </w:r>
      <w:r>
        <w:rPr>
          <w:rFonts w:hint="eastAsia" w:ascii="仿宋_GB2312" w:hAnsi="宋体" w:eastAsia="仿宋_GB2312"/>
          <w:color w:val="auto"/>
          <w:sz w:val="24"/>
          <w:highlight w:val="none"/>
          <w:lang w:eastAsia="zh-CN"/>
        </w:rPr>
        <w:t>；</w:t>
      </w:r>
    </w:p>
    <w:p>
      <w:pPr>
        <w:pStyle w:val="2"/>
        <w:numPr>
          <w:ilvl w:val="0"/>
          <w:numId w:val="2"/>
        </w:numPr>
        <w:spacing w:after="0" w:line="360" w:lineRule="auto"/>
        <w:ind w:firstLine="571" w:firstLineChars="238"/>
        <w:rPr>
          <w:rFonts w:ascii="仿宋" w:hAnsi="仿宋" w:eastAsia="仿宋" w:cs="仿宋"/>
          <w:color w:val="auto"/>
          <w:highlight w:val="none"/>
        </w:rPr>
      </w:pPr>
      <w:r>
        <w:rPr>
          <w:rFonts w:hint="eastAsia" w:ascii="仿宋_GB2312" w:hAnsi="宋体" w:eastAsia="仿宋_GB2312"/>
          <w:color w:val="auto"/>
          <w:sz w:val="24"/>
          <w:highlight w:val="none"/>
          <w:lang w:eastAsia="zh-CN"/>
        </w:rPr>
        <w:t>所投产品实物图片，产品</w:t>
      </w:r>
      <w:r>
        <w:rPr>
          <w:rFonts w:ascii="仿宋_GB2312" w:hAnsi="宋体" w:eastAsia="仿宋_GB2312"/>
          <w:color w:val="auto"/>
          <w:sz w:val="24"/>
          <w:highlight w:val="none"/>
        </w:rPr>
        <w:t>主要技术指标</w:t>
      </w:r>
      <w:r>
        <w:rPr>
          <w:rFonts w:hint="eastAsia" w:ascii="仿宋_GB2312" w:hAnsi="宋体" w:eastAsia="仿宋_GB2312"/>
          <w:color w:val="auto"/>
          <w:sz w:val="24"/>
          <w:highlight w:val="none"/>
          <w:lang w:eastAsia="zh-CN"/>
        </w:rPr>
        <w:t>、</w:t>
      </w:r>
      <w:r>
        <w:rPr>
          <w:rFonts w:ascii="仿宋_GB2312" w:hAnsi="宋体" w:eastAsia="仿宋_GB2312"/>
          <w:color w:val="auto"/>
          <w:sz w:val="24"/>
          <w:highlight w:val="none"/>
        </w:rPr>
        <w:t>性能详细说明</w:t>
      </w:r>
      <w:r>
        <w:rPr>
          <w:rFonts w:hint="eastAsia" w:ascii="仿宋_GB2312" w:hAnsi="宋体" w:eastAsia="仿宋_GB2312"/>
          <w:color w:val="auto"/>
          <w:sz w:val="24"/>
          <w:highlight w:val="none"/>
          <w:lang w:eastAsia="zh-CN"/>
        </w:rPr>
        <w:t>及</w:t>
      </w:r>
      <w:r>
        <w:rPr>
          <w:rFonts w:hint="eastAsia" w:ascii="仿宋" w:hAnsi="仿宋" w:eastAsia="仿宋" w:cs="仿宋"/>
          <w:color w:val="auto"/>
          <w:highlight w:val="none"/>
          <w:lang w:eastAsia="zh-CN"/>
        </w:rPr>
        <w:t>设备</w:t>
      </w:r>
      <w:r>
        <w:rPr>
          <w:rFonts w:hint="eastAsia" w:ascii="仿宋" w:hAnsi="仿宋" w:eastAsia="仿宋" w:cs="仿宋"/>
          <w:color w:val="auto"/>
          <w:highlight w:val="none"/>
        </w:rPr>
        <w:t>的先进性、可靠性、安全性、稳定性的说明及证明材料</w:t>
      </w:r>
      <w:r>
        <w:rPr>
          <w:rFonts w:hint="eastAsia" w:ascii="仿宋" w:hAnsi="仿宋" w:eastAsia="仿宋" w:cs="仿宋"/>
          <w:color w:val="auto"/>
          <w:highlight w:val="none"/>
          <w:lang w:eastAsia="zh-CN"/>
        </w:rPr>
        <w:t>、备品备件配置情况</w:t>
      </w:r>
      <w:r>
        <w:rPr>
          <w:rFonts w:hint="eastAsia" w:ascii="仿宋" w:hAnsi="仿宋" w:eastAsia="仿宋" w:cs="仿宋"/>
          <w:color w:val="auto"/>
          <w:highlight w:val="none"/>
        </w:rPr>
        <w:t>；</w:t>
      </w:r>
    </w:p>
    <w:p>
      <w:pPr>
        <w:pStyle w:val="2"/>
        <w:numPr>
          <w:ilvl w:val="0"/>
          <w:numId w:val="2"/>
        </w:numPr>
        <w:spacing w:after="0" w:line="360" w:lineRule="auto"/>
        <w:ind w:left="0" w:leftChars="0" w:firstLine="571" w:firstLineChars="238"/>
        <w:rPr>
          <w:rFonts w:hint="eastAsia" w:ascii="仿宋" w:hAnsi="仿宋" w:eastAsia="仿宋" w:cs="仿宋"/>
          <w:color w:val="auto"/>
          <w:highlight w:val="none"/>
        </w:rPr>
      </w:pPr>
      <w:r>
        <w:rPr>
          <w:rFonts w:hint="eastAsia" w:ascii="仿宋" w:hAnsi="仿宋" w:eastAsia="仿宋" w:cs="仿宋"/>
          <w:color w:val="auto"/>
          <w:highlight w:val="none"/>
        </w:rPr>
        <w:t>所投产品的国家权威机构认证的检测报告、生产登记许可证、与所投产品同品牌同型号的产品彩页等详细资料；强制性认证产品须提供认证资料；</w:t>
      </w:r>
    </w:p>
    <w:p>
      <w:pPr>
        <w:pStyle w:val="2"/>
        <w:numPr>
          <w:ilvl w:val="0"/>
          <w:numId w:val="2"/>
        </w:numPr>
        <w:spacing w:after="0" w:line="360" w:lineRule="auto"/>
        <w:ind w:left="0" w:leftChars="0" w:firstLine="571" w:firstLineChars="238"/>
        <w:rPr>
          <w:rFonts w:hint="eastAsia" w:ascii="仿宋" w:hAnsi="仿宋" w:eastAsia="仿宋" w:cs="仿宋"/>
          <w:color w:val="auto"/>
          <w:highlight w:val="none"/>
        </w:rPr>
      </w:pPr>
      <w:r>
        <w:rPr>
          <w:rFonts w:hint="eastAsia" w:ascii="仿宋" w:hAnsi="仿宋" w:eastAsia="仿宋" w:cs="仿宋"/>
          <w:i w:val="0"/>
          <w:color w:val="auto"/>
          <w:kern w:val="0"/>
          <w:sz w:val="24"/>
          <w:szCs w:val="24"/>
          <w:highlight w:val="none"/>
          <w:u w:val="none"/>
          <w:lang w:val="en-US" w:eastAsia="zh-CN" w:bidi="ar"/>
        </w:rPr>
        <w:t>投标人所投主要产品的</w:t>
      </w:r>
      <w:r>
        <w:rPr>
          <w:rFonts w:hint="eastAsia" w:ascii="仿宋" w:hAnsi="仿宋" w:eastAsia="仿宋" w:cs="仿宋"/>
          <w:color w:val="auto"/>
          <w:kern w:val="0"/>
          <w:sz w:val="24"/>
          <w:szCs w:val="24"/>
          <w:highlight w:val="none"/>
          <w:lang w:val="en-US" w:eastAsia="zh-CN"/>
        </w:rPr>
        <w:t>生产设备投入情况、</w:t>
      </w:r>
      <w:r>
        <w:rPr>
          <w:rFonts w:hint="eastAsia" w:ascii="仿宋" w:hAnsi="仿宋" w:eastAsia="仿宋" w:cs="仿宋"/>
          <w:i w:val="0"/>
          <w:color w:val="auto"/>
          <w:kern w:val="0"/>
          <w:sz w:val="24"/>
          <w:szCs w:val="24"/>
          <w:highlight w:val="none"/>
          <w:u w:val="none"/>
          <w:lang w:val="en-US" w:eastAsia="zh-CN" w:bidi="ar"/>
        </w:rPr>
        <w:t>生产工艺</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i w:val="0"/>
          <w:color w:val="auto"/>
          <w:kern w:val="0"/>
          <w:sz w:val="24"/>
          <w:szCs w:val="24"/>
          <w:highlight w:val="none"/>
          <w:u w:val="none"/>
          <w:lang w:val="en-US" w:eastAsia="zh-CN" w:bidi="ar"/>
        </w:rPr>
        <w:t>质控制方案等；</w:t>
      </w:r>
    </w:p>
    <w:p>
      <w:pPr>
        <w:pStyle w:val="2"/>
        <w:numPr>
          <w:ilvl w:val="0"/>
          <w:numId w:val="2"/>
        </w:numPr>
        <w:spacing w:after="0" w:line="360" w:lineRule="auto"/>
        <w:ind w:left="0" w:leftChars="0" w:firstLine="571" w:firstLineChars="238"/>
        <w:rPr>
          <w:rFonts w:hint="eastAsia" w:ascii="仿宋" w:hAnsi="仿宋" w:eastAsia="仿宋" w:cs="仿宋"/>
          <w:color w:val="auto"/>
          <w:highlight w:val="none"/>
          <w:lang w:eastAsia="zh-CN"/>
        </w:rPr>
      </w:pPr>
      <w:r>
        <w:rPr>
          <w:rFonts w:hint="eastAsia" w:ascii="仿宋" w:hAnsi="仿宋" w:eastAsia="仿宋" w:cs="仿宋"/>
          <w:color w:val="auto"/>
          <w:highlight w:val="none"/>
        </w:rPr>
        <w:t>详细的交货清单</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含所投所投产品的主要组成部件配置</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w:t>
      </w:r>
    </w:p>
    <w:p>
      <w:pPr>
        <w:pStyle w:val="2"/>
        <w:numPr>
          <w:ilvl w:val="0"/>
          <w:numId w:val="2"/>
        </w:numPr>
        <w:spacing w:after="0" w:line="360" w:lineRule="auto"/>
        <w:ind w:left="0" w:leftChars="0" w:firstLine="571" w:firstLineChars="238"/>
        <w:rPr>
          <w:rFonts w:hint="eastAsia" w:ascii="仿宋" w:hAnsi="仿宋" w:eastAsia="仿宋" w:cs="仿宋"/>
          <w:color w:val="auto"/>
          <w:highlight w:val="none"/>
          <w:lang w:eastAsia="zh-CN"/>
        </w:rPr>
      </w:pPr>
      <w:r>
        <w:rPr>
          <w:rFonts w:hint="eastAsia" w:ascii="仿宋" w:hAnsi="仿宋" w:eastAsia="仿宋" w:cs="仿宋"/>
          <w:color w:val="auto"/>
          <w:highlight w:val="none"/>
        </w:rPr>
        <w:t>本项目实施方案</w:t>
      </w:r>
      <w:r>
        <w:rPr>
          <w:rFonts w:hint="eastAsia" w:ascii="仿宋" w:hAnsi="仿宋" w:eastAsia="仿宋" w:cs="仿宋"/>
          <w:color w:val="auto"/>
          <w:highlight w:val="none"/>
          <w:lang w:eastAsia="zh-CN"/>
        </w:rPr>
        <w:t>（包括服务技术力量、供货实施进度、质量保障机制、安装调试验收方案）</w:t>
      </w:r>
      <w:r>
        <w:rPr>
          <w:rFonts w:hint="eastAsia" w:ascii="仿宋" w:hAnsi="仿宋" w:eastAsia="仿宋" w:cs="仿宋"/>
          <w:color w:val="auto"/>
          <w:highlight w:val="none"/>
        </w:rPr>
        <w:t>、技术服务内容及措施</w:t>
      </w:r>
      <w:r>
        <w:rPr>
          <w:rFonts w:hint="eastAsia" w:ascii="仿宋" w:hAnsi="仿宋" w:eastAsia="仿宋" w:cs="仿宋"/>
          <w:color w:val="auto"/>
          <w:highlight w:val="none"/>
          <w:lang w:eastAsia="zh-CN"/>
        </w:rPr>
        <w:t>等；</w:t>
      </w:r>
    </w:p>
    <w:p>
      <w:pPr>
        <w:pStyle w:val="2"/>
        <w:spacing w:after="0" w:line="360" w:lineRule="auto"/>
        <w:ind w:firstLine="571" w:firstLineChars="238"/>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）技术规格偏离表（见附件）；</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认为需要提供的其他材料或说明。</w:t>
      </w:r>
    </w:p>
    <w:p>
      <w:pPr>
        <w:pStyle w:val="2"/>
        <w:spacing w:after="0" w:line="360" w:lineRule="auto"/>
        <w:ind w:firstLine="691" w:firstLineChars="287"/>
        <w:rPr>
          <w:rFonts w:ascii="仿宋" w:hAnsi="仿宋" w:eastAsia="仿宋" w:cs="仿宋"/>
          <w:b/>
          <w:color w:val="auto"/>
          <w:highlight w:val="none"/>
        </w:rPr>
      </w:pPr>
      <w:r>
        <w:rPr>
          <w:rFonts w:hint="eastAsia" w:ascii="仿宋" w:hAnsi="仿宋" w:eastAsia="仿宋" w:cs="仿宋"/>
          <w:b/>
          <w:color w:val="auto"/>
          <w:highlight w:val="none"/>
        </w:rPr>
        <w:t>9．3商务文件</w:t>
      </w:r>
    </w:p>
    <w:p>
      <w:pPr>
        <w:pStyle w:val="7"/>
        <w:tabs>
          <w:tab w:val="left" w:pos="382"/>
        </w:tabs>
        <w:spacing w:line="360" w:lineRule="auto"/>
        <w:ind w:left="0" w:leftChars="0" w:firstLine="420" w:firstLineChars="200"/>
        <w:rPr>
          <w:rFonts w:hint="eastAsia" w:ascii="仿宋" w:hAnsi="仿宋" w:eastAsia="仿宋" w:cs="仿宋"/>
          <w:color w:val="auto"/>
          <w:sz w:val="24"/>
          <w:highlight w:val="none"/>
          <w:lang w:eastAsia="zh-CN"/>
        </w:rPr>
      </w:pPr>
      <w:r>
        <w:rPr>
          <w:rFonts w:hint="eastAsia" w:ascii="仿宋" w:hAnsi="仿宋" w:eastAsia="仿宋" w:cs="仿宋"/>
          <w:color w:val="auto"/>
          <w:highlight w:val="none"/>
        </w:rPr>
        <w:t>（</w:t>
      </w:r>
      <w:r>
        <w:rPr>
          <w:rFonts w:hint="eastAsia" w:ascii="仿宋" w:hAnsi="仿宋" w:eastAsia="仿宋" w:cs="仿宋"/>
          <w:color w:val="auto"/>
          <w:sz w:val="24"/>
          <w:highlight w:val="none"/>
        </w:rPr>
        <w:t>1）投标人综合实力、信誉状况、履约能力等</w:t>
      </w:r>
      <w:r>
        <w:rPr>
          <w:rFonts w:hint="eastAsia" w:ascii="仿宋" w:hAnsi="仿宋" w:eastAsia="仿宋" w:cs="仿宋"/>
          <w:color w:val="auto"/>
          <w:sz w:val="24"/>
          <w:highlight w:val="none"/>
          <w:lang w:eastAsia="zh-CN"/>
        </w:rPr>
        <w:t>；</w:t>
      </w:r>
    </w:p>
    <w:p>
      <w:pPr>
        <w:pStyle w:val="7"/>
        <w:tabs>
          <w:tab w:val="left" w:pos="382"/>
        </w:tabs>
        <w:spacing w:line="360" w:lineRule="auto"/>
        <w:ind w:left="0" w:leftChars="0" w:firstLine="420" w:firstLineChars="200"/>
        <w:rPr>
          <w:rFonts w:hint="eastAsia" w:ascii="仿宋" w:hAnsi="仿宋" w:eastAsia="仿宋" w:cs="仿宋"/>
          <w:color w:val="auto"/>
          <w:sz w:val="24"/>
          <w:highlight w:val="none"/>
          <w:lang w:eastAsia="zh-CN"/>
        </w:rPr>
      </w:pPr>
      <w:r>
        <w:rPr>
          <w:rFonts w:hint="eastAsia" w:ascii="仿宋" w:hAnsi="仿宋" w:eastAsia="仿宋" w:cs="仿宋"/>
          <w:color w:val="auto"/>
          <w:highlight w:val="none"/>
        </w:rPr>
        <w:t>★</w:t>
      </w:r>
      <w:r>
        <w:rPr>
          <w:rFonts w:hint="eastAsia" w:ascii="仿宋" w:hAnsi="仿宋" w:eastAsia="仿宋" w:cs="仿宋"/>
          <w:color w:val="auto"/>
          <w:sz w:val="24"/>
          <w:highlight w:val="none"/>
        </w:rPr>
        <w:t>（</w:t>
      </w:r>
      <w:r>
        <w:rPr>
          <w:rFonts w:ascii="仿宋" w:hAnsi="仿宋" w:eastAsia="仿宋" w:cs="仿宋"/>
          <w:color w:val="auto"/>
          <w:sz w:val="24"/>
          <w:highlight w:val="none"/>
        </w:rPr>
        <w:t>2</w:t>
      </w:r>
      <w:r>
        <w:rPr>
          <w:rFonts w:hint="eastAsia" w:ascii="仿宋" w:hAnsi="仿宋" w:eastAsia="仿宋" w:cs="仿宋"/>
          <w:color w:val="auto"/>
          <w:sz w:val="24"/>
          <w:highlight w:val="none"/>
        </w:rPr>
        <w:t>）投标人近两年同类项目经营业绩一览表及合同</w:t>
      </w:r>
      <w:r>
        <w:rPr>
          <w:rFonts w:hint="eastAsia" w:ascii="仿宋" w:hAnsi="仿宋" w:eastAsia="仿宋" w:cs="仿宋"/>
          <w:color w:val="auto"/>
          <w:sz w:val="24"/>
          <w:highlight w:val="none"/>
          <w:lang w:eastAsia="zh-CN"/>
        </w:rPr>
        <w:t>；</w:t>
      </w:r>
    </w:p>
    <w:p>
      <w:pPr>
        <w:pStyle w:val="7"/>
        <w:numPr>
          <w:ilvl w:val="0"/>
          <w:numId w:val="3"/>
        </w:numPr>
        <w:tabs>
          <w:tab w:val="left" w:pos="382"/>
        </w:tabs>
        <w:spacing w:line="360" w:lineRule="auto"/>
        <w:ind w:left="-100" w:leftChars="0" w:firstLine="480" w:firstLineChars="0"/>
        <w:rPr>
          <w:rFonts w:hint="eastAsia" w:ascii="仿宋" w:hAnsi="仿宋" w:eastAsia="仿宋" w:cs="仿宋"/>
          <w:color w:val="auto"/>
          <w:sz w:val="24"/>
          <w:highlight w:val="none"/>
        </w:rPr>
      </w:pPr>
      <w:r>
        <w:rPr>
          <w:rFonts w:hint="eastAsia" w:ascii="仿宋" w:hAnsi="仿宋" w:eastAsia="仿宋" w:cs="仿宋"/>
          <w:color w:val="auto"/>
          <w:sz w:val="24"/>
          <w:highlight w:val="none"/>
        </w:rPr>
        <w:t>质保期、售后服务及合理化建议；</w:t>
      </w:r>
    </w:p>
    <w:p>
      <w:pPr>
        <w:pStyle w:val="7"/>
        <w:keepNext w:val="0"/>
        <w:keepLines w:val="0"/>
        <w:pageBreakBefore w:val="0"/>
        <w:widowControl w:val="0"/>
        <w:numPr>
          <w:ilvl w:val="0"/>
          <w:numId w:val="0"/>
        </w:numPr>
        <w:tabs>
          <w:tab w:val="left" w:pos="382"/>
        </w:tabs>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提供及时、迅速、优质服务的</w:t>
      </w:r>
      <w:r>
        <w:rPr>
          <w:rFonts w:hint="eastAsia" w:ascii="仿宋" w:hAnsi="仿宋" w:eastAsia="仿宋" w:cs="仿宋"/>
          <w:color w:val="auto"/>
          <w:sz w:val="24"/>
          <w:highlight w:val="none"/>
          <w:lang w:eastAsia="zh-CN"/>
        </w:rPr>
        <w:t>方案及</w:t>
      </w:r>
      <w:r>
        <w:rPr>
          <w:rFonts w:hint="eastAsia" w:ascii="仿宋" w:hAnsi="仿宋" w:eastAsia="仿宋" w:cs="仿宋"/>
          <w:color w:val="auto"/>
          <w:sz w:val="24"/>
          <w:highlight w:val="none"/>
        </w:rPr>
        <w:t>承诺，迅速快捷地提供货物的备品备件，保证招标人能够及时买到货物所需的备品备件和易损件；</w:t>
      </w:r>
    </w:p>
    <w:p>
      <w:pPr>
        <w:pStyle w:val="7"/>
        <w:keepNext w:val="0"/>
        <w:keepLines w:val="0"/>
        <w:pageBreakBefore w:val="0"/>
        <w:widowControl w:val="0"/>
        <w:numPr>
          <w:ilvl w:val="0"/>
          <w:numId w:val="0"/>
        </w:numPr>
        <w:tabs>
          <w:tab w:val="left" w:pos="382"/>
        </w:tabs>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货物出现故障后，响应及排除故障时间，并在维修期间提供备品备件。</w:t>
      </w:r>
    </w:p>
    <w:p>
      <w:pPr>
        <w:pStyle w:val="7"/>
        <w:keepNext w:val="0"/>
        <w:keepLines w:val="0"/>
        <w:pageBreakBefore w:val="0"/>
        <w:widowControl w:val="0"/>
        <w:numPr>
          <w:ilvl w:val="0"/>
          <w:numId w:val="0"/>
        </w:numPr>
        <w:tabs>
          <w:tab w:val="left" w:pos="382"/>
        </w:tabs>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）售后服务：</w:t>
      </w:r>
    </w:p>
    <w:p>
      <w:pPr>
        <w:pStyle w:val="7"/>
        <w:keepNext w:val="0"/>
        <w:keepLines w:val="0"/>
        <w:pageBreakBefore w:val="0"/>
        <w:widowControl w:val="0"/>
        <w:numPr>
          <w:ilvl w:val="0"/>
          <w:numId w:val="0"/>
        </w:numPr>
        <w:tabs>
          <w:tab w:val="left" w:pos="382"/>
        </w:tabs>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a.售后服务方案，包括但不限于服务站点的设置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需提供服务站</w:t>
      </w:r>
      <w:r>
        <w:rPr>
          <w:rFonts w:hint="eastAsia" w:ascii="仿宋" w:hAnsi="仿宋" w:eastAsia="仿宋" w:cs="仿宋"/>
          <w:color w:val="auto"/>
          <w:sz w:val="24"/>
          <w:highlight w:val="none"/>
          <w:lang w:eastAsia="zh-CN"/>
        </w:rPr>
        <w:t>点</w:t>
      </w:r>
      <w:r>
        <w:rPr>
          <w:rFonts w:hint="eastAsia" w:ascii="仿宋" w:hAnsi="仿宋" w:eastAsia="仿宋" w:cs="仿宋"/>
          <w:color w:val="auto"/>
          <w:sz w:val="24"/>
          <w:highlight w:val="none"/>
        </w:rPr>
        <w:t>营业执照复印件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、服务人员配置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需提供服务人员身份证复印件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pPr>
        <w:pStyle w:val="7"/>
        <w:keepNext w:val="0"/>
        <w:keepLines w:val="0"/>
        <w:pageBreakBefore w:val="0"/>
        <w:widowControl w:val="0"/>
        <w:numPr>
          <w:ilvl w:val="0"/>
          <w:numId w:val="0"/>
        </w:numPr>
        <w:tabs>
          <w:tab w:val="left" w:pos="382"/>
        </w:tabs>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b.质保期承诺，质保期内维修保养、易损件、零配件方案；</w:t>
      </w:r>
    </w:p>
    <w:p>
      <w:pPr>
        <w:pStyle w:val="7"/>
        <w:keepNext w:val="0"/>
        <w:keepLines w:val="0"/>
        <w:pageBreakBefore w:val="0"/>
        <w:widowControl w:val="0"/>
        <w:numPr>
          <w:ilvl w:val="0"/>
          <w:numId w:val="0"/>
        </w:numPr>
        <w:tabs>
          <w:tab w:val="left" w:pos="382"/>
        </w:tabs>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c.质保期外维修保养方案；</w:t>
      </w:r>
    </w:p>
    <w:p>
      <w:pPr>
        <w:pStyle w:val="7"/>
        <w:tabs>
          <w:tab w:val="left" w:pos="382"/>
        </w:tabs>
        <w:spacing w:line="360" w:lineRule="auto"/>
        <w:ind w:left="0" w:leftChars="0"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（4）优惠条款（注：</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提供的优惠条件必须在报价文件中明确列出，不包括报价优惠）</w:t>
      </w:r>
      <w:r>
        <w:rPr>
          <w:rFonts w:hint="eastAsia" w:ascii="仿宋" w:hAnsi="仿宋" w:eastAsia="仿宋" w:cs="仿宋"/>
          <w:color w:val="auto"/>
          <w:sz w:val="24"/>
          <w:highlight w:val="none"/>
          <w:lang w:eastAsia="zh-CN"/>
        </w:rPr>
        <w:t>；</w:t>
      </w:r>
    </w:p>
    <w:p>
      <w:pPr>
        <w:pStyle w:val="7"/>
        <w:tabs>
          <w:tab w:val="left" w:pos="382"/>
        </w:tabs>
        <w:spacing w:line="360" w:lineRule="auto"/>
        <w:ind w:left="0" w:leftChars="0"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w:t>
      </w:r>
      <w:r>
        <w:rPr>
          <w:rFonts w:ascii="仿宋" w:hAnsi="仿宋" w:eastAsia="仿宋" w:cs="仿宋"/>
          <w:color w:val="auto"/>
          <w:sz w:val="24"/>
          <w:highlight w:val="none"/>
        </w:rPr>
        <w:t>5</w:t>
      </w:r>
      <w:r>
        <w:rPr>
          <w:rFonts w:hint="eastAsia" w:ascii="仿宋" w:hAnsi="仿宋" w:eastAsia="仿宋" w:cs="仿宋"/>
          <w:color w:val="auto"/>
          <w:sz w:val="24"/>
          <w:highlight w:val="none"/>
        </w:rPr>
        <w:t>）商务条款偏离表（见附件）</w:t>
      </w:r>
      <w:r>
        <w:rPr>
          <w:rFonts w:hint="eastAsia" w:ascii="仿宋" w:hAnsi="仿宋" w:eastAsia="仿宋" w:cs="仿宋"/>
          <w:color w:val="auto"/>
          <w:sz w:val="24"/>
          <w:highlight w:val="none"/>
          <w:lang w:eastAsia="zh-CN"/>
        </w:rPr>
        <w:t>；</w:t>
      </w:r>
    </w:p>
    <w:p>
      <w:pPr>
        <w:pStyle w:val="7"/>
        <w:tabs>
          <w:tab w:val="left" w:pos="382"/>
        </w:tabs>
        <w:spacing w:line="360" w:lineRule="auto"/>
        <w:ind w:left="0" w:leftChars="0"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w:t>
      </w:r>
      <w:r>
        <w:rPr>
          <w:rFonts w:ascii="仿宋" w:hAnsi="仿宋" w:eastAsia="仿宋" w:cs="仿宋"/>
          <w:color w:val="auto"/>
          <w:sz w:val="24"/>
          <w:highlight w:val="none"/>
        </w:rPr>
        <w:t>6</w:t>
      </w:r>
      <w:r>
        <w:rPr>
          <w:rFonts w:hint="eastAsia" w:ascii="仿宋" w:hAnsi="仿宋" w:eastAsia="仿宋" w:cs="仿宋"/>
          <w:color w:val="auto"/>
          <w:sz w:val="24"/>
          <w:highlight w:val="none"/>
        </w:rPr>
        <w:t>）其他</w:t>
      </w:r>
      <w:r>
        <w:rPr>
          <w:rFonts w:hint="eastAsia" w:ascii="仿宋" w:hAnsi="仿宋" w:eastAsia="仿宋" w:cs="仿宋"/>
          <w:color w:val="auto"/>
          <w:sz w:val="24"/>
          <w:highlight w:val="none"/>
          <w:lang w:eastAsia="zh-CN"/>
        </w:rPr>
        <w:t>。</w:t>
      </w:r>
    </w:p>
    <w:p>
      <w:pPr>
        <w:rPr>
          <w:color w:val="auto"/>
          <w:highlight w:val="none"/>
        </w:rPr>
      </w:pPr>
    </w:p>
    <w:p>
      <w:pPr>
        <w:pStyle w:val="14"/>
        <w:spacing w:line="360" w:lineRule="auto"/>
        <w:ind w:left="1147" w:leftChars="272" w:hanging="576" w:hangingChars="239"/>
        <w:rPr>
          <w:rFonts w:ascii="仿宋" w:hAnsi="仿宋" w:eastAsia="仿宋" w:cs="仿宋"/>
          <w:b/>
          <w:color w:val="auto"/>
          <w:highlight w:val="none"/>
        </w:rPr>
      </w:pPr>
      <w:r>
        <w:rPr>
          <w:rFonts w:hint="eastAsia" w:ascii="仿宋" w:hAnsi="仿宋" w:eastAsia="仿宋" w:cs="仿宋"/>
          <w:b/>
          <w:color w:val="auto"/>
          <w:highlight w:val="none"/>
        </w:rPr>
        <w:t>9.</w:t>
      </w:r>
      <w:r>
        <w:rPr>
          <w:rFonts w:ascii="仿宋" w:hAnsi="仿宋" w:eastAsia="仿宋" w:cs="仿宋"/>
          <w:b/>
          <w:color w:val="auto"/>
          <w:highlight w:val="none"/>
        </w:rPr>
        <w:t>4</w:t>
      </w:r>
      <w:r>
        <w:rPr>
          <w:rFonts w:hint="eastAsia" w:ascii="仿宋" w:hAnsi="仿宋" w:eastAsia="仿宋" w:cs="仿宋"/>
          <w:b/>
          <w:color w:val="auto"/>
          <w:highlight w:val="none"/>
        </w:rPr>
        <w:t xml:space="preserve"> 资格、资质证明部分：</w:t>
      </w:r>
    </w:p>
    <w:p>
      <w:pPr>
        <w:pStyle w:val="2"/>
        <w:spacing w:after="0" w:line="360" w:lineRule="auto"/>
        <w:ind w:firstLine="571" w:firstLineChars="238"/>
        <w:rPr>
          <w:rFonts w:ascii="仿宋" w:hAnsi="仿宋" w:eastAsia="仿宋" w:cs="仿宋"/>
          <w:color w:val="auto"/>
          <w:szCs w:val="24"/>
          <w:highlight w:val="none"/>
        </w:rPr>
      </w:pPr>
      <w:r>
        <w:rPr>
          <w:rFonts w:hint="eastAsia" w:ascii="仿宋" w:hAnsi="仿宋" w:eastAsia="仿宋" w:cs="仿宋"/>
          <w:color w:val="auto"/>
          <w:szCs w:val="24"/>
          <w:highlight w:val="none"/>
        </w:rPr>
        <w:t>具体内容详见</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须知前附表第5条。</w:t>
      </w:r>
    </w:p>
    <w:p>
      <w:pPr>
        <w:pStyle w:val="2"/>
        <w:spacing w:after="0" w:line="360" w:lineRule="auto"/>
        <w:ind w:firstLine="573" w:firstLineChars="238"/>
        <w:rPr>
          <w:rFonts w:ascii="仿宋" w:hAnsi="仿宋" w:eastAsia="仿宋" w:cs="仿宋"/>
          <w:color w:val="auto"/>
          <w:szCs w:val="24"/>
          <w:highlight w:val="none"/>
        </w:rPr>
      </w:pPr>
      <w:r>
        <w:rPr>
          <w:rFonts w:hint="eastAsia" w:ascii="仿宋" w:hAnsi="仿宋" w:eastAsia="仿宋" w:cs="仿宋"/>
          <w:b/>
          <w:color w:val="auto"/>
          <w:highlight w:val="none"/>
        </w:rPr>
        <w:t>9.</w:t>
      </w:r>
      <w:r>
        <w:rPr>
          <w:rFonts w:ascii="仿宋" w:hAnsi="仿宋" w:eastAsia="仿宋" w:cs="仿宋"/>
          <w:b/>
          <w:color w:val="auto"/>
          <w:highlight w:val="none"/>
        </w:rPr>
        <w:t>5</w:t>
      </w:r>
      <w:r>
        <w:rPr>
          <w:rFonts w:hint="eastAsia" w:ascii="仿宋" w:hAnsi="仿宋" w:eastAsia="仿宋" w:cs="仿宋"/>
          <w:b/>
          <w:bCs w:val="0"/>
          <w:color w:val="auto"/>
          <w:highlight w:val="none"/>
        </w:rPr>
        <w:t xml:space="preserve"> </w:t>
      </w:r>
      <w:r>
        <w:rPr>
          <w:rFonts w:hint="eastAsia" w:ascii="仿宋" w:hAnsi="仿宋" w:eastAsia="仿宋" w:cs="仿宋"/>
          <w:b/>
          <w:bCs w:val="0"/>
          <w:color w:val="auto"/>
          <w:szCs w:val="24"/>
          <w:highlight w:val="none"/>
        </w:rPr>
        <w:t>投标文件应按上述目录顺序、内容逐一列出，标注“</w:t>
      </w:r>
      <w:r>
        <w:rPr>
          <w:rFonts w:hint="eastAsia" w:ascii="仿宋" w:hAnsi="仿宋" w:eastAsia="仿宋" w:cs="仿宋"/>
          <w:b/>
          <w:bCs w:val="0"/>
          <w:color w:val="auto"/>
          <w:highlight w:val="none"/>
        </w:rPr>
        <w:t>★</w:t>
      </w:r>
      <w:r>
        <w:rPr>
          <w:rFonts w:hint="eastAsia" w:ascii="仿宋" w:hAnsi="仿宋" w:eastAsia="仿宋" w:cs="仿宋"/>
          <w:b/>
          <w:bCs w:val="0"/>
          <w:color w:val="auto"/>
          <w:szCs w:val="24"/>
          <w:highlight w:val="none"/>
        </w:rPr>
        <w:t>”的内容如未提供将按无效投标处理。招标文件中未提供格式，</w:t>
      </w:r>
      <w:r>
        <w:rPr>
          <w:rFonts w:hint="eastAsia" w:ascii="仿宋" w:hAnsi="仿宋" w:eastAsia="仿宋" w:cs="仿宋"/>
          <w:b/>
          <w:bCs w:val="0"/>
          <w:color w:val="auto"/>
          <w:szCs w:val="24"/>
          <w:highlight w:val="none"/>
          <w:lang w:eastAsia="zh-CN"/>
        </w:rPr>
        <w:t>投标人</w:t>
      </w:r>
      <w:r>
        <w:rPr>
          <w:rFonts w:hint="eastAsia" w:ascii="仿宋" w:hAnsi="仿宋" w:eastAsia="仿宋" w:cs="仿宋"/>
          <w:b/>
          <w:bCs w:val="0"/>
          <w:color w:val="auto"/>
          <w:szCs w:val="24"/>
          <w:highlight w:val="none"/>
        </w:rPr>
        <w:t>可自拟格式。</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可以按上述顺序胶装装订在一起，</w:t>
      </w:r>
      <w:r>
        <w:rPr>
          <w:rFonts w:hint="eastAsia" w:ascii="仿宋" w:hAnsi="仿宋" w:eastAsia="仿宋" w:cs="仿宋"/>
          <w:color w:val="auto"/>
          <w:highlight w:val="none"/>
          <w:lang w:val="en-US" w:eastAsia="zh-CN"/>
        </w:rPr>
        <w:t>编制目录，</w:t>
      </w:r>
      <w:r>
        <w:rPr>
          <w:rFonts w:hint="eastAsia" w:ascii="仿宋" w:hAnsi="仿宋" w:eastAsia="仿宋" w:cs="仿宋"/>
          <w:color w:val="auto"/>
          <w:highlight w:val="none"/>
        </w:rPr>
        <w:t>在首页编制连续页码。因未按上述顺序装订或投标文件未胶装散页导致无法评审等，由此造成的评审问题由</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自行承担责任。</w:t>
      </w:r>
    </w:p>
    <w:p>
      <w:pPr>
        <w:pStyle w:val="2"/>
        <w:tabs>
          <w:tab w:val="left" w:pos="955"/>
        </w:tabs>
        <w:spacing w:after="0" w:line="360" w:lineRule="auto"/>
        <w:ind w:left="1146" w:leftChars="273" w:hanging="573" w:hangingChars="238"/>
        <w:rPr>
          <w:rFonts w:ascii="仿宋" w:hAnsi="仿宋" w:eastAsia="仿宋" w:cs="仿宋"/>
          <w:b/>
          <w:color w:val="auto"/>
          <w:highlight w:val="none"/>
        </w:rPr>
      </w:pPr>
      <w:r>
        <w:rPr>
          <w:rFonts w:hint="eastAsia" w:ascii="仿宋" w:hAnsi="仿宋" w:eastAsia="仿宋" w:cs="仿宋"/>
          <w:b/>
          <w:color w:val="auto"/>
          <w:highlight w:val="none"/>
        </w:rPr>
        <w:t>10.  投标报价</w:t>
      </w:r>
      <w:bookmarkEnd w:id="68"/>
      <w:bookmarkEnd w:id="69"/>
      <w:bookmarkEnd w:id="70"/>
    </w:p>
    <w:p>
      <w:pPr>
        <w:pStyle w:val="2"/>
        <w:spacing w:after="0" w:line="360" w:lineRule="auto"/>
        <w:ind w:firstLine="573" w:firstLineChars="238"/>
        <w:rPr>
          <w:rFonts w:ascii="仿宋" w:hAnsi="仿宋" w:eastAsia="仿宋" w:cs="仿宋"/>
          <w:b/>
          <w:color w:val="auto"/>
          <w:highlight w:val="none"/>
        </w:rPr>
      </w:pPr>
      <w:r>
        <w:rPr>
          <w:rFonts w:hint="eastAsia" w:ascii="仿宋" w:hAnsi="仿宋" w:eastAsia="仿宋" w:cs="仿宋"/>
          <w:b/>
          <w:color w:val="auto"/>
          <w:highlight w:val="none"/>
        </w:rPr>
        <w:t>10.1</w:t>
      </w:r>
      <w:r>
        <w:rPr>
          <w:rFonts w:hint="eastAsia" w:ascii="仿宋" w:hAnsi="仿宋" w:eastAsia="仿宋" w:cs="仿宋"/>
          <w:b/>
          <w:bCs/>
          <w:color w:val="auto"/>
          <w:highlight w:val="none"/>
        </w:rPr>
        <w:t>本次投标报价为一次性报价。币种为人民币。</w:t>
      </w:r>
      <w:r>
        <w:rPr>
          <w:rFonts w:hint="eastAsia" w:ascii="仿宋_GB2312" w:hAnsi="仿宋" w:eastAsia="仿宋_GB2312"/>
          <w:b/>
          <w:bCs/>
          <w:color w:val="auto"/>
          <w:sz w:val="24"/>
          <w:szCs w:val="22"/>
          <w:highlight w:val="none"/>
          <w:lang w:val="en-US" w:eastAsia="zh-CN"/>
        </w:rPr>
        <w:t>本项目为交钥匙项目，报价包括所有设备的设备费、材料费、运杂费、装卸费、保险费、安装费、辅材、调试、检测费、技术培训费、管理费等以及双方正式移交前的全部费用，同时包含保养费用、售后服务费用，并考虑合同的所有责任、义务和除不可抗力以外的一切风险因素,包含但不限于保证货物正常运转的所有备品备件清单等全部费用</w:t>
      </w:r>
      <w:r>
        <w:rPr>
          <w:rFonts w:hint="eastAsia" w:ascii="仿宋" w:hAnsi="仿宋" w:eastAsia="仿宋" w:cs="仿宋"/>
          <w:b/>
          <w:bCs/>
          <w:color w:val="auto"/>
          <w:highlight w:val="none"/>
        </w:rPr>
        <w:t>，报价币种为人民币。</w:t>
      </w:r>
    </w:p>
    <w:p>
      <w:pPr>
        <w:pStyle w:val="2"/>
        <w:spacing w:after="0" w:line="360" w:lineRule="auto"/>
        <w:ind w:firstLine="573" w:firstLineChars="238"/>
        <w:rPr>
          <w:rFonts w:ascii="仿宋" w:hAnsi="仿宋" w:eastAsia="仿宋" w:cs="仿宋"/>
          <w:b/>
          <w:color w:val="auto"/>
          <w:highlight w:val="none"/>
        </w:rPr>
      </w:pPr>
      <w:r>
        <w:rPr>
          <w:rFonts w:hint="eastAsia" w:ascii="仿宋" w:hAnsi="仿宋" w:eastAsia="仿宋" w:cs="仿宋"/>
          <w:b/>
          <w:color w:val="auto"/>
          <w:highlight w:val="none"/>
        </w:rPr>
        <w:t>10.2</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限报一种方案报价，</w:t>
      </w:r>
      <w:r>
        <w:rPr>
          <w:rFonts w:hint="eastAsia" w:ascii="仿宋" w:hAnsi="仿宋" w:eastAsia="仿宋" w:cs="仿宋"/>
          <w:b/>
          <w:color w:val="auto"/>
          <w:highlight w:val="none"/>
          <w:lang w:eastAsia="zh-CN"/>
        </w:rPr>
        <w:t>采购人</w:t>
      </w:r>
      <w:r>
        <w:rPr>
          <w:rFonts w:hint="eastAsia" w:ascii="仿宋" w:hAnsi="仿宋" w:eastAsia="仿宋" w:cs="仿宋"/>
          <w:b/>
          <w:color w:val="auto"/>
          <w:highlight w:val="none"/>
        </w:rPr>
        <w:t>不接受可选择的投标方案和报价；</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对投标报价作出优惠的，其投标文件及开标一览表中的投标报价均应为优惠后的最终报价。</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对报价若有说明应在报价明细表和开标一览表中注明，否则该说明不予认可。</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10.3</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应按照招标文件附件提供的报价表格格式填写。</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10.4</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提供的软/硬件产品要求在中华人民共和国境内拥有合法的使用权和版权，</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应拥有合法的软件使用许可。</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应在投标文件中对此予以响应。</w:t>
      </w:r>
    </w:p>
    <w:p>
      <w:pPr>
        <w:pStyle w:val="2"/>
        <w:spacing w:after="0" w:line="360" w:lineRule="auto"/>
        <w:ind w:firstLine="573" w:firstLineChars="238"/>
        <w:rPr>
          <w:rFonts w:ascii="仿宋" w:hAnsi="仿宋" w:eastAsia="仿宋" w:cs="仿宋"/>
          <w:color w:val="auto"/>
          <w:highlight w:val="none"/>
        </w:rPr>
      </w:pPr>
      <w:r>
        <w:rPr>
          <w:rFonts w:hint="eastAsia" w:ascii="仿宋" w:hAnsi="仿宋" w:eastAsia="仿宋" w:cs="仿宋"/>
          <w:b/>
          <w:color w:val="auto"/>
          <w:highlight w:val="none"/>
        </w:rPr>
        <w:t>10.5</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的投标报价明显低于其他</w:t>
      </w:r>
      <w:r>
        <w:rPr>
          <w:rFonts w:hint="eastAsia" w:ascii="仿宋" w:hAnsi="仿宋" w:eastAsia="仿宋" w:cs="仿宋"/>
          <w:b/>
          <w:color w:val="auto"/>
          <w:szCs w:val="24"/>
          <w:highlight w:val="none"/>
        </w:rPr>
        <w:t>通过符合性审查</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的报价，有可能影响商品质量和不能诚信履约的，评标委员会有权要求其在规定的时间内提供书面文件予以解释说明，并提交相关证明材料；否则，</w:t>
      </w:r>
      <w:r>
        <w:rPr>
          <w:rFonts w:hint="eastAsia" w:ascii="仿宋" w:hAnsi="仿宋" w:eastAsia="仿宋" w:cs="仿宋"/>
          <w:b/>
          <w:bCs/>
          <w:color w:val="auto"/>
          <w:highlight w:val="none"/>
        </w:rPr>
        <w:t>评标委员会可以将其按无效投标处理</w:t>
      </w:r>
      <w:r>
        <w:rPr>
          <w:rFonts w:hint="eastAsia" w:ascii="仿宋" w:hAnsi="仿宋" w:eastAsia="仿宋" w:cs="仿宋"/>
          <w:b/>
          <w:color w:val="auto"/>
          <w:highlight w:val="none"/>
        </w:rPr>
        <w:t>。</w:t>
      </w:r>
    </w:p>
    <w:p>
      <w:pPr>
        <w:pStyle w:val="2"/>
        <w:spacing w:after="0" w:line="360" w:lineRule="auto"/>
        <w:ind w:left="1146" w:leftChars="273" w:hanging="573" w:hangingChars="238"/>
        <w:rPr>
          <w:rFonts w:ascii="仿宋" w:hAnsi="仿宋" w:eastAsia="仿宋" w:cs="仿宋"/>
          <w:b/>
          <w:bCs/>
          <w:color w:val="auto"/>
          <w:highlight w:val="none"/>
        </w:rPr>
      </w:pPr>
      <w:bookmarkStart w:id="71" w:name="_Toc346306753"/>
      <w:bookmarkStart w:id="72" w:name="_Toc346372900"/>
      <w:bookmarkStart w:id="73" w:name="_Toc352332874"/>
      <w:r>
        <w:rPr>
          <w:rFonts w:hint="eastAsia" w:ascii="仿宋" w:hAnsi="仿宋" w:eastAsia="仿宋" w:cs="仿宋"/>
          <w:b/>
          <w:bCs/>
          <w:color w:val="auto"/>
          <w:highlight w:val="none"/>
        </w:rPr>
        <w:t>11.  投标文件编写</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11.1投标文件应按“投标文件组成”进行编写，如有必要，可以增加附页，作为投标文件的组成部分。</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11.2投标文件应用不褪色的材料打印或复印。</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11.3投标文件应尽量避免涂改、行间插字或删除。如果出现上述情况，改动之处应加盖单位章或由</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的法定代表人或其委托代理人签字确认。</w:t>
      </w:r>
    </w:p>
    <w:p>
      <w:pPr>
        <w:pStyle w:val="2"/>
        <w:spacing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11.4</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须如实响应招标文件要求，在投标文件中如实提供其服务方案。</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不得复制粘贴招标文件中的商务及服务要求作为其投标文件的响应情况，否则，评标委员会有权作出不利于</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的认定。</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11.5</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提供的支持资料和已印刷的文献（如有关服务的技术部分）可以用另一种语言，但相应内容应附有中文翻译本或中外文对照，在解释投标文件时以中文翻译本为准。若</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的中文翻译本与外文版明显不符的，则评标委员会有权作出不利于</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的认定。</w:t>
      </w:r>
    </w:p>
    <w:p>
      <w:pPr>
        <w:pStyle w:val="2"/>
        <w:spacing w:after="0" w:line="360" w:lineRule="auto"/>
        <w:ind w:firstLine="571" w:firstLineChars="238"/>
        <w:rPr>
          <w:rFonts w:ascii="仿宋" w:hAnsi="仿宋" w:eastAsia="仿宋" w:cs="仿宋"/>
          <w:dstrike/>
          <w:color w:val="auto"/>
          <w:highlight w:val="none"/>
        </w:rPr>
      </w:pPr>
      <w:r>
        <w:rPr>
          <w:rFonts w:hint="eastAsia" w:ascii="仿宋" w:hAnsi="仿宋" w:eastAsia="仿宋" w:cs="仿宋"/>
          <w:color w:val="auto"/>
          <w:highlight w:val="none"/>
        </w:rPr>
        <w:t>11.6</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须注意：为合理节约政府采购评审成本，提倡诚实信用的投标行为，特别要求</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应本着诚信精神，在本次投标文件的偏离表中，均以审慎的态度明确、清楚地披露各项偏离。若</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对某一事项是否存在或是否属于偏离不能确定，亦必须在偏离表中清楚地表明该偏离事项，并可以注明不能确定的字样。</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12.  投标文件签署</w:t>
      </w:r>
    </w:p>
    <w:p>
      <w:pPr>
        <w:pStyle w:val="2"/>
        <w:spacing w:after="0" w:line="360" w:lineRule="auto"/>
        <w:ind w:firstLine="573" w:firstLineChars="238"/>
        <w:rPr>
          <w:rFonts w:ascii="仿宋" w:hAnsi="仿宋" w:eastAsia="仿宋" w:cs="仿宋"/>
          <w:b/>
          <w:color w:val="auto"/>
          <w:highlight w:val="none"/>
        </w:rPr>
      </w:pPr>
      <w:r>
        <w:rPr>
          <w:rFonts w:hint="eastAsia" w:ascii="仿宋" w:hAnsi="仿宋" w:eastAsia="仿宋" w:cs="仿宋"/>
          <w:b/>
          <w:color w:val="auto"/>
          <w:highlight w:val="none"/>
        </w:rPr>
        <w:t>投标文件应按招标文件要求加盖投标单位公章（不得使用其他形式如带有“专用章”等字样的印章）并经法定代表人或其委托代理人签署，由委托代理人签字的投标文件中须附授权委托书。</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代表必须按招标文件的规定</w:t>
      </w:r>
      <w:r>
        <w:rPr>
          <w:rFonts w:hint="eastAsia" w:ascii="仿宋" w:hAnsi="仿宋" w:eastAsia="仿宋" w:cs="仿宋"/>
          <w:b/>
          <w:color w:val="auto"/>
          <w:highlight w:val="none"/>
          <w:lang w:eastAsia="zh-CN"/>
        </w:rPr>
        <w:t>在</w:t>
      </w:r>
      <w:r>
        <w:rPr>
          <w:rFonts w:hint="eastAsia" w:ascii="仿宋" w:hAnsi="仿宋" w:eastAsia="仿宋" w:cs="仿宋"/>
          <w:b/>
          <w:color w:val="auto"/>
          <w:highlight w:val="none"/>
        </w:rPr>
        <w:t>投标文件正本</w:t>
      </w:r>
      <w:r>
        <w:rPr>
          <w:rFonts w:hint="eastAsia" w:ascii="仿宋" w:hAnsi="仿宋" w:eastAsia="仿宋" w:cs="仿宋"/>
          <w:b/>
          <w:color w:val="auto"/>
          <w:highlight w:val="none"/>
          <w:lang w:eastAsia="zh-CN"/>
        </w:rPr>
        <w:t>副本、开标一览表（及各</w:t>
      </w:r>
      <w:r>
        <w:rPr>
          <w:rFonts w:hint="eastAsia" w:ascii="仿宋" w:hAnsi="仿宋" w:eastAsia="仿宋" w:cs="仿宋"/>
          <w:b/>
          <w:color w:val="auto"/>
          <w:highlight w:val="none"/>
        </w:rPr>
        <w:t>附件</w:t>
      </w:r>
      <w:r>
        <w:rPr>
          <w:rFonts w:hint="eastAsia" w:ascii="仿宋" w:hAnsi="仿宋" w:eastAsia="仿宋" w:cs="仿宋"/>
          <w:b/>
          <w:color w:val="auto"/>
          <w:highlight w:val="none"/>
          <w:lang w:eastAsia="zh-CN"/>
        </w:rPr>
        <w:t>中指定位置）签字并</w:t>
      </w:r>
      <w:r>
        <w:rPr>
          <w:rFonts w:hint="eastAsia" w:ascii="仿宋" w:hAnsi="仿宋" w:eastAsia="仿宋" w:cs="仿宋"/>
          <w:b/>
          <w:color w:val="auto"/>
          <w:highlight w:val="none"/>
        </w:rPr>
        <w:t>加盖投标单位公章，副本可用正本复印件。未按</w:t>
      </w:r>
      <w:r>
        <w:rPr>
          <w:rFonts w:hint="eastAsia" w:ascii="仿宋" w:hAnsi="仿宋" w:eastAsia="仿宋" w:cs="仿宋"/>
          <w:b/>
          <w:color w:val="auto"/>
          <w:highlight w:val="none"/>
          <w:lang w:eastAsia="zh-CN"/>
        </w:rPr>
        <w:t>规定</w:t>
      </w:r>
      <w:r>
        <w:rPr>
          <w:rFonts w:hint="eastAsia" w:ascii="仿宋" w:hAnsi="仿宋" w:eastAsia="仿宋" w:cs="仿宋"/>
          <w:b/>
          <w:color w:val="auto"/>
          <w:highlight w:val="none"/>
        </w:rPr>
        <w:t>签署及盖章的投标文件</w:t>
      </w:r>
      <w:r>
        <w:rPr>
          <w:rFonts w:hint="eastAsia" w:ascii="仿宋" w:hAnsi="仿宋" w:eastAsia="仿宋" w:cs="仿宋"/>
          <w:b/>
          <w:color w:val="auto"/>
          <w:highlight w:val="none"/>
          <w:lang w:eastAsia="zh-CN"/>
        </w:rPr>
        <w:t>视为</w:t>
      </w:r>
      <w:r>
        <w:rPr>
          <w:rFonts w:hint="eastAsia" w:ascii="仿宋" w:hAnsi="仿宋" w:eastAsia="仿宋" w:cs="仿宋"/>
          <w:b/>
          <w:color w:val="auto"/>
          <w:highlight w:val="none"/>
        </w:rPr>
        <w:t>无效</w:t>
      </w:r>
      <w:r>
        <w:rPr>
          <w:rFonts w:hint="eastAsia" w:ascii="仿宋" w:hAnsi="仿宋" w:eastAsia="仿宋" w:cs="仿宋"/>
          <w:b/>
          <w:color w:val="auto"/>
          <w:highlight w:val="none"/>
          <w:lang w:eastAsia="zh-CN"/>
        </w:rPr>
        <w:t>投标</w:t>
      </w:r>
      <w:r>
        <w:rPr>
          <w:rFonts w:hint="eastAsia" w:ascii="仿宋" w:hAnsi="仿宋" w:eastAsia="仿宋" w:cs="仿宋"/>
          <w:b/>
          <w:color w:val="auto"/>
          <w:highlight w:val="none"/>
        </w:rPr>
        <w:t>。</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13.  投标文件密封和标记</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13.1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应准备的投标文件份数见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应在每一份投标文件上注明“正本”或“副本”字样。</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13.2投标文件的密封和标记详见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13.3如果</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未按上述要求对投标文件密封及加写标记，</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及招标代理对投标文件的误投和提前启封概不负责。对由此造成提前开封的投标文件，</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及招标代理有权予以拒绝，并退回</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14.  投标文件装订</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15.  投标保证金</w:t>
      </w:r>
    </w:p>
    <w:p>
      <w:pPr>
        <w:pStyle w:val="2"/>
        <w:spacing w:after="0" w:line="360" w:lineRule="auto"/>
        <w:ind w:firstLine="573" w:firstLineChars="238"/>
        <w:rPr>
          <w:rFonts w:ascii="仿宋" w:hAnsi="仿宋" w:eastAsia="仿宋" w:cs="仿宋"/>
          <w:color w:val="auto"/>
          <w:highlight w:val="none"/>
        </w:rPr>
      </w:pPr>
      <w:r>
        <w:rPr>
          <w:rFonts w:hint="eastAsia" w:ascii="仿宋" w:hAnsi="仿宋" w:eastAsia="仿宋" w:cs="仿宋"/>
          <w:b/>
          <w:bCs/>
          <w:snapToGrid w:val="0"/>
          <w:color w:val="auto"/>
          <w:highlight w:val="none"/>
        </w:rPr>
        <w:t>本次投标对信用良好的投标人不收取保证金。</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16.  投标有效期</w:t>
      </w:r>
    </w:p>
    <w:p>
      <w:pPr>
        <w:pStyle w:val="2"/>
        <w:spacing w:after="0" w:line="360" w:lineRule="auto"/>
        <w:ind w:firstLine="573" w:firstLineChars="238"/>
        <w:rPr>
          <w:rFonts w:ascii="仿宋" w:hAnsi="仿宋" w:eastAsia="仿宋" w:cs="仿宋"/>
          <w:b/>
          <w:color w:val="auto"/>
          <w:highlight w:val="none"/>
        </w:rPr>
      </w:pPr>
      <w:r>
        <w:rPr>
          <w:rFonts w:hint="eastAsia" w:ascii="仿宋" w:hAnsi="仿宋" w:eastAsia="仿宋" w:cs="仿宋"/>
          <w:b/>
          <w:snapToGrid w:val="0"/>
          <w:color w:val="auto"/>
          <w:highlight w:val="none"/>
        </w:rPr>
        <w:t>16.1 本项目投标有效期见</w:t>
      </w:r>
      <w:r>
        <w:rPr>
          <w:rFonts w:hint="eastAsia" w:ascii="仿宋" w:hAnsi="仿宋" w:eastAsia="仿宋" w:cs="仿宋"/>
          <w:b/>
          <w:snapToGrid w:val="0"/>
          <w:color w:val="auto"/>
          <w:highlight w:val="none"/>
          <w:lang w:eastAsia="zh-CN"/>
        </w:rPr>
        <w:t>投标人</w:t>
      </w:r>
      <w:r>
        <w:rPr>
          <w:rFonts w:hint="eastAsia" w:ascii="仿宋" w:hAnsi="仿宋" w:eastAsia="仿宋" w:cs="仿宋"/>
          <w:b/>
          <w:snapToGrid w:val="0"/>
          <w:color w:val="auto"/>
          <w:highlight w:val="none"/>
        </w:rPr>
        <w:t>须知前附表。投标函的有效期应</w:t>
      </w:r>
      <w:r>
        <w:rPr>
          <w:rFonts w:hint="eastAsia" w:ascii="仿宋" w:hAnsi="仿宋" w:eastAsia="仿宋" w:cs="仿宋"/>
          <w:b/>
          <w:snapToGrid w:val="0"/>
          <w:color w:val="auto"/>
          <w:highlight w:val="none"/>
          <w:lang w:eastAsia="zh-CN"/>
        </w:rPr>
        <w:t>不少于</w:t>
      </w:r>
      <w:r>
        <w:rPr>
          <w:rFonts w:hint="eastAsia" w:ascii="仿宋" w:hAnsi="仿宋" w:eastAsia="仿宋" w:cs="仿宋"/>
          <w:b/>
          <w:snapToGrid w:val="0"/>
          <w:color w:val="auto"/>
          <w:highlight w:val="none"/>
        </w:rPr>
        <w:t>本须知规定的有效期，否则</w:t>
      </w:r>
      <w:r>
        <w:rPr>
          <w:rFonts w:hint="eastAsia" w:ascii="仿宋" w:hAnsi="仿宋" w:eastAsia="仿宋" w:cs="仿宋"/>
          <w:b/>
          <w:snapToGrid w:val="0"/>
          <w:color w:val="auto"/>
          <w:highlight w:val="none"/>
          <w:lang w:eastAsia="zh-CN"/>
        </w:rPr>
        <w:t>采购人</w:t>
      </w:r>
      <w:r>
        <w:rPr>
          <w:rFonts w:hint="eastAsia" w:ascii="仿宋" w:hAnsi="仿宋" w:eastAsia="仿宋" w:cs="仿宋"/>
          <w:b/>
          <w:snapToGrid w:val="0"/>
          <w:color w:val="auto"/>
          <w:highlight w:val="none"/>
        </w:rPr>
        <w:t>有权拒绝，视为非实质性响应</w:t>
      </w:r>
      <w:r>
        <w:rPr>
          <w:rFonts w:hint="eastAsia" w:ascii="仿宋" w:hAnsi="仿宋" w:eastAsia="仿宋" w:cs="仿宋"/>
          <w:b/>
          <w:color w:val="auto"/>
          <w:highlight w:val="none"/>
        </w:rPr>
        <w:t>。</w:t>
      </w:r>
    </w:p>
    <w:p>
      <w:pPr>
        <w:pStyle w:val="2"/>
        <w:spacing w:after="0" w:line="360" w:lineRule="auto"/>
        <w:ind w:firstLine="571" w:firstLineChars="238"/>
        <w:rPr>
          <w:rFonts w:hint="eastAsia" w:ascii="仿宋" w:hAnsi="仿宋" w:eastAsia="仿宋" w:cs="仿宋"/>
          <w:color w:val="auto"/>
          <w:highlight w:val="none"/>
        </w:rPr>
      </w:pPr>
      <w:r>
        <w:rPr>
          <w:rFonts w:hint="eastAsia" w:ascii="仿宋" w:hAnsi="仿宋" w:eastAsia="仿宋" w:cs="仿宋"/>
          <w:color w:val="auto"/>
          <w:highlight w:val="none"/>
        </w:rPr>
        <w:t>16.2 特殊情况下，在投标有效期满之前，代理机构</w:t>
      </w:r>
      <w:r>
        <w:rPr>
          <w:rFonts w:hint="eastAsia" w:ascii="仿宋" w:hAnsi="仿宋" w:eastAsia="仿宋" w:cs="仿宋"/>
          <w:color w:val="auto"/>
          <w:highlight w:val="none"/>
          <w:lang w:eastAsia="zh-CN"/>
        </w:rPr>
        <w:t>或采购人</w:t>
      </w:r>
      <w:r>
        <w:rPr>
          <w:rFonts w:hint="eastAsia" w:ascii="仿宋" w:hAnsi="仿宋" w:eastAsia="仿宋" w:cs="仿宋"/>
          <w:color w:val="auto"/>
          <w:highlight w:val="none"/>
        </w:rPr>
        <w:t>可以以书面形式要求</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同意延长投标有效期。</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可以以书面形式拒绝或接受上述要求。拒绝延长投标有效期的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有权收回投标保证金；同意延长投标有效期的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应当相应延长其投标保证金的有效期，但不得修改投标文件的实质性内容。</w:t>
      </w:r>
    </w:p>
    <w:p>
      <w:pPr>
        <w:pStyle w:val="2"/>
        <w:spacing w:after="0" w:line="360" w:lineRule="auto"/>
        <w:ind w:firstLine="573" w:firstLineChars="238"/>
        <w:rPr>
          <w:rFonts w:hint="eastAsia" w:ascii="仿宋" w:hAnsi="仿宋" w:eastAsia="仿宋" w:cs="仿宋"/>
          <w:b/>
          <w:bCs/>
          <w:color w:val="auto"/>
          <w:highlight w:val="none"/>
        </w:rPr>
      </w:pPr>
      <w:r>
        <w:rPr>
          <w:rFonts w:hint="eastAsia" w:ascii="仿宋" w:hAnsi="仿宋" w:eastAsia="仿宋" w:cs="仿宋"/>
          <w:b/>
          <w:bCs/>
          <w:color w:val="auto"/>
          <w:highlight w:val="none"/>
        </w:rPr>
        <w:t>16.3 递交投标文件时需同时单独提供法定代表人授权委托书复印件【法定代表人亲自参加的须提供法定代表人声明书（声明书格式自拟）原件、身份证原件及复印件】、受托人身份证原件及复印件</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否则投标文件将不予接受。</w:t>
      </w:r>
    </w:p>
    <w:p>
      <w:pPr>
        <w:pStyle w:val="5"/>
        <w:spacing w:before="120" w:after="120" w:line="360" w:lineRule="auto"/>
        <w:ind w:firstLine="516" w:firstLineChars="214"/>
        <w:rPr>
          <w:rFonts w:ascii="仿宋" w:hAnsi="仿宋" w:eastAsia="仿宋" w:cs="仿宋"/>
          <w:color w:val="auto"/>
          <w:szCs w:val="24"/>
          <w:highlight w:val="none"/>
        </w:rPr>
      </w:pPr>
      <w:bookmarkStart w:id="74" w:name="_Toc1430"/>
      <w:r>
        <w:rPr>
          <w:rFonts w:hint="eastAsia" w:ascii="仿宋" w:hAnsi="仿宋" w:eastAsia="仿宋" w:cs="仿宋"/>
          <w:color w:val="auto"/>
          <w:szCs w:val="24"/>
          <w:highlight w:val="none"/>
        </w:rPr>
        <w:t>四、投标文件递交</w:t>
      </w:r>
      <w:bookmarkEnd w:id="74"/>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17.  投标文件递交时间和地点</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17.1 投标文件递交截止时间及递交地点详见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代表必须在投标截止时间前将投标文件送达指定地点。如因招标文件的修改推迟投标截止日期的，则按代理机构另行通知规定的时间递交。</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17.3 代理机构不接收投标截止时间后送达的投标文件。</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18.  投标文件签收</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18.1 本项目只接受书面形式的投标，其他形式的投标不予接收。</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18.2 投标截止时间后对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已提交的投标文件不予退还。</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19.  投标文件修改与撤回</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 xml:space="preserve">19.1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在招标文件要求提交投标文件的截止时间前，可以修改或者撤回已提交的投标文件，并书面形式通知代理机构。</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19.2 任何修改内容必须由</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的法定代表人或其委托代理人签字，不得涂抹。经法定代表人或其委托代理人正式签署的修改文件组成投标文件的一部分，份数和密封要求同投标文件一致。</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19.3 投标截止时间后不允许对投标文件做实质性修改。</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19.4投标有效期内不得撤回投标，否则其投标保证金不予退还。</w:t>
      </w:r>
    </w:p>
    <w:p>
      <w:pPr>
        <w:pStyle w:val="5"/>
        <w:spacing w:before="120" w:after="120" w:line="360" w:lineRule="auto"/>
        <w:ind w:firstLine="516" w:firstLineChars="214"/>
        <w:rPr>
          <w:rFonts w:ascii="仿宋" w:hAnsi="仿宋" w:eastAsia="仿宋" w:cs="仿宋"/>
          <w:color w:val="auto"/>
          <w:szCs w:val="24"/>
          <w:highlight w:val="none"/>
        </w:rPr>
      </w:pPr>
      <w:bookmarkStart w:id="75" w:name="_Toc7538"/>
      <w:r>
        <w:rPr>
          <w:rFonts w:hint="eastAsia" w:ascii="仿宋" w:hAnsi="仿宋" w:eastAsia="仿宋" w:cs="仿宋"/>
          <w:color w:val="auto"/>
          <w:szCs w:val="24"/>
          <w:highlight w:val="none"/>
        </w:rPr>
        <w:t>五、开标与评标</w:t>
      </w:r>
      <w:bookmarkEnd w:id="75"/>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本次招标的开标、评标由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委托的</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依法组织实施。</w:t>
      </w:r>
    </w:p>
    <w:p>
      <w:pPr>
        <w:pStyle w:val="2"/>
        <w:tabs>
          <w:tab w:val="left" w:pos="955"/>
        </w:tabs>
        <w:spacing w:after="0" w:line="360" w:lineRule="auto"/>
        <w:ind w:left="1146" w:leftChars="273" w:hanging="573" w:hangingChars="238"/>
        <w:rPr>
          <w:rFonts w:ascii="仿宋" w:hAnsi="仿宋" w:eastAsia="仿宋" w:cs="仿宋"/>
          <w:b/>
          <w:color w:val="auto"/>
          <w:highlight w:val="none"/>
        </w:rPr>
      </w:pPr>
      <w:r>
        <w:rPr>
          <w:rFonts w:hint="eastAsia" w:ascii="仿宋" w:hAnsi="仿宋" w:eastAsia="仿宋" w:cs="仿宋"/>
          <w:b/>
          <w:color w:val="auto"/>
          <w:highlight w:val="none"/>
        </w:rPr>
        <w:t>20.  开标</w:t>
      </w:r>
      <w:bookmarkEnd w:id="71"/>
      <w:bookmarkEnd w:id="72"/>
      <w:bookmarkEnd w:id="73"/>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20.1 本项目开标时间和地点见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须知前附表。开标会议由代理机构组织并主持。参加</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代表应签名报到，以证明其出席开标会议，未出席开标会议的视同为默认开标结果。</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授权代理人、公证员/律师（如有）及有关工作人员参加。</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20.2</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推选的代表或公证员/律师（如有）共同对投标文件的密封情况进行检查，并现场宣布检查结果。</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20.3经检查无误后，由代理机构工作人员现场拆封，由唱标员宣读开标一览表，投标单位授权代表现场。确认</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若有报价和优惠未被唱出，应在开标时及时声明或提请注意，否则</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对此不承担任何责任。</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20.4唱标记录表由参加开标的各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代表和相关工作人员签字确认。</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76" w:name="_Toc346306754"/>
      <w:bookmarkStart w:id="77" w:name="_Toc346372901"/>
      <w:bookmarkStart w:id="78" w:name="_Toc352332875"/>
      <w:r>
        <w:rPr>
          <w:rFonts w:hint="eastAsia" w:ascii="仿宋" w:hAnsi="仿宋" w:eastAsia="仿宋" w:cs="仿宋"/>
          <w:b/>
          <w:color w:val="auto"/>
          <w:highlight w:val="none"/>
        </w:rPr>
        <w:t>21.  评标委员会</w:t>
      </w:r>
      <w:bookmarkEnd w:id="76"/>
      <w:bookmarkEnd w:id="77"/>
      <w:bookmarkEnd w:id="78"/>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评标委员会由五人及以上单数组成，其中经济、技术等方面的专家不少于三分之二。评标委员会的组成见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须知前附表，评标委员会负责对投标文件进行审查、评审，提出书面评标报告</w:t>
      </w:r>
      <w:r>
        <w:rPr>
          <w:rFonts w:hint="eastAsia" w:ascii="仿宋" w:hAnsi="仿宋" w:eastAsia="仿宋" w:cs="仿宋"/>
          <w:color w:val="auto"/>
          <w:szCs w:val="24"/>
          <w:highlight w:val="none"/>
        </w:rPr>
        <w:t>，</w:t>
      </w:r>
      <w:r>
        <w:rPr>
          <w:rFonts w:hint="eastAsia" w:ascii="仿宋" w:hAnsi="仿宋" w:eastAsia="仿宋" w:cs="仿宋"/>
          <w:color w:val="auto"/>
          <w:sz w:val="24"/>
          <w:highlight w:val="none"/>
        </w:rPr>
        <w:t>推荐中标候选人</w:t>
      </w:r>
      <w:r>
        <w:rPr>
          <w:rFonts w:hint="eastAsia" w:ascii="仿宋" w:hAnsi="仿宋" w:eastAsia="仿宋" w:cs="仿宋"/>
          <w:color w:val="auto"/>
          <w:sz w:val="24"/>
          <w:highlight w:val="none"/>
          <w:lang w:eastAsia="zh-CN"/>
        </w:rPr>
        <w:t>名单或</w:t>
      </w:r>
      <w:r>
        <w:rPr>
          <w:rFonts w:hint="eastAsia" w:ascii="仿宋" w:hAnsi="仿宋" w:eastAsia="仿宋" w:cs="仿宋"/>
          <w:color w:val="auto"/>
          <w:sz w:val="24"/>
          <w:highlight w:val="none"/>
        </w:rPr>
        <w:t>经采购人委托直接确定的中标人</w:t>
      </w:r>
      <w:r>
        <w:rPr>
          <w:rFonts w:hint="eastAsia" w:ascii="仿宋" w:hAnsi="仿宋" w:eastAsia="仿宋" w:cs="仿宋"/>
          <w:color w:val="auto"/>
          <w:highlight w:val="none"/>
        </w:rPr>
        <w:t>。</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79" w:name="_Toc346306755"/>
      <w:bookmarkStart w:id="80" w:name="_Toc352332876"/>
      <w:bookmarkStart w:id="81" w:name="_Toc346372902"/>
      <w:r>
        <w:rPr>
          <w:rFonts w:hint="eastAsia" w:ascii="仿宋" w:hAnsi="仿宋" w:eastAsia="仿宋" w:cs="仿宋"/>
          <w:b/>
          <w:color w:val="auto"/>
          <w:highlight w:val="none"/>
        </w:rPr>
        <w:t>22.  评标原则</w:t>
      </w:r>
      <w:bookmarkEnd w:id="79"/>
      <w:bookmarkEnd w:id="80"/>
      <w:bookmarkEnd w:id="81"/>
    </w:p>
    <w:p>
      <w:pPr>
        <w:pStyle w:val="2"/>
        <w:spacing w:after="0" w:line="360" w:lineRule="auto"/>
        <w:ind w:firstLine="600" w:firstLineChars="250"/>
        <w:rPr>
          <w:rFonts w:ascii="仿宋" w:hAnsi="仿宋" w:eastAsia="仿宋" w:cs="仿宋"/>
          <w:color w:val="auto"/>
          <w:highlight w:val="none"/>
        </w:rPr>
      </w:pPr>
      <w:bookmarkStart w:id="82" w:name="_Toc352332877"/>
      <w:bookmarkStart w:id="83" w:name="_Toc346306756"/>
      <w:bookmarkStart w:id="84" w:name="_Toc346372903"/>
      <w:r>
        <w:rPr>
          <w:rFonts w:hint="eastAsia" w:ascii="仿宋" w:hAnsi="仿宋" w:eastAsia="仿宋" w:cs="仿宋"/>
          <w:color w:val="auto"/>
          <w:highlight w:val="none"/>
        </w:rPr>
        <w:t>“客观、公正、审慎”为本次评标的基本原则，评标小组将按照这一原则公正、平等地对待各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，同时在评标过程中遵守以下原则：</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22.1 客观性原则；评标委员会将严格按照招标文件的规定，对投标文件的评审仅依据投标文件本身，而不依据投标文件以外的任何因素。</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22.2 公正性原则；评标委员会依据招标文件规定的评标程序、评标方法和评标标准按统一方法、同一标准进行独立评审，并对投标文件的各项指标进行综合分析和比较，而不以单项指标的优劣进行评审。</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22.3 审慎性原则：评标委员会独立对招标文件进行审阅，依据招标文件规定的评审标准审慎评审。评标委员会的评审不受外界任何因素的干扰和影响，评标委员会成员对出具的评标意见承担个人责任。</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22.4 保密性原则：评标委员会及有关工作人员，应当对评标过程及</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的商业和技术秘密予以保密。</w:t>
      </w:r>
    </w:p>
    <w:p>
      <w:pPr>
        <w:pStyle w:val="2"/>
        <w:tabs>
          <w:tab w:val="left" w:pos="955"/>
        </w:tabs>
        <w:spacing w:after="0" w:line="360" w:lineRule="auto"/>
        <w:ind w:left="1146" w:leftChars="273" w:hanging="573" w:hangingChars="238"/>
        <w:rPr>
          <w:rFonts w:ascii="仿宋" w:hAnsi="仿宋" w:eastAsia="仿宋" w:cs="仿宋"/>
          <w:b/>
          <w:color w:val="auto"/>
          <w:highlight w:val="none"/>
        </w:rPr>
      </w:pPr>
      <w:r>
        <w:rPr>
          <w:rFonts w:hint="eastAsia" w:ascii="仿宋" w:hAnsi="仿宋" w:eastAsia="仿宋" w:cs="仿宋"/>
          <w:b/>
          <w:color w:val="auto"/>
          <w:highlight w:val="none"/>
        </w:rPr>
        <w:t>23.  评标方法</w:t>
      </w:r>
      <w:bookmarkEnd w:id="82"/>
      <w:bookmarkEnd w:id="83"/>
      <w:bookmarkEnd w:id="84"/>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本次评标采用综合评分法，详见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2"/>
        <w:tabs>
          <w:tab w:val="left" w:pos="955"/>
        </w:tabs>
        <w:spacing w:after="0" w:line="360" w:lineRule="auto"/>
        <w:ind w:left="1146" w:leftChars="273" w:hanging="573" w:hangingChars="238"/>
        <w:rPr>
          <w:rFonts w:ascii="仿宋" w:hAnsi="仿宋" w:eastAsia="仿宋" w:cs="仿宋"/>
          <w:b/>
          <w:color w:val="auto"/>
          <w:highlight w:val="none"/>
        </w:rPr>
      </w:pPr>
      <w:bookmarkStart w:id="85" w:name="_Toc346306757"/>
      <w:bookmarkStart w:id="86" w:name="_Toc352332878"/>
      <w:bookmarkStart w:id="87" w:name="_Toc346372904"/>
      <w:r>
        <w:rPr>
          <w:rFonts w:hint="eastAsia" w:ascii="仿宋" w:hAnsi="仿宋" w:eastAsia="仿宋" w:cs="仿宋"/>
          <w:b/>
          <w:color w:val="auto"/>
          <w:highlight w:val="none"/>
        </w:rPr>
        <w:t>24.  初步评审</w:t>
      </w:r>
      <w:bookmarkEnd w:id="85"/>
      <w:bookmarkEnd w:id="86"/>
      <w:bookmarkEnd w:id="87"/>
    </w:p>
    <w:p>
      <w:pPr>
        <w:pStyle w:val="2"/>
        <w:spacing w:after="0"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24.1投标文件的初审分为资格性检查和符合性检查。资格性检查指依据法律、法规和招标文件的规定，对投标文件中的资格证明、投标保证金等进行审查，以确定投标人是否具备投标资格（</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进行审查，并由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签字确认）；符合性检查指评标委员会依据招标文件的规定，从投标文件的有效性、完整性和对招标文件的响应程度进行审查，以确定是否对招标文件的实质性要求作出响应。</w:t>
      </w:r>
    </w:p>
    <w:p>
      <w:pPr>
        <w:pStyle w:val="2"/>
        <w:spacing w:after="0"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24.2</w:t>
      </w:r>
      <w:r>
        <w:rPr>
          <w:rFonts w:hint="eastAsia" w:ascii="仿宋" w:hAnsi="仿宋" w:eastAsia="仿宋" w:cs="仿宋"/>
          <w:b/>
          <w:bCs/>
          <w:color w:val="auto"/>
          <w:highlight w:val="none"/>
        </w:rPr>
        <w:t>对同品牌产品参与报价的评审办法：单一产品采购项目提供相同品牌产品且通过资格审查、符合性审查的不同投标人参加同一合同项下投标的，按一家投标人计算，评审后得分最高的同品牌投标人获得中标人推荐资格；评审得分相同的，按报价由低到高的顺序排列，报价得分相同的，按技术得分由高到低的顺序排列，技术得分也相同的，采取随机抽取的方式确定。</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24.3如出现下列情形之一的，视为对招标文件没有做出实质性响应，按照无效投标处理。</w:t>
      </w:r>
    </w:p>
    <w:p>
      <w:pPr>
        <w:pStyle w:val="2"/>
        <w:spacing w:after="0" w:line="360" w:lineRule="auto"/>
        <w:ind w:firstLine="600" w:firstLineChars="250"/>
        <w:rPr>
          <w:rFonts w:ascii="仿宋" w:hAnsi="仿宋" w:eastAsia="仿宋" w:cs="仿宋"/>
          <w:b/>
          <w:color w:val="auto"/>
          <w:highlight w:val="none"/>
        </w:rPr>
      </w:pPr>
      <w:r>
        <w:rPr>
          <w:rFonts w:hint="eastAsia" w:ascii="仿宋" w:hAnsi="仿宋" w:eastAsia="仿宋" w:cs="仿宋"/>
          <w:color w:val="auto"/>
          <w:highlight w:val="none"/>
        </w:rPr>
        <w:t>1）</w:t>
      </w:r>
      <w:r>
        <w:rPr>
          <w:rFonts w:hint="eastAsia" w:ascii="仿宋" w:hAnsi="仿宋" w:eastAsia="仿宋" w:cs="仿宋"/>
          <w:color w:val="auto"/>
          <w:szCs w:val="24"/>
          <w:highlight w:val="none"/>
        </w:rPr>
        <w:t>投标文件未经法定代表人签署且未提供有效的法定代表人授权委托书的</w:t>
      </w:r>
      <w:r>
        <w:rPr>
          <w:rFonts w:hint="eastAsia" w:ascii="仿宋" w:hAnsi="仿宋" w:eastAsia="仿宋" w:cs="仿宋"/>
          <w:b/>
          <w:color w:val="auto"/>
          <w:highlight w:val="none"/>
        </w:rPr>
        <w:t>；</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2）未按招标文件规定要求编制、签署、盖章；</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3）资格证明文件不齐全</w:t>
      </w:r>
      <w:r>
        <w:rPr>
          <w:rFonts w:hint="eastAsia" w:ascii="仿宋" w:hAnsi="仿宋" w:eastAsia="仿宋" w:cs="仿宋"/>
          <w:bCs/>
          <w:color w:val="auto"/>
          <w:highlight w:val="none"/>
          <w:lang w:eastAsia="zh-CN"/>
        </w:rPr>
        <w:t>、不满足要求</w:t>
      </w:r>
      <w:r>
        <w:rPr>
          <w:rFonts w:hint="eastAsia" w:ascii="仿宋" w:hAnsi="仿宋" w:eastAsia="仿宋" w:cs="仿宋"/>
          <w:bCs/>
          <w:color w:val="auto"/>
          <w:highlight w:val="none"/>
        </w:rPr>
        <w:t>或无效的；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4）招标文件未明确说明允许投报进口产品，而投报了进口产品的（如有）；</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5）不符合招标文件中任一带★号条款的；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6）投标文件内容不全或未按规定填写或字迹模糊、辨认不清或涂改未加盖公章确认也未经法定代表人或其委托代理人签字确认的；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7）不按照招标文件规定报价、有多个报价（招标文件另有规定的除外）、有选择性报价、附有条件的报价或者拒绝修正报价的；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8）评标委员会认为</w:t>
      </w:r>
      <w:r>
        <w:rPr>
          <w:rFonts w:hint="eastAsia" w:ascii="仿宋" w:hAnsi="仿宋" w:eastAsia="仿宋" w:cs="仿宋"/>
          <w:bCs/>
          <w:color w:val="auto"/>
          <w:highlight w:val="none"/>
          <w:lang w:eastAsia="zh-CN"/>
        </w:rPr>
        <w:t>投标人</w:t>
      </w:r>
      <w:r>
        <w:rPr>
          <w:rFonts w:hint="eastAsia" w:ascii="仿宋" w:hAnsi="仿宋" w:eastAsia="仿宋" w:cs="仿宋"/>
          <w:bCs/>
          <w:color w:val="auto"/>
          <w:highlight w:val="none"/>
        </w:rPr>
        <w:t>的报价明显低于其他通过符合性审查</w:t>
      </w:r>
      <w:r>
        <w:rPr>
          <w:rFonts w:hint="eastAsia" w:ascii="仿宋" w:hAnsi="仿宋" w:eastAsia="仿宋" w:cs="仿宋"/>
          <w:bCs/>
          <w:color w:val="auto"/>
          <w:highlight w:val="none"/>
          <w:lang w:eastAsia="zh-CN"/>
        </w:rPr>
        <w:t>投标人</w:t>
      </w:r>
      <w:r>
        <w:rPr>
          <w:rFonts w:hint="eastAsia" w:ascii="仿宋" w:hAnsi="仿宋" w:eastAsia="仿宋" w:cs="仿宋"/>
          <w:bCs/>
          <w:color w:val="auto"/>
          <w:highlight w:val="none"/>
        </w:rPr>
        <w:t>的报价，有可能影响服务质量或者不能诚信履约的，要求</w:t>
      </w:r>
      <w:r>
        <w:rPr>
          <w:rFonts w:hint="eastAsia" w:ascii="仿宋" w:hAnsi="仿宋" w:eastAsia="仿宋" w:cs="仿宋"/>
          <w:bCs/>
          <w:color w:val="auto"/>
          <w:highlight w:val="none"/>
          <w:lang w:eastAsia="zh-CN"/>
        </w:rPr>
        <w:t>投标人</w:t>
      </w:r>
      <w:r>
        <w:rPr>
          <w:rFonts w:hint="eastAsia" w:ascii="仿宋" w:hAnsi="仿宋" w:eastAsia="仿宋" w:cs="仿宋"/>
          <w:bCs/>
          <w:color w:val="auto"/>
          <w:highlight w:val="none"/>
        </w:rPr>
        <w:t>在评审现场合理的时间内提供书面说明，但该</w:t>
      </w:r>
      <w:r>
        <w:rPr>
          <w:rFonts w:hint="eastAsia" w:ascii="仿宋" w:hAnsi="仿宋" w:eastAsia="仿宋" w:cs="仿宋"/>
          <w:bCs/>
          <w:color w:val="auto"/>
          <w:highlight w:val="none"/>
          <w:lang w:eastAsia="zh-CN"/>
        </w:rPr>
        <w:t>投标人</w:t>
      </w:r>
      <w:r>
        <w:rPr>
          <w:rFonts w:hint="eastAsia" w:ascii="仿宋" w:hAnsi="仿宋" w:eastAsia="仿宋" w:cs="仿宋"/>
          <w:bCs/>
          <w:color w:val="auto"/>
          <w:highlight w:val="none"/>
        </w:rPr>
        <w:t>未提交相关证明材料以证明其报价合理性的；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9）投标报价超过采购预算或最高限价的；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10)投标文件载明的</w:t>
      </w:r>
      <w:r>
        <w:rPr>
          <w:rFonts w:hint="eastAsia" w:ascii="仿宋" w:hAnsi="仿宋" w:eastAsia="仿宋" w:cs="仿宋"/>
          <w:bCs/>
          <w:color w:val="auto"/>
          <w:highlight w:val="none"/>
          <w:lang w:eastAsia="zh-CN"/>
        </w:rPr>
        <w:t>供货期</w:t>
      </w:r>
      <w:r>
        <w:rPr>
          <w:rFonts w:hint="eastAsia" w:ascii="仿宋" w:hAnsi="仿宋" w:eastAsia="仿宋" w:cs="仿宋"/>
          <w:bCs/>
          <w:color w:val="auto"/>
          <w:highlight w:val="none"/>
        </w:rPr>
        <w:t>超过招标文件规定的时间且不能被</w:t>
      </w:r>
      <w:r>
        <w:rPr>
          <w:rFonts w:hint="eastAsia" w:ascii="仿宋" w:hAnsi="仿宋" w:eastAsia="仿宋" w:cs="仿宋"/>
          <w:bCs/>
          <w:color w:val="auto"/>
          <w:highlight w:val="none"/>
          <w:lang w:eastAsia="zh-CN"/>
        </w:rPr>
        <w:t>采购人</w:t>
      </w:r>
      <w:r>
        <w:rPr>
          <w:rFonts w:hint="eastAsia" w:ascii="仿宋" w:hAnsi="仿宋" w:eastAsia="仿宋" w:cs="仿宋"/>
          <w:bCs/>
          <w:color w:val="auto"/>
          <w:highlight w:val="none"/>
        </w:rPr>
        <w:t>接受；</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11)投标文件载明的付款方式不满足招标文件规定且不能被</w:t>
      </w:r>
      <w:r>
        <w:rPr>
          <w:rFonts w:hint="eastAsia" w:ascii="仿宋" w:hAnsi="仿宋" w:eastAsia="仿宋" w:cs="仿宋"/>
          <w:bCs/>
          <w:color w:val="auto"/>
          <w:highlight w:val="none"/>
          <w:lang w:eastAsia="zh-CN"/>
        </w:rPr>
        <w:t>采购人</w:t>
      </w:r>
      <w:r>
        <w:rPr>
          <w:rFonts w:hint="eastAsia" w:ascii="仿宋" w:hAnsi="仿宋" w:eastAsia="仿宋" w:cs="仿宋"/>
          <w:bCs/>
          <w:color w:val="auto"/>
          <w:highlight w:val="none"/>
        </w:rPr>
        <w:t>接受；</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12)不符合法律法规和招标文件中规定的其他实质性要求的；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13）</w:t>
      </w:r>
      <w:r>
        <w:rPr>
          <w:rFonts w:hint="eastAsia" w:ascii="仿宋" w:hAnsi="仿宋" w:eastAsia="仿宋" w:cs="仿宋"/>
          <w:bCs/>
          <w:color w:val="auto"/>
          <w:highlight w:val="none"/>
          <w:lang w:eastAsia="zh-CN"/>
        </w:rPr>
        <w:t>投标人</w:t>
      </w:r>
      <w:r>
        <w:rPr>
          <w:rFonts w:hint="eastAsia" w:ascii="仿宋" w:hAnsi="仿宋" w:eastAsia="仿宋" w:cs="仿宋"/>
          <w:bCs/>
          <w:color w:val="auto"/>
          <w:highlight w:val="none"/>
        </w:rPr>
        <w:t>名称与资格预审时不一致且未提供有效证明的（如有）；</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14）应提供而未提供政府强制采购节能产品的（如有）；</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15）投标有效期不满足招标文件要求的；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16）投标文件中负偏离项数超过了招标文件规定的数量的；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17）投标文件含有</w:t>
      </w:r>
      <w:r>
        <w:rPr>
          <w:rFonts w:hint="eastAsia" w:ascii="仿宋" w:hAnsi="仿宋" w:eastAsia="仿宋" w:cs="仿宋"/>
          <w:bCs/>
          <w:color w:val="auto"/>
          <w:highlight w:val="none"/>
          <w:lang w:eastAsia="zh-CN"/>
        </w:rPr>
        <w:t>采购人</w:t>
      </w:r>
      <w:r>
        <w:rPr>
          <w:rFonts w:hint="eastAsia" w:ascii="仿宋" w:hAnsi="仿宋" w:eastAsia="仿宋" w:cs="仿宋"/>
          <w:bCs/>
          <w:color w:val="auto"/>
          <w:highlight w:val="none"/>
        </w:rPr>
        <w:t>不能接受的附加条件的；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18）以他人名义投标或者在投标文件中提供虚假材料的；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19）未响应招标文件规定的其他实质性要求的；</w:t>
      </w:r>
    </w:p>
    <w:p>
      <w:pPr>
        <w:pStyle w:val="2"/>
        <w:spacing w:after="0" w:line="360" w:lineRule="auto"/>
        <w:ind w:firstLine="600" w:firstLineChars="250"/>
        <w:rPr>
          <w:rFonts w:ascii="仿宋" w:hAnsi="仿宋" w:eastAsia="仿宋" w:cs="仿宋"/>
          <w:bCs/>
          <w:color w:val="auto"/>
          <w:highlight w:val="none"/>
        </w:rPr>
      </w:pPr>
      <w:r>
        <w:rPr>
          <w:rFonts w:hint="eastAsia" w:ascii="仿宋" w:hAnsi="仿宋" w:eastAsia="仿宋" w:cs="仿宋"/>
          <w:bCs/>
          <w:color w:val="auto"/>
          <w:highlight w:val="none"/>
        </w:rPr>
        <w:t>20）不符合法律法规和招标文件中规定的其他实质性要求的。</w:t>
      </w:r>
    </w:p>
    <w:p>
      <w:pPr>
        <w:spacing w:line="360" w:lineRule="auto"/>
        <w:ind w:firstLine="600" w:firstLineChars="25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24.4评标委员会将否决被确定为非实质性响应的投标文件，</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不能通过修正或撤销投标文件中的不符之处而使其投标成为实质性响应的投标。</w:t>
      </w:r>
    </w:p>
    <w:p>
      <w:pPr>
        <w:spacing w:line="360" w:lineRule="auto"/>
        <w:ind w:firstLine="600" w:firstLineChars="25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24.5评标委员会通过上述评审，确定通过初步评审的合格</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名单，只有通过初步评审的</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，才能进入综合评审。</w:t>
      </w:r>
      <w:r>
        <w:rPr>
          <w:rFonts w:hint="eastAsia" w:ascii="仿宋" w:hAnsi="仿宋" w:eastAsia="仿宋" w:cs="仿宋"/>
          <w:color w:val="auto"/>
          <w:kern w:val="0"/>
          <w:sz w:val="24"/>
          <w:highlight w:val="none"/>
          <w:lang w:eastAsia="zh-CN"/>
        </w:rPr>
        <w:t>单</w:t>
      </w:r>
      <w:r>
        <w:rPr>
          <w:rFonts w:hint="eastAsia" w:ascii="仿宋" w:hAnsi="仿宋" w:eastAsia="仿宋" w:cs="仿宋"/>
          <w:color w:val="auto"/>
          <w:kern w:val="0"/>
          <w:sz w:val="24"/>
          <w:highlight w:val="none"/>
        </w:rPr>
        <w:t>包的合格</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不足3家的，</w:t>
      </w:r>
      <w:r>
        <w:rPr>
          <w:rFonts w:hint="eastAsia" w:ascii="仿宋" w:hAnsi="仿宋" w:eastAsia="仿宋" w:cs="仿宋"/>
          <w:color w:val="auto"/>
          <w:kern w:val="0"/>
          <w:sz w:val="24"/>
          <w:highlight w:val="none"/>
          <w:lang w:eastAsia="zh-CN"/>
        </w:rPr>
        <w:t>该包</w:t>
      </w:r>
      <w:r>
        <w:rPr>
          <w:rFonts w:hint="eastAsia" w:ascii="仿宋" w:hAnsi="仿宋" w:eastAsia="仿宋" w:cs="仿宋"/>
          <w:color w:val="auto"/>
          <w:kern w:val="0"/>
          <w:sz w:val="24"/>
          <w:highlight w:val="none"/>
        </w:rPr>
        <w:t>不得继续评标。</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25.  报价不一致时的修正和处理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（1）投标文件中开标一览表（报价表）内容与投标文件中相应内容不一致的，以开标一览表（报价表）为准；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（2）大写金额和小写金额不一致的，以大写金额为准；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（3）单价金额小数点或者百分比有明显错位的，以开标一览表的总价为准，并修改单价；</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（4）总价金额与按单价汇总金额不一致的，以单价金额计算结果为准。</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（5）</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所投同一个包中，两</w:t>
      </w:r>
      <w:r>
        <w:rPr>
          <w:rFonts w:hint="eastAsia" w:ascii="仿宋" w:hAnsi="仿宋" w:eastAsia="仿宋" w:cs="仿宋"/>
          <w:b/>
          <w:color w:val="auto"/>
          <w:highlight w:val="none"/>
          <w:lang w:eastAsia="zh-CN"/>
        </w:rPr>
        <w:t>处</w:t>
      </w:r>
      <w:r>
        <w:rPr>
          <w:rFonts w:hint="eastAsia" w:ascii="仿宋" w:hAnsi="仿宋" w:eastAsia="仿宋" w:cs="仿宋"/>
          <w:b/>
          <w:color w:val="auto"/>
          <w:highlight w:val="none"/>
        </w:rPr>
        <w:t>或以上开标一览表不一致的，视为投报多个方案，除非招标文件明确规定接受备选方案外，均按未实质性响应招标文件处理。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（6）投标文件的正本与副本不一致的，以正本为准；对不同文字文本投标文件的解释发生异议的，以中文文本为准。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同时出现两种以上不一致的，按照上述规定的顺序修正。</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评标委员会应要求</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法定代表人或其委托代理人对修正后的报价签字确认，</w:t>
      </w:r>
      <w:r>
        <w:rPr>
          <w:rFonts w:hint="eastAsia" w:ascii="仿宋" w:hAnsi="仿宋" w:eastAsia="仿宋" w:cs="仿宋"/>
          <w:b/>
          <w:color w:val="auto"/>
          <w:highlight w:val="none"/>
          <w:lang w:eastAsia="zh-CN"/>
        </w:rPr>
        <w:t>投标人</w:t>
      </w:r>
      <w:r>
        <w:rPr>
          <w:rFonts w:hint="eastAsia" w:ascii="仿宋" w:hAnsi="仿宋" w:eastAsia="仿宋" w:cs="仿宋"/>
          <w:b/>
          <w:color w:val="auto"/>
          <w:highlight w:val="none"/>
        </w:rPr>
        <w:t>不确认的，其投标无效。</w:t>
      </w:r>
    </w:p>
    <w:p>
      <w:pPr>
        <w:pStyle w:val="2"/>
        <w:spacing w:after="0" w:line="360" w:lineRule="auto"/>
        <w:ind w:firstLine="602" w:firstLineChars="250"/>
        <w:rPr>
          <w:rFonts w:ascii="仿宋" w:hAnsi="仿宋" w:eastAsia="仿宋" w:cs="仿宋"/>
          <w:b/>
          <w:bCs/>
          <w:color w:val="auto"/>
          <w:highlight w:val="none"/>
        </w:rPr>
      </w:pPr>
      <w:r>
        <w:rPr>
          <w:rFonts w:hint="eastAsia" w:ascii="仿宋" w:hAnsi="仿宋" w:eastAsia="仿宋" w:cs="仿宋"/>
          <w:b/>
          <w:bCs/>
          <w:color w:val="auto"/>
          <w:highlight w:val="none"/>
        </w:rPr>
        <w:t>26.  投标文件的澄清</w:t>
      </w:r>
    </w:p>
    <w:p>
      <w:pPr>
        <w:pStyle w:val="2"/>
        <w:spacing w:after="0" w:line="360" w:lineRule="auto"/>
        <w:ind w:firstLine="578" w:firstLineChars="241"/>
        <w:rPr>
          <w:rFonts w:ascii="仿宋" w:hAnsi="仿宋" w:eastAsia="仿宋" w:cs="仿宋"/>
          <w:b/>
          <w:color w:val="auto"/>
          <w:highlight w:val="none"/>
        </w:rPr>
      </w:pPr>
      <w:r>
        <w:rPr>
          <w:rFonts w:hint="eastAsia" w:ascii="仿宋" w:hAnsi="仿宋" w:eastAsia="仿宋" w:cs="仿宋"/>
          <w:color w:val="auto"/>
          <w:highlight w:val="none"/>
        </w:rPr>
        <w:t>26.1为有助于对投标文件进行审查，评标委员会有权向投标人询问。评标委员会有权以书面形式要求投标人对其投标文件中含义不明确、同类问题表述不一致或者有明显文字和计算错误的内容作出必要的澄清、说明或者补正。但投标人的澄清、说明或者补正应当采用书面形式，由其法定代表人或授权代理人签字，并不得超出投标文件的范围或改变投标文件的实质性内容。投标人澄清、说明或者补正的内容构成投标文件的组成部分。</w:t>
      </w:r>
      <w:r>
        <w:rPr>
          <w:rFonts w:hint="eastAsia" w:ascii="仿宋" w:hAnsi="仿宋" w:eastAsia="仿宋" w:cs="仿宋"/>
          <w:b/>
          <w:color w:val="auto"/>
          <w:highlight w:val="none"/>
        </w:rPr>
        <w:t>投标人拒不按照要求对投标文件进行澄清、说明或者补正的，评标委员会可拒绝该投标。</w:t>
      </w:r>
    </w:p>
    <w:p>
      <w:pPr>
        <w:pStyle w:val="2"/>
        <w:spacing w:after="0" w:line="360" w:lineRule="auto"/>
        <w:ind w:firstLine="600" w:firstLineChars="250"/>
        <w:rPr>
          <w:rFonts w:ascii="仿宋" w:hAnsi="仿宋" w:eastAsia="仿宋" w:cs="仿宋"/>
          <w:b/>
          <w:color w:val="auto"/>
          <w:highlight w:val="none"/>
        </w:rPr>
      </w:pPr>
      <w:r>
        <w:rPr>
          <w:rFonts w:hint="eastAsia" w:ascii="仿宋" w:hAnsi="仿宋" w:eastAsia="仿宋" w:cs="仿宋"/>
          <w:color w:val="auto"/>
          <w:highlight w:val="none"/>
        </w:rPr>
        <w:t>26.2</w:t>
      </w:r>
      <w:r>
        <w:rPr>
          <w:rFonts w:hint="eastAsia" w:ascii="仿宋" w:hAnsi="仿宋" w:eastAsia="仿宋" w:cs="仿宋"/>
          <w:b/>
          <w:color w:val="auto"/>
          <w:highlight w:val="none"/>
        </w:rPr>
        <w:t>如评标委员会一致认为某个投标人的投标报价明显低于通过符合性审查投标人的报价，有可能影响产品质量或者不能诚信履约的，评标委员会应当要求投标人在评标现场合理时间内提供书面说明，必要时提交相关证明材料。投标人不能证明其报价合理性的，评标委员会应当将其作为无效投标处理。</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27.  综合评审</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27.1经初审合格的投标文件，评标委员会将根据招标文件确定的评标标准和方法作进一步的比较和评价。</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27.2 评标委员会严格按照招标文件中的技术、商务要求及评分办法中规定的内容进行评审及独立打分。</w:t>
      </w:r>
    </w:p>
    <w:p>
      <w:pPr>
        <w:pStyle w:val="2"/>
        <w:spacing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27.3评审方法：本次评标采用综合评分法，评标委员会成员综合评定各投标人提交的投标文件，按照评标总得分由高到低的顺序推荐中标候选人</w:t>
      </w:r>
      <w:r>
        <w:rPr>
          <w:rFonts w:hint="eastAsia" w:ascii="仿宋" w:hAnsi="仿宋" w:eastAsia="仿宋" w:cs="仿宋"/>
          <w:color w:val="auto"/>
          <w:highlight w:val="none"/>
          <w:lang w:eastAsia="zh-CN"/>
        </w:rPr>
        <w:t>或经采购人委托</w:t>
      </w:r>
      <w:r>
        <w:rPr>
          <w:rFonts w:hint="eastAsia" w:ascii="仿宋" w:hAnsi="仿宋" w:eastAsia="仿宋" w:cs="仿宋"/>
          <w:color w:val="auto"/>
          <w:highlight w:val="none"/>
        </w:rPr>
        <w:t>以评标总得分最高的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作为中标人（附评分办法）。评标总得分相同的，按投标报价由低到高顺序排列；评标总得分和投标报价均相同的，按技术部分得分由高到低顺序排列。</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27.4评标结果汇总完成后，除下列情形外，任何人不得修改评标结果：</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（一）分值汇总计算错误的；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（二）分项评分超出评分标准范围的；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（三）评标委员会成员对客观评审因素评分不一致的；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（四）经评标委员会认定评分畸高、畸低的。</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评标报告签署前，经复核发现存在以上情形之一的，评标委员会应当当场修改评标结果，并在评标报告中记载；评标报告签署后，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发现存在以上情形之一的，应当组织原评标委员会进行重新评审，重新评审改变评标结果的，书面报告本级财政部门。</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27.5 无论在评标过程中或其他任何时侯发现下列情形之一的，投标将被拒绝，若中标，则无效。</w:t>
      </w:r>
      <w:r>
        <w:rPr>
          <w:rFonts w:hint="eastAsia" w:ascii="仿宋" w:hAnsi="仿宋" w:eastAsia="仿宋" w:cs="仿宋"/>
          <w:b/>
          <w:color w:val="auto"/>
          <w:highlight w:val="none"/>
          <w:lang w:eastAsia="zh-CN"/>
        </w:rPr>
        <w:t>采购代理机构</w:t>
      </w:r>
      <w:r>
        <w:rPr>
          <w:rFonts w:hint="eastAsia" w:ascii="仿宋" w:hAnsi="仿宋" w:eastAsia="仿宋" w:cs="仿宋"/>
          <w:b/>
          <w:color w:val="auto"/>
          <w:highlight w:val="none"/>
        </w:rPr>
        <w:t>有权依法追究投标人的法律责任。</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1) 提供虚假材料谋取中标的；</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2) 采取不正当手段诋毁、排挤其他投标人的；</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3) 恶意串通投标的；</w:t>
      </w:r>
    </w:p>
    <w:p>
      <w:pPr>
        <w:ind w:firstLine="581" w:firstLineChars="241"/>
        <w:rPr>
          <w:color w:val="auto"/>
          <w:highlight w:val="none"/>
        </w:rPr>
      </w:pPr>
      <w:r>
        <w:rPr>
          <w:rFonts w:hint="eastAsia" w:ascii="仿宋" w:hAnsi="仿宋" w:eastAsia="仿宋" w:cs="仿宋"/>
          <w:b/>
          <w:color w:val="auto"/>
          <w:sz w:val="24"/>
          <w:highlight w:val="none"/>
        </w:rPr>
        <w:t>4) 其他任何有企图影响招标结果公正性的活动。</w:t>
      </w:r>
    </w:p>
    <w:p>
      <w:pPr>
        <w:pStyle w:val="2"/>
        <w:spacing w:after="0" w:line="360" w:lineRule="auto"/>
        <w:ind w:firstLine="602" w:firstLineChars="250"/>
        <w:rPr>
          <w:rFonts w:ascii="仿宋" w:hAnsi="仿宋" w:eastAsia="仿宋" w:cs="仿宋"/>
          <w:color w:val="auto"/>
          <w:highlight w:val="none"/>
        </w:rPr>
      </w:pPr>
      <w:r>
        <w:rPr>
          <w:rFonts w:hint="eastAsia" w:ascii="仿宋" w:hAnsi="仿宋" w:eastAsia="仿宋" w:cs="仿宋"/>
          <w:b/>
          <w:color w:val="auto"/>
          <w:highlight w:val="none"/>
        </w:rPr>
        <w:t xml:space="preserve">27.6 </w:t>
      </w:r>
      <w:r>
        <w:rPr>
          <w:rFonts w:hint="eastAsia" w:ascii="仿宋" w:hAnsi="仿宋" w:eastAsia="仿宋" w:cs="仿宋"/>
          <w:color w:val="auto"/>
          <w:highlight w:val="none"/>
        </w:rPr>
        <w:t>评标委员会按照评标总得分由高到低推荐中标候选人</w:t>
      </w:r>
      <w:r>
        <w:rPr>
          <w:rFonts w:hint="eastAsia" w:ascii="仿宋" w:hAnsi="仿宋" w:eastAsia="仿宋" w:cs="仿宋"/>
          <w:color w:val="auto"/>
          <w:highlight w:val="none"/>
          <w:lang w:eastAsia="zh-CN"/>
        </w:rPr>
        <w:t>或经采购人授权</w:t>
      </w:r>
      <w:r>
        <w:rPr>
          <w:rFonts w:hint="eastAsia" w:ascii="仿宋" w:hAnsi="仿宋" w:eastAsia="仿宋" w:cs="仿宋"/>
          <w:color w:val="auto"/>
          <w:highlight w:val="none"/>
        </w:rPr>
        <w:t>以评标总得分最高的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做为中标人。</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由评标委员会推荐</w:t>
      </w:r>
      <w:r>
        <w:rPr>
          <w:rFonts w:hint="eastAsia" w:ascii="仿宋" w:hAnsi="仿宋" w:eastAsia="仿宋" w:cs="仿宋"/>
          <w:color w:val="auto"/>
          <w:sz w:val="24"/>
          <w:highlight w:val="none"/>
          <w:lang w:eastAsia="zh-CN"/>
        </w:rPr>
        <w:t>中标</w:t>
      </w:r>
      <w:r>
        <w:rPr>
          <w:rFonts w:hint="eastAsia" w:ascii="仿宋" w:hAnsi="仿宋" w:eastAsia="仿宋" w:cs="仿宋"/>
          <w:color w:val="auto"/>
          <w:sz w:val="24"/>
          <w:highlight w:val="none"/>
        </w:rPr>
        <w:t>候选人的，</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应当自评标结束之日起2个工作日内将评标报告送交</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应当自收到评标报告之日起3个工作日内在评标报告推荐的中标或者中标候选人中按顺序确定中标或者成交供应商。</w:t>
      </w:r>
    </w:p>
    <w:p>
      <w:pPr>
        <w:pStyle w:val="2"/>
        <w:spacing w:after="0" w:line="360" w:lineRule="auto"/>
        <w:ind w:left="571" w:leftChars="272"/>
        <w:rPr>
          <w:rFonts w:ascii="仿宋" w:hAnsi="仿宋" w:eastAsia="仿宋" w:cs="仿宋"/>
          <w:b/>
          <w:color w:val="auto"/>
          <w:highlight w:val="none"/>
        </w:rPr>
      </w:pPr>
      <w:r>
        <w:rPr>
          <w:rFonts w:hint="eastAsia" w:ascii="仿宋" w:hAnsi="仿宋" w:eastAsia="仿宋" w:cs="仿宋"/>
          <w:b/>
          <w:color w:val="auto"/>
          <w:highlight w:val="none"/>
        </w:rPr>
        <w:t>28.</w:t>
      </w:r>
      <w:r>
        <w:rPr>
          <w:rFonts w:hint="eastAsia" w:ascii="仿宋" w:hAnsi="仿宋" w:eastAsia="仿宋" w:cs="仿宋"/>
          <w:b/>
          <w:bCs/>
          <w:color w:val="auto"/>
          <w:highlight w:val="none"/>
        </w:rPr>
        <w:t xml:space="preserve"> 评标纪律及规定</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28.1评标过程保密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开标之后，直到签订合同止，凡是属于审查、澄清、评价和比较投标的有关资料以及中标意向等，均不向投标人或者其他与评标无关的人员透露。</w:t>
      </w:r>
    </w:p>
    <w:p>
      <w:pPr>
        <w:pStyle w:val="2"/>
        <w:spacing w:after="0" w:line="360" w:lineRule="auto"/>
        <w:ind w:left="241" w:firstLine="332" w:firstLineChars="138"/>
        <w:rPr>
          <w:rFonts w:ascii="仿宋" w:hAnsi="仿宋" w:eastAsia="仿宋" w:cs="仿宋"/>
          <w:b/>
          <w:color w:val="auto"/>
          <w:highlight w:val="none"/>
        </w:rPr>
      </w:pPr>
      <w:bookmarkStart w:id="88" w:name="_Toc328400015"/>
      <w:bookmarkStart w:id="89" w:name="_Toc328399616"/>
      <w:bookmarkStart w:id="90" w:name="_Toc328400231"/>
      <w:r>
        <w:rPr>
          <w:rFonts w:hint="eastAsia" w:ascii="仿宋" w:hAnsi="仿宋" w:eastAsia="仿宋" w:cs="仿宋"/>
          <w:b/>
          <w:color w:val="auto"/>
          <w:highlight w:val="none"/>
        </w:rPr>
        <w:t>28.2评标纪律及规定：</w:t>
      </w:r>
      <w:bookmarkEnd w:id="88"/>
      <w:bookmarkEnd w:id="89"/>
      <w:bookmarkEnd w:id="90"/>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28.2.1为了规范评标活动，保证评标的公平、公正，维护招标投标活动当事人的合法权益，依照《中华人民共和国招标投标法》及国家有关法律、法规制定本规定。</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28.2.2.评标活动遵循公平、公正、科学、择优的原则依法进行，任何人不得非法干预或者影响评标过程和结果。</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28.2.3.评标活动在严格保密的情况下进行，只有依法组建的评标委员会的成员、监督人员及经批准的</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或者其委托的</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的有关工作人员参加。其他任何人员不得随意进入评标地点。</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28.2.4.在评标过程中，只有评标委员会的成员享有评审发言权，其他人员不得随意发表评审意见。</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28.2.5.评标委员会成员应当客观、公正履行职责，遵守职业道德，对所作出的评审意见签字确认，不得更改，承担个人责任。 </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26.2.6.评标委员会应当根据招标文件规定的评标标准和方法，对投标文件进行系统评审和比较。招标文件中没有规定的标准和方法不得作为评标的依据。</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28.2.7.评标委员会成员不得与任何投标人或者与招标结果有利害关系的人进行私下接触，不得接受投标人、中介人、其他利害关系人的财物或者其他好处。</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28.2.8.评标期间，评标人员不得单独出入评标地点、与外界通讯、会客等。</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28.2.9.评标委员会成员和与评标活动有关的工作人员不得透露对投标文件的评审和比较、中标候选人的推荐情况以及与评标有关的其他情况。</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28.2.10.评标结束后，各评标人员应将全部资料整理上交</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，严禁将评标过程中有关资料向投标人或者其他人提供。</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28.2.11.评标委员会成员在评标过程中擅离职守，影响评标程序正常进行或者在评标过程中不能客观公正的履行职责的，给予警告；情节严重的，取消担任评标委员会的成员资格，不得再参加依法必须进行招标项目的评标，并处一万元以下的罚款；构成犯罪的，依法追究刑事责任。</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28.2.13.评标委员会成员应当按照客观、公正、审慎的原则，根据招标文件规定的评审程序、评审方法和评审标准进行独立评审。招标文件内容违反国家有关强制性规定的，评标委员会应当停止评审并向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说明情况。</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28.2.14. </w:t>
      </w:r>
      <w:r>
        <w:rPr>
          <w:rFonts w:hint="eastAsia" w:ascii="仿宋" w:hAnsi="仿宋" w:eastAsia="仿宋" w:cs="仿宋"/>
          <w:b/>
          <w:bCs/>
          <w:color w:val="auto"/>
          <w:sz w:val="24"/>
          <w:highlight w:val="none"/>
          <w:lang w:eastAsia="zh-CN"/>
        </w:rPr>
        <w:t>采购人</w:t>
      </w:r>
      <w:r>
        <w:rPr>
          <w:rFonts w:hint="eastAsia" w:ascii="仿宋" w:hAnsi="仿宋" w:eastAsia="仿宋" w:cs="仿宋"/>
          <w:b/>
          <w:bCs/>
          <w:color w:val="auto"/>
          <w:sz w:val="24"/>
          <w:highlight w:val="none"/>
        </w:rPr>
        <w:t>回避制度</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将根据本项目的特点组建评标委员会，其成员由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代表及有关方面的专家等单数组成，其中技术、经济等方面的专家不少于成员总数的三分之二，评标委员会负责对投标文件进行审查、澄清、推荐中标候选人或经</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授权直接确定中标人。</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员及相关人员与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有下列利害关系之一的，应当回避：</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（一）参加采购活动前3年内与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存在劳动关系；</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（二）参加采购活动前3年内担任</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的董事、监事；</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（三）参加采购活动前3年内是</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的控股股东或者实际控制人；</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（四）与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的法定代表人或者负责人有夫妻、直系血亲、三代以内旁系血亲或者近姻亲关系；与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有其他可能影响政府采购活动公平、公正进行的关系。</w:t>
      </w:r>
    </w:p>
    <w:p>
      <w:pPr>
        <w:pStyle w:val="41"/>
        <w:spacing w:line="360" w:lineRule="auto"/>
        <w:ind w:firstLine="504"/>
        <w:rPr>
          <w:rFonts w:ascii="仿宋" w:hAnsi="仿宋" w:eastAsia="仿宋" w:cs="仿宋"/>
          <w:color w:val="auto"/>
          <w:highlight w:val="none"/>
        </w:rPr>
      </w:pPr>
      <w:r>
        <w:rPr>
          <w:rFonts w:hint="eastAsia" w:ascii="仿宋" w:hAnsi="仿宋" w:eastAsia="仿宋" w:cs="仿宋"/>
          <w:color w:val="auto"/>
          <w:highlight w:val="none"/>
        </w:rPr>
        <w:t xml:space="preserve"> 投标单位认为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员及相关人员与其他投标单位有利害关系的，可以向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书面提出回避申请，并说明理由。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应当及时询问被申请回避人员，有利害关系的被申请回避人员应当回避。</w:t>
      </w:r>
    </w:p>
    <w:p>
      <w:pPr>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    28.2.15、</w:t>
      </w:r>
      <w:r>
        <w:rPr>
          <w:rFonts w:hint="eastAsia" w:ascii="仿宋" w:hAnsi="仿宋" w:eastAsia="仿宋" w:cs="仿宋"/>
          <w:color w:val="auto"/>
          <w:spacing w:val="6"/>
          <w:kern w:val="0"/>
          <w:sz w:val="24"/>
          <w:szCs w:val="20"/>
          <w:highlight w:val="none"/>
        </w:rPr>
        <w:t>单位负责人为同一人或者存在直接控股、管理关系的不同</w:t>
      </w:r>
      <w:r>
        <w:rPr>
          <w:rFonts w:hint="eastAsia" w:ascii="仿宋" w:hAnsi="仿宋" w:eastAsia="仿宋" w:cs="仿宋"/>
          <w:color w:val="auto"/>
          <w:spacing w:val="6"/>
          <w:kern w:val="0"/>
          <w:sz w:val="24"/>
          <w:szCs w:val="20"/>
          <w:highlight w:val="none"/>
          <w:lang w:eastAsia="zh-CN"/>
        </w:rPr>
        <w:t>采购人</w:t>
      </w:r>
      <w:r>
        <w:rPr>
          <w:rFonts w:hint="eastAsia" w:ascii="仿宋" w:hAnsi="仿宋" w:eastAsia="仿宋" w:cs="仿宋"/>
          <w:color w:val="auto"/>
          <w:spacing w:val="6"/>
          <w:kern w:val="0"/>
          <w:sz w:val="24"/>
          <w:szCs w:val="20"/>
          <w:highlight w:val="none"/>
        </w:rPr>
        <w:t>，不得参加同一合同项下的政府采购活动。除单一来源采购项目外，为采购项目提供整体设计、规范编制或者项目管理、监理、检测等服务的</w:t>
      </w:r>
      <w:r>
        <w:rPr>
          <w:rFonts w:hint="eastAsia" w:ascii="仿宋" w:hAnsi="仿宋" w:eastAsia="仿宋" w:cs="仿宋"/>
          <w:color w:val="auto"/>
          <w:spacing w:val="6"/>
          <w:kern w:val="0"/>
          <w:sz w:val="24"/>
          <w:szCs w:val="20"/>
          <w:highlight w:val="none"/>
          <w:lang w:eastAsia="zh-CN"/>
        </w:rPr>
        <w:t>采购人</w:t>
      </w:r>
      <w:r>
        <w:rPr>
          <w:rFonts w:hint="eastAsia" w:ascii="仿宋" w:hAnsi="仿宋" w:eastAsia="仿宋" w:cs="仿宋"/>
          <w:color w:val="auto"/>
          <w:spacing w:val="6"/>
          <w:kern w:val="0"/>
          <w:sz w:val="24"/>
          <w:szCs w:val="20"/>
          <w:highlight w:val="none"/>
        </w:rPr>
        <w:t>，不得再参加该采购项目的其他采购活动。</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28.2.16.恶意串通</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有下列情形之一的，属于恶意串通，对投标人依照政府采购法第七十七条第一款的规定追究法律责任，对</w:t>
      </w:r>
      <w:r>
        <w:rPr>
          <w:rFonts w:hint="eastAsia" w:ascii="仿宋" w:hAnsi="仿宋" w:eastAsia="仿宋" w:cs="仿宋"/>
          <w:b/>
          <w:color w:val="auto"/>
          <w:sz w:val="24"/>
          <w:highlight w:val="none"/>
          <w:lang w:eastAsia="zh-CN"/>
        </w:rPr>
        <w:t>采购人</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eastAsia="zh-CN"/>
        </w:rPr>
        <w:t>采购代理机构</w:t>
      </w:r>
      <w:r>
        <w:rPr>
          <w:rFonts w:hint="eastAsia" w:ascii="仿宋" w:hAnsi="仿宋" w:eastAsia="仿宋" w:cs="仿宋"/>
          <w:b/>
          <w:color w:val="auto"/>
          <w:sz w:val="24"/>
          <w:highlight w:val="none"/>
        </w:rPr>
        <w:t>及其工作人员依照政府采购法第七十二条的规定追究法律责任：</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（一）投标人直接或者间接从</w:t>
      </w:r>
      <w:r>
        <w:rPr>
          <w:rFonts w:hint="eastAsia" w:ascii="仿宋" w:hAnsi="仿宋" w:eastAsia="仿宋" w:cs="仿宋"/>
          <w:b/>
          <w:color w:val="auto"/>
          <w:sz w:val="24"/>
          <w:highlight w:val="none"/>
          <w:lang w:eastAsia="zh-CN"/>
        </w:rPr>
        <w:t>采购人</w:t>
      </w:r>
      <w:r>
        <w:rPr>
          <w:rFonts w:hint="eastAsia" w:ascii="仿宋" w:hAnsi="仿宋" w:eastAsia="仿宋" w:cs="仿宋"/>
          <w:b/>
          <w:color w:val="auto"/>
          <w:sz w:val="24"/>
          <w:highlight w:val="none"/>
        </w:rPr>
        <w:t>或者</w:t>
      </w:r>
      <w:r>
        <w:rPr>
          <w:rFonts w:hint="eastAsia" w:ascii="仿宋" w:hAnsi="仿宋" w:eastAsia="仿宋" w:cs="仿宋"/>
          <w:b/>
          <w:color w:val="auto"/>
          <w:sz w:val="24"/>
          <w:highlight w:val="none"/>
          <w:lang w:eastAsia="zh-CN"/>
        </w:rPr>
        <w:t>采购代理机构</w:t>
      </w:r>
      <w:r>
        <w:rPr>
          <w:rFonts w:hint="eastAsia" w:ascii="仿宋" w:hAnsi="仿宋" w:eastAsia="仿宋" w:cs="仿宋"/>
          <w:b/>
          <w:color w:val="auto"/>
          <w:sz w:val="24"/>
          <w:highlight w:val="none"/>
        </w:rPr>
        <w:t>处获得其他投标人的相关情况并修改其投标文件或者响应文件；</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（二）投标人按照</w:t>
      </w:r>
      <w:r>
        <w:rPr>
          <w:rFonts w:hint="eastAsia" w:ascii="仿宋" w:hAnsi="仿宋" w:eastAsia="仿宋" w:cs="仿宋"/>
          <w:b/>
          <w:color w:val="auto"/>
          <w:sz w:val="24"/>
          <w:highlight w:val="none"/>
          <w:lang w:eastAsia="zh-CN"/>
        </w:rPr>
        <w:t>采购人</w:t>
      </w:r>
      <w:r>
        <w:rPr>
          <w:rFonts w:hint="eastAsia" w:ascii="仿宋" w:hAnsi="仿宋" w:eastAsia="仿宋" w:cs="仿宋"/>
          <w:b/>
          <w:color w:val="auto"/>
          <w:sz w:val="24"/>
          <w:highlight w:val="none"/>
        </w:rPr>
        <w:t>或者</w:t>
      </w:r>
      <w:r>
        <w:rPr>
          <w:rFonts w:hint="eastAsia" w:ascii="仿宋" w:hAnsi="仿宋" w:eastAsia="仿宋" w:cs="仿宋"/>
          <w:b/>
          <w:color w:val="auto"/>
          <w:sz w:val="24"/>
          <w:highlight w:val="none"/>
          <w:lang w:eastAsia="zh-CN"/>
        </w:rPr>
        <w:t>采购代理机构</w:t>
      </w:r>
      <w:r>
        <w:rPr>
          <w:rFonts w:hint="eastAsia" w:ascii="仿宋" w:hAnsi="仿宋" w:eastAsia="仿宋" w:cs="仿宋"/>
          <w:b/>
          <w:color w:val="auto"/>
          <w:sz w:val="24"/>
          <w:highlight w:val="none"/>
        </w:rPr>
        <w:t>的授意撤换、修改投标文件或者响应文件；</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（三）投标人之间协商报价、技术方案等投标文件或者响应文件的实质性内容；</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（四）属于同一集团、协会、商会等组织成员的投标人按照该组织要求协同参加政府采购活动；</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（五）投标人之间事先约定由某一特定投标人中标、成交；</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（六）投标人之间商定部分投标人放弃参加政府采购活动或者放弃中标、成交；</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（七）投标人与</w:t>
      </w:r>
      <w:r>
        <w:rPr>
          <w:rFonts w:hint="eastAsia" w:ascii="仿宋" w:hAnsi="仿宋" w:eastAsia="仿宋" w:cs="仿宋"/>
          <w:b/>
          <w:color w:val="auto"/>
          <w:sz w:val="24"/>
          <w:highlight w:val="none"/>
          <w:lang w:eastAsia="zh-CN"/>
        </w:rPr>
        <w:t>采购人</w:t>
      </w:r>
      <w:r>
        <w:rPr>
          <w:rFonts w:hint="eastAsia" w:ascii="仿宋" w:hAnsi="仿宋" w:eastAsia="仿宋" w:cs="仿宋"/>
          <w:b/>
          <w:color w:val="auto"/>
          <w:sz w:val="24"/>
          <w:highlight w:val="none"/>
        </w:rPr>
        <w:t>或者</w:t>
      </w:r>
      <w:r>
        <w:rPr>
          <w:rFonts w:hint="eastAsia" w:ascii="仿宋" w:hAnsi="仿宋" w:eastAsia="仿宋" w:cs="仿宋"/>
          <w:b/>
          <w:color w:val="auto"/>
          <w:sz w:val="24"/>
          <w:highlight w:val="none"/>
          <w:lang w:eastAsia="zh-CN"/>
        </w:rPr>
        <w:t>采购代理机构</w:t>
      </w:r>
      <w:r>
        <w:rPr>
          <w:rFonts w:hint="eastAsia" w:ascii="仿宋" w:hAnsi="仿宋" w:eastAsia="仿宋" w:cs="仿宋"/>
          <w:b/>
          <w:color w:val="auto"/>
          <w:sz w:val="24"/>
          <w:highlight w:val="none"/>
        </w:rPr>
        <w:t>之间、投标人相互之间，为谋求特定投标人中标、成交或者排斥其他投标人的其他串通行为；</w:t>
      </w:r>
    </w:p>
    <w:p>
      <w:pPr>
        <w:spacing w:line="360"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（八）单位负责人为同一人或者存在直接控股、管理关系的不同投标人，不得参加同一合同项下的政府采购活动。</w:t>
      </w:r>
    </w:p>
    <w:p>
      <w:pPr>
        <w:pStyle w:val="2"/>
        <w:spacing w:after="0" w:line="360" w:lineRule="auto"/>
        <w:ind w:left="241" w:firstLine="332" w:firstLineChars="138"/>
        <w:rPr>
          <w:rFonts w:ascii="仿宋" w:hAnsi="仿宋" w:eastAsia="仿宋" w:cs="仿宋"/>
          <w:b/>
          <w:color w:val="auto"/>
          <w:highlight w:val="none"/>
        </w:rPr>
      </w:pPr>
      <w:bookmarkStart w:id="91" w:name="_Toc328400016"/>
      <w:bookmarkStart w:id="92" w:name="_Toc328399617"/>
      <w:bookmarkStart w:id="93" w:name="_Toc328400232"/>
      <w:r>
        <w:rPr>
          <w:rFonts w:hint="eastAsia" w:ascii="仿宋" w:hAnsi="仿宋" w:eastAsia="仿宋" w:cs="仿宋"/>
          <w:b/>
          <w:color w:val="auto"/>
          <w:highlight w:val="none"/>
        </w:rPr>
        <w:t>29.  投标人瑕疵滞后的处理</w:t>
      </w:r>
      <w:bookmarkEnd w:id="91"/>
      <w:bookmarkEnd w:id="92"/>
      <w:bookmarkEnd w:id="93"/>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29.1 无论基于何种原因，各项本应作拒绝处理的情形即便未被及时发现而使该投标人进入初审、综合评标或其它后续程序，包括已经签订合同的情形，一旦在任何时间被发现存在上述情形，则</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均有权随时视情形决定是否取消该投标人的此前评议结果，或随时视情形决定是否对该投标予以拒绝，并有权决定采取相应的补救或纠正措施。一旦该投标人被拒绝或被取消该投标人的此前评议结果，其现有的位置将被其他投标人依序替代，相关的一切损失均由该投标人承担。</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29.2 若已经超过质疑期限而没有被发现且已经签订了相关的合同，之后才发现存在上述情形，经评标委员会/</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再行审查认为其在技术、必要资质等方面并不存在问题而仅属于商务方面存在瑕疵的问题，且若一旦取消该投标人的此前评议结果或采取类似效果的处理措施将对本次采购更为不利，在此情形下准备考虑维持结果，评标委员会/</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有权要求该存在瑕疵的投标人提供特别担保金用以承担可能产生的赔偿责任，若其拒绝提供该等担保或所实际提供的担保金额不足要求金额，评标委员会/</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有权并且应当决定取消投标人的此前评议结果或采取类似效果的措施。</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30.政府采购政策</w:t>
      </w:r>
    </w:p>
    <w:p>
      <w:pPr>
        <w:pStyle w:val="2"/>
        <w:tabs>
          <w:tab w:val="left" w:pos="955"/>
        </w:tabs>
        <w:spacing w:after="0" w:line="360" w:lineRule="auto"/>
        <w:ind w:left="1144" w:leftChars="273" w:hanging="571" w:hangingChars="238"/>
        <w:rPr>
          <w:rFonts w:ascii="仿宋" w:hAnsi="仿宋" w:eastAsia="仿宋" w:cs="仿宋"/>
          <w:color w:val="auto"/>
          <w:kern w:val="2"/>
          <w:highlight w:val="none"/>
        </w:rPr>
      </w:pPr>
      <w:r>
        <w:rPr>
          <w:rFonts w:hint="eastAsia" w:ascii="仿宋" w:hAnsi="仿宋" w:eastAsia="仿宋" w:cs="仿宋"/>
          <w:color w:val="auto"/>
          <w:highlight w:val="none"/>
        </w:rPr>
        <w:t>30.1 中</w:t>
      </w:r>
      <w:r>
        <w:rPr>
          <w:rFonts w:hint="eastAsia" w:ascii="仿宋" w:hAnsi="仿宋" w:eastAsia="仿宋" w:cs="仿宋"/>
          <w:color w:val="auto"/>
          <w:kern w:val="2"/>
          <w:highlight w:val="none"/>
        </w:rPr>
        <w:t>小企业优惠办法</w:t>
      </w:r>
    </w:p>
    <w:p>
      <w:pPr>
        <w:pStyle w:val="2"/>
        <w:spacing w:after="0" w:line="360" w:lineRule="auto"/>
        <w:ind w:firstLine="571" w:firstLineChars="238"/>
        <w:rPr>
          <w:rFonts w:hint="eastAsia" w:ascii="仿宋" w:hAnsi="仿宋" w:eastAsia="仿宋" w:cs="仿宋"/>
          <w:color w:val="auto"/>
          <w:highlight w:val="none"/>
          <w:lang w:eastAsia="zh-CN"/>
        </w:rPr>
      </w:pPr>
      <w:r>
        <w:rPr>
          <w:rFonts w:hint="eastAsia" w:ascii="仿宋" w:hAnsi="仿宋" w:eastAsia="仿宋" w:cs="仿宋"/>
          <w:color w:val="auto"/>
          <w:highlight w:val="none"/>
        </w:rPr>
        <w:t>1) 根据《政府采购促进中小企业发展管理办法》（财库﹝2020﹞46 号）的规定，对小型和微型企业产品的价格给予6%-10%的扣除，用扣除后的评标价格参与价格得分的计算及评审</w:t>
      </w:r>
      <w:r>
        <w:rPr>
          <w:rFonts w:hint="eastAsia" w:ascii="仿宋" w:hAnsi="仿宋" w:eastAsia="仿宋" w:cs="仿宋"/>
          <w:color w:val="auto"/>
          <w:highlight w:val="none"/>
          <w:lang w:eastAsia="zh-CN"/>
        </w:rPr>
        <w:t>。</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1） 根据</w:t>
      </w:r>
      <w:r>
        <w:rPr>
          <w:rFonts w:hint="eastAsia" w:ascii="仿宋" w:hAnsi="仿宋" w:eastAsia="仿宋" w:cs="仿宋"/>
          <w:b w:val="0"/>
          <w:bCs w:val="0"/>
          <w:color w:val="auto"/>
          <w:sz w:val="24"/>
          <w:szCs w:val="22"/>
          <w:highlight w:val="none"/>
          <w:lang w:eastAsia="zh-CN"/>
        </w:rPr>
        <w:t>《政府采购促进中小企业发展管理办法》</w:t>
      </w:r>
      <w:r>
        <w:rPr>
          <w:rFonts w:hint="eastAsia" w:ascii="仿宋" w:hAnsi="仿宋" w:eastAsia="仿宋" w:cs="仿宋"/>
          <w:b w:val="0"/>
          <w:bCs w:val="0"/>
          <w:color w:val="auto"/>
          <w:sz w:val="24"/>
          <w:szCs w:val="22"/>
          <w:highlight w:val="none"/>
        </w:rPr>
        <w:t xml:space="preserve">的规定，本项目评标委员会在综合评分时将给予小型、微型企业产品评审价格6%的价格扣除；小型、微型企业产品将以扣除后的评审价格参与评审； </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2）小型、微型企业产品价格需扣除的，须提供：</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①产品生产企业《中小企业声明函》；</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②如</w:t>
      </w:r>
      <w:r>
        <w:rPr>
          <w:rFonts w:hint="eastAsia" w:ascii="仿宋" w:hAnsi="仿宋" w:eastAsia="仿宋" w:cs="仿宋"/>
          <w:b w:val="0"/>
          <w:bCs w:val="0"/>
          <w:color w:val="auto"/>
          <w:sz w:val="24"/>
          <w:szCs w:val="22"/>
          <w:highlight w:val="none"/>
          <w:lang w:eastAsia="zh-CN"/>
        </w:rPr>
        <w:t>投标人</w:t>
      </w:r>
      <w:r>
        <w:rPr>
          <w:rFonts w:hint="eastAsia" w:ascii="仿宋" w:hAnsi="仿宋" w:eastAsia="仿宋" w:cs="仿宋"/>
          <w:b w:val="0"/>
          <w:bCs w:val="0"/>
          <w:color w:val="auto"/>
          <w:sz w:val="24"/>
          <w:szCs w:val="22"/>
          <w:highlight w:val="none"/>
        </w:rPr>
        <w:t>为监狱企业，须提供省级以上监狱管理局、戒毒管理局（含新疆生产建设兵团）出具的属于监狱企业的证明文件复印件。</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3）具体计算方式为：小微企业产品的评审价格=其投标报价-投标报价*扣除比例； </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4）如发现</w:t>
      </w:r>
      <w:r>
        <w:rPr>
          <w:rFonts w:hint="eastAsia" w:ascii="仿宋" w:hAnsi="仿宋" w:eastAsia="仿宋" w:cs="仿宋"/>
          <w:b w:val="0"/>
          <w:bCs w:val="0"/>
          <w:color w:val="auto"/>
          <w:sz w:val="24"/>
          <w:szCs w:val="22"/>
          <w:highlight w:val="none"/>
          <w:lang w:eastAsia="zh-CN"/>
        </w:rPr>
        <w:t>投标人</w:t>
      </w:r>
      <w:r>
        <w:rPr>
          <w:rFonts w:hint="eastAsia" w:ascii="仿宋" w:hAnsi="仿宋" w:eastAsia="仿宋" w:cs="仿宋"/>
          <w:b w:val="0"/>
          <w:bCs w:val="0"/>
          <w:color w:val="auto"/>
          <w:sz w:val="24"/>
          <w:szCs w:val="22"/>
          <w:highlight w:val="none"/>
        </w:rPr>
        <w:t>不如实填写小微企业声明函及提供真实的证明材料的，如中标将取消中标资格；同时</w:t>
      </w:r>
      <w:r>
        <w:rPr>
          <w:rFonts w:hint="eastAsia" w:ascii="仿宋" w:hAnsi="仿宋" w:eastAsia="仿宋" w:cs="仿宋"/>
          <w:b w:val="0"/>
          <w:bCs w:val="0"/>
          <w:color w:val="auto"/>
          <w:sz w:val="24"/>
          <w:szCs w:val="22"/>
          <w:highlight w:val="none"/>
          <w:lang w:eastAsia="zh-CN"/>
        </w:rPr>
        <w:t>采购人</w:t>
      </w:r>
      <w:r>
        <w:rPr>
          <w:rFonts w:hint="eastAsia" w:ascii="仿宋" w:hAnsi="仿宋" w:eastAsia="仿宋" w:cs="仿宋"/>
          <w:b w:val="0"/>
          <w:bCs w:val="0"/>
          <w:color w:val="auto"/>
          <w:sz w:val="24"/>
          <w:szCs w:val="22"/>
          <w:highlight w:val="none"/>
        </w:rPr>
        <w:t>及</w:t>
      </w:r>
      <w:r>
        <w:rPr>
          <w:rFonts w:hint="eastAsia" w:ascii="仿宋" w:hAnsi="仿宋" w:eastAsia="仿宋" w:cs="仿宋"/>
          <w:b w:val="0"/>
          <w:bCs w:val="0"/>
          <w:color w:val="auto"/>
          <w:sz w:val="24"/>
          <w:szCs w:val="22"/>
          <w:highlight w:val="none"/>
          <w:lang w:eastAsia="zh-CN"/>
        </w:rPr>
        <w:t>采购代理机构</w:t>
      </w:r>
      <w:r>
        <w:rPr>
          <w:rFonts w:hint="eastAsia" w:ascii="仿宋" w:hAnsi="仿宋" w:eastAsia="仿宋" w:cs="仿宋"/>
          <w:b w:val="0"/>
          <w:bCs w:val="0"/>
          <w:color w:val="auto"/>
          <w:sz w:val="24"/>
          <w:szCs w:val="22"/>
          <w:highlight w:val="none"/>
        </w:rPr>
        <w:t>有权向行政监督部门申请将其列入不诚信</w:t>
      </w:r>
      <w:r>
        <w:rPr>
          <w:rFonts w:hint="eastAsia" w:ascii="仿宋" w:hAnsi="仿宋" w:eastAsia="仿宋" w:cs="仿宋"/>
          <w:b w:val="0"/>
          <w:bCs w:val="0"/>
          <w:color w:val="auto"/>
          <w:sz w:val="24"/>
          <w:szCs w:val="22"/>
          <w:highlight w:val="none"/>
          <w:lang w:eastAsia="zh-CN"/>
        </w:rPr>
        <w:t>投标人</w:t>
      </w:r>
      <w:r>
        <w:rPr>
          <w:rFonts w:hint="eastAsia" w:ascii="仿宋" w:hAnsi="仿宋" w:eastAsia="仿宋" w:cs="仿宋"/>
          <w:b w:val="0"/>
          <w:bCs w:val="0"/>
          <w:color w:val="auto"/>
          <w:sz w:val="24"/>
          <w:szCs w:val="22"/>
          <w:highlight w:val="none"/>
        </w:rPr>
        <w:t xml:space="preserve">名单并停止其参与一定期限的政府采购活动。 </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5）评审价格仅为评定价格，不作为最终的成交价格。</w:t>
      </w:r>
    </w:p>
    <w:p>
      <w:pPr>
        <w:spacing w:line="360" w:lineRule="auto"/>
        <w:ind w:firstLine="480" w:firstLineChars="200"/>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6）中标、成交供应商为小型、微型企业或提供了小型、微型企业产品的，</w:t>
      </w:r>
      <w:r>
        <w:rPr>
          <w:rFonts w:hint="eastAsia" w:ascii="仿宋" w:hAnsi="仿宋" w:eastAsia="仿宋" w:cs="仿宋"/>
          <w:b w:val="0"/>
          <w:bCs w:val="0"/>
          <w:color w:val="auto"/>
          <w:sz w:val="24"/>
          <w:szCs w:val="22"/>
          <w:highlight w:val="none"/>
          <w:lang w:eastAsia="zh-CN"/>
        </w:rPr>
        <w:t>采购人</w:t>
      </w:r>
      <w:r>
        <w:rPr>
          <w:rFonts w:hint="eastAsia" w:ascii="仿宋" w:hAnsi="仿宋" w:eastAsia="仿宋" w:cs="仿宋"/>
          <w:b w:val="0"/>
          <w:bCs w:val="0"/>
          <w:color w:val="auto"/>
          <w:sz w:val="24"/>
          <w:szCs w:val="22"/>
          <w:highlight w:val="none"/>
        </w:rPr>
        <w:t>或者其委托的</w:t>
      </w:r>
      <w:r>
        <w:rPr>
          <w:rFonts w:hint="eastAsia" w:ascii="仿宋" w:hAnsi="仿宋" w:eastAsia="仿宋" w:cs="仿宋"/>
          <w:b w:val="0"/>
          <w:bCs w:val="0"/>
          <w:color w:val="auto"/>
          <w:sz w:val="24"/>
          <w:szCs w:val="22"/>
          <w:highlight w:val="none"/>
          <w:lang w:eastAsia="zh-CN"/>
        </w:rPr>
        <w:t>采购代理机构</w:t>
      </w:r>
      <w:r>
        <w:rPr>
          <w:rFonts w:hint="eastAsia" w:ascii="仿宋" w:hAnsi="仿宋" w:eastAsia="仿宋" w:cs="仿宋"/>
          <w:b w:val="0"/>
          <w:bCs w:val="0"/>
          <w:color w:val="auto"/>
          <w:sz w:val="24"/>
          <w:szCs w:val="22"/>
          <w:highlight w:val="none"/>
        </w:rPr>
        <w:t>应当随中标、成交结果同时公告其《中小企业声明函》，接受社会监督。</w:t>
      </w:r>
    </w:p>
    <w:p>
      <w:pPr>
        <w:spacing w:line="360" w:lineRule="auto"/>
        <w:ind w:firstLine="480" w:firstLineChars="200"/>
        <w:rPr>
          <w:rFonts w:ascii="仿宋" w:hAnsi="仿宋" w:eastAsia="仿宋" w:cs="仿宋"/>
          <w:b w:val="0"/>
          <w:bCs w:val="0"/>
          <w:color w:val="auto"/>
          <w:highlight w:val="none"/>
        </w:rPr>
      </w:pPr>
      <w:r>
        <w:rPr>
          <w:rFonts w:hint="eastAsia" w:ascii="仿宋" w:hAnsi="仿宋" w:eastAsia="仿宋" w:cs="仿宋"/>
          <w:b w:val="0"/>
          <w:bCs w:val="0"/>
          <w:color w:val="auto"/>
          <w:sz w:val="24"/>
          <w:szCs w:val="22"/>
          <w:highlight w:val="none"/>
        </w:rPr>
        <w:t>中标、成交供应商提供的《中小企业声明函》与事实不符的，依照《政府采购法》第七十七条第一款的规定追究法律责任。</w:t>
      </w:r>
    </w:p>
    <w:p>
      <w:pPr>
        <w:autoSpaceDE w:val="0"/>
        <w:autoSpaceDN w:val="0"/>
        <w:adjustRightInd w:val="0"/>
        <w:snapToGrid w:val="0"/>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30.2 政府采购支持监狱企业发展的政策</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1）根据《关于政府采购支持监狱企业发展有关问题的通知》（</w:t>
      </w:r>
      <w:r>
        <w:rPr>
          <w:rFonts w:hint="eastAsia" w:ascii="仿宋" w:hAnsi="仿宋" w:eastAsia="仿宋" w:cs="仿宋"/>
          <w:color w:val="auto"/>
          <w:kern w:val="0"/>
          <w:sz w:val="24"/>
          <w:highlight w:val="none"/>
          <w:lang w:eastAsia="zh-CN"/>
        </w:rPr>
        <w:t>财库</w:t>
      </w:r>
      <w:r>
        <w:rPr>
          <w:rFonts w:hint="eastAsia" w:ascii="仿宋" w:hAnsi="仿宋" w:eastAsia="仿宋" w:cs="仿宋"/>
          <w:color w:val="auto"/>
          <w:kern w:val="0"/>
          <w:sz w:val="24"/>
          <w:highlight w:val="none"/>
        </w:rPr>
        <w:t>〔2014〕</w:t>
      </w:r>
      <w:r>
        <w:rPr>
          <w:rFonts w:hint="eastAsia" w:ascii="仿宋" w:hAnsi="仿宋" w:eastAsia="仿宋" w:cs="仿宋"/>
          <w:color w:val="auto"/>
          <w:kern w:val="0"/>
          <w:sz w:val="24"/>
          <w:highlight w:val="none"/>
          <w:lang w:val="en-US" w:eastAsia="zh-CN"/>
        </w:rPr>
        <w:t>68</w:t>
      </w:r>
      <w:r>
        <w:rPr>
          <w:rFonts w:hint="eastAsia" w:ascii="仿宋" w:hAnsi="仿宋" w:eastAsia="仿宋" w:cs="仿宋"/>
          <w:color w:val="auto"/>
          <w:kern w:val="0"/>
          <w:sz w:val="24"/>
          <w:highlight w:val="none"/>
        </w:rPr>
        <w:t>号</w:t>
      </w:r>
      <w:r>
        <w:rPr>
          <w:rFonts w:hint="eastAsia" w:ascii="仿宋" w:hAnsi="仿宋" w:eastAsia="仿宋" w:cs="仿宋"/>
          <w:color w:val="auto"/>
          <w:kern w:val="0"/>
          <w:sz w:val="24"/>
          <w:highlight w:val="none"/>
          <w:lang w:val="en-US" w:eastAsia="zh-CN"/>
        </w:rPr>
        <w:t xml:space="preserve"> 2014年6月10日</w:t>
      </w:r>
      <w:r>
        <w:rPr>
          <w:rFonts w:hint="eastAsia" w:ascii="仿宋" w:hAnsi="仿宋" w:eastAsia="仿宋" w:cs="仿宋"/>
          <w:color w:val="auto"/>
          <w:kern w:val="0"/>
          <w:sz w:val="24"/>
          <w:highlight w:val="none"/>
        </w:rPr>
        <w:t>）文件规定，对监狱企业生产的产品价格或提供服务的价格给予6%的价格扣除，用扣除后的价格参与评审；监狱企业属于小型、微型企业的，不重复享受政策。</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2）参加政府采购活动的监狱企业应当在投标文件中提供监狱企业证明复印件，否则不予认定。监狱企业证明须由省级或以上监狱管理局、戒毒管理局（含新疆生产建设兵团）出具。</w:t>
      </w:r>
    </w:p>
    <w:p>
      <w:pPr>
        <w:pStyle w:val="2"/>
        <w:spacing w:line="360" w:lineRule="auto"/>
        <w:ind w:firstLine="600" w:firstLineChars="250"/>
        <w:rPr>
          <w:rFonts w:ascii="仿宋" w:hAnsi="仿宋" w:eastAsia="仿宋" w:cs="仿宋"/>
          <w:color w:val="auto"/>
          <w:szCs w:val="22"/>
          <w:highlight w:val="none"/>
        </w:rPr>
      </w:pPr>
      <w:r>
        <w:rPr>
          <w:rFonts w:hint="eastAsia" w:ascii="仿宋" w:hAnsi="仿宋" w:eastAsia="仿宋" w:cs="仿宋"/>
          <w:color w:val="auto"/>
          <w:highlight w:val="none"/>
        </w:rPr>
        <w:t xml:space="preserve">30.3 </w:t>
      </w:r>
      <w:r>
        <w:rPr>
          <w:rFonts w:hint="eastAsia" w:ascii="仿宋" w:hAnsi="仿宋" w:eastAsia="仿宋" w:cs="仿宋"/>
          <w:color w:val="auto"/>
          <w:kern w:val="2"/>
          <w:szCs w:val="22"/>
          <w:highlight w:val="none"/>
        </w:rPr>
        <w:t>促进残疾人就业政府采购政策</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1）依据《三部门联合发布关于促进残疾人就业政府采购政策的通知》(财库〔2017〕141号)文件规定，残疾人福利性单位视同小型、微型企业，对残疾人福利性单位的报价给予6%-10%的扣除，用扣除后的评标价格参与价格得分的计算及评审，扣除比例</w:t>
      </w:r>
      <w:r>
        <w:rPr>
          <w:rFonts w:hint="eastAsia" w:ascii="仿宋" w:hAnsi="仿宋" w:eastAsia="仿宋" w:cs="仿宋"/>
          <w:color w:val="auto"/>
          <w:highlight w:val="none"/>
          <w:lang w:eastAsia="zh-CN"/>
        </w:rPr>
        <w:t>为</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szCs w:val="24"/>
          <w:highlight w:val="none"/>
        </w:rPr>
        <w:t>残疾人福利性单位属于小型、微型企业的，不重复享受政策。</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2) 残疾人福利性单位评标价格的计算：残疾人福利性单位的评标价格=投标报价×（1—扣除比例）；供应商属于享受政府采购支持政策的“残疾人福利性单位”的，</w:t>
      </w:r>
      <w:r>
        <w:rPr>
          <w:rFonts w:hint="eastAsia" w:ascii="仿宋" w:hAnsi="仿宋" w:eastAsia="仿宋" w:cs="仿宋"/>
          <w:bCs/>
          <w:color w:val="auto"/>
          <w:highlight w:val="none"/>
        </w:rPr>
        <w:t>只需</w:t>
      </w:r>
      <w:r>
        <w:rPr>
          <w:rFonts w:hint="eastAsia" w:ascii="仿宋" w:hAnsi="仿宋" w:eastAsia="仿宋" w:cs="仿宋"/>
          <w:color w:val="auto"/>
          <w:highlight w:val="none"/>
        </w:rPr>
        <w:t>提供《残疾人福利性单位声明函》，并对声明的真实性负责。中标供应商为残疾人福利性单位的，</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将随成交结果同时公告其《残疾人福利性单位声明函》。</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3）享受政府采购支持政策的残疾人福利性单位应当同时满足以下条件：</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①</w:t>
      </w:r>
      <w:r>
        <w:rPr>
          <w:rFonts w:hint="eastAsia" w:ascii="仿宋" w:hAnsi="仿宋" w:eastAsia="仿宋" w:cs="仿宋"/>
          <w:color w:val="auto"/>
          <w:kern w:val="0"/>
          <w:sz w:val="24"/>
          <w:highlight w:val="none"/>
        </w:rPr>
        <w:t>安置的残疾人占本单位在职职工人数的比例不低于25%（含25%），并且安置的残疾人人数不少于10人（含10人）；</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②</w:t>
      </w:r>
      <w:r>
        <w:rPr>
          <w:rFonts w:hint="eastAsia" w:ascii="仿宋" w:hAnsi="仿宋" w:eastAsia="仿宋" w:cs="仿宋"/>
          <w:color w:val="auto"/>
          <w:kern w:val="0"/>
          <w:sz w:val="24"/>
          <w:highlight w:val="none"/>
        </w:rPr>
        <w:t>依法与安置的每位残疾人签订了一年以上（含一年）的劳动合同或服务协议；</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③</w:t>
      </w:r>
      <w:r>
        <w:rPr>
          <w:rFonts w:hint="eastAsia" w:ascii="仿宋" w:hAnsi="仿宋" w:eastAsia="仿宋" w:cs="仿宋"/>
          <w:color w:val="auto"/>
          <w:kern w:val="0"/>
          <w:sz w:val="24"/>
          <w:highlight w:val="none"/>
        </w:rPr>
        <w:t>为安置的每位残疾人按月足额缴纳了基本养老保险、基本医疗保险、失业保险、工伤保险和生育保险等社会保险费；</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④通过银行等金融机构向安置的每位残疾人，按月支付了不低于单位所在区县适用的经省级人民政府批准的月最低工资标准的工资；</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⑤提供本单位制造的货物、承担的工程或者服务（以下简称产品），或者提供其他残疾人福利性单位制造的货物（不包括使用非残疾人福利性单位注册商标的货物）。</w:t>
      </w:r>
    </w:p>
    <w:p>
      <w:pPr>
        <w:autoSpaceDE w:val="0"/>
        <w:autoSpaceDN w:val="0"/>
        <w:adjustRightInd w:val="0"/>
        <w:snapToGrid w:val="0"/>
        <w:spacing w:line="360" w:lineRule="auto"/>
        <w:ind w:firstLine="600" w:firstLineChars="2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before="120" w:beforeLines="50"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4）符合条件的残疾人福利性单位在参加政府采购活动时，应当提供《残疾人福利性单位声明函》（见附件），并对声明的真实性负责。</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5）中标、成交供应商为残疾人福利性单位的，</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应当随中标、成交结果同时公告其《残疾人福利性单位声明函》，接受社会监督。</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6）投标人提供的《残疾人福利性单位声明函》与事实不符的，依照《政府采购法》第七十七条第一款的规定追究法律责任。</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30.4 环保节能产品执行政府采购优惠政策</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30.4.1按国家现行节能环保政策执行。</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30.4.2根据国办发〔2007〕51号文规定，属于政府强制采购节能产品的，投标人应当按照财库〔2019〕9号文的有关规定，提供具有“依据国家确定的认证机构出具的、处于有效期之内的节能产品认证证书”的产品，填写政府强制采购节能产品明细表（见附件），并提供相应的节能产品认证证书，未按规定提供将作无效投标处理。</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30.4.3属于优先采购的节能产品或环保产品的，按以下幅度进行加分：</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加分幅度：节能产品(强制采购节能产品除外)、环保产品价格分加分幅度分别为：5%；节能产品(强制采购节能产品除外)、环保产品技术分加分幅度分别为：5%。</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投标人必须提供具有依据国家确定的认证机构出具的、处于有效期之内的节能产品、环境标志产品认证证书（复印件加盖公章），并按规定格式填写环境标志产品明细表、节能产品明细表（见附件），否则评分时不予加分。</w:t>
      </w:r>
    </w:p>
    <w:p>
      <w:pPr>
        <w:pStyle w:val="2"/>
        <w:spacing w:after="0" w:line="360" w:lineRule="auto"/>
        <w:ind w:firstLine="571" w:firstLineChars="238"/>
        <w:rPr>
          <w:rFonts w:ascii="仿宋" w:hAnsi="仿宋" w:eastAsia="仿宋" w:cs="仿宋"/>
          <w:color w:val="auto"/>
          <w:highlight w:val="none"/>
        </w:rPr>
      </w:pPr>
      <w:r>
        <w:rPr>
          <w:rFonts w:hint="eastAsia" w:ascii="仿宋" w:hAnsi="仿宋" w:eastAsia="仿宋" w:cs="仿宋"/>
          <w:color w:val="auto"/>
          <w:highlight w:val="none"/>
        </w:rPr>
        <w:t>30.5执行政府采购政策对投标报价进行扣除后的评标价格仅用于评标过程的报价得分计算或评标价格的比较，不作为最终的中标价格。</w:t>
      </w:r>
    </w:p>
    <w:p>
      <w:pPr>
        <w:pStyle w:val="2"/>
        <w:spacing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31.违法情形</w:t>
      </w:r>
    </w:p>
    <w:p>
      <w:pPr>
        <w:pStyle w:val="2"/>
        <w:spacing w:after="0" w:line="360" w:lineRule="auto"/>
        <w:ind w:firstLine="600" w:firstLineChars="250"/>
        <w:rPr>
          <w:rFonts w:ascii="仿宋" w:hAnsi="仿宋" w:eastAsia="仿宋" w:cs="仿宋"/>
          <w:color w:val="auto"/>
          <w:kern w:val="1"/>
          <w:highlight w:val="none"/>
        </w:rPr>
      </w:pPr>
      <w:r>
        <w:rPr>
          <w:rFonts w:hint="eastAsia" w:ascii="仿宋" w:hAnsi="仿宋" w:eastAsia="仿宋" w:cs="仿宋"/>
          <w:color w:val="auto"/>
          <w:kern w:val="1"/>
          <w:highlight w:val="none"/>
          <w:lang w:eastAsia="zh-CN"/>
        </w:rPr>
        <w:t>投标人</w:t>
      </w:r>
      <w:r>
        <w:rPr>
          <w:rFonts w:hint="eastAsia" w:ascii="仿宋" w:hAnsi="仿宋" w:eastAsia="仿宋" w:cs="仿宋"/>
          <w:color w:val="auto"/>
          <w:kern w:val="1"/>
          <w:highlight w:val="none"/>
        </w:rPr>
        <w:t>出现《中华人民共和国政府采购法实施条例》、《政府采购货物和服务招标投标管理办法》等规定的串通投标或影响招标的违法行为，其投标无效，</w:t>
      </w:r>
      <w:r>
        <w:rPr>
          <w:rFonts w:hint="eastAsia" w:ascii="仿宋" w:hAnsi="仿宋" w:eastAsia="仿宋" w:cs="仿宋"/>
          <w:color w:val="auto"/>
          <w:kern w:val="1"/>
          <w:highlight w:val="none"/>
          <w:lang w:eastAsia="zh-CN"/>
        </w:rPr>
        <w:t>采购人</w:t>
      </w:r>
      <w:r>
        <w:rPr>
          <w:rFonts w:hint="eastAsia" w:ascii="仿宋" w:hAnsi="仿宋" w:eastAsia="仿宋" w:cs="仿宋"/>
          <w:color w:val="auto"/>
          <w:kern w:val="1"/>
          <w:highlight w:val="none"/>
        </w:rPr>
        <w:t>或评标委员会将书面报告本级财政部门，给</w:t>
      </w:r>
      <w:r>
        <w:rPr>
          <w:rFonts w:hint="eastAsia" w:ascii="仿宋" w:hAnsi="仿宋" w:eastAsia="仿宋" w:cs="仿宋"/>
          <w:color w:val="auto"/>
          <w:kern w:val="1"/>
          <w:highlight w:val="none"/>
          <w:lang w:eastAsia="zh-CN"/>
        </w:rPr>
        <w:t>采购人</w:t>
      </w:r>
      <w:r>
        <w:rPr>
          <w:rFonts w:hint="eastAsia" w:ascii="仿宋" w:hAnsi="仿宋" w:eastAsia="仿宋" w:cs="仿宋"/>
          <w:color w:val="auto"/>
          <w:kern w:val="1"/>
          <w:highlight w:val="none"/>
        </w:rPr>
        <w:t>、</w:t>
      </w:r>
      <w:r>
        <w:rPr>
          <w:rFonts w:hint="eastAsia" w:ascii="仿宋" w:hAnsi="仿宋" w:eastAsia="仿宋" w:cs="仿宋"/>
          <w:color w:val="auto"/>
          <w:kern w:val="1"/>
          <w:highlight w:val="none"/>
          <w:lang w:eastAsia="zh-CN"/>
        </w:rPr>
        <w:t>采购代理机构</w:t>
      </w:r>
      <w:r>
        <w:rPr>
          <w:rFonts w:hint="eastAsia" w:ascii="仿宋" w:hAnsi="仿宋" w:eastAsia="仿宋" w:cs="仿宋"/>
          <w:color w:val="auto"/>
          <w:kern w:val="1"/>
          <w:highlight w:val="none"/>
        </w:rPr>
        <w:t>造成损失的，</w:t>
      </w:r>
      <w:r>
        <w:rPr>
          <w:rFonts w:hint="eastAsia" w:ascii="仿宋" w:hAnsi="仿宋" w:eastAsia="仿宋" w:cs="仿宋"/>
          <w:color w:val="auto"/>
          <w:kern w:val="1"/>
          <w:highlight w:val="none"/>
          <w:lang w:eastAsia="zh-CN"/>
        </w:rPr>
        <w:t>采购人</w:t>
      </w:r>
      <w:r>
        <w:rPr>
          <w:rFonts w:hint="eastAsia" w:ascii="仿宋" w:hAnsi="仿宋" w:eastAsia="仿宋" w:cs="仿宋"/>
          <w:color w:val="auto"/>
          <w:kern w:val="1"/>
          <w:highlight w:val="none"/>
        </w:rPr>
        <w:t>、</w:t>
      </w:r>
      <w:r>
        <w:rPr>
          <w:rFonts w:hint="eastAsia" w:ascii="仿宋" w:hAnsi="仿宋" w:eastAsia="仿宋" w:cs="仿宋"/>
          <w:color w:val="auto"/>
          <w:kern w:val="1"/>
          <w:highlight w:val="none"/>
          <w:lang w:eastAsia="zh-CN"/>
        </w:rPr>
        <w:t>采购代理机构</w:t>
      </w:r>
      <w:r>
        <w:rPr>
          <w:rFonts w:hint="eastAsia" w:ascii="仿宋" w:hAnsi="仿宋" w:eastAsia="仿宋" w:cs="仿宋"/>
          <w:color w:val="auto"/>
          <w:kern w:val="1"/>
          <w:highlight w:val="none"/>
        </w:rPr>
        <w:t>有索赔的权利，</w:t>
      </w:r>
      <w:r>
        <w:rPr>
          <w:rFonts w:hint="eastAsia" w:ascii="仿宋" w:hAnsi="仿宋" w:eastAsia="仿宋" w:cs="仿宋"/>
          <w:color w:val="auto"/>
          <w:kern w:val="1"/>
          <w:highlight w:val="none"/>
          <w:lang w:eastAsia="zh-CN"/>
        </w:rPr>
        <w:t>投标人</w:t>
      </w:r>
      <w:r>
        <w:rPr>
          <w:rFonts w:hint="eastAsia" w:ascii="仿宋" w:hAnsi="仿宋" w:eastAsia="仿宋" w:cs="仿宋"/>
          <w:color w:val="auto"/>
          <w:kern w:val="1"/>
          <w:highlight w:val="none"/>
        </w:rPr>
        <w:t>应予以赔偿。</w:t>
      </w:r>
    </w:p>
    <w:p>
      <w:pPr>
        <w:pStyle w:val="2"/>
        <w:spacing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32.特殊情况处置程序</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kern w:val="1"/>
          <w:highlight w:val="none"/>
        </w:rPr>
        <w:t>在评标过程中，评标委员会发生分歧或者评审结论有异议需表决的，按照少数服从多数的原则，由评标委员会全体成员以记名投票方式表决。</w:t>
      </w:r>
    </w:p>
    <w:p>
      <w:pPr>
        <w:pStyle w:val="2"/>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33. 废标</w:t>
      </w:r>
    </w:p>
    <w:p>
      <w:pPr>
        <w:pStyle w:val="2"/>
        <w:spacing w:after="0" w:line="360" w:lineRule="auto"/>
        <w:ind w:firstLine="602" w:firstLineChars="250"/>
        <w:rPr>
          <w:rFonts w:ascii="仿宋" w:hAnsi="仿宋" w:eastAsia="仿宋" w:cs="仿宋"/>
          <w:b/>
          <w:color w:val="auto"/>
          <w:highlight w:val="none"/>
        </w:rPr>
      </w:pPr>
      <w:r>
        <w:rPr>
          <w:rFonts w:hint="eastAsia" w:ascii="仿宋" w:hAnsi="仿宋" w:eastAsia="仿宋" w:cs="仿宋"/>
          <w:b/>
          <w:color w:val="auto"/>
          <w:highlight w:val="none"/>
        </w:rPr>
        <w:t>有下列情形之一，本项目将予以废标：</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1）在投标截止时间结束后参加投标的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不足3家的；</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2）符合招标文件规定条件的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不足3家或者对招标文件作实质性响应的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不足3家的；</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3）出现影响采购公正的违法违规行为的；</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的报价均超过采购预算的；</w:t>
      </w:r>
    </w:p>
    <w:p>
      <w:pPr>
        <w:pStyle w:val="2"/>
        <w:spacing w:after="0" w:line="360" w:lineRule="auto"/>
        <w:ind w:firstLine="600" w:firstLineChars="250"/>
        <w:rPr>
          <w:rFonts w:hint="eastAsia" w:ascii="仿宋" w:hAnsi="仿宋" w:eastAsia="仿宋" w:cs="仿宋"/>
          <w:color w:val="auto"/>
          <w:highlight w:val="none"/>
        </w:rPr>
      </w:pPr>
      <w:r>
        <w:rPr>
          <w:rFonts w:hint="eastAsia" w:ascii="仿宋" w:hAnsi="仿宋" w:eastAsia="仿宋" w:cs="仿宋"/>
          <w:color w:val="auto"/>
          <w:highlight w:val="none"/>
        </w:rPr>
        <w:t>5）因重大变故，采购任务取消的；</w:t>
      </w:r>
    </w:p>
    <w:p>
      <w:pPr>
        <w:pStyle w:val="2"/>
        <w:spacing w:after="0" w:line="360" w:lineRule="auto"/>
        <w:ind w:firstLine="600" w:firstLineChars="250"/>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val="en-US" w:eastAsia="zh-CN"/>
        </w:rPr>
        <w:t>遇有消防救援队伍上级政策变动，采购活动终止或者取消的；</w:t>
      </w:r>
    </w:p>
    <w:p>
      <w:pPr>
        <w:pStyle w:val="2"/>
        <w:spacing w:after="0" w:line="360" w:lineRule="auto"/>
        <w:ind w:firstLine="600" w:firstLineChars="250"/>
        <w:rPr>
          <w:rFonts w:ascii="仿宋" w:hAnsi="仿宋" w:eastAsia="仿宋" w:cs="仿宋"/>
          <w:b/>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）法律、法规及招标文件规定的其他情况。</w:t>
      </w:r>
    </w:p>
    <w:p>
      <w:pPr>
        <w:pStyle w:val="21"/>
        <w:widowControl w:val="0"/>
        <w:tabs>
          <w:tab w:val="left" w:pos="955"/>
        </w:tabs>
        <w:spacing w:before="0" w:beforeAutospacing="0" w:after="0" w:afterAutospacing="0" w:line="360" w:lineRule="auto"/>
        <w:ind w:left="1146" w:leftChars="273" w:hanging="573" w:hangingChars="238"/>
        <w:jc w:val="both"/>
        <w:rPr>
          <w:rFonts w:ascii="仿宋" w:hAnsi="仿宋" w:eastAsia="仿宋" w:cs="仿宋"/>
          <w:b/>
          <w:color w:val="auto"/>
          <w:highlight w:val="none"/>
        </w:rPr>
      </w:pPr>
      <w:r>
        <w:rPr>
          <w:rFonts w:hint="eastAsia" w:ascii="仿宋" w:hAnsi="仿宋" w:eastAsia="仿宋" w:cs="仿宋"/>
          <w:b/>
          <w:color w:val="auto"/>
          <w:highlight w:val="none"/>
        </w:rPr>
        <w:t>34.  中标公告</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 xml:space="preserve">34.1 </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确定中标人后，</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将在发布招标公告的同一媒体发布中标公告。</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34.2 中标公告内容应当包括</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和</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的名称、地址、联系方式，项目名称和项目编号，中标人名称、地址和中标金额，主要中标标的的名称、规格型号、数量、单价、服务要求以及评审专家名单。</w:t>
      </w:r>
    </w:p>
    <w:p>
      <w:pPr>
        <w:pStyle w:val="5"/>
        <w:widowControl/>
        <w:spacing w:before="120" w:after="120" w:line="360" w:lineRule="auto"/>
        <w:ind w:firstLine="516" w:firstLineChars="214"/>
        <w:rPr>
          <w:rFonts w:ascii="仿宋" w:hAnsi="仿宋" w:eastAsia="仿宋" w:cs="仿宋"/>
          <w:color w:val="auto"/>
          <w:szCs w:val="24"/>
          <w:highlight w:val="none"/>
        </w:rPr>
      </w:pPr>
      <w:bookmarkStart w:id="94" w:name="_Toc508784352"/>
      <w:bookmarkStart w:id="95" w:name="_Toc9659"/>
      <w:r>
        <w:rPr>
          <w:rFonts w:hint="eastAsia" w:ascii="仿宋" w:hAnsi="仿宋" w:eastAsia="仿宋" w:cs="仿宋"/>
          <w:color w:val="auto"/>
          <w:szCs w:val="24"/>
          <w:highlight w:val="none"/>
        </w:rPr>
        <w:t>六、询问、质疑</w:t>
      </w:r>
      <w:bookmarkEnd w:id="94"/>
      <w:r>
        <w:rPr>
          <w:rFonts w:hint="eastAsia" w:ascii="仿宋" w:hAnsi="仿宋" w:eastAsia="仿宋" w:cs="仿宋"/>
          <w:color w:val="auto"/>
          <w:szCs w:val="24"/>
          <w:highlight w:val="none"/>
        </w:rPr>
        <w:t>、处罚</w:t>
      </w:r>
      <w:bookmarkEnd w:id="95"/>
    </w:p>
    <w:p>
      <w:pPr>
        <w:pStyle w:val="2"/>
        <w:tabs>
          <w:tab w:val="left" w:pos="955"/>
        </w:tabs>
        <w:spacing w:after="0" w:line="360" w:lineRule="auto"/>
        <w:ind w:left="1146" w:leftChars="273" w:hanging="573" w:hangingChars="238"/>
        <w:rPr>
          <w:rFonts w:ascii="仿宋" w:hAnsi="仿宋" w:eastAsia="仿宋" w:cs="仿宋"/>
          <w:b/>
          <w:bCs/>
          <w:color w:val="auto"/>
          <w:szCs w:val="24"/>
          <w:highlight w:val="none"/>
        </w:rPr>
      </w:pPr>
      <w:r>
        <w:rPr>
          <w:rFonts w:hint="eastAsia" w:ascii="仿宋" w:hAnsi="仿宋" w:eastAsia="仿宋" w:cs="仿宋"/>
          <w:b/>
          <w:bCs/>
          <w:color w:val="auto"/>
          <w:szCs w:val="24"/>
          <w:highlight w:val="none"/>
        </w:rPr>
        <w:t>35、询问</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可向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就招标文件的内容依法提出询问，具体按招标公告中载明的联系人、联系方式以电话或书面（电子邮件等）方式与</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项目负责人联系。</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将在收到询问后3个工作日内作出答复。</w:t>
      </w:r>
    </w:p>
    <w:p>
      <w:pPr>
        <w:pStyle w:val="2"/>
        <w:spacing w:after="0" w:line="360" w:lineRule="auto"/>
        <w:ind w:firstLine="602" w:firstLineChars="250"/>
        <w:rPr>
          <w:rFonts w:ascii="仿宋" w:hAnsi="仿宋" w:eastAsia="仿宋" w:cs="仿宋"/>
          <w:color w:val="auto"/>
          <w:highlight w:val="none"/>
        </w:rPr>
      </w:pPr>
      <w:r>
        <w:rPr>
          <w:rFonts w:hint="eastAsia" w:ascii="仿宋" w:hAnsi="仿宋" w:eastAsia="仿宋" w:cs="仿宋"/>
          <w:b/>
          <w:bCs/>
          <w:color w:val="auto"/>
          <w:szCs w:val="24"/>
          <w:highlight w:val="none"/>
        </w:rPr>
        <w:t>36、质疑</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 xml:space="preserve">36.1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认为招标文件、采购过程和中标结果使自己的权益受到损害的，可以在知道或者应知其权益受到损害之日起七个工作日内，以书面形式向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提出询问或质疑。</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应在法定质疑期内一次性提出针对同一采购程序环节的质疑。</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应知其权益受到损害之日，是指：</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（1）对可以质疑的招标文件提出质疑的，为收到招标文件之日或者招标文件公告期限届满之日；</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（2）对采购过程提出质疑的，为各采购程序环节结束之日；</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（3）对中标结果提出质疑的，为中标结果公告期限届满之日。</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 xml:space="preserve">36.2 </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应当在收到</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的书面质疑后七个工作日内作出答复，并以书面形式通知质疑</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和其他有关</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，但答复的内容不得涉及商业秘密。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 xml:space="preserve">36.3 </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接收质疑函的联系人、联系电话和通讯地址等信息详见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须知附表”中载明的</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联系方式和联系人。</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36.4</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可以委托代理人进行质疑和投诉。其授权委托书应当载明代理人的姓名或者名称、代理事项、具体权限、期限和相关事项。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为自然人的，应当由本人签字；</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为法人或者其他组织的，应当由法定代表人、主要负责人签字或者盖章，并加盖公章。</w:t>
      </w:r>
    </w:p>
    <w:p>
      <w:pPr>
        <w:pStyle w:val="2"/>
        <w:spacing w:after="0"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代理人提出质疑和投诉，应当提交</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签署的授权委托书。</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36.5 提出质疑的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应当是参与所质疑项目采购活动的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36.6 潜在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已依法获取其可质疑的招标文件的，可以对该文件提出质疑。对招标文件提出质疑的，应当在获取招标文件或者招标文件公告期限届满之日起7个工作日内提出。</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 xml:space="preserve">36.7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提出质疑应当提交质疑函和必要的证明材料。质疑函应当包括下列内容：</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的姓名或者名称、地址、邮编、联系人及联系电话；</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（2）质疑项目的名称、编号；</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（3）具体、明确的质疑事项和与质疑事项相关的请求；</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（4）事实依据；</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（5）必要的法律依据；</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（6）提出质疑的日期。</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为自然人的，应当由本人签字；</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为法人或者其他组织的，应当由法定代表人、主要负责人，或者其授权代表签字或者盖章，并加盖公章。</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 xml:space="preserve">36.8 </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认为</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质疑不成立，或者成立但未对中标、成交结果构成影响的，继续开展采购活动；认为</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质疑成立且影响或者可能影响中标、成交结果的，按照下列情况处理：</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（1）对招标文件提出的质疑，依法通过澄清或者修改可以继续开展采购活动的，澄清或者修改招标文件后继续开展采购活动；否则应当修改招标文件后重新开展采购活动。</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（2）对采购过程、中标或者成交结果提出的质疑，合格</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符合法定数量时，可以从合格的中标候先选人中另行确定中标候选人的，应当依法另行确定中标候选人；否则应当重新开展采购活动。</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36.9 质疑</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对</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的答复不满意或者</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未在规定的时间内作出答复的，可以在答复期满后十五个工作日内向同级政府采购监督管理部门投诉。</w:t>
      </w:r>
    </w:p>
    <w:p>
      <w:pPr>
        <w:rPr>
          <w:color w:val="auto"/>
          <w:highlight w:val="none"/>
        </w:rPr>
      </w:pPr>
    </w:p>
    <w:p>
      <w:pPr>
        <w:pStyle w:val="5"/>
        <w:spacing w:before="120" w:after="120" w:line="360" w:lineRule="auto"/>
        <w:ind w:firstLine="516" w:firstLineChars="214"/>
        <w:rPr>
          <w:rFonts w:ascii="仿宋" w:hAnsi="仿宋" w:eastAsia="仿宋" w:cs="仿宋"/>
          <w:color w:val="auto"/>
          <w:szCs w:val="24"/>
          <w:highlight w:val="none"/>
        </w:rPr>
      </w:pPr>
      <w:bookmarkStart w:id="96" w:name="_Toc508784353"/>
      <w:bookmarkStart w:id="97" w:name="_Toc24825"/>
      <w:r>
        <w:rPr>
          <w:rFonts w:hint="eastAsia" w:ascii="仿宋" w:hAnsi="仿宋" w:eastAsia="仿宋" w:cs="仿宋"/>
          <w:color w:val="auto"/>
          <w:szCs w:val="24"/>
          <w:highlight w:val="none"/>
        </w:rPr>
        <w:t>七、授予合同</w:t>
      </w:r>
      <w:bookmarkEnd w:id="96"/>
      <w:bookmarkEnd w:id="97"/>
    </w:p>
    <w:p>
      <w:pPr>
        <w:pStyle w:val="2"/>
        <w:tabs>
          <w:tab w:val="left" w:pos="955"/>
        </w:tabs>
        <w:spacing w:after="0" w:line="360" w:lineRule="auto"/>
        <w:ind w:left="1146" w:leftChars="273" w:hanging="573" w:hangingChars="238"/>
        <w:rPr>
          <w:rFonts w:ascii="仿宋" w:hAnsi="仿宋" w:eastAsia="仿宋" w:cs="仿宋"/>
          <w:b/>
          <w:bCs/>
          <w:color w:val="auto"/>
          <w:highlight w:val="none"/>
        </w:rPr>
      </w:pPr>
      <w:bookmarkStart w:id="98" w:name="_Toc346372910"/>
      <w:bookmarkStart w:id="99" w:name="_Toc346306763"/>
      <w:bookmarkStart w:id="100" w:name="_Toc352332884"/>
      <w:r>
        <w:rPr>
          <w:rFonts w:hint="eastAsia" w:ascii="仿宋" w:hAnsi="仿宋" w:eastAsia="仿宋" w:cs="仿宋"/>
          <w:b/>
          <w:bCs/>
          <w:color w:val="auto"/>
          <w:highlight w:val="none"/>
        </w:rPr>
        <w:t>37.  中标通知书</w:t>
      </w:r>
      <w:bookmarkEnd w:id="98"/>
      <w:bookmarkEnd w:id="99"/>
      <w:bookmarkEnd w:id="100"/>
    </w:p>
    <w:p>
      <w:pPr>
        <w:pStyle w:val="2"/>
        <w:spacing w:after="0" w:line="360" w:lineRule="auto"/>
        <w:ind w:firstLine="600" w:firstLineChars="250"/>
        <w:rPr>
          <w:rFonts w:ascii="仿宋" w:hAnsi="仿宋" w:eastAsia="仿宋" w:cs="仿宋"/>
          <w:color w:val="auto"/>
          <w:highlight w:val="none"/>
        </w:rPr>
      </w:pPr>
      <w:bookmarkStart w:id="101" w:name="_Toc352332885"/>
      <w:bookmarkStart w:id="102" w:name="_Toc346306764"/>
      <w:bookmarkStart w:id="103" w:name="_Toc346372911"/>
      <w:r>
        <w:rPr>
          <w:rFonts w:hint="eastAsia" w:ascii="仿宋" w:hAnsi="仿宋" w:eastAsia="仿宋" w:cs="仿宋"/>
          <w:color w:val="auto"/>
          <w:highlight w:val="none"/>
        </w:rPr>
        <w:t>37.1在发布中标结果的同时，</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或</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向中标人签发《中标通知书》。</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37.2 中标通知书是合同的一个组成部分。</w:t>
      </w:r>
    </w:p>
    <w:p>
      <w:pPr>
        <w:pStyle w:val="2"/>
        <w:tabs>
          <w:tab w:val="left" w:pos="955"/>
        </w:tabs>
        <w:spacing w:after="0" w:line="360" w:lineRule="auto"/>
        <w:ind w:left="1146" w:leftChars="273" w:hanging="573" w:hangingChars="238"/>
        <w:rPr>
          <w:rFonts w:ascii="仿宋" w:hAnsi="仿宋" w:eastAsia="仿宋" w:cs="仿宋"/>
          <w:b/>
          <w:bCs/>
          <w:color w:val="auto"/>
          <w:highlight w:val="none"/>
        </w:rPr>
      </w:pPr>
      <w:r>
        <w:rPr>
          <w:rFonts w:hint="eastAsia" w:ascii="仿宋" w:hAnsi="仿宋" w:eastAsia="仿宋" w:cs="仿宋"/>
          <w:b/>
          <w:bCs/>
          <w:color w:val="auto"/>
          <w:highlight w:val="none"/>
        </w:rPr>
        <w:t>38. 签订合同</w:t>
      </w:r>
      <w:bookmarkEnd w:id="101"/>
      <w:bookmarkEnd w:id="102"/>
      <w:bookmarkEnd w:id="103"/>
    </w:p>
    <w:p>
      <w:pPr>
        <w:pStyle w:val="2"/>
        <w:spacing w:line="360" w:lineRule="auto"/>
        <w:ind w:firstLine="600" w:firstLineChars="250"/>
        <w:rPr>
          <w:rFonts w:ascii="仿宋" w:hAnsi="仿宋" w:eastAsia="仿宋" w:cs="仿宋"/>
          <w:color w:val="auto"/>
          <w:highlight w:val="none"/>
        </w:rPr>
      </w:pPr>
      <w:bookmarkStart w:id="104" w:name="_Toc475090310"/>
      <w:r>
        <w:rPr>
          <w:rFonts w:hint="eastAsia" w:ascii="仿宋" w:hAnsi="仿宋" w:eastAsia="仿宋" w:cs="仿宋"/>
          <w:color w:val="auto"/>
          <w:highlight w:val="none"/>
        </w:rPr>
        <w:t>38.1中标通知书发出之日起</w:t>
      </w: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日内，按照招标文件确定的事项签订合同。</w:t>
      </w:r>
    </w:p>
    <w:p>
      <w:pPr>
        <w:pStyle w:val="2"/>
        <w:spacing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38.2中标通知书对</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和中标</w:t>
      </w:r>
      <w:r>
        <w:rPr>
          <w:rFonts w:hint="eastAsia" w:ascii="仿宋" w:hAnsi="仿宋" w:eastAsia="仿宋" w:cs="仿宋"/>
          <w:color w:val="auto"/>
          <w:highlight w:val="none"/>
          <w:lang w:eastAsia="zh-CN"/>
        </w:rPr>
        <w:t>单位</w:t>
      </w:r>
      <w:r>
        <w:rPr>
          <w:rFonts w:hint="eastAsia" w:ascii="仿宋" w:hAnsi="仿宋" w:eastAsia="仿宋" w:cs="仿宋"/>
          <w:color w:val="auto"/>
          <w:highlight w:val="none"/>
        </w:rPr>
        <w:t>均具有法律效力。中标通知书发出后，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违法改变中标结果的，或者中标</w:t>
      </w:r>
      <w:r>
        <w:rPr>
          <w:rFonts w:hint="eastAsia" w:ascii="仿宋" w:hAnsi="仿宋" w:eastAsia="仿宋" w:cs="仿宋"/>
          <w:color w:val="auto"/>
          <w:highlight w:val="none"/>
          <w:lang w:eastAsia="zh-CN"/>
        </w:rPr>
        <w:t>单位</w:t>
      </w:r>
      <w:r>
        <w:rPr>
          <w:rFonts w:hint="eastAsia" w:ascii="仿宋" w:hAnsi="仿宋" w:eastAsia="仿宋" w:cs="仿宋"/>
          <w:color w:val="auto"/>
          <w:highlight w:val="none"/>
        </w:rPr>
        <w:t>无正当理由放弃中标项目的，应当依法承担法律责任。</w:t>
      </w:r>
    </w:p>
    <w:p>
      <w:pPr>
        <w:pStyle w:val="2"/>
        <w:spacing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38.3招标文件、中标人的投标文件以及评标过程中的有关澄清、承诺文件均为合同的组成部分。</w:t>
      </w:r>
      <w:bookmarkEnd w:id="104"/>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38.4中标人拒绝与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签订合同的，</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可以按照评审报告推荐的中标候选人名单排序，确定下一候选人为中标</w:t>
      </w:r>
      <w:r>
        <w:rPr>
          <w:rFonts w:hint="eastAsia" w:ascii="仿宋" w:hAnsi="仿宋" w:eastAsia="仿宋" w:cs="仿宋"/>
          <w:color w:val="auto"/>
          <w:highlight w:val="none"/>
          <w:lang w:eastAsia="zh-CN"/>
        </w:rPr>
        <w:t>人</w:t>
      </w:r>
      <w:r>
        <w:rPr>
          <w:rFonts w:hint="eastAsia" w:ascii="仿宋" w:hAnsi="仿宋" w:eastAsia="仿宋" w:cs="仿宋"/>
          <w:color w:val="auto"/>
          <w:highlight w:val="none"/>
        </w:rPr>
        <w:t>，也可以重新开展政府采购活动。</w:t>
      </w:r>
    </w:p>
    <w:p>
      <w:pPr>
        <w:pStyle w:val="5"/>
        <w:widowControl/>
        <w:spacing w:before="120" w:after="120" w:line="360" w:lineRule="auto"/>
        <w:ind w:firstLine="516" w:firstLineChars="214"/>
        <w:rPr>
          <w:rFonts w:ascii="仿宋" w:hAnsi="仿宋" w:eastAsia="仿宋" w:cs="仿宋"/>
          <w:color w:val="auto"/>
          <w:szCs w:val="24"/>
          <w:highlight w:val="none"/>
        </w:rPr>
      </w:pPr>
      <w:bookmarkStart w:id="105" w:name="_Toc10213"/>
      <w:r>
        <w:rPr>
          <w:rFonts w:hint="eastAsia" w:ascii="仿宋" w:hAnsi="仿宋" w:eastAsia="仿宋" w:cs="仿宋"/>
          <w:color w:val="auto"/>
          <w:szCs w:val="24"/>
          <w:highlight w:val="none"/>
        </w:rPr>
        <w:t>八、履约保证金</w:t>
      </w:r>
      <w:bookmarkEnd w:id="105"/>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39.1本项目中标人应按</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要求提交履约担保，除非招标文件“</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须知前附表”明确说明不要求中标人提交履约担保。履约担保的形式和担保金额见招标文件“</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5"/>
        <w:widowControl/>
        <w:spacing w:before="120" w:after="120" w:line="360" w:lineRule="auto"/>
        <w:ind w:firstLine="516" w:firstLineChars="214"/>
        <w:rPr>
          <w:rFonts w:ascii="仿宋" w:hAnsi="仿宋" w:eastAsia="仿宋" w:cs="仿宋"/>
          <w:color w:val="auto"/>
          <w:szCs w:val="24"/>
          <w:highlight w:val="none"/>
        </w:rPr>
      </w:pPr>
      <w:bookmarkStart w:id="106" w:name="_Toc508784354"/>
      <w:bookmarkStart w:id="107" w:name="_Toc21839"/>
      <w:bookmarkStart w:id="108" w:name="_Toc19036"/>
      <w:r>
        <w:rPr>
          <w:rFonts w:hint="eastAsia" w:ascii="仿宋" w:hAnsi="仿宋" w:eastAsia="仿宋" w:cs="仿宋"/>
          <w:color w:val="auto"/>
          <w:szCs w:val="24"/>
          <w:highlight w:val="none"/>
        </w:rPr>
        <w:t>九、</w:t>
      </w:r>
      <w:bookmarkEnd w:id="106"/>
      <w:bookmarkEnd w:id="107"/>
      <w:r>
        <w:rPr>
          <w:rFonts w:hint="eastAsia" w:ascii="仿宋" w:hAnsi="仿宋" w:eastAsia="仿宋" w:cs="仿宋"/>
          <w:color w:val="auto"/>
          <w:szCs w:val="24"/>
          <w:highlight w:val="none"/>
        </w:rPr>
        <w:t>相关费用</w:t>
      </w:r>
      <w:bookmarkEnd w:id="108"/>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40. 中标服务费</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40.1本项目中标服务费由</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向中标人收取。中标服务费的计算标准详见招标文件“</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40.2 本项目公证费/律师（如有）见证费（如有）具体收费标准见招标文件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pPr>
        <w:pStyle w:val="5"/>
        <w:widowControl/>
        <w:spacing w:before="120" w:after="120" w:line="360" w:lineRule="auto"/>
        <w:ind w:firstLine="516" w:firstLineChars="214"/>
        <w:rPr>
          <w:rFonts w:ascii="仿宋" w:hAnsi="仿宋" w:eastAsia="仿宋" w:cs="仿宋"/>
          <w:color w:val="auto"/>
          <w:szCs w:val="24"/>
          <w:highlight w:val="none"/>
        </w:rPr>
      </w:pPr>
      <w:bookmarkStart w:id="109" w:name="_Toc6579"/>
      <w:r>
        <w:rPr>
          <w:rFonts w:hint="eastAsia" w:ascii="仿宋" w:hAnsi="仿宋" w:eastAsia="仿宋" w:cs="仿宋"/>
          <w:color w:val="auto"/>
          <w:szCs w:val="24"/>
          <w:highlight w:val="none"/>
        </w:rPr>
        <w:t>十、处罚</w:t>
      </w:r>
      <w:bookmarkEnd w:id="109"/>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41.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有下列情形之一的，依照政府采购法第七十七条第一款、第七十九条的规定追究法律责任：</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（1）提供虚假材料谋取中标、成交的；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（2）采取不正当手段诋毁、排挤其他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（3）与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、其他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恶意串通的；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（4）向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行贿或者提供其他不正当利益的；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（5）在招标采购过程中与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进行协商谈判的；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（6）拒绝有关部门监督检查或者提供虚假情况的；</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（7）向评标委员会行贿或者提供其他不正当利益；</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（8）中标后无正当理由拒不与</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签订政府采购合同；</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（9）未按照招标文件确定的事项签订政府采购合同；</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（10）将政府采购合同转包；</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（11）提供假冒伪劣产品；</w:t>
      </w:r>
    </w:p>
    <w:p>
      <w:pPr>
        <w:pStyle w:val="21"/>
        <w:widowControl w:val="0"/>
        <w:spacing w:before="0" w:beforeAutospacing="0" w:after="0" w:afterAutospacing="0" w:line="360" w:lineRule="auto"/>
        <w:ind w:firstLine="600" w:firstLineChars="250"/>
        <w:jc w:val="both"/>
        <w:rPr>
          <w:rFonts w:ascii="仿宋" w:hAnsi="仿宋" w:eastAsia="仿宋" w:cs="仿宋"/>
          <w:color w:val="auto"/>
          <w:highlight w:val="none"/>
        </w:rPr>
      </w:pPr>
      <w:r>
        <w:rPr>
          <w:rFonts w:hint="eastAsia" w:ascii="仿宋" w:hAnsi="仿宋" w:eastAsia="仿宋" w:cs="仿宋"/>
          <w:color w:val="auto"/>
          <w:highlight w:val="none"/>
        </w:rPr>
        <w:t>（12）擅自变更、中止或者终止政府采购合同。</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有前款第（1）至（5）项、第（7）项情形之一的，中标无效。</w:t>
      </w:r>
    </w:p>
    <w:p>
      <w:pPr>
        <w:pStyle w:val="2"/>
        <w:spacing w:after="0" w:line="360" w:lineRule="auto"/>
        <w:ind w:firstLine="602" w:firstLineChars="250"/>
        <w:rPr>
          <w:rFonts w:ascii="仿宋" w:hAnsi="仿宋" w:eastAsia="仿宋" w:cs="仿宋"/>
          <w:b/>
          <w:color w:val="auto"/>
          <w:highlight w:val="none"/>
        </w:rPr>
      </w:pPr>
      <w:bookmarkStart w:id="110" w:name="_Toc328400017"/>
      <w:bookmarkStart w:id="111" w:name="_Toc328399618"/>
      <w:bookmarkStart w:id="112" w:name="_Toc328400233"/>
      <w:r>
        <w:rPr>
          <w:rFonts w:hint="eastAsia" w:ascii="仿宋" w:hAnsi="仿宋" w:eastAsia="仿宋" w:cs="仿宋"/>
          <w:b/>
          <w:color w:val="auto"/>
          <w:highlight w:val="none"/>
        </w:rPr>
        <w:t>42.发生下列情况之一，投标人的投标保证金或履约保证金不予退还，并被列入不良行为记录名单，投标人今后参与同类政府采购项目的机会可能会受到影响：</w:t>
      </w:r>
      <w:bookmarkEnd w:id="110"/>
      <w:bookmarkEnd w:id="111"/>
      <w:bookmarkEnd w:id="112"/>
    </w:p>
    <w:p>
      <w:pPr>
        <w:pStyle w:val="2"/>
        <w:spacing w:after="0" w:line="360" w:lineRule="auto"/>
        <w:ind w:firstLine="482" w:firstLineChars="200"/>
        <w:rPr>
          <w:rFonts w:ascii="仿宋" w:hAnsi="仿宋" w:eastAsia="仿宋" w:cs="仿宋"/>
          <w:b/>
          <w:color w:val="auto"/>
          <w:highlight w:val="none"/>
        </w:rPr>
      </w:pPr>
      <w:r>
        <w:rPr>
          <w:rFonts w:hint="eastAsia" w:ascii="仿宋" w:hAnsi="仿宋" w:eastAsia="仿宋" w:cs="仿宋"/>
          <w:b/>
          <w:color w:val="auto"/>
          <w:highlight w:val="none"/>
        </w:rPr>
        <w:t>1)开标后在投标有效期内，投标人撤回其投标；</w:t>
      </w:r>
    </w:p>
    <w:p>
      <w:pPr>
        <w:pStyle w:val="2"/>
        <w:spacing w:after="0" w:line="360" w:lineRule="auto"/>
        <w:ind w:firstLine="482" w:firstLineChars="200"/>
        <w:rPr>
          <w:rFonts w:ascii="仿宋" w:hAnsi="仿宋" w:eastAsia="仿宋" w:cs="仿宋"/>
          <w:b/>
          <w:color w:val="auto"/>
          <w:highlight w:val="none"/>
        </w:rPr>
      </w:pPr>
      <w:r>
        <w:rPr>
          <w:rFonts w:hint="eastAsia" w:ascii="仿宋" w:hAnsi="仿宋" w:eastAsia="仿宋" w:cs="仿宋"/>
          <w:b/>
          <w:color w:val="auto"/>
          <w:highlight w:val="none"/>
        </w:rPr>
        <w:t>2)中标人未按本招标文件规定签订政府采购合同；</w:t>
      </w:r>
    </w:p>
    <w:p>
      <w:pPr>
        <w:pStyle w:val="2"/>
        <w:spacing w:after="0" w:line="360" w:lineRule="auto"/>
        <w:ind w:firstLine="482" w:firstLineChars="200"/>
        <w:rPr>
          <w:rFonts w:ascii="仿宋" w:hAnsi="仿宋" w:eastAsia="仿宋" w:cs="仿宋"/>
          <w:b/>
          <w:color w:val="auto"/>
          <w:highlight w:val="none"/>
        </w:rPr>
      </w:pPr>
      <w:r>
        <w:rPr>
          <w:rFonts w:hint="eastAsia" w:ascii="仿宋" w:hAnsi="仿宋" w:eastAsia="仿宋" w:cs="仿宋"/>
          <w:b/>
          <w:color w:val="auto"/>
          <w:highlight w:val="none"/>
        </w:rPr>
        <w:t>3)中标人与</w:t>
      </w:r>
      <w:r>
        <w:rPr>
          <w:rFonts w:hint="eastAsia" w:ascii="仿宋" w:hAnsi="仿宋" w:eastAsia="仿宋" w:cs="仿宋"/>
          <w:b/>
          <w:color w:val="auto"/>
          <w:highlight w:val="none"/>
          <w:lang w:eastAsia="zh-CN"/>
        </w:rPr>
        <w:t>采购人</w:t>
      </w:r>
      <w:r>
        <w:rPr>
          <w:rFonts w:hint="eastAsia" w:ascii="仿宋" w:hAnsi="仿宋" w:eastAsia="仿宋" w:cs="仿宋"/>
          <w:b/>
          <w:color w:val="auto"/>
          <w:highlight w:val="none"/>
        </w:rPr>
        <w:t>订立背离合同实质性内容的其它协议；</w:t>
      </w:r>
    </w:p>
    <w:p>
      <w:pPr>
        <w:pStyle w:val="2"/>
        <w:spacing w:after="0" w:line="360" w:lineRule="auto"/>
        <w:ind w:firstLine="482" w:firstLineChars="200"/>
        <w:rPr>
          <w:rFonts w:ascii="仿宋" w:hAnsi="仿宋" w:eastAsia="仿宋" w:cs="仿宋"/>
          <w:b/>
          <w:color w:val="auto"/>
          <w:highlight w:val="none"/>
        </w:rPr>
      </w:pPr>
      <w:r>
        <w:rPr>
          <w:rFonts w:hint="eastAsia" w:ascii="仿宋" w:hAnsi="仿宋" w:eastAsia="仿宋" w:cs="仿宋"/>
          <w:b/>
          <w:color w:val="auto"/>
          <w:highlight w:val="none"/>
        </w:rPr>
        <w:t>4)中标人将中标项目转让给他人，或者在投标文件中未说明，且未经</w:t>
      </w:r>
      <w:r>
        <w:rPr>
          <w:rFonts w:hint="eastAsia" w:ascii="仿宋" w:hAnsi="仿宋" w:eastAsia="仿宋" w:cs="仿宋"/>
          <w:b/>
          <w:color w:val="auto"/>
          <w:highlight w:val="none"/>
          <w:lang w:eastAsia="zh-CN"/>
        </w:rPr>
        <w:t>采购代理机构</w:t>
      </w:r>
      <w:r>
        <w:rPr>
          <w:rFonts w:hint="eastAsia" w:ascii="仿宋" w:hAnsi="仿宋" w:eastAsia="仿宋" w:cs="仿宋"/>
          <w:b/>
          <w:color w:val="auto"/>
          <w:highlight w:val="none"/>
        </w:rPr>
        <w:t>和</w:t>
      </w:r>
      <w:r>
        <w:rPr>
          <w:rFonts w:hint="eastAsia" w:ascii="仿宋" w:hAnsi="仿宋" w:eastAsia="仿宋" w:cs="仿宋"/>
          <w:b/>
          <w:color w:val="auto"/>
          <w:highlight w:val="none"/>
          <w:lang w:eastAsia="zh-CN"/>
        </w:rPr>
        <w:t>采购人</w:t>
      </w:r>
      <w:r>
        <w:rPr>
          <w:rFonts w:hint="eastAsia" w:ascii="仿宋" w:hAnsi="仿宋" w:eastAsia="仿宋" w:cs="仿宋"/>
          <w:b/>
          <w:color w:val="auto"/>
          <w:highlight w:val="none"/>
        </w:rPr>
        <w:t>同意，将中标项目分包给他人的；</w:t>
      </w:r>
    </w:p>
    <w:p>
      <w:pPr>
        <w:pStyle w:val="2"/>
        <w:spacing w:after="0" w:line="360" w:lineRule="auto"/>
        <w:ind w:firstLine="482" w:firstLineChars="200"/>
        <w:rPr>
          <w:rFonts w:ascii="仿宋" w:hAnsi="仿宋" w:eastAsia="仿宋" w:cs="仿宋"/>
          <w:b/>
          <w:color w:val="auto"/>
          <w:highlight w:val="none"/>
        </w:rPr>
      </w:pPr>
      <w:r>
        <w:rPr>
          <w:rFonts w:hint="eastAsia" w:ascii="仿宋" w:hAnsi="仿宋" w:eastAsia="仿宋" w:cs="仿宋"/>
          <w:b/>
          <w:color w:val="auto"/>
          <w:highlight w:val="none"/>
        </w:rPr>
        <w:t>5)中标人其它未按招标文件规定和合同约定履行义务的行为。</w:t>
      </w:r>
    </w:p>
    <w:p>
      <w:pPr>
        <w:pStyle w:val="5"/>
        <w:spacing w:line="360" w:lineRule="auto"/>
        <w:ind w:firstLine="562" w:firstLineChars="200"/>
        <w:rPr>
          <w:rFonts w:ascii="仿宋" w:hAnsi="仿宋" w:eastAsia="仿宋" w:cs="仿宋"/>
          <w:color w:val="auto"/>
          <w:sz w:val="28"/>
          <w:szCs w:val="28"/>
          <w:highlight w:val="none"/>
        </w:rPr>
      </w:pPr>
      <w:bookmarkStart w:id="113" w:name="_Toc504"/>
      <w:bookmarkStart w:id="114" w:name="_Toc29230"/>
      <w:r>
        <w:rPr>
          <w:rFonts w:hint="eastAsia" w:ascii="仿宋" w:hAnsi="仿宋" w:eastAsia="仿宋" w:cs="仿宋"/>
          <w:color w:val="auto"/>
          <w:sz w:val="28"/>
          <w:szCs w:val="28"/>
          <w:highlight w:val="none"/>
        </w:rPr>
        <w:t>十一、保密和披露</w:t>
      </w:r>
      <w:bookmarkEnd w:id="113"/>
      <w:bookmarkEnd w:id="114"/>
    </w:p>
    <w:p>
      <w:pPr>
        <w:pStyle w:val="2"/>
        <w:tabs>
          <w:tab w:val="left" w:pos="1146"/>
        </w:tabs>
        <w:spacing w:after="0" w:line="360" w:lineRule="auto"/>
        <w:ind w:left="1141" w:leftChars="274" w:right="283" w:hanging="566" w:hangingChars="235"/>
        <w:rPr>
          <w:rFonts w:ascii="仿宋" w:hAnsi="仿宋" w:eastAsia="仿宋" w:cs="仿宋"/>
          <w:b/>
          <w:color w:val="auto"/>
          <w:highlight w:val="none"/>
        </w:rPr>
      </w:pPr>
      <w:r>
        <w:rPr>
          <w:rFonts w:hint="eastAsia" w:ascii="仿宋" w:hAnsi="仿宋" w:eastAsia="仿宋" w:cs="仿宋"/>
          <w:b/>
          <w:color w:val="auto"/>
          <w:highlight w:val="none"/>
        </w:rPr>
        <w:t>43. 保密和披露</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43.1投标人自领取招标文件之日起，须承担本采购项目下保密义务，不得将因本次采购获得的信息向其他人外传。</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43.2</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有权将投标人提供的所有资料向其他政府部门或有关的非政府机构负责评标的人员或与评标有关的人员披露。</w:t>
      </w:r>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43.3在下列情形下：当发布中标公告和其它公告时，当国家机关调查、审查、审计时，以及其他符合法律规定的情形下，无须事先征求投标人或中标投标人同意而可以披露关于采购过程、合同文本、签署情况的资料、投标人或中标投标人的名称及地址、采购内容的有关信息以及补充条款等。对任何已经公布过的内容或与之内容相同的资料无须再承担保密责任。</w:t>
      </w:r>
    </w:p>
    <w:p>
      <w:pPr>
        <w:rPr>
          <w:color w:val="auto"/>
          <w:highlight w:val="none"/>
        </w:rPr>
      </w:pPr>
    </w:p>
    <w:p>
      <w:pPr>
        <w:pStyle w:val="5"/>
        <w:spacing w:before="120" w:after="120" w:line="360" w:lineRule="auto"/>
        <w:ind w:firstLine="516" w:firstLineChars="214"/>
        <w:rPr>
          <w:rFonts w:ascii="仿宋" w:hAnsi="仿宋" w:eastAsia="仿宋" w:cs="仿宋"/>
          <w:color w:val="auto"/>
          <w:szCs w:val="24"/>
          <w:highlight w:val="none"/>
        </w:rPr>
      </w:pPr>
      <w:bookmarkStart w:id="115" w:name="_Toc508784355"/>
      <w:bookmarkStart w:id="116" w:name="_Toc5423"/>
      <w:r>
        <w:rPr>
          <w:rFonts w:hint="eastAsia" w:ascii="仿宋" w:hAnsi="仿宋" w:eastAsia="仿宋" w:cs="仿宋"/>
          <w:color w:val="auto"/>
          <w:szCs w:val="24"/>
          <w:highlight w:val="none"/>
        </w:rPr>
        <w:t>十一、解释权</w:t>
      </w:r>
      <w:bookmarkEnd w:id="115"/>
      <w:bookmarkEnd w:id="116"/>
    </w:p>
    <w:p>
      <w:pPr>
        <w:pStyle w:val="2"/>
        <w:spacing w:after="0" w:line="360" w:lineRule="auto"/>
        <w:ind w:firstLine="600" w:firstLineChars="250"/>
        <w:rPr>
          <w:rFonts w:ascii="仿宋" w:hAnsi="仿宋" w:eastAsia="仿宋" w:cs="仿宋"/>
          <w:color w:val="auto"/>
          <w:highlight w:val="none"/>
        </w:rPr>
      </w:pPr>
      <w:r>
        <w:rPr>
          <w:rFonts w:hint="eastAsia" w:ascii="仿宋" w:hAnsi="仿宋" w:eastAsia="仿宋" w:cs="仿宋"/>
          <w:color w:val="auto"/>
          <w:highlight w:val="none"/>
        </w:rPr>
        <w:t>44.本招标文件的最终解释权归代理机构，当对一个问题有多种解释时以代理机构的书面解释为准。招标文件未做明示，而又有相关法律、法规规定的，代理机构对此所做解释以相关的法律、法规规定为依据。</w:t>
      </w:r>
    </w:p>
    <w:p>
      <w:pPr>
        <w:rPr>
          <w:rFonts w:ascii="仿宋" w:hAnsi="仿宋" w:eastAsia="仿宋" w:cs="仿宋"/>
          <w:color w:val="auto"/>
          <w:sz w:val="32"/>
          <w:highlight w:val="none"/>
        </w:rPr>
      </w:pPr>
      <w:r>
        <w:rPr>
          <w:rFonts w:hint="eastAsia" w:ascii="仿宋" w:hAnsi="仿宋" w:eastAsia="仿宋" w:cs="仿宋"/>
          <w:color w:val="auto"/>
          <w:sz w:val="32"/>
          <w:highlight w:val="none"/>
        </w:rPr>
        <w:br w:type="page"/>
      </w:r>
    </w:p>
    <w:p>
      <w:pPr>
        <w:pStyle w:val="4"/>
        <w:spacing w:before="120" w:after="120" w:line="360" w:lineRule="auto"/>
        <w:jc w:val="center"/>
        <w:rPr>
          <w:rFonts w:ascii="仿宋" w:hAnsi="仿宋" w:eastAsia="仿宋" w:cs="仿宋"/>
          <w:color w:val="auto"/>
          <w:kern w:val="2"/>
          <w:sz w:val="32"/>
          <w:highlight w:val="none"/>
        </w:rPr>
      </w:pPr>
      <w:bookmarkStart w:id="117" w:name="_Toc26372"/>
      <w:r>
        <w:rPr>
          <w:rFonts w:hint="eastAsia" w:ascii="仿宋" w:hAnsi="仿宋" w:eastAsia="仿宋" w:cs="仿宋"/>
          <w:color w:val="auto"/>
          <w:kern w:val="2"/>
          <w:sz w:val="32"/>
          <w:highlight w:val="none"/>
        </w:rPr>
        <w:t>第三章  评分办法</w:t>
      </w:r>
      <w:bookmarkEnd w:id="117"/>
    </w:p>
    <w:p>
      <w:pPr>
        <w:spacing w:line="360" w:lineRule="auto"/>
        <w:ind w:firstLine="477" w:firstLineChars="198"/>
        <w:rPr>
          <w:rFonts w:ascii="仿宋" w:hAnsi="仿宋" w:eastAsia="仿宋" w:cs="仿宋"/>
          <w:b/>
          <w:color w:val="auto"/>
          <w:sz w:val="24"/>
          <w:highlight w:val="none"/>
        </w:rPr>
      </w:pPr>
      <w:r>
        <w:rPr>
          <w:rFonts w:hint="eastAsia" w:ascii="仿宋" w:hAnsi="仿宋" w:eastAsia="仿宋" w:cs="仿宋"/>
          <w:b/>
          <w:color w:val="auto"/>
          <w:sz w:val="24"/>
          <w:highlight w:val="none"/>
        </w:rPr>
        <w:t>一、评标方法</w:t>
      </w:r>
    </w:p>
    <w:p>
      <w:pPr>
        <w:spacing w:line="360" w:lineRule="auto"/>
        <w:ind w:firstLine="475" w:firstLineChars="198"/>
        <w:rPr>
          <w:rFonts w:ascii="仿宋" w:hAnsi="仿宋" w:eastAsia="仿宋" w:cs="仿宋"/>
          <w:color w:val="auto"/>
          <w:sz w:val="24"/>
          <w:highlight w:val="none"/>
        </w:rPr>
      </w:pPr>
      <w:r>
        <w:rPr>
          <w:rFonts w:hint="eastAsia" w:ascii="仿宋" w:hAnsi="仿宋" w:eastAsia="仿宋" w:cs="仿宋"/>
          <w:color w:val="auto"/>
          <w:sz w:val="24"/>
          <w:highlight w:val="none"/>
        </w:rPr>
        <w:t>1.1本项目评标方法采用综合评分法。评标委员会将依据各</w:t>
      </w:r>
      <w:r>
        <w:rPr>
          <w:rFonts w:hint="eastAsia" w:ascii="仿宋" w:hAnsi="仿宋" w:eastAsia="仿宋" w:cs="仿宋"/>
          <w:color w:val="auto"/>
          <w:sz w:val="24"/>
          <w:highlight w:val="none"/>
          <w:lang w:eastAsia="zh-CN"/>
        </w:rPr>
        <w:t>投标人的</w:t>
      </w:r>
      <w:r>
        <w:rPr>
          <w:rFonts w:hint="eastAsia" w:ascii="仿宋" w:hAnsi="仿宋" w:eastAsia="仿宋" w:cs="仿宋"/>
          <w:color w:val="auto"/>
          <w:sz w:val="24"/>
          <w:highlight w:val="none"/>
        </w:rPr>
        <w:t>投标文件，对其商务、技术、价格、服务等各项因素进行评价并按评分细则进行打分。每一</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的最终得分为所有评委评分的</w:t>
      </w:r>
      <w:r>
        <w:rPr>
          <w:rFonts w:hint="eastAsia" w:ascii="仿宋" w:hAnsi="仿宋" w:eastAsia="仿宋" w:cs="仿宋"/>
          <w:b/>
          <w:bCs/>
          <w:color w:val="auto"/>
          <w:sz w:val="24"/>
          <w:highlight w:val="none"/>
        </w:rPr>
        <w:t>算术平均值</w:t>
      </w:r>
      <w:r>
        <w:rPr>
          <w:rFonts w:hint="eastAsia" w:ascii="仿宋" w:hAnsi="仿宋" w:eastAsia="仿宋" w:cs="仿宋"/>
          <w:color w:val="auto"/>
          <w:sz w:val="24"/>
          <w:highlight w:val="none"/>
        </w:rPr>
        <w:t>。</w:t>
      </w:r>
    </w:p>
    <w:p>
      <w:pPr>
        <w:spacing w:line="360" w:lineRule="auto"/>
        <w:ind w:firstLine="475" w:firstLineChars="198"/>
        <w:rPr>
          <w:rFonts w:ascii="仿宋" w:hAnsi="仿宋" w:eastAsia="仿宋" w:cs="仿宋"/>
          <w:color w:val="auto"/>
          <w:sz w:val="24"/>
          <w:highlight w:val="none"/>
        </w:rPr>
      </w:pPr>
      <w:r>
        <w:rPr>
          <w:rFonts w:hint="eastAsia" w:ascii="仿宋" w:hAnsi="仿宋" w:eastAsia="仿宋" w:cs="仿宋"/>
          <w:color w:val="auto"/>
          <w:sz w:val="24"/>
          <w:highlight w:val="none"/>
        </w:rPr>
        <w:t>1.2评标委员会按各</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最终得分由高到低顺序排列，按招标文件规定的中标候选人数量推荐中标候选人。得分相同的，按投标报价由低到高顺序排列，得分且投标报价相同的，按技术部分得分高低的顺序排列；上述得分均相同的，由</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授权评标委员会确定。</w:t>
      </w:r>
    </w:p>
    <w:p>
      <w:pPr>
        <w:numPr>
          <w:ilvl w:val="0"/>
          <w:numId w:val="4"/>
        </w:numPr>
        <w:spacing w:line="360" w:lineRule="auto"/>
        <w:ind w:firstLine="477" w:firstLineChars="198"/>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评审细则</w:t>
      </w:r>
    </w:p>
    <w:p>
      <w:pPr>
        <w:pStyle w:val="22"/>
        <w:numPr>
          <w:ilvl w:val="0"/>
          <w:numId w:val="0"/>
        </w:numPr>
        <w:jc w:val="center"/>
        <w:rPr>
          <w:rFonts w:hint="default" w:eastAsia="宋体"/>
          <w:color w:val="auto"/>
          <w:highlight w:val="none"/>
          <w:lang w:val="en-US" w:eastAsia="zh-CN"/>
        </w:rPr>
      </w:pPr>
      <w:r>
        <w:rPr>
          <w:rFonts w:hint="eastAsia" w:ascii="仿宋" w:hAnsi="仿宋" w:eastAsia="仿宋" w:cs="仿宋"/>
          <w:b/>
          <w:bCs/>
          <w:color w:val="auto"/>
          <w:sz w:val="32"/>
          <w:szCs w:val="22"/>
          <w:highlight w:val="none"/>
          <w:lang w:val="en-US" w:eastAsia="zh-CN"/>
        </w:rPr>
        <w:t>1-4包评分标准</w:t>
      </w:r>
    </w:p>
    <w:tbl>
      <w:tblPr>
        <w:tblStyle w:val="23"/>
        <w:tblW w:w="9999" w:type="dxa"/>
        <w:jc w:val="center"/>
        <w:tblLayout w:type="fixed"/>
        <w:tblCellMar>
          <w:top w:w="0" w:type="dxa"/>
          <w:left w:w="0" w:type="dxa"/>
          <w:bottom w:w="0" w:type="dxa"/>
          <w:right w:w="0" w:type="dxa"/>
        </w:tblCellMar>
      </w:tblPr>
      <w:tblGrid>
        <w:gridCol w:w="1144"/>
        <w:gridCol w:w="1146"/>
        <w:gridCol w:w="630"/>
        <w:gridCol w:w="7079"/>
      </w:tblGrid>
      <w:tr>
        <w:tblPrEx>
          <w:tblCellMar>
            <w:top w:w="0" w:type="dxa"/>
            <w:left w:w="0" w:type="dxa"/>
            <w:bottom w:w="0" w:type="dxa"/>
            <w:right w:w="0" w:type="dxa"/>
          </w:tblCellMar>
        </w:tblPrEx>
        <w:trPr>
          <w:trHeight w:val="588" w:hRule="exact"/>
          <w:jc w:val="center"/>
        </w:trPr>
        <w:tc>
          <w:tcPr>
            <w:tcW w:w="2290" w:type="dxa"/>
            <w:gridSpan w:val="2"/>
            <w:tcBorders>
              <w:top w:val="single" w:color="000000" w:sz="6" w:space="0"/>
              <w:left w:val="single" w:color="auto" w:sz="4" w:space="0"/>
              <w:bottom w:val="single" w:color="000000" w:sz="6" w:space="0"/>
              <w:right w:val="single" w:color="000000" w:sz="6" w:space="0"/>
            </w:tcBorders>
            <w:noWrap w:val="0"/>
            <w:vAlign w:val="center"/>
          </w:tcPr>
          <w:p>
            <w:pPr>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评审内容</w:t>
            </w:r>
          </w:p>
        </w:tc>
        <w:tc>
          <w:tcPr>
            <w:tcW w:w="630"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c>
          <w:tcPr>
            <w:tcW w:w="7079"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评分标准</w:t>
            </w:r>
          </w:p>
        </w:tc>
      </w:tr>
      <w:tr>
        <w:tblPrEx>
          <w:tblCellMar>
            <w:top w:w="0" w:type="dxa"/>
            <w:left w:w="0" w:type="dxa"/>
            <w:bottom w:w="0" w:type="dxa"/>
            <w:right w:w="0" w:type="dxa"/>
          </w:tblCellMar>
        </w:tblPrEx>
        <w:trPr>
          <w:trHeight w:val="1305" w:hRule="exact"/>
          <w:jc w:val="center"/>
        </w:trPr>
        <w:tc>
          <w:tcPr>
            <w:tcW w:w="1144"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报价部分（3</w:t>
            </w:r>
            <w:r>
              <w:rPr>
                <w:rFonts w:ascii="仿宋" w:hAnsi="仿宋" w:eastAsia="仿宋" w:cs="仿宋"/>
                <w:color w:val="auto"/>
                <w:sz w:val="24"/>
                <w:szCs w:val="24"/>
                <w:highlight w:val="none"/>
              </w:rPr>
              <w:t>0</w:t>
            </w:r>
            <w:r>
              <w:rPr>
                <w:rFonts w:hint="eastAsia" w:ascii="仿宋" w:hAnsi="仿宋" w:eastAsia="仿宋" w:cs="仿宋"/>
                <w:color w:val="auto"/>
                <w:sz w:val="24"/>
                <w:szCs w:val="24"/>
                <w:highlight w:val="none"/>
              </w:rPr>
              <w:t>分）</w:t>
            </w:r>
          </w:p>
        </w:tc>
        <w:tc>
          <w:tcPr>
            <w:tcW w:w="1146"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报价得分</w:t>
            </w:r>
          </w:p>
        </w:tc>
        <w:tc>
          <w:tcPr>
            <w:tcW w:w="630"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0</w:t>
            </w:r>
          </w:p>
        </w:tc>
        <w:tc>
          <w:tcPr>
            <w:tcW w:w="7079" w:type="dxa"/>
            <w:tcBorders>
              <w:top w:val="single" w:color="000000" w:sz="6" w:space="0"/>
              <w:left w:val="single" w:color="000000" w:sz="6" w:space="0"/>
              <w:bottom w:val="single" w:color="000000" w:sz="6" w:space="0"/>
              <w:right w:val="single" w:color="000000" w:sz="6" w:space="0"/>
            </w:tcBorders>
            <w:noWrap w:val="0"/>
            <w:vAlign w:val="center"/>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满足招标文件实质性要求且报价最低的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报价作为评审基准价，其价格分为满分，其他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的报价分统一按照下列公式计算：</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报价得分=（评审基准价/投标报价）×</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0×100%</w:t>
            </w:r>
          </w:p>
        </w:tc>
      </w:tr>
      <w:tr>
        <w:tblPrEx>
          <w:tblCellMar>
            <w:top w:w="0" w:type="dxa"/>
            <w:left w:w="0" w:type="dxa"/>
            <w:bottom w:w="0" w:type="dxa"/>
            <w:right w:w="0" w:type="dxa"/>
          </w:tblCellMar>
        </w:tblPrEx>
        <w:trPr>
          <w:trHeight w:val="4045" w:hRule="exact"/>
          <w:jc w:val="center"/>
        </w:trPr>
        <w:tc>
          <w:tcPr>
            <w:tcW w:w="1144" w:type="dxa"/>
            <w:vMerge w:val="restart"/>
            <w:tcBorders>
              <w:top w:val="single" w:color="000000" w:sz="6" w:space="0"/>
              <w:left w:val="single" w:color="auto" w:sz="4" w:space="0"/>
              <w:right w:val="single" w:color="000000" w:sz="6" w:space="0"/>
            </w:tcBorders>
            <w:noWrap w:val="0"/>
            <w:vAlign w:val="center"/>
          </w:tcPr>
          <w:p>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w:t>
            </w:r>
            <w:r>
              <w:rPr>
                <w:rFonts w:hint="eastAsia" w:ascii="仿宋" w:hAnsi="仿宋" w:eastAsia="仿宋" w:cs="仿宋"/>
                <w:color w:val="auto"/>
                <w:sz w:val="24"/>
                <w:szCs w:val="24"/>
                <w:highlight w:val="none"/>
                <w:lang w:val="en-US" w:eastAsia="zh-CN"/>
              </w:rPr>
              <w:t>55</w:t>
            </w:r>
            <w:r>
              <w:rPr>
                <w:rFonts w:hint="eastAsia" w:ascii="仿宋" w:hAnsi="仿宋" w:eastAsia="仿宋" w:cs="仿宋"/>
                <w:color w:val="auto"/>
                <w:sz w:val="24"/>
                <w:szCs w:val="24"/>
                <w:highlight w:val="none"/>
              </w:rPr>
              <w:t>分）</w:t>
            </w:r>
          </w:p>
        </w:tc>
        <w:tc>
          <w:tcPr>
            <w:tcW w:w="1146"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jc w:val="center"/>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技术参数响应情况</w:t>
            </w:r>
          </w:p>
        </w:tc>
        <w:tc>
          <w:tcPr>
            <w:tcW w:w="630"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23</w:t>
            </w:r>
          </w:p>
        </w:tc>
        <w:tc>
          <w:tcPr>
            <w:tcW w:w="7079" w:type="dxa"/>
            <w:tcBorders>
              <w:top w:val="single" w:color="000000" w:sz="6" w:space="0"/>
              <w:left w:val="single" w:color="000000" w:sz="6" w:space="0"/>
              <w:bottom w:val="single" w:color="000000" w:sz="6" w:space="0"/>
              <w:right w:val="single" w:color="000000" w:sz="6" w:space="0"/>
            </w:tcBorders>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投标人所报产品技术参数完全满足</w:t>
            </w:r>
            <w:r>
              <w:rPr>
                <w:rFonts w:hint="eastAsia" w:ascii="仿宋" w:hAnsi="仿宋" w:eastAsia="仿宋" w:cs="仿宋"/>
                <w:color w:val="auto"/>
                <w:sz w:val="24"/>
                <w:highlight w:val="none"/>
              </w:rPr>
              <w:t>招标文件第四部分“采购内容及项目要求”中的要求</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得</w:t>
            </w:r>
            <w:r>
              <w:rPr>
                <w:rFonts w:hint="eastAsia" w:ascii="仿宋" w:hAnsi="仿宋" w:eastAsia="仿宋" w:cs="仿宋"/>
                <w:color w:val="auto"/>
                <w:sz w:val="24"/>
                <w:highlight w:val="none"/>
                <w:lang w:val="en-US" w:eastAsia="zh-CN"/>
              </w:rPr>
              <w:t>21</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eastAsia="zh-CN"/>
              </w:rPr>
              <w:t>，在此基础上，技术参数每有一项优于招标文件要求且经评标委员会认定有利于提高货物性能、工况的加</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分，最多加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分；</w:t>
            </w:r>
            <w:r>
              <w:rPr>
                <w:rFonts w:hint="eastAsia" w:ascii="仿宋_GB2312" w:hAnsi="仿宋_GB2312" w:eastAsia="仿宋_GB2312" w:cs="仿宋_GB2312"/>
                <w:color w:val="auto"/>
                <w:sz w:val="24"/>
                <w:highlight w:val="none"/>
              </w:rPr>
              <w:t>技术指标、参数低于竞争性磋商文件规</w:t>
            </w:r>
            <w:r>
              <w:rPr>
                <w:rFonts w:hint="eastAsia" w:ascii="仿宋_GB2312" w:hAnsi="仿宋_GB2312" w:eastAsia="仿宋_GB2312" w:cs="仿宋_GB2312"/>
                <w:color w:val="auto"/>
                <w:sz w:val="24"/>
                <w:highlight w:val="none"/>
                <w:lang w:eastAsia="zh-CN"/>
              </w:rPr>
              <w:t>定</w:t>
            </w:r>
            <w:r>
              <w:rPr>
                <w:rFonts w:hint="eastAsia" w:ascii="仿宋_GB2312" w:hAnsi="仿宋_GB2312" w:eastAsia="仿宋_GB2312" w:cs="仿宋_GB2312"/>
                <w:color w:val="auto"/>
                <w:sz w:val="24"/>
                <w:highlight w:val="none"/>
              </w:rPr>
              <w:t>的，不超过3项（含3项）每有一项减</w:t>
            </w:r>
            <w:r>
              <w:rPr>
                <w:rFonts w:hint="eastAsia" w:ascii="仿宋_GB2312" w:hAnsi="仿宋_GB2312" w:eastAsia="仿宋_GB2312" w:cs="仿宋_GB2312"/>
                <w:color w:val="auto"/>
                <w:sz w:val="24"/>
                <w:highlight w:val="none"/>
                <w:lang w:val="en-US" w:eastAsia="zh-CN"/>
              </w:rPr>
              <w:t>2</w:t>
            </w:r>
            <w:r>
              <w:rPr>
                <w:rFonts w:hint="eastAsia" w:ascii="仿宋_GB2312" w:hAnsi="仿宋_GB2312" w:eastAsia="仿宋_GB2312" w:cs="仿宋_GB2312"/>
                <w:color w:val="auto"/>
                <w:sz w:val="24"/>
                <w:highlight w:val="none"/>
              </w:rPr>
              <w:t>分，超过3项且不超过10项（含10项）的</w:t>
            </w:r>
            <w:r>
              <w:rPr>
                <w:rFonts w:hint="eastAsia" w:ascii="仿宋_GB2312" w:hAnsi="仿宋_GB2312" w:eastAsia="仿宋_GB2312" w:cs="仿宋_GB2312"/>
                <w:color w:val="auto"/>
                <w:sz w:val="24"/>
                <w:highlight w:val="none"/>
                <w:lang w:eastAsia="zh-CN"/>
              </w:rPr>
              <w:t>部分</w:t>
            </w:r>
            <w:r>
              <w:rPr>
                <w:rFonts w:hint="eastAsia" w:ascii="仿宋_GB2312" w:hAnsi="仿宋_GB2312" w:eastAsia="仿宋_GB2312" w:cs="仿宋_GB2312"/>
                <w:color w:val="auto"/>
                <w:sz w:val="24"/>
                <w:highlight w:val="none"/>
              </w:rPr>
              <w:t>每有一项减0.2分，超过10项以上</w:t>
            </w:r>
            <w:r>
              <w:rPr>
                <w:rFonts w:hint="eastAsia" w:ascii="仿宋_GB2312" w:hAnsi="仿宋_GB2312" w:eastAsia="仿宋_GB2312" w:cs="仿宋_GB2312"/>
                <w:color w:val="auto"/>
                <w:sz w:val="24"/>
                <w:highlight w:val="none"/>
                <w:lang w:eastAsia="zh-CN"/>
              </w:rPr>
              <w:t>部分</w:t>
            </w:r>
            <w:r>
              <w:rPr>
                <w:rFonts w:hint="eastAsia" w:ascii="仿宋_GB2312" w:hAnsi="仿宋_GB2312" w:eastAsia="仿宋_GB2312" w:cs="仿宋_GB2312"/>
                <w:color w:val="auto"/>
                <w:sz w:val="24"/>
                <w:highlight w:val="none"/>
              </w:rPr>
              <w:t>的每有一项减0.</w:t>
            </w:r>
            <w:r>
              <w:rPr>
                <w:rFonts w:hint="eastAsia" w:ascii="仿宋_GB2312" w:hAnsi="仿宋_GB2312" w:eastAsia="仿宋_GB2312" w:cs="仿宋_GB2312"/>
                <w:color w:val="auto"/>
                <w:sz w:val="24"/>
                <w:highlight w:val="none"/>
                <w:lang w:val="en-US" w:eastAsia="zh-CN"/>
              </w:rPr>
              <w:t>05</w:t>
            </w:r>
            <w:r>
              <w:rPr>
                <w:rFonts w:hint="eastAsia" w:ascii="仿宋_GB2312" w:hAnsi="仿宋_GB2312" w:eastAsia="仿宋_GB2312" w:cs="仿宋_GB2312"/>
                <w:color w:val="auto"/>
                <w:sz w:val="24"/>
                <w:highlight w:val="none"/>
              </w:rPr>
              <w:t>分</w:t>
            </w:r>
            <w:r>
              <w:rPr>
                <w:rFonts w:hint="eastAsia" w:ascii="仿宋_GB2312" w:hAnsi="仿宋_GB2312" w:eastAsia="仿宋_GB2312" w:cs="仿宋_GB2312"/>
                <w:color w:val="auto"/>
                <w:sz w:val="24"/>
                <w:highlight w:val="none"/>
                <w:lang w:eastAsia="zh-CN"/>
              </w:rPr>
              <w:t>，最多减至</w:t>
            </w:r>
            <w:r>
              <w:rPr>
                <w:rFonts w:hint="eastAsia" w:ascii="仿宋_GB2312" w:hAnsi="仿宋_GB2312" w:eastAsia="仿宋_GB2312" w:cs="仿宋_GB2312"/>
                <w:color w:val="auto"/>
                <w:sz w:val="24"/>
                <w:highlight w:val="none"/>
                <w:lang w:val="en-US" w:eastAsia="zh-CN"/>
              </w:rPr>
              <w:t>0分为止</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如有正/负偏离，均须在技术偏离表中明确标明</w:t>
            </w:r>
            <w:r>
              <w:rPr>
                <w:rFonts w:hint="eastAsia" w:ascii="仿宋_GB2312" w:hAnsi="仿宋_GB2312" w:eastAsia="仿宋_GB2312" w:cs="仿宋_GB2312"/>
                <w:color w:val="auto"/>
                <w:sz w:val="24"/>
                <w:highlight w:val="none"/>
                <w:lang w:eastAsia="zh-CN"/>
              </w:rPr>
              <w:t>）</w:t>
            </w:r>
            <w:r>
              <w:rPr>
                <w:rFonts w:hint="eastAsia" w:ascii="仿宋" w:hAnsi="仿宋" w:eastAsia="仿宋" w:cs="仿宋"/>
                <w:color w:val="auto"/>
                <w:sz w:val="24"/>
                <w:highlight w:val="none"/>
              </w:rPr>
              <w:t>。</w:t>
            </w:r>
          </w:p>
          <w:p>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highlight w:val="none"/>
                <w:lang w:eastAsia="zh-CN"/>
              </w:rPr>
              <w:t>注：投标人提供招标文件清单中产品的实物图片、国家认可的检测机构出具的检验报告全本清晰影印件加盖公章作为技术证明文件佐证材料（检验报告不得为厂家或其他简易第三方出具的数据报告或产品说明书），否则评标委员会有权视相应技术参数为负偏离。</w:t>
            </w:r>
          </w:p>
        </w:tc>
      </w:tr>
      <w:tr>
        <w:tblPrEx>
          <w:tblCellMar>
            <w:top w:w="0" w:type="dxa"/>
            <w:left w:w="0" w:type="dxa"/>
            <w:bottom w:w="0" w:type="dxa"/>
            <w:right w:w="0" w:type="dxa"/>
          </w:tblCellMar>
        </w:tblPrEx>
        <w:trPr>
          <w:trHeight w:val="90" w:hRule="atLeast"/>
          <w:jc w:val="center"/>
        </w:trPr>
        <w:tc>
          <w:tcPr>
            <w:tcW w:w="1144" w:type="dxa"/>
            <w:vMerge w:val="continue"/>
            <w:tcBorders>
              <w:left w:val="single" w:color="auto" w:sz="4" w:space="0"/>
              <w:right w:val="single" w:color="000000" w:sz="6" w:space="0"/>
            </w:tcBorders>
            <w:noWrap w:val="0"/>
            <w:vAlign w:val="top"/>
          </w:tcPr>
          <w:p>
            <w:pPr>
              <w:spacing w:line="360" w:lineRule="auto"/>
              <w:jc w:val="center"/>
              <w:rPr>
                <w:rFonts w:ascii="仿宋" w:hAnsi="仿宋" w:eastAsia="仿宋" w:cs="仿宋"/>
                <w:color w:val="auto"/>
                <w:sz w:val="24"/>
                <w:szCs w:val="24"/>
                <w:highlight w:val="none"/>
              </w:rPr>
            </w:pPr>
          </w:p>
        </w:tc>
        <w:tc>
          <w:tcPr>
            <w:tcW w:w="1146" w:type="dxa"/>
            <w:tcBorders>
              <w:top w:val="single" w:color="000000" w:sz="6" w:space="0"/>
              <w:left w:val="single" w:color="auto" w:sz="4" w:space="0"/>
              <w:right w:val="single" w:color="000000" w:sz="6" w:space="0"/>
            </w:tcBorders>
            <w:noWrap w:val="0"/>
            <w:vAlign w:val="center"/>
          </w:tcPr>
          <w:p>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技术性能</w:t>
            </w:r>
          </w:p>
        </w:tc>
        <w:tc>
          <w:tcPr>
            <w:tcW w:w="630" w:type="dxa"/>
            <w:tcBorders>
              <w:top w:val="single" w:color="000000" w:sz="6" w:space="0"/>
              <w:left w:val="single" w:color="000000" w:sz="6" w:space="0"/>
              <w:right w:val="single" w:color="000000" w:sz="6" w:space="0"/>
            </w:tcBorders>
            <w:noWrap w:val="0"/>
            <w:vAlign w:val="center"/>
          </w:tcPr>
          <w:p>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7079" w:type="dxa"/>
            <w:tcBorders>
              <w:top w:val="single" w:color="000000" w:sz="6" w:space="0"/>
              <w:left w:val="single" w:color="000000" w:sz="6" w:space="0"/>
              <w:right w:val="single" w:color="000000" w:sz="6" w:space="0"/>
            </w:tcBorders>
            <w:noWrap w:val="0"/>
            <w:vAlign w:val="center"/>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rPr>
              <w:t>依据投标人</w:t>
            </w:r>
            <w:r>
              <w:rPr>
                <w:rFonts w:hint="eastAsia" w:ascii="仿宋" w:hAnsi="仿宋" w:eastAsia="仿宋" w:cs="仿宋"/>
                <w:color w:val="auto"/>
                <w:kern w:val="0"/>
                <w:sz w:val="24"/>
                <w:szCs w:val="24"/>
                <w:highlight w:val="none"/>
              </w:rPr>
              <w:t>所投产品的</w:t>
            </w:r>
            <w:r>
              <w:rPr>
                <w:rFonts w:hint="eastAsia" w:ascii="仿宋" w:hAnsi="仿宋" w:eastAsia="仿宋" w:cs="仿宋"/>
                <w:color w:val="auto"/>
                <w:kern w:val="0"/>
                <w:sz w:val="24"/>
                <w:szCs w:val="24"/>
                <w:highlight w:val="none"/>
                <w:lang w:val="en-US" w:eastAsia="zh-CN"/>
              </w:rPr>
              <w:t>a.</w:t>
            </w:r>
            <w:r>
              <w:rPr>
                <w:rFonts w:hint="eastAsia" w:ascii="仿宋" w:hAnsi="仿宋" w:eastAsia="仿宋" w:cs="仿宋"/>
                <w:color w:val="auto"/>
                <w:kern w:val="0"/>
                <w:sz w:val="24"/>
                <w:szCs w:val="24"/>
                <w:highlight w:val="none"/>
              </w:rPr>
              <w:t>技术先进性</w:t>
            </w:r>
            <w:r>
              <w:rPr>
                <w:rFonts w:hint="eastAsia" w:ascii="仿宋" w:hAnsi="仿宋" w:eastAsia="仿宋" w:cs="仿宋"/>
                <w:color w:val="auto"/>
                <w:kern w:val="0"/>
                <w:sz w:val="24"/>
                <w:szCs w:val="24"/>
                <w:highlight w:val="none"/>
                <w:lang w:val="en-US" w:eastAsia="zh-CN"/>
              </w:rPr>
              <w:t>b.</w:t>
            </w:r>
            <w:r>
              <w:rPr>
                <w:rFonts w:hint="eastAsia" w:ascii="仿宋" w:hAnsi="仿宋" w:eastAsia="仿宋" w:cs="仿宋"/>
                <w:color w:val="auto"/>
                <w:kern w:val="0"/>
                <w:sz w:val="24"/>
                <w:szCs w:val="24"/>
                <w:highlight w:val="none"/>
              </w:rPr>
              <w:t>安全性</w:t>
            </w:r>
            <w:r>
              <w:rPr>
                <w:rFonts w:hint="eastAsia" w:ascii="仿宋" w:hAnsi="仿宋" w:eastAsia="仿宋" w:cs="仿宋"/>
                <w:color w:val="auto"/>
                <w:kern w:val="0"/>
                <w:sz w:val="24"/>
                <w:szCs w:val="24"/>
                <w:highlight w:val="none"/>
                <w:lang w:val="en-US" w:eastAsia="zh-CN"/>
              </w:rPr>
              <w:t>c.</w:t>
            </w:r>
            <w:r>
              <w:rPr>
                <w:rFonts w:hint="eastAsia" w:ascii="仿宋" w:hAnsi="仿宋" w:eastAsia="仿宋" w:cs="仿宋"/>
                <w:color w:val="auto"/>
                <w:kern w:val="0"/>
                <w:sz w:val="24"/>
                <w:szCs w:val="24"/>
                <w:highlight w:val="none"/>
              </w:rPr>
              <w:t>性能稳定性</w:t>
            </w:r>
            <w:r>
              <w:rPr>
                <w:rFonts w:hint="eastAsia" w:ascii="仿宋" w:hAnsi="仿宋" w:eastAsia="仿宋" w:cs="仿宋"/>
                <w:color w:val="auto"/>
                <w:kern w:val="0"/>
                <w:sz w:val="24"/>
                <w:szCs w:val="24"/>
                <w:highlight w:val="none"/>
                <w:lang w:val="en-US" w:eastAsia="zh-CN"/>
              </w:rPr>
              <w:t>d.</w:t>
            </w:r>
            <w:r>
              <w:rPr>
                <w:rFonts w:hint="eastAsia" w:ascii="仿宋" w:hAnsi="仿宋" w:eastAsia="仿宋" w:cs="仿宋"/>
                <w:color w:val="auto"/>
                <w:kern w:val="0"/>
                <w:sz w:val="24"/>
                <w:szCs w:val="24"/>
                <w:highlight w:val="none"/>
              </w:rPr>
              <w:t>易用易维护</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e</w:t>
            </w:r>
            <w:r>
              <w:rPr>
                <w:rFonts w:hint="eastAsia" w:ascii="仿宋" w:hAnsi="仿宋" w:eastAsia="仿宋" w:cs="仿宋"/>
                <w:color w:val="auto"/>
                <w:sz w:val="24"/>
                <w:szCs w:val="24"/>
                <w:highlight w:val="none"/>
              </w:rPr>
              <w:t>备品备件配置情况进行</w:t>
            </w:r>
            <w:r>
              <w:rPr>
                <w:rFonts w:hint="eastAsia" w:ascii="仿宋" w:hAnsi="仿宋" w:eastAsia="仿宋" w:cs="仿宋"/>
                <w:color w:val="auto"/>
                <w:sz w:val="24"/>
                <w:szCs w:val="24"/>
                <w:highlight w:val="none"/>
                <w:lang w:val="en-US" w:eastAsia="zh-CN"/>
              </w:rPr>
              <w:t>综合</w:t>
            </w:r>
            <w:r>
              <w:rPr>
                <w:rFonts w:hint="eastAsia" w:ascii="仿宋" w:hAnsi="仿宋" w:eastAsia="仿宋" w:cs="仿宋"/>
                <w:color w:val="auto"/>
                <w:sz w:val="24"/>
                <w:szCs w:val="24"/>
                <w:highlight w:val="none"/>
              </w:rPr>
              <w:t>评审，</w:t>
            </w:r>
            <w:r>
              <w:rPr>
                <w:rFonts w:hint="eastAsia" w:ascii="仿宋" w:hAnsi="仿宋" w:eastAsia="仿宋" w:cs="仿宋"/>
                <w:color w:val="auto"/>
                <w:sz w:val="24"/>
                <w:szCs w:val="24"/>
                <w:highlight w:val="none"/>
                <w:lang w:val="en-US" w:eastAsia="zh-CN"/>
              </w:rPr>
              <w:t>满分15分，每缺一项扣3分，</w:t>
            </w:r>
            <w:r>
              <w:rPr>
                <w:rFonts w:hint="eastAsia" w:ascii="仿宋" w:hAnsi="仿宋" w:eastAsia="仿宋" w:cs="仿宋"/>
                <w:color w:val="auto"/>
                <w:sz w:val="24"/>
                <w:szCs w:val="24"/>
                <w:highlight w:val="none"/>
              </w:rPr>
              <w:t>每</w:t>
            </w:r>
            <w:r>
              <w:rPr>
                <w:rFonts w:hint="eastAsia" w:ascii="仿宋" w:hAnsi="仿宋" w:eastAsia="仿宋" w:cs="仿宋"/>
                <w:color w:val="auto"/>
                <w:sz w:val="24"/>
                <w:szCs w:val="24"/>
                <w:highlight w:val="none"/>
                <w:lang w:eastAsia="zh-CN"/>
              </w:rPr>
              <w:t>项中发现</w:t>
            </w:r>
            <w:r>
              <w:rPr>
                <w:rFonts w:hint="eastAsia" w:ascii="仿宋" w:hAnsi="仿宋" w:eastAsia="仿宋" w:cs="仿宋"/>
                <w:color w:val="auto"/>
                <w:sz w:val="24"/>
                <w:szCs w:val="24"/>
                <w:highlight w:val="none"/>
              </w:rPr>
              <w:t>一处相对弱势</w:t>
            </w:r>
            <w:r>
              <w:rPr>
                <w:rFonts w:hint="eastAsia" w:ascii="仿宋" w:hAnsi="仿宋" w:eastAsia="仿宋" w:cs="仿宋"/>
                <w:color w:val="auto"/>
                <w:sz w:val="24"/>
                <w:szCs w:val="24"/>
                <w:highlight w:val="none"/>
                <w:lang w:eastAsia="zh-CN"/>
              </w:rPr>
              <w:t>或不合理、不完善之处</w:t>
            </w:r>
            <w:r>
              <w:rPr>
                <w:rFonts w:hint="eastAsia" w:ascii="仿宋" w:hAnsi="仿宋" w:eastAsia="仿宋" w:cs="仿宋"/>
                <w:color w:val="auto"/>
                <w:sz w:val="24"/>
                <w:szCs w:val="24"/>
                <w:highlight w:val="none"/>
              </w:rPr>
              <w:t>减</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，该项减至</w:t>
            </w:r>
            <w:r>
              <w:rPr>
                <w:rFonts w:hint="eastAsia" w:ascii="仿宋" w:hAnsi="仿宋" w:eastAsia="仿宋" w:cs="仿宋"/>
                <w:color w:val="auto"/>
                <w:sz w:val="24"/>
                <w:szCs w:val="24"/>
                <w:highlight w:val="none"/>
                <w:lang w:val="en-US" w:eastAsia="zh-CN"/>
              </w:rPr>
              <w:t>0分为止</w:t>
            </w:r>
            <w:r>
              <w:rPr>
                <w:rFonts w:hint="eastAsia" w:ascii="仿宋" w:hAnsi="仿宋" w:eastAsia="仿宋" w:cs="仿宋"/>
                <w:color w:val="auto"/>
                <w:sz w:val="24"/>
                <w:szCs w:val="24"/>
                <w:highlight w:val="none"/>
              </w:rPr>
              <w:t>。</w:t>
            </w:r>
          </w:p>
        </w:tc>
      </w:tr>
      <w:tr>
        <w:tblPrEx>
          <w:tblCellMar>
            <w:top w:w="0" w:type="dxa"/>
            <w:left w:w="0" w:type="dxa"/>
            <w:bottom w:w="0" w:type="dxa"/>
            <w:right w:w="0" w:type="dxa"/>
          </w:tblCellMar>
        </w:tblPrEx>
        <w:trPr>
          <w:trHeight w:val="90" w:hRule="atLeast"/>
          <w:jc w:val="center"/>
        </w:trPr>
        <w:tc>
          <w:tcPr>
            <w:tcW w:w="1144" w:type="dxa"/>
            <w:vMerge w:val="continue"/>
            <w:tcBorders>
              <w:left w:val="single" w:color="auto" w:sz="4" w:space="0"/>
              <w:right w:val="single" w:color="000000" w:sz="6" w:space="0"/>
            </w:tcBorders>
            <w:noWrap w:val="0"/>
            <w:vAlign w:val="top"/>
          </w:tcPr>
          <w:p>
            <w:pPr>
              <w:spacing w:line="360" w:lineRule="auto"/>
              <w:jc w:val="center"/>
              <w:rPr>
                <w:rFonts w:ascii="仿宋" w:hAnsi="仿宋" w:eastAsia="仿宋" w:cs="仿宋"/>
                <w:color w:val="auto"/>
                <w:sz w:val="24"/>
                <w:szCs w:val="24"/>
                <w:highlight w:val="none"/>
              </w:rPr>
            </w:pPr>
          </w:p>
        </w:tc>
        <w:tc>
          <w:tcPr>
            <w:tcW w:w="1146" w:type="dxa"/>
            <w:tcBorders>
              <w:top w:val="single" w:color="000000" w:sz="6" w:space="0"/>
              <w:left w:val="single" w:color="auto" w:sz="4" w:space="0"/>
              <w:right w:val="single" w:color="000000" w:sz="6" w:space="0"/>
            </w:tcBorders>
            <w:noWrap w:val="0"/>
            <w:vAlign w:val="center"/>
          </w:tcPr>
          <w:p>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i w:val="0"/>
                <w:color w:val="auto"/>
                <w:kern w:val="0"/>
                <w:sz w:val="24"/>
                <w:szCs w:val="24"/>
                <w:highlight w:val="none"/>
                <w:u w:val="none"/>
                <w:lang w:val="en-US" w:eastAsia="zh-CN" w:bidi="ar"/>
              </w:rPr>
              <w:t>生产及质控制方案</w:t>
            </w:r>
          </w:p>
        </w:tc>
        <w:tc>
          <w:tcPr>
            <w:tcW w:w="630" w:type="dxa"/>
            <w:tcBorders>
              <w:top w:val="single" w:color="000000" w:sz="6" w:space="0"/>
              <w:left w:val="single" w:color="000000" w:sz="6" w:space="0"/>
              <w:right w:val="single" w:color="000000" w:sz="6" w:space="0"/>
            </w:tcBorders>
            <w:noWrap w:val="0"/>
            <w:vAlign w:val="center"/>
          </w:tcPr>
          <w:p>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7079" w:type="dxa"/>
            <w:tcBorders>
              <w:top w:val="single" w:color="000000" w:sz="6" w:space="0"/>
              <w:left w:val="single" w:color="000000" w:sz="6" w:space="0"/>
              <w:right w:val="single" w:color="000000" w:sz="6" w:space="0"/>
            </w:tcBorders>
            <w:noWrap w:val="0"/>
            <w:vAlign w:val="center"/>
          </w:tcPr>
          <w:p>
            <w:pPr>
              <w:rPr>
                <w:rFonts w:hint="eastAsia" w:ascii="仿宋" w:hAnsi="仿宋" w:eastAsia="仿宋" w:cs="仿宋"/>
                <w:color w:val="auto"/>
                <w:kern w:val="0"/>
                <w:sz w:val="24"/>
                <w:szCs w:val="24"/>
                <w:highlight w:val="none"/>
                <w:lang w:val="en-US" w:eastAsia="zh-CN"/>
              </w:rPr>
            </w:pPr>
            <w:r>
              <w:rPr>
                <w:rFonts w:hint="eastAsia" w:ascii="仿宋" w:hAnsi="仿宋" w:eastAsia="仿宋" w:cs="仿宋"/>
                <w:i w:val="0"/>
                <w:color w:val="auto"/>
                <w:kern w:val="0"/>
                <w:sz w:val="24"/>
                <w:szCs w:val="24"/>
                <w:highlight w:val="none"/>
                <w:u w:val="none"/>
                <w:lang w:val="en-US" w:eastAsia="zh-CN" w:bidi="ar"/>
              </w:rPr>
              <w:t>根据投标人所投主要产品的</w:t>
            </w:r>
            <w:r>
              <w:rPr>
                <w:rFonts w:hint="eastAsia" w:ascii="仿宋" w:hAnsi="仿宋" w:eastAsia="仿宋" w:cs="仿宋"/>
                <w:color w:val="auto"/>
                <w:kern w:val="0"/>
                <w:sz w:val="24"/>
                <w:szCs w:val="24"/>
                <w:highlight w:val="none"/>
                <w:lang w:val="en-US" w:eastAsia="zh-CN"/>
              </w:rPr>
              <w:t>a.生产设备投入情况b.</w:t>
            </w:r>
            <w:r>
              <w:rPr>
                <w:rFonts w:hint="eastAsia" w:ascii="仿宋" w:hAnsi="仿宋" w:eastAsia="仿宋" w:cs="仿宋"/>
                <w:i w:val="0"/>
                <w:color w:val="auto"/>
                <w:kern w:val="0"/>
                <w:sz w:val="24"/>
                <w:szCs w:val="24"/>
                <w:highlight w:val="none"/>
                <w:u w:val="none"/>
                <w:lang w:val="en-US" w:eastAsia="zh-CN" w:bidi="ar"/>
              </w:rPr>
              <w:t>生产工艺</w:t>
            </w:r>
            <w:r>
              <w:rPr>
                <w:rFonts w:hint="eastAsia" w:ascii="仿宋" w:hAnsi="仿宋" w:eastAsia="仿宋" w:cs="仿宋"/>
                <w:color w:val="auto"/>
                <w:kern w:val="0"/>
                <w:sz w:val="24"/>
                <w:szCs w:val="24"/>
                <w:highlight w:val="none"/>
                <w:lang w:val="en-US" w:eastAsia="zh-CN"/>
              </w:rPr>
              <w:t>c.</w:t>
            </w:r>
            <w:r>
              <w:rPr>
                <w:rFonts w:hint="eastAsia" w:ascii="仿宋" w:hAnsi="仿宋" w:eastAsia="仿宋" w:cs="仿宋"/>
                <w:i w:val="0"/>
                <w:color w:val="auto"/>
                <w:kern w:val="0"/>
                <w:sz w:val="24"/>
                <w:szCs w:val="24"/>
                <w:highlight w:val="none"/>
                <w:u w:val="none"/>
                <w:lang w:val="en-US" w:eastAsia="zh-CN" w:bidi="ar"/>
              </w:rPr>
              <w:t>质控制方案情况进行</w:t>
            </w:r>
            <w:r>
              <w:rPr>
                <w:rFonts w:hint="eastAsia" w:ascii="仿宋" w:hAnsi="仿宋" w:eastAsia="仿宋" w:cs="仿宋"/>
                <w:color w:val="auto"/>
                <w:sz w:val="24"/>
                <w:szCs w:val="24"/>
                <w:highlight w:val="none"/>
                <w:lang w:val="en-US" w:eastAsia="zh-CN"/>
              </w:rPr>
              <w:t>综合</w:t>
            </w:r>
            <w:r>
              <w:rPr>
                <w:rFonts w:hint="eastAsia" w:ascii="仿宋" w:hAnsi="仿宋" w:eastAsia="仿宋" w:cs="仿宋"/>
                <w:color w:val="auto"/>
                <w:sz w:val="24"/>
                <w:szCs w:val="24"/>
                <w:highlight w:val="none"/>
              </w:rPr>
              <w:t>评审</w:t>
            </w:r>
            <w:r>
              <w:rPr>
                <w:rFonts w:hint="eastAsia" w:ascii="仿宋" w:hAnsi="仿宋" w:eastAsia="仿宋" w:cs="仿宋"/>
                <w:i w:val="0"/>
                <w:color w:val="auto"/>
                <w:kern w:val="0"/>
                <w:sz w:val="24"/>
                <w:szCs w:val="24"/>
                <w:highlight w:val="none"/>
                <w:u w:val="none"/>
                <w:lang w:val="en-US" w:eastAsia="zh-CN" w:bidi="ar"/>
              </w:rPr>
              <w:t>，满分9分，</w:t>
            </w:r>
            <w:r>
              <w:rPr>
                <w:rFonts w:hint="eastAsia" w:ascii="仿宋" w:hAnsi="仿宋" w:eastAsia="仿宋" w:cs="仿宋"/>
                <w:color w:val="auto"/>
                <w:sz w:val="24"/>
                <w:szCs w:val="24"/>
                <w:highlight w:val="none"/>
                <w:lang w:val="en-US" w:eastAsia="zh-CN"/>
              </w:rPr>
              <w:t>每缺一项扣3分，</w:t>
            </w:r>
            <w:r>
              <w:rPr>
                <w:rFonts w:hint="eastAsia" w:ascii="仿宋" w:hAnsi="仿宋" w:eastAsia="仿宋" w:cs="仿宋"/>
                <w:color w:val="auto"/>
                <w:sz w:val="24"/>
                <w:szCs w:val="24"/>
                <w:highlight w:val="none"/>
              </w:rPr>
              <w:t>每</w:t>
            </w:r>
            <w:r>
              <w:rPr>
                <w:rFonts w:hint="eastAsia" w:ascii="仿宋" w:hAnsi="仿宋" w:eastAsia="仿宋" w:cs="仿宋"/>
                <w:color w:val="auto"/>
                <w:sz w:val="24"/>
                <w:szCs w:val="24"/>
                <w:highlight w:val="none"/>
                <w:lang w:eastAsia="zh-CN"/>
              </w:rPr>
              <w:t>项中发现</w:t>
            </w:r>
            <w:r>
              <w:rPr>
                <w:rFonts w:hint="eastAsia" w:ascii="仿宋" w:hAnsi="仿宋" w:eastAsia="仿宋" w:cs="仿宋"/>
                <w:color w:val="auto"/>
                <w:sz w:val="24"/>
                <w:szCs w:val="24"/>
                <w:highlight w:val="none"/>
              </w:rPr>
              <w:t>一处相对弱势</w:t>
            </w:r>
            <w:r>
              <w:rPr>
                <w:rFonts w:hint="eastAsia" w:ascii="仿宋" w:hAnsi="仿宋" w:eastAsia="仿宋" w:cs="仿宋"/>
                <w:color w:val="auto"/>
                <w:sz w:val="24"/>
                <w:szCs w:val="24"/>
                <w:highlight w:val="none"/>
                <w:lang w:eastAsia="zh-CN"/>
              </w:rPr>
              <w:t>或不合理、不完善之处</w:t>
            </w:r>
            <w:r>
              <w:rPr>
                <w:rFonts w:hint="eastAsia" w:ascii="仿宋" w:hAnsi="仿宋" w:eastAsia="仿宋" w:cs="仿宋"/>
                <w:color w:val="auto"/>
                <w:sz w:val="24"/>
                <w:szCs w:val="24"/>
                <w:highlight w:val="none"/>
              </w:rPr>
              <w:t>减</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，该项减至</w:t>
            </w:r>
            <w:r>
              <w:rPr>
                <w:rFonts w:hint="eastAsia" w:ascii="仿宋" w:hAnsi="仿宋" w:eastAsia="仿宋" w:cs="仿宋"/>
                <w:color w:val="auto"/>
                <w:sz w:val="24"/>
                <w:szCs w:val="24"/>
                <w:highlight w:val="none"/>
                <w:lang w:val="en-US" w:eastAsia="zh-CN"/>
              </w:rPr>
              <w:t>0分为止</w:t>
            </w:r>
            <w:r>
              <w:rPr>
                <w:rFonts w:hint="eastAsia" w:ascii="仿宋" w:hAnsi="仿宋" w:eastAsia="仿宋" w:cs="仿宋"/>
                <w:color w:val="auto"/>
                <w:sz w:val="24"/>
                <w:szCs w:val="24"/>
                <w:highlight w:val="none"/>
              </w:rPr>
              <w:t>。</w:t>
            </w:r>
          </w:p>
        </w:tc>
      </w:tr>
      <w:tr>
        <w:tblPrEx>
          <w:tblCellMar>
            <w:top w:w="0" w:type="dxa"/>
            <w:left w:w="0" w:type="dxa"/>
            <w:bottom w:w="0" w:type="dxa"/>
            <w:right w:w="0" w:type="dxa"/>
          </w:tblCellMar>
        </w:tblPrEx>
        <w:trPr>
          <w:trHeight w:val="90" w:hRule="atLeast"/>
          <w:jc w:val="center"/>
        </w:trPr>
        <w:tc>
          <w:tcPr>
            <w:tcW w:w="1144" w:type="dxa"/>
            <w:vMerge w:val="continue"/>
            <w:tcBorders>
              <w:left w:val="single" w:color="auto" w:sz="4" w:space="0"/>
              <w:bottom w:val="single" w:color="auto" w:sz="4" w:space="0"/>
              <w:right w:val="single" w:color="000000" w:sz="6" w:space="0"/>
            </w:tcBorders>
            <w:noWrap w:val="0"/>
            <w:vAlign w:val="top"/>
          </w:tcPr>
          <w:p>
            <w:pPr>
              <w:spacing w:line="360" w:lineRule="auto"/>
              <w:jc w:val="center"/>
              <w:rPr>
                <w:rFonts w:ascii="仿宋" w:hAnsi="仿宋" w:eastAsia="仿宋" w:cs="仿宋"/>
                <w:color w:val="auto"/>
                <w:sz w:val="24"/>
                <w:szCs w:val="24"/>
                <w:highlight w:val="none"/>
              </w:rPr>
            </w:pPr>
          </w:p>
        </w:tc>
        <w:tc>
          <w:tcPr>
            <w:tcW w:w="1146" w:type="dxa"/>
            <w:tcBorders>
              <w:top w:val="single" w:color="000000" w:sz="6" w:space="0"/>
              <w:left w:val="single" w:color="auto" w:sz="4" w:space="0"/>
              <w:bottom w:val="single" w:color="auto" w:sz="4" w:space="0"/>
              <w:right w:val="single" w:color="000000" w:sz="6" w:space="0"/>
            </w:tcBorders>
            <w:noWrap w:val="0"/>
            <w:vAlign w:val="center"/>
          </w:tcPr>
          <w:p>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项目实施方案</w:t>
            </w:r>
          </w:p>
        </w:tc>
        <w:tc>
          <w:tcPr>
            <w:tcW w:w="630"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7079" w:type="dxa"/>
            <w:tcBorders>
              <w:top w:val="single" w:color="000000" w:sz="6" w:space="0"/>
              <w:left w:val="single" w:color="000000" w:sz="6" w:space="0"/>
              <w:bottom w:val="single" w:color="auto" w:sz="4" w:space="0"/>
              <w:right w:val="single" w:color="000000" w:sz="6" w:space="0"/>
            </w:tcBorders>
            <w:noWrap w:val="0"/>
            <w:vAlign w:val="center"/>
          </w:tcPr>
          <w:p>
            <w:pP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依据投标人提供的项目实施方案进行评价，包括a.服务技术力量b.供货实施进度c.质量保障机制d.安装调试验收方案等因素进行打分，满分8分，每缺一项扣2分，</w:t>
            </w:r>
            <w:r>
              <w:rPr>
                <w:rFonts w:hint="eastAsia" w:ascii="仿宋" w:hAnsi="仿宋" w:eastAsia="仿宋" w:cs="仿宋"/>
                <w:color w:val="auto"/>
                <w:sz w:val="24"/>
                <w:szCs w:val="24"/>
                <w:highlight w:val="none"/>
              </w:rPr>
              <w:t>每</w:t>
            </w:r>
            <w:r>
              <w:rPr>
                <w:rFonts w:hint="eastAsia" w:ascii="仿宋" w:hAnsi="仿宋" w:eastAsia="仿宋" w:cs="仿宋"/>
                <w:color w:val="auto"/>
                <w:sz w:val="24"/>
                <w:szCs w:val="24"/>
                <w:highlight w:val="none"/>
                <w:lang w:eastAsia="zh-CN"/>
              </w:rPr>
              <w:t>项中发现</w:t>
            </w:r>
            <w:r>
              <w:rPr>
                <w:rFonts w:hint="eastAsia" w:ascii="仿宋" w:hAnsi="仿宋" w:eastAsia="仿宋" w:cs="仿宋"/>
                <w:color w:val="auto"/>
                <w:sz w:val="24"/>
                <w:szCs w:val="24"/>
                <w:highlight w:val="none"/>
              </w:rPr>
              <w:t>一处相对弱势</w:t>
            </w:r>
            <w:r>
              <w:rPr>
                <w:rFonts w:hint="eastAsia" w:ascii="仿宋" w:hAnsi="仿宋" w:eastAsia="仿宋" w:cs="仿宋"/>
                <w:color w:val="auto"/>
                <w:sz w:val="24"/>
                <w:szCs w:val="24"/>
                <w:highlight w:val="none"/>
                <w:lang w:eastAsia="zh-CN"/>
              </w:rPr>
              <w:t>或不合理、不完善之处</w:t>
            </w:r>
            <w:r>
              <w:rPr>
                <w:rFonts w:hint="eastAsia" w:ascii="仿宋" w:hAnsi="仿宋" w:eastAsia="仿宋" w:cs="仿宋"/>
                <w:color w:val="auto"/>
                <w:sz w:val="24"/>
                <w:szCs w:val="24"/>
                <w:highlight w:val="none"/>
              </w:rPr>
              <w:t>减</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，该项减至</w:t>
            </w:r>
            <w:r>
              <w:rPr>
                <w:rFonts w:hint="eastAsia" w:ascii="仿宋" w:hAnsi="仿宋" w:eastAsia="仿宋" w:cs="仿宋"/>
                <w:color w:val="auto"/>
                <w:sz w:val="24"/>
                <w:szCs w:val="24"/>
                <w:highlight w:val="none"/>
                <w:lang w:val="en-US" w:eastAsia="zh-CN"/>
              </w:rPr>
              <w:t>0分为止</w:t>
            </w:r>
            <w:r>
              <w:rPr>
                <w:rFonts w:hint="eastAsia" w:ascii="仿宋" w:hAnsi="仿宋" w:eastAsia="仿宋" w:cs="仿宋"/>
                <w:color w:val="auto"/>
                <w:sz w:val="24"/>
                <w:szCs w:val="24"/>
                <w:highlight w:val="none"/>
              </w:rPr>
              <w:t>。</w:t>
            </w:r>
          </w:p>
        </w:tc>
      </w:tr>
      <w:tr>
        <w:tblPrEx>
          <w:tblCellMar>
            <w:top w:w="0" w:type="dxa"/>
            <w:left w:w="0" w:type="dxa"/>
            <w:bottom w:w="0" w:type="dxa"/>
            <w:right w:w="0" w:type="dxa"/>
          </w:tblCellMar>
        </w:tblPrEx>
        <w:trPr>
          <w:trHeight w:val="1314" w:hRule="exact"/>
          <w:jc w:val="center"/>
        </w:trPr>
        <w:tc>
          <w:tcPr>
            <w:tcW w:w="11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商务部分（1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售后服务情况</w:t>
            </w:r>
          </w:p>
        </w:tc>
        <w:tc>
          <w:tcPr>
            <w:tcW w:w="6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7079" w:type="dxa"/>
            <w:tcBorders>
              <w:top w:val="single" w:color="auto" w:sz="4" w:space="0"/>
              <w:left w:val="single" w:color="auto" w:sz="4" w:space="0"/>
              <w:bottom w:val="single" w:color="auto" w:sz="4" w:space="0"/>
              <w:right w:val="single" w:color="auto" w:sz="4" w:space="0"/>
            </w:tcBorders>
            <w:noWrap w:val="0"/>
            <w:vAlign w:val="center"/>
          </w:tcPr>
          <w:p>
            <w:pPr>
              <w:ind w:left="197" w:leftChars="94"/>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根据投标人提供售后服务方案进行评价，包括售后服务方案的a.科学性b.合理性c.响应及时性d.培训安排e零配件供应及本地化服务能力等进行打分，满分15分，每缺一项扣3分，</w:t>
            </w:r>
            <w:r>
              <w:rPr>
                <w:rFonts w:hint="eastAsia" w:ascii="仿宋" w:hAnsi="仿宋" w:eastAsia="仿宋" w:cs="仿宋"/>
                <w:color w:val="auto"/>
                <w:sz w:val="24"/>
                <w:szCs w:val="24"/>
                <w:highlight w:val="none"/>
              </w:rPr>
              <w:t>每</w:t>
            </w:r>
            <w:r>
              <w:rPr>
                <w:rFonts w:hint="eastAsia" w:ascii="仿宋" w:hAnsi="仿宋" w:eastAsia="仿宋" w:cs="仿宋"/>
                <w:color w:val="auto"/>
                <w:sz w:val="24"/>
                <w:szCs w:val="24"/>
                <w:highlight w:val="none"/>
                <w:lang w:eastAsia="zh-CN"/>
              </w:rPr>
              <w:t>项中发现</w:t>
            </w:r>
            <w:r>
              <w:rPr>
                <w:rFonts w:hint="eastAsia" w:ascii="仿宋" w:hAnsi="仿宋" w:eastAsia="仿宋" w:cs="仿宋"/>
                <w:color w:val="auto"/>
                <w:sz w:val="24"/>
                <w:szCs w:val="24"/>
                <w:highlight w:val="none"/>
              </w:rPr>
              <w:t>一处相对弱势</w:t>
            </w:r>
            <w:r>
              <w:rPr>
                <w:rFonts w:hint="eastAsia" w:ascii="仿宋" w:hAnsi="仿宋" w:eastAsia="仿宋" w:cs="仿宋"/>
                <w:color w:val="auto"/>
                <w:sz w:val="24"/>
                <w:szCs w:val="24"/>
                <w:highlight w:val="none"/>
                <w:lang w:eastAsia="zh-CN"/>
              </w:rPr>
              <w:t>或不合理、不完善之处</w:t>
            </w:r>
            <w:r>
              <w:rPr>
                <w:rFonts w:hint="eastAsia" w:ascii="仿宋" w:hAnsi="仿宋" w:eastAsia="仿宋" w:cs="仿宋"/>
                <w:color w:val="auto"/>
                <w:sz w:val="24"/>
                <w:szCs w:val="24"/>
                <w:highlight w:val="none"/>
              </w:rPr>
              <w:t>减</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，该项减至</w:t>
            </w:r>
            <w:r>
              <w:rPr>
                <w:rFonts w:hint="eastAsia" w:ascii="仿宋" w:hAnsi="仿宋" w:eastAsia="仿宋" w:cs="仿宋"/>
                <w:color w:val="auto"/>
                <w:sz w:val="24"/>
                <w:szCs w:val="24"/>
                <w:highlight w:val="none"/>
                <w:lang w:val="en-US" w:eastAsia="zh-CN"/>
              </w:rPr>
              <w:t>0分为止</w:t>
            </w:r>
            <w:r>
              <w:rPr>
                <w:rFonts w:hint="eastAsia" w:ascii="仿宋" w:hAnsi="仿宋" w:eastAsia="仿宋" w:cs="仿宋"/>
                <w:color w:val="auto"/>
                <w:sz w:val="24"/>
                <w:szCs w:val="24"/>
                <w:highlight w:val="none"/>
              </w:rPr>
              <w:t>。</w:t>
            </w:r>
          </w:p>
        </w:tc>
      </w:tr>
    </w:tbl>
    <w:p>
      <w:pPr>
        <w:spacing w:line="360" w:lineRule="auto"/>
        <w:ind w:right="2" w:firstLine="480"/>
        <w:rPr>
          <w:rFonts w:hint="eastAsia" w:ascii="仿宋" w:hAnsi="仿宋" w:eastAsia="仿宋" w:cs="仿宋"/>
          <w:b/>
          <w:bCs/>
          <w:color w:val="auto"/>
          <w:sz w:val="24"/>
          <w:highlight w:val="none"/>
        </w:rPr>
      </w:pPr>
    </w:p>
    <w:p>
      <w:pPr>
        <w:rPr>
          <w:color w:val="auto"/>
          <w:highlight w:val="none"/>
        </w:rPr>
      </w:pPr>
    </w:p>
    <w:p>
      <w:pPr>
        <w:spacing w:line="360" w:lineRule="auto"/>
        <w:ind w:right="2" w:firstLine="480"/>
        <w:rPr>
          <w:rFonts w:ascii="仿宋" w:hAnsi="仿宋" w:eastAsia="仿宋" w:cs="仿宋"/>
          <w:b/>
          <w:bCs/>
          <w:color w:val="auto"/>
          <w:sz w:val="24"/>
          <w:highlight w:val="none"/>
        </w:rPr>
      </w:pPr>
      <w:r>
        <w:rPr>
          <w:rFonts w:hint="eastAsia" w:ascii="仿宋" w:hAnsi="仿宋" w:eastAsia="仿宋" w:cs="仿宋"/>
          <w:b/>
          <w:bCs/>
          <w:color w:val="auto"/>
          <w:sz w:val="24"/>
          <w:highlight w:val="none"/>
        </w:rPr>
        <w:t>三、</w:t>
      </w:r>
      <w:bookmarkStart w:id="118" w:name="OLE_LINK23"/>
      <w:r>
        <w:rPr>
          <w:rFonts w:hint="eastAsia" w:ascii="仿宋" w:hAnsi="仿宋" w:eastAsia="仿宋" w:cs="仿宋"/>
          <w:b/>
          <w:bCs/>
          <w:color w:val="auto"/>
          <w:sz w:val="24"/>
          <w:highlight w:val="none"/>
        </w:rPr>
        <w:t>评审执行的政府采购政策</w:t>
      </w:r>
      <w:bookmarkEnd w:id="118"/>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（一）中小微型企业政府采购政策</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1、为了发挥政府采购的政策功能，促进符合国家经济和社会发展政策目标，产品、服务、信誉较好的中小企业发展，按照</w:t>
      </w:r>
      <w:r>
        <w:rPr>
          <w:rFonts w:hint="eastAsia" w:ascii="仿宋" w:hAnsi="仿宋" w:eastAsia="仿宋" w:cs="仿宋"/>
          <w:color w:val="auto"/>
          <w:sz w:val="24"/>
          <w:highlight w:val="none"/>
          <w:lang w:eastAsia="zh-CN"/>
        </w:rPr>
        <w:t>《政府采购促进中小企业发展管理办法》</w:t>
      </w:r>
      <w:r>
        <w:rPr>
          <w:rFonts w:hint="eastAsia" w:ascii="仿宋" w:hAnsi="仿宋" w:eastAsia="仿宋" w:cs="仿宋"/>
          <w:color w:val="auto"/>
          <w:sz w:val="24"/>
          <w:highlight w:val="none"/>
        </w:rPr>
        <w:t>规定，对符合规定的小型和微型企业（产品）的价格给予</w:t>
      </w:r>
      <w:r>
        <w:rPr>
          <w:rFonts w:hint="eastAsia" w:ascii="仿宋" w:hAnsi="仿宋" w:eastAsia="仿宋" w:cs="仿宋"/>
          <w:color w:val="auto"/>
          <w:sz w:val="24"/>
          <w:highlight w:val="none"/>
          <w:u w:val="single"/>
        </w:rPr>
        <w:t>6</w:t>
      </w:r>
      <w:r>
        <w:rPr>
          <w:rFonts w:hint="eastAsia" w:ascii="仿宋" w:hAnsi="仿宋" w:eastAsia="仿宋" w:cs="仿宋"/>
          <w:color w:val="auto"/>
          <w:sz w:val="24"/>
          <w:highlight w:val="none"/>
        </w:rPr>
        <w:t>% 的扣除，用扣除后的价格参与评审（</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和投标产品制造商均为小微企业，否则不予价格扣除）。评审价格仅为评定价格，不作为最终的成交价格。</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联合体投标的（如本项目接受联合体投标），如果联合体由大中型企业与小型、微型企业组成，且组成联合体的大中型企业与小型、微型企业之间不存在投资关系，联合投标协议中约定，小型、微型企业的协议合同金额占到联合体协议合同总金额30%以上的，则在评审过程中评标价格可给予联合体</w:t>
      </w:r>
      <w:r>
        <w:rPr>
          <w:rFonts w:hint="eastAsia" w:ascii="仿宋" w:hAnsi="仿宋" w:eastAsia="仿宋" w:cs="仿宋"/>
          <w:color w:val="auto"/>
          <w:sz w:val="24"/>
          <w:highlight w:val="none"/>
          <w:u w:val="single"/>
        </w:rPr>
        <w:t>3</w:t>
      </w:r>
      <w:r>
        <w:rPr>
          <w:rFonts w:hint="eastAsia" w:ascii="仿宋" w:hAnsi="仿宋" w:eastAsia="仿宋" w:cs="仿宋"/>
          <w:color w:val="auto"/>
          <w:sz w:val="24"/>
          <w:highlight w:val="none"/>
        </w:rPr>
        <w:t>%的价格扣除。如果联合体各方均为小型、微型企业的，联合体视同为小型、微型企业，但联合体各方均应按招标文件要求提供中小企业声明函。</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3、评审价格的计算：评审价格=投标报价×（1-扣除幅度）.</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（二）监狱企业政府采购政策</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对监狱企业的价格给予[</w:t>
      </w:r>
      <w:r>
        <w:rPr>
          <w:rFonts w:hint="eastAsia" w:ascii="仿宋" w:hAnsi="仿宋" w:eastAsia="仿宋" w:cs="仿宋"/>
          <w:color w:val="auto"/>
          <w:sz w:val="24"/>
          <w:highlight w:val="none"/>
          <w:u w:val="single"/>
        </w:rPr>
        <w:t>6</w:t>
      </w:r>
      <w:r>
        <w:rPr>
          <w:rFonts w:hint="eastAsia" w:ascii="仿宋" w:hAnsi="仿宋" w:eastAsia="仿宋" w:cs="仿宋"/>
          <w:color w:val="auto"/>
          <w:sz w:val="24"/>
          <w:highlight w:val="none"/>
        </w:rPr>
        <w:t xml:space="preserve">%×（监狱企业产品合计报价/总报价）]的扣除，用扣除后的价格参与评审； </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（三）残疾人福利性单位政府采购政策</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对残疾人福利性单位的价格给予[</w:t>
      </w:r>
      <w:r>
        <w:rPr>
          <w:rFonts w:hint="eastAsia" w:ascii="仿宋" w:hAnsi="仿宋" w:eastAsia="仿宋" w:cs="仿宋"/>
          <w:color w:val="auto"/>
          <w:sz w:val="24"/>
          <w:highlight w:val="none"/>
          <w:u w:val="single"/>
        </w:rPr>
        <w:t>6</w:t>
      </w:r>
      <w:r>
        <w:rPr>
          <w:rFonts w:hint="eastAsia" w:ascii="仿宋" w:hAnsi="仿宋" w:eastAsia="仿宋" w:cs="仿宋"/>
          <w:color w:val="auto"/>
          <w:sz w:val="24"/>
          <w:highlight w:val="none"/>
        </w:rPr>
        <w:t>%×（残疾人福利性单位产品合计报价/总报价）]的扣除，用扣除后的价格参与评审。</w:t>
      </w:r>
    </w:p>
    <w:p>
      <w:pPr>
        <w:rPr>
          <w:rFonts w:ascii="仿宋" w:hAnsi="仿宋" w:eastAsia="仿宋" w:cs="仿宋"/>
          <w:color w:val="auto"/>
          <w:sz w:val="32"/>
          <w:highlight w:val="none"/>
        </w:rPr>
      </w:pPr>
      <w:r>
        <w:rPr>
          <w:rFonts w:hint="eastAsia" w:ascii="仿宋" w:hAnsi="仿宋" w:eastAsia="仿宋" w:cs="仿宋"/>
          <w:color w:val="auto"/>
          <w:sz w:val="32"/>
          <w:highlight w:val="none"/>
        </w:rPr>
        <w:br w:type="page"/>
      </w:r>
    </w:p>
    <w:p>
      <w:pPr>
        <w:pStyle w:val="4"/>
        <w:spacing w:before="120" w:after="120" w:line="360" w:lineRule="auto"/>
        <w:jc w:val="center"/>
        <w:rPr>
          <w:rFonts w:ascii="仿宋" w:hAnsi="仿宋" w:eastAsia="仿宋" w:cs="仿宋"/>
          <w:color w:val="auto"/>
          <w:kern w:val="2"/>
          <w:sz w:val="32"/>
          <w:highlight w:val="none"/>
        </w:rPr>
      </w:pPr>
      <w:bookmarkStart w:id="119" w:name="_Toc16489"/>
      <w:r>
        <w:rPr>
          <w:rFonts w:hint="eastAsia" w:ascii="仿宋" w:hAnsi="仿宋" w:eastAsia="仿宋" w:cs="仿宋"/>
          <w:color w:val="auto"/>
          <w:kern w:val="2"/>
          <w:sz w:val="32"/>
          <w:highlight w:val="none"/>
        </w:rPr>
        <w:t>第四章  采购内容及项目要求</w:t>
      </w:r>
      <w:bookmarkEnd w:id="119"/>
    </w:p>
    <w:p>
      <w:pPr>
        <w:spacing w:line="580" w:lineRule="exact"/>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一、项目说明</w:t>
      </w:r>
    </w:p>
    <w:p>
      <w:pPr>
        <w:spacing w:line="5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本项目为</w:t>
      </w:r>
      <w:r>
        <w:rPr>
          <w:rFonts w:hint="eastAsia" w:ascii="仿宋" w:hAnsi="仿宋" w:eastAsia="仿宋" w:cs="仿宋"/>
          <w:color w:val="auto"/>
          <w:sz w:val="24"/>
          <w:highlight w:val="none"/>
          <w:lang w:eastAsia="zh-CN"/>
        </w:rPr>
        <w:t>德州市消防救援支队消防装备采购项目</w:t>
      </w:r>
      <w:r>
        <w:rPr>
          <w:rFonts w:hint="eastAsia" w:ascii="仿宋" w:hAnsi="仿宋" w:eastAsia="仿宋" w:cs="仿宋"/>
          <w:color w:val="auto"/>
          <w:sz w:val="24"/>
          <w:highlight w:val="none"/>
        </w:rPr>
        <w:t>,共分为</w:t>
      </w:r>
      <w:r>
        <w:rPr>
          <w:rFonts w:hint="eastAsia" w:ascii="仿宋" w:hAnsi="仿宋" w:eastAsia="仿宋" w:cs="仿宋"/>
          <w:color w:val="auto"/>
          <w:sz w:val="24"/>
          <w:highlight w:val="none"/>
          <w:lang w:eastAsia="zh-CN"/>
        </w:rPr>
        <w:t>四</w:t>
      </w:r>
      <w:r>
        <w:rPr>
          <w:rFonts w:hint="eastAsia" w:ascii="仿宋" w:hAnsi="仿宋" w:eastAsia="仿宋" w:cs="仿宋"/>
          <w:color w:val="auto"/>
          <w:sz w:val="24"/>
          <w:highlight w:val="none"/>
        </w:rPr>
        <w:t>个包,</w:t>
      </w:r>
      <w:r>
        <w:rPr>
          <w:rFonts w:hint="eastAsia" w:ascii="仿宋" w:hAnsi="仿宋" w:eastAsia="仿宋" w:cs="仿宋"/>
          <w:color w:val="auto"/>
          <w:sz w:val="24"/>
          <w:highlight w:val="none"/>
          <w:lang w:eastAsia="zh-CN"/>
        </w:rPr>
        <w:t>分包情况如下：</w:t>
      </w:r>
      <w:r>
        <w:rPr>
          <w:rFonts w:hint="eastAsia"/>
          <w:color w:val="auto"/>
          <w:highlight w:val="none"/>
        </w:rPr>
        <w:t xml:space="preserve"> </w:t>
      </w:r>
    </w:p>
    <w:tbl>
      <w:tblPr>
        <w:tblStyle w:val="23"/>
        <w:tblW w:w="47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0"/>
        <w:gridCol w:w="3754"/>
        <w:gridCol w:w="1545"/>
        <w:gridCol w:w="2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包号</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名称</w:t>
            </w:r>
          </w:p>
        </w:tc>
        <w:tc>
          <w:tcPr>
            <w:tcW w:w="898" w:type="pct"/>
            <w:tcMar>
              <w:top w:w="12" w:type="dxa"/>
              <w:left w:w="12" w:type="dxa"/>
              <w:right w:w="12" w:type="dxa"/>
            </w:tcMar>
            <w:vAlign w:val="center"/>
          </w:tcPr>
          <w:p>
            <w:pPr>
              <w:jc w:val="center"/>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数量及要求</w:t>
            </w:r>
          </w:p>
        </w:tc>
        <w:tc>
          <w:tcPr>
            <w:tcW w:w="1307" w:type="pct"/>
            <w:tcMar>
              <w:top w:w="12" w:type="dxa"/>
              <w:left w:w="12" w:type="dxa"/>
              <w:right w:w="12" w:type="dxa"/>
            </w:tcMar>
            <w:vAlign w:val="center"/>
          </w:tcPr>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1包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个人防护装备</w:t>
            </w:r>
          </w:p>
        </w:tc>
        <w:tc>
          <w:tcPr>
            <w:tcW w:w="898" w:type="pct"/>
            <w:vMerge w:val="restar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详见各包要求</w:t>
            </w: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278.202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2包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水域救援、救生类</w:t>
            </w:r>
            <w:r>
              <w:rPr>
                <w:rFonts w:hint="eastAsia" w:ascii="仿宋" w:hAnsi="仿宋" w:eastAsia="仿宋" w:cs="仿宋"/>
                <w:bCs/>
                <w:color w:val="auto"/>
                <w:sz w:val="24"/>
                <w:highlight w:val="none"/>
                <w:lang w:eastAsia="zh-CN"/>
              </w:rPr>
              <w:t>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57.82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3包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侦检、破拆、堵漏、输转类</w:t>
            </w:r>
            <w:r>
              <w:rPr>
                <w:rFonts w:hint="eastAsia" w:ascii="仿宋" w:hAnsi="仿宋" w:eastAsia="仿宋" w:cs="仿宋"/>
                <w:bCs/>
                <w:color w:val="auto"/>
                <w:sz w:val="24"/>
                <w:highlight w:val="none"/>
                <w:lang w:eastAsia="zh-CN"/>
              </w:rPr>
              <w:t>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142.365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jc w:val="center"/>
        </w:trPr>
        <w:tc>
          <w:tcPr>
            <w:tcW w:w="610" w:type="pct"/>
            <w:noWrap/>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4包</w:t>
            </w:r>
          </w:p>
        </w:tc>
        <w:tc>
          <w:tcPr>
            <w:tcW w:w="2183" w:type="pct"/>
            <w:tcMar>
              <w:top w:w="12" w:type="dxa"/>
              <w:left w:w="12" w:type="dxa"/>
              <w:right w:w="12" w:type="dxa"/>
            </w:tcMar>
            <w:vAlign w:val="center"/>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其他装备</w:t>
            </w:r>
          </w:p>
        </w:tc>
        <w:tc>
          <w:tcPr>
            <w:tcW w:w="898" w:type="pct"/>
            <w:vMerge w:val="continue"/>
            <w:noWrap/>
            <w:tcMar>
              <w:top w:w="12" w:type="dxa"/>
              <w:left w:w="12" w:type="dxa"/>
              <w:right w:w="12" w:type="dxa"/>
            </w:tcMar>
            <w:vAlign w:val="center"/>
          </w:tcPr>
          <w:p>
            <w:pPr>
              <w:jc w:val="center"/>
              <w:rPr>
                <w:rFonts w:hint="eastAsia" w:ascii="仿宋" w:hAnsi="仿宋" w:eastAsia="仿宋" w:cs="仿宋"/>
                <w:bCs/>
                <w:color w:val="auto"/>
                <w:sz w:val="24"/>
                <w:highlight w:val="none"/>
              </w:rPr>
            </w:pPr>
          </w:p>
        </w:tc>
        <w:tc>
          <w:tcPr>
            <w:tcW w:w="1307" w:type="pct"/>
            <w:noWrap/>
            <w:tcMar>
              <w:top w:w="12" w:type="dxa"/>
              <w:left w:w="12" w:type="dxa"/>
              <w:right w:w="12" w:type="dxa"/>
            </w:tcMar>
            <w:vAlign w:val="center"/>
          </w:tcPr>
          <w:p>
            <w:pPr>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113</w:t>
            </w:r>
          </w:p>
        </w:tc>
      </w:tr>
    </w:tbl>
    <w:p>
      <w:pPr>
        <w:spacing w:line="5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以上各包不兼中。</w:t>
      </w:r>
    </w:p>
    <w:p>
      <w:pPr>
        <w:spacing w:line="580" w:lineRule="exact"/>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二、技术要求</w:t>
      </w:r>
    </w:p>
    <w:p>
      <w:pPr>
        <w:spacing w:line="600" w:lineRule="exact"/>
        <w:ind w:firstLine="482" w:firstLineChars="200"/>
        <w:rPr>
          <w:rFonts w:hint="eastAsia" w:ascii="仿宋" w:hAnsi="仿宋" w:eastAsia="仿宋" w:cs="仿宋"/>
          <w:b/>
          <w:bCs/>
          <w:color w:val="auto"/>
          <w:sz w:val="24"/>
          <w:highlight w:val="none"/>
        </w:rPr>
      </w:pPr>
      <w:bookmarkStart w:id="120" w:name="_Hlk70934315"/>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包:</w:t>
      </w:r>
      <w:bookmarkEnd w:id="120"/>
    </w:p>
    <w:p>
      <w:pPr>
        <w:pStyle w:val="22"/>
        <w:rPr>
          <w:rFonts w:hint="eastAsia" w:eastAsia="仿宋"/>
          <w:color w:val="auto"/>
          <w:highlight w:val="none"/>
          <w:lang w:eastAsia="zh-CN"/>
        </w:rPr>
      </w:pPr>
      <w:r>
        <w:rPr>
          <w:rFonts w:hint="eastAsia" w:ascii="仿宋" w:hAnsi="仿宋" w:eastAsia="仿宋" w:cs="仿宋"/>
          <w:b/>
          <w:bCs/>
          <w:color w:val="auto"/>
          <w:sz w:val="24"/>
          <w:highlight w:val="none"/>
          <w:lang w:eastAsia="zh-CN"/>
        </w:rPr>
        <w:t>（一）采购清单</w:t>
      </w:r>
    </w:p>
    <w:tbl>
      <w:tblPr>
        <w:tblStyle w:val="23"/>
        <w:tblW w:w="919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3"/>
        <w:gridCol w:w="1182"/>
        <w:gridCol w:w="997"/>
        <w:gridCol w:w="3299"/>
        <w:gridCol w:w="1153"/>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序号</w:t>
            </w:r>
          </w:p>
        </w:tc>
        <w:tc>
          <w:tcPr>
            <w:tcW w:w="1182" w:type="dxa"/>
            <w:shd w:val="clear" w:color="auto" w:fill="auto"/>
            <w:noWrap/>
            <w:vAlign w:val="center"/>
          </w:tcPr>
          <w:p>
            <w:pPr>
              <w:jc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包号、名称</w:t>
            </w:r>
          </w:p>
        </w:tc>
        <w:tc>
          <w:tcPr>
            <w:tcW w:w="997"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类型</w:t>
            </w:r>
          </w:p>
        </w:tc>
        <w:tc>
          <w:tcPr>
            <w:tcW w:w="3299"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器材名称</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数量</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1182" w:type="dxa"/>
            <w:vMerge w:val="restar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包1：个人防护装备</w:t>
            </w:r>
          </w:p>
        </w:tc>
        <w:tc>
          <w:tcPr>
            <w:tcW w:w="997" w:type="dxa"/>
            <w:vMerge w:val="restar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常规个人防护类</w:t>
            </w:r>
            <w:r>
              <w:rPr>
                <w:rFonts w:hint="eastAsia" w:ascii="仿宋" w:hAnsi="仿宋" w:eastAsia="仿宋" w:cs="仿宋"/>
                <w:i w:val="0"/>
                <w:iCs w:val="0"/>
                <w:color w:val="auto"/>
                <w:kern w:val="0"/>
                <w:sz w:val="24"/>
                <w:szCs w:val="24"/>
                <w:highlight w:val="none"/>
                <w:u w:val="none"/>
                <w:lang w:val="en-US" w:eastAsia="zh-CN" w:bidi="ar"/>
              </w:rPr>
              <w:br w:type="textWrapping"/>
            </w: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消防头盔</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消防腰斧</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消防手套</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消防护目镜</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防静电内衣</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消防安全腰带</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消防员呼救器</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应急逃生自救安全绳</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消防员灭火防护服夏季</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82</w:t>
            </w:r>
          </w:p>
        </w:tc>
        <w:tc>
          <w:tcPr>
            <w:tcW w:w="1800" w:type="dxa"/>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指挥款2套，作战款80套。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消防员灭火防护服冬季</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72</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指挥款2套，作战款70套。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消防员灭火防护头套</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消防员灭火防护靴(冬靴)</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消防员灭火防护靴（夏靴）</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正压式消防空气呼吸器</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36</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消防员抢险救援头盔</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85</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消防员抢险救援手套</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消防员抢险救援防护服夏季</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19</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消防员抢险救援防护服冬季</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消防员抢险救援靴</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101</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21</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佩戴式防爆照明灯</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22</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restar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特种个人防护类</w:t>
            </w:r>
            <w:r>
              <w:rPr>
                <w:rFonts w:hint="eastAsia" w:ascii="仿宋" w:hAnsi="仿宋" w:eastAsia="仿宋" w:cs="仿宋"/>
                <w:i w:val="0"/>
                <w:iCs w:val="0"/>
                <w:color w:val="auto"/>
                <w:kern w:val="0"/>
                <w:sz w:val="24"/>
                <w:szCs w:val="24"/>
                <w:highlight w:val="none"/>
                <w:u w:val="none"/>
                <w:lang w:val="en-US" w:eastAsia="zh-CN" w:bidi="ar"/>
              </w:rPr>
              <w:br w:type="textWrapping"/>
            </w: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消防员隔热防护服</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23</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消防员避火防护服</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24</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二级化学防护服</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23</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25</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一级化学防护服</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26</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化学防护手套</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27</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内置劳动保护手套</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28</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消防员防蜂服</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29</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电绝缘装具</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防静电服</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31</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消防员降温背心</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32</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移动供气源</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33</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消防过滤式综合防毒面具</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36</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消防坐式半身安全吊带</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37</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消防轻型安全绳</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38</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消防通用安全绳</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39</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消防防坠落辅助部件</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40</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手提式强光照明灯</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45</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76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41</w:t>
            </w:r>
          </w:p>
        </w:tc>
        <w:tc>
          <w:tcPr>
            <w:tcW w:w="1182"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997" w:type="dxa"/>
            <w:vMerge w:val="continue"/>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2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消防用荧光棒</w:t>
            </w:r>
          </w:p>
        </w:tc>
        <w:tc>
          <w:tcPr>
            <w:tcW w:w="1153"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140</w:t>
            </w:r>
          </w:p>
        </w:tc>
        <w:tc>
          <w:tcPr>
            <w:tcW w:w="1800" w:type="dxa"/>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3" w:hRule="atLeast"/>
        </w:trPr>
        <w:tc>
          <w:tcPr>
            <w:tcW w:w="9194" w:type="dxa"/>
            <w:gridSpan w:val="6"/>
            <w:shd w:val="clear" w:color="auto" w:fill="auto"/>
            <w:noWrap/>
            <w:vAlign w:val="center"/>
          </w:tcPr>
          <w:p>
            <w:pPr>
              <w:keepNext w:val="0"/>
              <w:keepLines w:val="0"/>
              <w:widowControl/>
              <w:suppressLineNumbers w:val="0"/>
              <w:jc w:val="left"/>
              <w:textAlignment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b/>
                <w:bCs/>
                <w:color w:val="auto"/>
                <w:kern w:val="0"/>
                <w:sz w:val="24"/>
                <w:szCs w:val="24"/>
                <w:highlight w:val="none"/>
                <w:lang w:val="en-US" w:eastAsia="zh-CN"/>
              </w:rPr>
              <w:t>1、投标人所报的</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必须满足国家相关质量标准要求。</w:t>
            </w:r>
          </w:p>
          <w:p>
            <w:pPr>
              <w:keepNext w:val="0"/>
              <w:keepLines w:val="0"/>
              <w:widowControl/>
              <w:suppressLineNumbers w:val="0"/>
              <w:ind w:firstLine="482" w:firstLineChars="200"/>
              <w:jc w:val="left"/>
              <w:textAlignment w:val="center"/>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val="en-US" w:eastAsia="zh-CN"/>
              </w:rPr>
              <w:t>2、</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优先考虑</w:t>
            </w:r>
            <w:r>
              <w:rPr>
                <w:rFonts w:hint="eastAsia" w:ascii="仿宋" w:hAnsi="仿宋" w:eastAsia="仿宋" w:cs="仿宋"/>
                <w:b/>
                <w:bCs/>
                <w:color w:val="auto"/>
                <w:kern w:val="0"/>
                <w:sz w:val="24"/>
                <w:szCs w:val="24"/>
                <w:highlight w:val="none"/>
              </w:rPr>
              <w:t>取得国家认可的权威检验机构出具的检测报告</w:t>
            </w:r>
            <w:r>
              <w:rPr>
                <w:rFonts w:hint="eastAsia" w:ascii="仿宋" w:hAnsi="仿宋" w:eastAsia="仿宋" w:cs="仿宋"/>
                <w:b/>
                <w:bCs/>
                <w:color w:val="auto"/>
                <w:kern w:val="0"/>
                <w:sz w:val="24"/>
                <w:szCs w:val="24"/>
                <w:highlight w:val="none"/>
                <w:lang w:eastAsia="zh-CN"/>
              </w:rPr>
              <w:t>且</w:t>
            </w:r>
            <w:r>
              <w:rPr>
                <w:rFonts w:hint="eastAsia" w:ascii="仿宋" w:hAnsi="仿宋" w:eastAsia="仿宋" w:cs="仿宋"/>
                <w:b/>
                <w:bCs/>
                <w:color w:val="auto"/>
                <w:kern w:val="0"/>
                <w:sz w:val="24"/>
                <w:szCs w:val="24"/>
                <w:highlight w:val="none"/>
              </w:rPr>
              <w:t>检测合格的产品，</w:t>
            </w:r>
            <w:r>
              <w:rPr>
                <w:rFonts w:hint="eastAsia" w:ascii="仿宋" w:hAnsi="仿宋" w:eastAsia="仿宋" w:cs="仿宋"/>
                <w:b/>
                <w:bCs/>
                <w:color w:val="auto"/>
                <w:kern w:val="0"/>
                <w:sz w:val="24"/>
                <w:szCs w:val="24"/>
                <w:highlight w:val="none"/>
                <w:lang w:eastAsia="zh-CN"/>
              </w:rPr>
              <w:t>检测报告作为评分依据</w:t>
            </w:r>
            <w:r>
              <w:rPr>
                <w:rFonts w:hint="eastAsia" w:ascii="仿宋" w:hAnsi="仿宋" w:eastAsia="仿宋" w:cs="仿宋"/>
                <w:b/>
                <w:bCs/>
                <w:color w:val="auto"/>
                <w:kern w:val="0"/>
                <w:sz w:val="24"/>
                <w:szCs w:val="24"/>
                <w:highlight w:val="none"/>
              </w:rPr>
              <w:t>。</w:t>
            </w:r>
          </w:p>
        </w:tc>
      </w:tr>
    </w:tbl>
    <w:p>
      <w:pPr>
        <w:pStyle w:val="22"/>
        <w:rPr>
          <w:rFonts w:hint="eastAsia" w:ascii="仿宋" w:hAnsi="仿宋" w:eastAsia="仿宋" w:cs="仿宋"/>
          <w:b/>
          <w:bCs/>
          <w:color w:val="auto"/>
          <w:kern w:val="0"/>
          <w:szCs w:val="21"/>
          <w:highlight w:val="none"/>
          <w:lang w:eastAsia="zh-CN" w:bidi="ar"/>
        </w:rPr>
      </w:pPr>
      <w:r>
        <w:rPr>
          <w:rFonts w:hint="eastAsia" w:ascii="仿宋" w:hAnsi="仿宋" w:eastAsia="仿宋" w:cs="仿宋"/>
          <w:color w:val="auto"/>
          <w:highlight w:val="none"/>
        </w:rPr>
        <w:t>★</w:t>
      </w:r>
      <w:r>
        <w:rPr>
          <w:rFonts w:hint="eastAsia" w:ascii="仿宋" w:hAnsi="仿宋" w:eastAsia="仿宋" w:cs="仿宋"/>
          <w:b/>
          <w:bCs/>
          <w:color w:val="auto"/>
          <w:highlight w:val="none"/>
          <w:lang w:eastAsia="zh-CN"/>
        </w:rPr>
        <w:t>本包核心产品为消防头盔，</w:t>
      </w:r>
      <w:r>
        <w:rPr>
          <w:rFonts w:hint="eastAsia" w:ascii="仿宋" w:hAnsi="仿宋" w:eastAsia="仿宋" w:cs="仿宋"/>
          <w:b/>
          <w:bCs/>
          <w:color w:val="auto"/>
          <w:kern w:val="0"/>
          <w:szCs w:val="21"/>
          <w:highlight w:val="none"/>
          <w:lang w:eastAsia="zh-CN" w:bidi="ar"/>
        </w:rPr>
        <w:t>多家供应商提供的核心产品品牌相同的，提供相同品牌产品且通过资格审查、符合性审查的不同供应商参加同一合同项下报价的，按一家供应商计算，评审后得分最高的同品牌投标人获得中标人推荐资格；评审得分相同的，按报价由低到高的顺序排列，报价得分相同的，按技术得分由高到低的顺序排列，技术得分也相同的，采取随机抽取的方式确定。</w:t>
      </w:r>
    </w:p>
    <w:p>
      <w:pPr>
        <w:pStyle w:val="2"/>
        <w:numPr>
          <w:ilvl w:val="0"/>
          <w:numId w:val="5"/>
        </w:numPr>
        <w:jc w:val="left"/>
        <w:rPr>
          <w:color w:val="auto"/>
          <w:highlight w:val="none"/>
        </w:rPr>
      </w:pPr>
      <w:r>
        <w:rPr>
          <w:rFonts w:hint="eastAsia" w:ascii="仿宋" w:hAnsi="仿宋" w:eastAsia="仿宋" w:cs="仿宋"/>
          <w:b/>
          <w:bCs/>
          <w:color w:val="auto"/>
          <w:sz w:val="24"/>
          <w:highlight w:val="none"/>
          <w:lang w:eastAsia="zh-CN"/>
        </w:rPr>
        <w:t>技术规格要求</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w:t>
      </w:r>
      <w:r>
        <w:rPr>
          <w:rFonts w:hint="eastAsia" w:ascii="仿宋" w:hAnsi="仿宋" w:eastAsia="仿宋" w:cs="仿宋"/>
          <w:color w:val="auto"/>
          <w:kern w:val="0"/>
          <w:sz w:val="24"/>
          <w:szCs w:val="24"/>
          <w:highlight w:val="none"/>
        </w:rPr>
        <w:t>消防头盔</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 44-2015《消防头盔》标准，提供国家消防装备质量监督检验中心或其他国家级权威检验机构出具的检测报告复印件或扫描件。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2、由盔壳、滑轨、缓冲层、舒适衬垫、佩戴装置、面罩、披肩等组成，为消防员头部、颈部以及面部提供防护。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3、盔体两侧设多功能模块化滑轨，配有照明灯安装装置。</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4、下颏带采用抗拉阻燃材料，宽度≥20mm，搭配有快速调节搭扣，并带有带衬垫的耳部防护。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5、盔壳采用热塑性材料或更高性能材质制成，面罩应采用透明、耐冲击、耐热、防雾和耐刮擦的材料制成，开合过程应能随意保持定位。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6、披肩为装卸式，采用阻燃防水抗热辐射性能面料制成，可完全覆盖消防员肩部。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7、头盔各部件的安装应到位、牢固、端正，无松脱、滑落现象，面罩伸缩或翻转应灵活，披肩脱卸应方便，前后重量平衡，行走或跑步时，头盔不得前栽或后仰。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8、头盔颜色根据采购方需要提供。</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9、冲击吸收性能：经高温、低温、浸水、辐射热预处理后进行冲击吸收性能试验，头模所受到的最大冲击力≤3780N。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10、头盔重量（不包括披肩及其他附件）≤1.5kg（半盔或四分之三盔）。</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11、外观标识按照应急管理部消防救援局最新消防头盔标识统型要求执行。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12、头盔内部安全带可快速拆卸，便于调整、清洁和维护。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13、各调节钮设计合理，穿戴手套时也可方便调节。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14、产品具有清晰耐久标志（执行标准、型号、规格；生产厂的名称或商标；生产厂的识别编号、制造时间）和RFID芯片</w:t>
      </w:r>
      <w:r>
        <w:rPr>
          <w:rFonts w:hint="eastAsia" w:ascii="仿宋" w:hAnsi="仿宋" w:eastAsia="仿宋" w:cs="仿宋"/>
          <w:bCs/>
          <w:color w:val="auto"/>
          <w:sz w:val="24"/>
          <w:szCs w:val="24"/>
          <w:highlight w:val="none"/>
        </w:rPr>
        <w:t>（内容根据采购方需要填写）。</w:t>
      </w:r>
    </w:p>
    <w:p>
      <w:pPr>
        <w:tabs>
          <w:tab w:val="left" w:pos="6780"/>
        </w:tabs>
        <w:spacing w:line="600" w:lineRule="exact"/>
        <w:ind w:firstLine="480" w:firstLineChars="200"/>
        <w:rPr>
          <w:rFonts w:hint="eastAsia" w:ascii="仿宋" w:hAnsi="仿宋" w:eastAsia="仿宋" w:cs="仿宋"/>
          <w:color w:val="auto"/>
          <w:sz w:val="24"/>
          <w:szCs w:val="24"/>
          <w:highlight w:val="none"/>
        </w:rPr>
      </w:pPr>
    </w:p>
    <w:p>
      <w:pPr>
        <w:tabs>
          <w:tab w:val="left" w:pos="7260"/>
        </w:tabs>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61312" behindDoc="1" locked="0" layoutInCell="1" allowOverlap="1">
            <wp:simplePos x="0" y="0"/>
            <wp:positionH relativeFrom="column">
              <wp:posOffset>3236595</wp:posOffset>
            </wp:positionH>
            <wp:positionV relativeFrom="paragraph">
              <wp:posOffset>57150</wp:posOffset>
            </wp:positionV>
            <wp:extent cx="1490345" cy="1238250"/>
            <wp:effectExtent l="0" t="0" r="14605" b="0"/>
            <wp:wrapNone/>
            <wp:docPr id="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7"/>
                    <pic:cNvPicPr>
                      <a:picLocks noChangeAspect="1"/>
                    </pic:cNvPicPr>
                  </pic:nvPicPr>
                  <pic:blipFill>
                    <a:blip r:embed="rId13"/>
                    <a:stretch>
                      <a:fillRect/>
                    </a:stretch>
                  </pic:blipFill>
                  <pic:spPr>
                    <a:xfrm>
                      <a:off x="0" y="0"/>
                      <a:ext cx="1490345" cy="123825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60288" behindDoc="1" locked="0" layoutInCell="1" allowOverlap="1">
            <wp:simplePos x="0" y="0"/>
            <wp:positionH relativeFrom="column">
              <wp:posOffset>882650</wp:posOffset>
            </wp:positionH>
            <wp:positionV relativeFrom="paragraph">
              <wp:posOffset>41910</wp:posOffset>
            </wp:positionV>
            <wp:extent cx="1538605" cy="1280160"/>
            <wp:effectExtent l="0" t="0" r="4445" b="15240"/>
            <wp:wrapNone/>
            <wp:docPr id="2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5"/>
                    <pic:cNvPicPr>
                      <a:picLocks noChangeAspect="1"/>
                    </pic:cNvPicPr>
                  </pic:nvPicPr>
                  <pic:blipFill>
                    <a:blip r:embed="rId14"/>
                    <a:stretch>
                      <a:fillRect/>
                    </a:stretch>
                  </pic:blipFill>
                  <pic:spPr>
                    <a:xfrm>
                      <a:off x="0" y="0"/>
                      <a:ext cx="1538605" cy="1280160"/>
                    </a:xfrm>
                    <a:prstGeom prst="rect">
                      <a:avLst/>
                    </a:prstGeom>
                    <a:noFill/>
                    <a:ln>
                      <a:noFill/>
                    </a:ln>
                  </pic:spPr>
                </pic:pic>
              </a:graphicData>
            </a:graphic>
          </wp:anchor>
        </w:drawing>
      </w:r>
      <w:r>
        <w:rPr>
          <w:rFonts w:hint="eastAsia" w:ascii="仿宋" w:hAnsi="仿宋" w:eastAsia="仿宋" w:cs="仿宋"/>
          <w:color w:val="auto"/>
          <w:sz w:val="24"/>
          <w:szCs w:val="24"/>
          <w:highlight w:val="none"/>
        </w:rPr>
        <w:tab/>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二、消防腰斧</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 630－2006《消防腰斧》标准要求，提供国家消防装备质量监督检验中心或其他国家级权威检验机构出具的检测报告复印件或扫描件。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2、由斧、刀锯、斧套组成，含腰斧套，具备撬、锯、砍等多种功能，是消防员随身携带，用于手动破拆非带电障碍物的专用工具。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3、质量≤0.8kg，腰斧全长≤300mm，斧头长≤170mm。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4、消防腰斧各刃部应抛光，其表面粗糙度Ra值不大于6.3μm。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5、消防腰斧的金属表面应平整光洁，不有裂纹、毛刺、凹痕、缺损或有害杂质等缺陷，涂漆部分不有流痕、气泡等缺陷。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6、橡胶斧柄套应无碎渣、气泡、孔隙、夹杂物及其他明显缺陷，表面花纹应清晰。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7、消防腰斧斧头连同斧柄应用整块金属材料铸成。</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8、消防腰斧刃口应锋利，其截面呈弧形。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9、消防腰斧的平刃、柄刃和斧柄轴线须在同一水平平面上，各部分应对称于该平面。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10、橡胶斧柄套应热压在斧柄上，粘结应牢靠、不松动。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11、橡胶斧柄套设计应便于安全、舒适抓握。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12、硬度：消防腰斧各刃部和撬口均应经热处理，且其硬度均应达到48HRC—56HRC，刃部热处理长度应不小于20mm 且不大于40mm，撬口热处理长度应不小于5mm 且不大于10mm。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13、抗冲击性能：消防腰斧各刃部经5kg 的重锤冲击后，不有裂纹、变形等损伤。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14、平刃砍断性能：消防腰斧平刃应能砍断直径6.5mm的Q235A圆钢，应无明显缺刃、卷边和裂缝等影响使用功能的损伤。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15、尖刃和柄刃凿击性能：消防腰斧尖刃和柄刃应能凿击Q235A 钢平板，应无明显缺刃、卷边和裂纹等影响使用功能的损伤。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16、腰斧套：参考尺寸（长×宽）210×150，斧刃包宽度：≥80mm，材质：牛皮、牛津布或其他更优材质，旋转锁扣。</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666432" behindDoc="0" locked="0" layoutInCell="1" allowOverlap="1">
            <wp:simplePos x="0" y="0"/>
            <wp:positionH relativeFrom="column">
              <wp:posOffset>1056640</wp:posOffset>
            </wp:positionH>
            <wp:positionV relativeFrom="paragraph">
              <wp:posOffset>86995</wp:posOffset>
            </wp:positionV>
            <wp:extent cx="3782060" cy="2400935"/>
            <wp:effectExtent l="0" t="0" r="8890" b="18415"/>
            <wp:wrapTopAndBottom/>
            <wp:docPr id="23" name="图片 2" descr="21320b1951294837293a3e4ecb1b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21320b1951294837293a3e4ecb1b306"/>
                    <pic:cNvPicPr>
                      <a:picLocks noChangeAspect="1"/>
                    </pic:cNvPicPr>
                  </pic:nvPicPr>
                  <pic:blipFill>
                    <a:blip r:embed="rId15"/>
                    <a:srcRect r="11411"/>
                    <a:stretch>
                      <a:fillRect/>
                    </a:stretch>
                  </pic:blipFill>
                  <pic:spPr>
                    <a:xfrm>
                      <a:off x="0" y="0"/>
                      <a:ext cx="3782060" cy="2400935"/>
                    </a:xfrm>
                    <a:prstGeom prst="rect">
                      <a:avLst/>
                    </a:prstGeom>
                    <a:noFill/>
                    <a:ln>
                      <a:noFill/>
                    </a:ln>
                  </pic:spPr>
                </pic:pic>
              </a:graphicData>
            </a:graphic>
          </wp:anchor>
        </w:drawing>
      </w:r>
    </w:p>
    <w:p>
      <w:pPr>
        <w:ind w:firstLine="343"/>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kern w:val="0"/>
          <w:sz w:val="24"/>
          <w:szCs w:val="24"/>
          <w:highlight w:val="none"/>
        </w:rPr>
        <w:t>三、消防手套（夏季款）</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1、符合XF7-2004《消防手套》标准。提供国家消防装备质量监督检验中心或其他国家级权威检验机构出具的检测报告复印件或扫描件。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2、由外层、防水隔热层和衬里组成，消防员在火场救火时能够抵挡外界对手造成的伤害。</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3、手套为分指式弯指设计，内胆与外层紧密整体粘合,手掌指尖一片式翻转手指背，指尖无缝设计，主体颜色为黑色和藏蓝色。</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手掌结构由外向里分为三层：第一层采用防火阻燃黑色牛二层皮或阻燃芳纶纤维，耐磨、防割、防刺、防水，柔软、耐水洗，洗后搓揉柔软。第二层为阻燃防水层，结实，耐用，能阻止一般化学液体和人体血液病源体的渗透。第三层为间位芳纶和对位芳纶双面针织布，隔热性能好，防火，耐切割，柔软，透气，舒适有弹性保护消防员手部免受热伤害。手背由外向里分为五层：第一层：高反光阻燃反光带，便于黑暗环境中辨识。第二、三层为间位芳纶和对位芳纶针织布，防火、防割。第四层为阻燃防水层（同手掌）。第五层：碳纤维针织布，柔软、透气、舒适、有弹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5、损毁长度：≤100mm，续燃和阻燃时间≤2s，整体热防护性能TPP数值(cal/cm²)≥30。</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6、耐热性能：260℃≤8%。</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7、耐磨性能（循环次数）：≥2000。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8、耐切割性能（N）：≥4。</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9、耐撕破性能（N）：≥100。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10、耐机械穿刺性能（N）：≥75。</w:t>
      </w:r>
    </w:p>
    <w:p>
      <w:pPr>
        <w:spacing w:line="600" w:lineRule="exact"/>
        <w:ind w:left="638" w:leftChars="30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11、耐静水压性能：7KPa/5min内不出现水滴。</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12、整体防水性能：手套无渗漏。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13、内里稳定性能：正常工作时，内里防水袋外壳不分离。</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14、灵巧性能：≥4级。</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15、握紧性能：戴手套与未戴手套的拉重比大于80%。</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16、穿戴性能：穿戴时间≤5s。</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17、产品具有清晰耐久标志（执行标准、型号、规格；生产厂的名称或商标；生产厂的识别编号、制造时间）和RFID芯片（双手各1，内容根据采购方需要填写）。</w:t>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pStyle w:val="13"/>
        <w:rPr>
          <w:rFonts w:hint="eastAsia" w:ascii="仿宋" w:hAnsi="仿宋" w:eastAsia="仿宋" w:cs="仿宋"/>
          <w:color w:val="auto"/>
          <w:sz w:val="24"/>
          <w:szCs w:val="24"/>
          <w:highlight w:val="none"/>
        </w:rPr>
      </w:pPr>
    </w:p>
    <w:p>
      <w:pPr>
        <w:pStyle w:val="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68480" behindDoc="0" locked="0" layoutInCell="1" allowOverlap="1">
            <wp:simplePos x="0" y="0"/>
            <wp:positionH relativeFrom="column">
              <wp:posOffset>3194050</wp:posOffset>
            </wp:positionH>
            <wp:positionV relativeFrom="paragraph">
              <wp:posOffset>183515</wp:posOffset>
            </wp:positionV>
            <wp:extent cx="2458720" cy="1795145"/>
            <wp:effectExtent l="0" t="0" r="17780" b="14605"/>
            <wp:wrapSquare wrapText="bothSides"/>
            <wp:docPr id="8" name="图片 36" descr="a987b6bc07fb8aa409d2aae93b843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6" descr="a987b6bc07fb8aa409d2aae93b8435d"/>
                    <pic:cNvPicPr>
                      <a:picLocks noChangeAspect="1"/>
                    </pic:cNvPicPr>
                  </pic:nvPicPr>
                  <pic:blipFill>
                    <a:blip r:embed="rId16"/>
                    <a:stretch>
                      <a:fillRect/>
                    </a:stretch>
                  </pic:blipFill>
                  <pic:spPr>
                    <a:xfrm>
                      <a:off x="0" y="0"/>
                      <a:ext cx="2458720" cy="179514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67456" behindDoc="0" locked="0" layoutInCell="1" allowOverlap="1">
            <wp:simplePos x="0" y="0"/>
            <wp:positionH relativeFrom="column">
              <wp:posOffset>471170</wp:posOffset>
            </wp:positionH>
            <wp:positionV relativeFrom="paragraph">
              <wp:posOffset>173990</wp:posOffset>
            </wp:positionV>
            <wp:extent cx="2487930" cy="1795145"/>
            <wp:effectExtent l="0" t="0" r="7620" b="14605"/>
            <wp:wrapSquare wrapText="bothSides"/>
            <wp:docPr id="19" name="图片 39" descr="微信图片_20201019223010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9" descr="微信图片_20201019223010_副本"/>
                    <pic:cNvPicPr>
                      <a:picLocks noChangeAspect="1"/>
                    </pic:cNvPicPr>
                  </pic:nvPicPr>
                  <pic:blipFill>
                    <a:blip r:embed="rId17"/>
                    <a:stretch>
                      <a:fillRect/>
                    </a:stretch>
                  </pic:blipFill>
                  <pic:spPr>
                    <a:xfrm>
                      <a:off x="0" y="0"/>
                      <a:ext cx="2487930" cy="1795145"/>
                    </a:xfrm>
                    <a:prstGeom prst="rect">
                      <a:avLst/>
                    </a:prstGeom>
                    <a:noFill/>
                    <a:ln>
                      <a:noFill/>
                    </a:ln>
                  </pic:spPr>
                </pic:pic>
              </a:graphicData>
            </a:graphic>
          </wp:anchor>
        </w:drawing>
      </w:r>
    </w:p>
    <w:p>
      <w:pPr>
        <w:pStyle w:val="13"/>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四、消防员护目镜</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1、符合国家XF1273-2015《消防员防护辅助装备-消防员护目镜》有关标准、规范，提供国家消防装备质量监督检验中心或其他国家级权威检验机构出具的检测报告复印件或扫描件。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2、在执行灭火救援任务是佩戴的、使眼睛免受烟雾、化学物质、金属火花、飞屑和粉尘伤害的一种保护镜。</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3、护目镜可调节式头带，头带的宽度≥10mm，护目镜的质量≤150g。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4、护目镜的球镜度≥±0.06，柱镜度≤0.06。</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5、镜片光透射比≥85%，不具备滤光效果的镜片光透射比最大偏差5%，具备滤光效果的镜片光透射比最大偏差15%。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6、抗高速粒子冲击性能护目镜应能承受直径为6 mm，质量为0.86 g，速度不小于120m/s的钢珠在正面两个冲击面两个冲击点的冲击。</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7、分别在温度为(55±2)℃和(-20士2)℃环境下持续1h后，护目镜应能承受高度为1270 mm、质量不小于500 g的锥击重物的冲击。</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8、耐磨性测试时广角广角散射测量值≤8%。</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9、护目镜具有防起雾功能。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当护目镜为单镜片时，其长方形镜片（包括眼罩）的长≥130mm、宽≥50mm，厚度≤3.8mm。当护目镜为双镜片时，若镜片为圆形，其镜片直径应≥60mm，若镜片为不规则形，其单个镜片的水平基准长≥45mm、宽≥40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11、永久性标签要求：标签包括如下内容:制造厂名称、地址和注册商标；产品名称及型号；生产日期和批号；产品执行标准的代号。</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69504" behindDoc="0" locked="0" layoutInCell="1" allowOverlap="1">
            <wp:simplePos x="0" y="0"/>
            <wp:positionH relativeFrom="column">
              <wp:posOffset>1514475</wp:posOffset>
            </wp:positionH>
            <wp:positionV relativeFrom="paragraph">
              <wp:posOffset>301625</wp:posOffset>
            </wp:positionV>
            <wp:extent cx="2148840" cy="1751965"/>
            <wp:effectExtent l="0" t="0" r="3810" b="635"/>
            <wp:wrapNone/>
            <wp:docPr id="6" name="图片 4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1" descr="IMG_256"/>
                    <pic:cNvPicPr>
                      <a:picLocks noChangeAspect="1"/>
                    </pic:cNvPicPr>
                  </pic:nvPicPr>
                  <pic:blipFill>
                    <a:blip r:embed="rId18"/>
                    <a:srcRect l="18517" t="24861" r="14182" b="20267"/>
                    <a:stretch>
                      <a:fillRect/>
                    </a:stretch>
                  </pic:blipFill>
                  <pic:spPr>
                    <a:xfrm>
                      <a:off x="0" y="0"/>
                      <a:ext cx="2148840" cy="1751965"/>
                    </a:xfrm>
                    <a:prstGeom prst="rect">
                      <a:avLst/>
                    </a:prstGeom>
                    <a:noFill/>
                    <a:ln>
                      <a:noFill/>
                    </a:ln>
                  </pic:spPr>
                </pic:pic>
              </a:graphicData>
            </a:graphic>
          </wp:anchor>
        </w:drawing>
      </w:r>
    </w:p>
    <w:p>
      <w:pPr>
        <w:tabs>
          <w:tab w:val="left" w:pos="958"/>
        </w:tabs>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bookmarkStart w:id="153" w:name="_GoBack"/>
      <w:bookmarkEnd w:id="153"/>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五、防静电内衣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2、由100%纯棉织物并经过防静电处理而成，是消防员在易燃易爆事故现场进行抢险作业时穿着的防止静电聚集的防护服装。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3、采用高强缝线缝制，关键部位均有加固，不开缝，不开线，手感柔软，穿着舒适，符合人体最佳设计，有良好的伸缩性，洗涤后不变形。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4、密度（根/10㎝）：经线≥650，纬线≥350。</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5、染色牢度级：耐洗、变色≥4。</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6、起毛起球级：≥4。</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7、单套内衣电荷量≤0.6uc。</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70528" behindDoc="0" locked="0" layoutInCell="1" allowOverlap="1">
            <wp:simplePos x="0" y="0"/>
            <wp:positionH relativeFrom="column">
              <wp:posOffset>3715385</wp:posOffset>
            </wp:positionH>
            <wp:positionV relativeFrom="paragraph">
              <wp:posOffset>177165</wp:posOffset>
            </wp:positionV>
            <wp:extent cx="662940" cy="1546860"/>
            <wp:effectExtent l="0" t="0" r="3810" b="15240"/>
            <wp:wrapSquare wrapText="bothSides"/>
            <wp:docPr id="9"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2" descr="IMG_256"/>
                    <pic:cNvPicPr>
                      <a:picLocks noChangeAspect="1"/>
                    </pic:cNvPicPr>
                  </pic:nvPicPr>
                  <pic:blipFill>
                    <a:blip r:embed="rId19"/>
                    <a:stretch>
                      <a:fillRect/>
                    </a:stretch>
                  </pic:blipFill>
                  <pic:spPr>
                    <a:xfrm>
                      <a:off x="0" y="0"/>
                      <a:ext cx="662940" cy="154686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71552" behindDoc="0" locked="0" layoutInCell="1" allowOverlap="1">
            <wp:simplePos x="0" y="0"/>
            <wp:positionH relativeFrom="column">
              <wp:posOffset>902970</wp:posOffset>
            </wp:positionH>
            <wp:positionV relativeFrom="paragraph">
              <wp:posOffset>200660</wp:posOffset>
            </wp:positionV>
            <wp:extent cx="1325880" cy="1494155"/>
            <wp:effectExtent l="0" t="0" r="7620" b="10795"/>
            <wp:wrapSquare wrapText="bothSides"/>
            <wp:docPr id="20" name="图片 6" descr="1565075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descr="1565075866(1)"/>
                    <pic:cNvPicPr>
                      <a:picLocks noChangeAspect="1"/>
                    </pic:cNvPicPr>
                  </pic:nvPicPr>
                  <pic:blipFill>
                    <a:blip r:embed="rId20"/>
                    <a:stretch>
                      <a:fillRect/>
                    </a:stretch>
                  </pic:blipFill>
                  <pic:spPr>
                    <a:xfrm>
                      <a:off x="0" y="0"/>
                      <a:ext cx="1325880" cy="149415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六、消防安全腰带</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1、符合国家XF494-2004《消防用防坠落装备》标准要求，提供国家消防装备质量监督检验中心或其他国家级权威检验机构出具的检测报告复印件或扫描件。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2、由织带、带扣、D型环和移动板组成，用于承受人体重量以及保护消防员安全。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3、主要采用尼龙和热锻铝合金材质、不锈钢材质，采取固定与移动相结合的D型环设计，主体颜色为黑色，插扦改良式。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4、带扣、D型环为金属本色。</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5、织带为整根，不应有接缝，具有一定硬度，规格约为宽70mm×厚2.5mm，末端收尾为整烫圆弧型，重量≤0.85Kg。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6、合金材质带扣，阳极氧化处理工艺。</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7、不锈钢材质扦针，直径应与带扣、扦针孔适配。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8、合金材质D型环，阳极氧化处理工艺，配置两个D型环。</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9、优质不锈钢材质扦针孔，成双排六列型式向前等距排列。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10、型号：大、中、小3个型号。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11、正立方向静负荷性能≥13kN，水平方向静负荷性能≥10kN。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12、置于温度为204℃±5℃的干燥箱内5min，安全带的织带和缝线不出现熔融、焦化现象。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13、金属零件经48h中性盐雾试验后保持原有的性能。</w:t>
      </w: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14、产品具有清晰耐久标志（执行标准、型号、规格；生产厂的名称或商标；生产厂的识别编号、制造时间）和RFID芯片（内容根据采购方需要填写）。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72576" behindDoc="0" locked="0" layoutInCell="1" allowOverlap="1">
            <wp:simplePos x="0" y="0"/>
            <wp:positionH relativeFrom="column">
              <wp:posOffset>880745</wp:posOffset>
            </wp:positionH>
            <wp:positionV relativeFrom="paragraph">
              <wp:posOffset>234315</wp:posOffset>
            </wp:positionV>
            <wp:extent cx="1108075" cy="1641475"/>
            <wp:effectExtent l="0" t="0" r="15875" b="15875"/>
            <wp:wrapSquare wrapText="bothSides"/>
            <wp:docPr id="10" name="图片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9696"/>
                    <pic:cNvPicPr>
                      <a:picLocks noChangeAspect="1"/>
                    </pic:cNvPicPr>
                  </pic:nvPicPr>
                  <pic:blipFill>
                    <a:blip r:embed="rId21"/>
                    <a:stretch>
                      <a:fillRect/>
                    </a:stretch>
                  </pic:blipFill>
                  <pic:spPr>
                    <a:xfrm>
                      <a:off x="0" y="0"/>
                      <a:ext cx="1108075" cy="164147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73600" behindDoc="0" locked="0" layoutInCell="1" allowOverlap="1">
            <wp:simplePos x="0" y="0"/>
            <wp:positionH relativeFrom="column">
              <wp:posOffset>3100070</wp:posOffset>
            </wp:positionH>
            <wp:positionV relativeFrom="paragraph">
              <wp:posOffset>199390</wp:posOffset>
            </wp:positionV>
            <wp:extent cx="1106170" cy="1637665"/>
            <wp:effectExtent l="0" t="0" r="17780" b="635"/>
            <wp:wrapTopAndBottom/>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icPr>
                  <pic:blipFill>
                    <a:blip r:embed="rId22"/>
                    <a:stretch>
                      <a:fillRect/>
                    </a:stretch>
                  </pic:blipFill>
                  <pic:spPr>
                    <a:xfrm>
                      <a:off x="0" y="0"/>
                      <a:ext cx="1106170" cy="163766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七、防水防爆手持电台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1、符合XF/T 1255-2015警用数字集群（PDT）通信系统射频设备技术要求和测试方法，具有中华人民共和国工业和信息化部颁发的无线电发射设备型号核准证，投标文件提供型号核准证复印件，提供国家消防装备质量监督检验中心或其他国家级权威检验机构出具的检测报告复印件或扫描件</w:t>
      </w:r>
      <w:r>
        <w:rPr>
          <w:rFonts w:hint="eastAsia" w:ascii="仿宋" w:hAnsi="仿宋" w:eastAsia="仿宋" w:cs="仿宋"/>
          <w:bCs/>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2、由外壳、主机、天线、电池及皮带夹组成，在石油、化工、钢铁、港口等易燃易爆气体场所使用。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3、投标产品通过“中国国家强制性产品认证”（CCC），投标文件提供所投产品强制性认证证书和完整的“中国国家强制性产品认证型式试验报告”复印件。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4、通过国家防爆等级认证，其中防爆等级不低于气体防爆“Ex ib ⅡC T4 Gb”和粉尘防爆“Ex ibD 21 T130”要求, 提供所投产品的防爆合格证及检验报告复印件。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5、防护等级IP67，并提供权威机构出具的检测报告复印件。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6、频率范围：350-400MHz，支持模拟常规、MPT集群、PDT数字常规和PDT集群多种工作模式。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7、发射功率≤3.5W。</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8、信道容量≥1000个，采用无极信道旋钮，可以不通过切换区域就可以选择不小于16个组/信道，方便使用，需现场样机演示。</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9、电池容量≥2800mAH，显示电池用量状态，电池电量不足时有预警，电池满足低温环境正常使用的要求。配备同品牌、同规格型号备用电池1块。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10、LCD 彩色显示屏≥1.8英寸，中文操作界面。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11、内置AMBE++和NVOC双声码器，通过手动菜单选择切换。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12、内置GPS和北斗功能，支持GPS和北斗双模定位功能。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13、具有内置蓝牙功能，支持蓝牙PTT和蓝牙音频功能。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14、配专用防爆耳机并提供权威机构出具的防爆合格证及检验报告复印件。</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75648" behindDoc="0" locked="0" layoutInCell="1" allowOverlap="1">
            <wp:simplePos x="0" y="0"/>
            <wp:positionH relativeFrom="column">
              <wp:posOffset>3339465</wp:posOffset>
            </wp:positionH>
            <wp:positionV relativeFrom="paragraph">
              <wp:posOffset>335280</wp:posOffset>
            </wp:positionV>
            <wp:extent cx="1080770" cy="1066800"/>
            <wp:effectExtent l="0" t="0" r="5080" b="0"/>
            <wp:wrapSquare wrapText="bothSides"/>
            <wp:docPr id="18" name="图片 59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9601"/>
                    <pic:cNvPicPr>
                      <a:picLocks noChangeAspect="1"/>
                    </pic:cNvPicPr>
                  </pic:nvPicPr>
                  <pic:blipFill>
                    <a:blip r:embed="rId23"/>
                    <a:stretch>
                      <a:fillRect/>
                    </a:stretch>
                  </pic:blipFill>
                  <pic:spPr>
                    <a:xfrm>
                      <a:off x="0" y="0"/>
                      <a:ext cx="1080770" cy="106680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74624" behindDoc="0" locked="0" layoutInCell="1" allowOverlap="1">
            <wp:simplePos x="0" y="0"/>
            <wp:positionH relativeFrom="column">
              <wp:posOffset>1383665</wp:posOffset>
            </wp:positionH>
            <wp:positionV relativeFrom="paragraph">
              <wp:posOffset>266065</wp:posOffset>
            </wp:positionV>
            <wp:extent cx="725805" cy="1179195"/>
            <wp:effectExtent l="0" t="0" r="17145" b="1905"/>
            <wp:wrapSquare wrapText="bothSides"/>
            <wp:docPr id="11" name="图片 1" descr="17ca56579c318c1d34ab4b6d6d8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17ca56579c318c1d34ab4b6d6d81937"/>
                    <pic:cNvPicPr>
                      <a:picLocks noChangeAspect="1"/>
                    </pic:cNvPicPr>
                  </pic:nvPicPr>
                  <pic:blipFill>
                    <a:blip r:embed="rId24"/>
                    <a:stretch>
                      <a:fillRect/>
                    </a:stretch>
                  </pic:blipFill>
                  <pic:spPr>
                    <a:xfrm>
                      <a:off x="0" y="0"/>
                      <a:ext cx="725805" cy="117919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pStyle w:val="13"/>
        <w:rPr>
          <w:rFonts w:hint="eastAsia" w:ascii="仿宋" w:hAnsi="仿宋" w:eastAsia="仿宋" w:cs="仿宋"/>
          <w:color w:val="auto"/>
          <w:kern w:val="0"/>
          <w:sz w:val="24"/>
          <w:szCs w:val="24"/>
          <w:highlight w:val="none"/>
        </w:rPr>
      </w:pPr>
    </w:p>
    <w:p>
      <w:pPr>
        <w:pStyle w:val="13"/>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八、消防员呼救器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1、符合GB27900-2011《消防员呼救器》标准，提供国家消防装备质量监督检验中心</w:t>
      </w:r>
      <w:r>
        <w:rPr>
          <w:rFonts w:hint="eastAsia" w:ascii="仿宋" w:hAnsi="仿宋" w:eastAsia="仿宋" w:cs="仿宋"/>
          <w:bCs/>
          <w:color w:val="auto"/>
          <w:sz w:val="24"/>
          <w:szCs w:val="24"/>
          <w:highlight w:val="none"/>
        </w:rPr>
        <w:t>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2、由单元线路板、蜂鸣片、发音腔、壳体、防爆电池组、按键组成，用于消防员灭火救援任务时佩戴，为消防员提供自我保护和报警。</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3、具备防水、防爆、耐挤压、耐高温等性能，1.5m处跌落3次无损伤；1.5m水深浸水2h实验无渗漏。</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4、呼救器结构应完整，表面不有明显的斑点、气泡、裂纹和伤痕。</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5、设有佩戴装置，佩带装置佩戴牢固可靠。</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6、防爆等级：Exib ⅡC T4 Gb，在气爆和尘爆场所均可使用。</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7、具备预报警功能、自动报警功能、手动报警功能、低电压报警功能。</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8、电源为封闭式充电电池，免拆免维护，并配有充电器。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r>
        <w:rPr>
          <w:rFonts w:hint="eastAsia" w:ascii="仿宋" w:hAnsi="仿宋" w:eastAsia="仿宋" w:cs="仿宋"/>
          <w:bCs/>
          <w:color w:val="auto"/>
          <w:sz w:val="24"/>
          <w:szCs w:val="24"/>
          <w:highlight w:val="none"/>
        </w:rPr>
        <w:t>具备方位灯功能。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10、静止至预警时间：30s±2s。</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11、预报警时间：15s±2s。</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12、连续强报警时间：≥240min。</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13、连续工作时间：≥24h。</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14、报警声响：≥100dB，发光亮度≥400cd/㎡。</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bCs/>
          <w:color w:val="auto"/>
          <w:sz w:val="24"/>
          <w:szCs w:val="24"/>
          <w:highlight w:val="none"/>
        </w:rPr>
        <w:t>防护等级：IP68。</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16、质量≤300克（包括电池）。</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17、防爆性能应符合GB3836.1—2010和GB3836.2—2010的规定。</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18、永久性标签包括：执行标准、型号、规格；生产厂的名称或商标；出厂日期、型号；禁用场合提示和RFID芯片（内容根据采购方需要填写）。</w:t>
      </w:r>
    </w:p>
    <w:p>
      <w:pPr>
        <w:adjustRightInd w:val="0"/>
        <w:snapToGrid w:val="0"/>
        <w:spacing w:line="600" w:lineRule="exact"/>
        <w:ind w:firstLine="480" w:firstLineChars="200"/>
        <w:jc w:val="left"/>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62336" behindDoc="1" locked="0" layoutInCell="1" allowOverlap="1">
            <wp:simplePos x="0" y="0"/>
            <wp:positionH relativeFrom="column">
              <wp:posOffset>3089910</wp:posOffset>
            </wp:positionH>
            <wp:positionV relativeFrom="paragraph">
              <wp:posOffset>203835</wp:posOffset>
            </wp:positionV>
            <wp:extent cx="1689100" cy="1402080"/>
            <wp:effectExtent l="0" t="0" r="6350" b="7620"/>
            <wp:wrapNone/>
            <wp:docPr id="17" name="图片 59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9595"/>
                    <pic:cNvPicPr>
                      <a:picLocks noChangeAspect="1"/>
                    </pic:cNvPicPr>
                  </pic:nvPicPr>
                  <pic:blipFill>
                    <a:blip r:embed="rId25"/>
                    <a:stretch>
                      <a:fillRect/>
                    </a:stretch>
                  </pic:blipFill>
                  <pic:spPr>
                    <a:xfrm>
                      <a:off x="0" y="0"/>
                      <a:ext cx="1689100" cy="1402080"/>
                    </a:xfrm>
                    <a:prstGeom prst="rect">
                      <a:avLst/>
                    </a:prstGeom>
                    <a:noFill/>
                    <a:ln>
                      <a:noFill/>
                    </a:ln>
                  </pic:spPr>
                </pic:pic>
              </a:graphicData>
            </a:graphic>
          </wp:anchor>
        </w:drawing>
      </w:r>
      <w:r>
        <w:rPr>
          <w:rFonts w:hint="eastAsia" w:ascii="仿宋" w:hAnsi="仿宋" w:eastAsia="仿宋" w:cs="仿宋"/>
          <w:bCs/>
          <w:color w:val="auto"/>
          <w:sz w:val="24"/>
          <w:szCs w:val="24"/>
          <w:highlight w:val="none"/>
        </w:rPr>
        <w:drawing>
          <wp:anchor distT="0" distB="0" distL="114300" distR="114300" simplePos="0" relativeHeight="251676672" behindDoc="0" locked="0" layoutInCell="1" allowOverlap="1">
            <wp:simplePos x="0" y="0"/>
            <wp:positionH relativeFrom="column">
              <wp:posOffset>780415</wp:posOffset>
            </wp:positionH>
            <wp:positionV relativeFrom="paragraph">
              <wp:posOffset>195580</wp:posOffset>
            </wp:positionV>
            <wp:extent cx="1588770" cy="1402080"/>
            <wp:effectExtent l="0" t="0" r="11430" b="7620"/>
            <wp:wrapSquare wrapText="bothSides"/>
            <wp:docPr id="1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6"/>
                    <pic:cNvPicPr>
                      <a:picLocks noChangeAspect="1"/>
                    </pic:cNvPicPr>
                  </pic:nvPicPr>
                  <pic:blipFill>
                    <a:blip r:embed="rId26"/>
                    <a:stretch>
                      <a:fillRect/>
                    </a:stretch>
                  </pic:blipFill>
                  <pic:spPr>
                    <a:xfrm>
                      <a:off x="0" y="0"/>
                      <a:ext cx="1588770" cy="140208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九、8mm应急逃生自救安全绳</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1、符合国家XF494-2004《消防用防坠落装备》标准要求，提供国家消防装备质量监督检验中心或其他国家级权威检验机构出具的检测报告复印件或扫描件。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2、由多功能绳包、8毫米安全绳、轻型安全钩、可调节下降器、中空连接扁绳、排绳器组成，在灭火、抢险救援作业中用于自救和救人的绳索。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3、整套套装质量≤1.8kg。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4、安全绳直径8mm，长度≥16m。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5、安全绳最小破断强度≥25kN。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6、延伸率≤6.5%（承重达到最小破断强度的10%时）。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7、经204（±5）℃的耐高温性能试验后，未出现融熔、焦化现象。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8、在600（±5）℃、1.33kN负荷环境下的承载45s，在400（±5）℃、1.33kN负荷环境下承载300s，未出现断裂现象。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9、线密度≤50g/m。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10、轻型安全钩：开口距离21±1mm，长轴破断强度≥27kN，短轴破断强度≥7kN，自动保护三锁装置（即提起、转动和开锁），净重≤110g。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11、下降器：破断强度≥22kN；净重≤270g；适用绳索直径范围为7.5-9.5 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12、中空连接扁绳：直径≥6.8mm长度≥500mm，破断强度≥25kN，重量≤80g/根。</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13、绳包：绳包为阻燃面料，经260℃高温试验后无明显变化；方便快捷佩戴和拆卸功能；绳包两端设计放置安全钩，取出便捷；绳包盖内设计绳夹，方便在绳索上快速定位和拆收。</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pStyle w:val="13"/>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77696" behindDoc="0" locked="0" layoutInCell="1" allowOverlap="1">
            <wp:simplePos x="0" y="0"/>
            <wp:positionH relativeFrom="column">
              <wp:posOffset>3007360</wp:posOffset>
            </wp:positionH>
            <wp:positionV relativeFrom="paragraph">
              <wp:posOffset>132715</wp:posOffset>
            </wp:positionV>
            <wp:extent cx="1661160" cy="1201420"/>
            <wp:effectExtent l="0" t="0" r="0" b="0"/>
            <wp:wrapSquare wrapText="bothSides"/>
            <wp:docPr id="15" name="图片 17"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descr="wps1"/>
                    <pic:cNvPicPr>
                      <a:picLocks noChangeAspect="1"/>
                    </pic:cNvPicPr>
                  </pic:nvPicPr>
                  <pic:blipFill>
                    <a:blip r:embed="rId27"/>
                    <a:stretch>
                      <a:fillRect/>
                    </a:stretch>
                  </pic:blipFill>
                  <pic:spPr>
                    <a:xfrm>
                      <a:off x="0" y="0"/>
                      <a:ext cx="1661160" cy="120142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678720" behindDoc="0" locked="0" layoutInCell="1" allowOverlap="1">
            <wp:simplePos x="0" y="0"/>
            <wp:positionH relativeFrom="column">
              <wp:posOffset>857885</wp:posOffset>
            </wp:positionH>
            <wp:positionV relativeFrom="paragraph">
              <wp:posOffset>15240</wp:posOffset>
            </wp:positionV>
            <wp:extent cx="1502410" cy="1210945"/>
            <wp:effectExtent l="0" t="0" r="2540" b="8255"/>
            <wp:wrapSquare wrapText="bothSides"/>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28"/>
                    <a:stretch>
                      <a:fillRect/>
                    </a:stretch>
                  </pic:blipFill>
                  <pic:spPr>
                    <a:xfrm>
                      <a:off x="0" y="0"/>
                      <a:ext cx="1502410" cy="121094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十、消防员灭火防护服作战款（夏季）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1、符合XF10-2014《消防员灭火防护服》标准，提供国家消防装备质量监督检验中心或其他国家级权威检验机构出具的检测报告复印件或扫描件。</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2、由外层、防水透气隔热层、舒适层三层面料组成，消防员在进行灭火战斗时穿着的专用服装,用来对其上下躯干、头颈、手臂、腿进行防护。</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3、外层采用间位芳纶和对位芳纶及导电纤维交织混纺面料，防水透气隔热层采用芳纶无纺布复合阻燃PTFE膜，舒适层采用芳纶和阻燃粘胶纤维混纺面料。</w:t>
      </w:r>
    </w:p>
    <w:p>
      <w:pPr>
        <w:adjustRightInd w:val="0"/>
        <w:snapToGrid w:val="0"/>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4、外层为藏蓝色，潘通色号为 PANTONE 19-4013 TCX Dark Navy， 色差≥3级。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5、整体为上下分体式结构。上衣和裤子间重叠部分≥200mm；衣领为立领，前部设护领，衣领内侧采用顺色贴肤舒适面料；衣门襟魔术贴为贯通式；衣舒适层下摆设置止水布；上衣前门襟拈链号型≥8号。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6、袖口处采用圆弧形设计，外层本色布包边、或耐磨材料，设置收紧调节袢，并配置罗纹防护护腕，罗纹防护护腕开拇指孔，内部设置止水布。 裤脚口处采用圆弧形设计，内部设置止水布，内侧设置拉链，裤脚设耐磨材料包边。裤子裆部采用一体式设计，配H型背带，背带应可调节长度，可拆卸，胸前设置横向束紧带（尼龙搭扣）。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7、上衣左右肩部设有两个挂袢；左胸外设电台立体口袋，门襟内侧设防水插袋，下摆设置外贴袋；大腿外侧各设工具袋1个。所有外口袋均设置漏水孔。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8、上衣在胸部、下摆、袖口各设1条360°环形反光标识带，裤子在小腿部各设1条360°环形反光标志带。 反光标志带宽度为 50.8mm（2 英寸），颜色为黄银黄。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9、左上臂外侧设90mm×110mm盾牌型魔术贴并配盾牌型标识。左胸设19消防软胸徽同形状魔术贴，粘贴19消防员软胸徽或19消防干部软胸徽。右胸设90mm×57mm 长方形魔术贴并配消防指战员胸部标识。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10、肩、肘、膝部应采用耐磨层加厚处理，耐磨层应柔软且易于清洗。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11、整体热防护性能TPP≥28cal/cm²。外层面料经、纬向断裂强力≥650N，经纬向损毁长度≤20mm，经纬向撕破强力≥100N，经纬向接缝断裂强力≥650N；舒适层面料经纬向损毁长度≤50mm，经纬向断裂强力≥350N。</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12、防护服总质量≤3.0kg（型号为175A的整套防护服）。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13、外层、防水透气层和舒适层参照GB/T21655.1-2008标准中方法测试浸湿质量，经滴水后三层材料浸湿质量总和不超过1200g/m²。</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魔术贴：剪切强度≥7.5N/cm²，剥离强度≥1.6N/cm；抗疲劳性能：离合1000次后，剪切强度≥6.6N/cm²，剥离强度≥1.4N/cm；外观平整，钩面排列整齐，钩形完好，毛面均匀，厚薄一致，无明显凹凸不平，无明显污渍，色泽统一均匀，无明显色差、色花。</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15、H型背带：采用机织带优等品。每厘米宽度含橡筋丝量12—14条，外观平整，无明显弯形、松档、断纱、漏针、跳纱、破边、污渍。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16、外观标识按照应急管理部消防救援局《20式消防员灭火防护服款式标识统型要求》执行。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17、产品具有清晰耐久标志（执行标准、型号、规格；生产厂的名称或商标；生产厂的识别编号、制造时间）和RFID芯片（上衣裤子各1个，内容根据采购方需要填写）。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79744" behindDoc="0" locked="0" layoutInCell="1" allowOverlap="1">
            <wp:simplePos x="0" y="0"/>
            <wp:positionH relativeFrom="column">
              <wp:posOffset>1834515</wp:posOffset>
            </wp:positionH>
            <wp:positionV relativeFrom="paragraph">
              <wp:posOffset>313055</wp:posOffset>
            </wp:positionV>
            <wp:extent cx="1469390" cy="2155825"/>
            <wp:effectExtent l="0" t="0" r="16510" b="15875"/>
            <wp:wrapSquare wrapText="bothSides"/>
            <wp:docPr id="13" name="图片 29720"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9720" descr="C:\Users\Administrator\Desktop\图片1.jpg图片1"/>
                    <pic:cNvPicPr>
                      <a:picLocks noChangeAspect="1"/>
                    </pic:cNvPicPr>
                  </pic:nvPicPr>
                  <pic:blipFill>
                    <a:blip r:embed="rId29"/>
                    <a:stretch>
                      <a:fillRect/>
                    </a:stretch>
                  </pic:blipFill>
                  <pic:spPr>
                    <a:xfrm>
                      <a:off x="0" y="0"/>
                      <a:ext cx="1469390" cy="215582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pStyle w:val="22"/>
        <w:ind w:firstLine="0" w:firstLineChars="0"/>
        <w:jc w:val="both"/>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kern w:val="0"/>
          <w:sz w:val="24"/>
          <w:szCs w:val="24"/>
          <w:highlight w:val="none"/>
        </w:rPr>
      </w:pPr>
    </w:p>
    <w:p>
      <w:pPr>
        <w:pStyle w:val="22"/>
        <w:ind w:firstLine="320"/>
        <w:rPr>
          <w:rFonts w:hint="eastAsia" w:ascii="仿宋" w:hAnsi="仿宋" w:eastAsia="仿宋" w:cs="仿宋"/>
          <w:color w:val="auto"/>
          <w:sz w:val="24"/>
          <w:szCs w:val="24"/>
          <w:highlight w:val="none"/>
        </w:rPr>
      </w:pPr>
    </w:p>
    <w:p>
      <w:pPr>
        <w:pStyle w:val="22"/>
        <w:ind w:firstLine="32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十一、消防员灭火防护服指挥款（夏季）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1、符合XF10-2014《消防员灭火防护服》标准，提供国家消防装备质量监督检验中心或其他国家级权威检验机构出具的检测报告复印件或扫描件。</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2、由外层、防水透气隔热层、舒适层三层面料组成，消防员在进行灭火战斗时穿着的专用服装,用来对其上下躯干、头颈、手臂、腿进行防护。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21" w:name="_Hlk60039542"/>
      <w:r>
        <w:rPr>
          <w:rFonts w:hint="eastAsia" w:ascii="仿宋" w:hAnsi="仿宋" w:eastAsia="仿宋" w:cs="仿宋"/>
          <w:color w:val="auto"/>
          <w:sz w:val="24"/>
          <w:szCs w:val="24"/>
          <w:highlight w:val="none"/>
        </w:rPr>
        <w:t>外层采用间位芳纶和对位芳纶及导电纤维交织混纺面料，防水透气隔热层采用芳纶无纺布复合阻燃PTFE膜，舒适层采用芳纶和阻燃粘胶纤维混纺面料。</w:t>
      </w:r>
      <w:bookmarkEnd w:id="121"/>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4、藏蓝色，潘通色号为 PANTONE 19-4013 TCX Dark Navy， 色差≥3级。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5、上下分体式结构。上衣和裤子间重叠部分应≥340mm；衣领为立领，前部设护领，衣领内侧采用顺色贴肤舒适面料；衣门襟魔术贴为贯通式；衣舒适层下摆设置止水布；上衣前门襟拈链号型≥8号。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6、袖口处采用圆弧形设计，外层本色布包边、或耐磨材料，设置收紧调节袢，并配置罗纹防护护腕，罗纹防护护腕开拇指孔，内部设置止水布。 裤脚口处采用圆弧形设计，内部设置止水布，内侧设置拉链，裤脚设耐磨材料包边。裤子裆部采用一体式设计，配H型背带，背带应可调节长度，可拆卸，胸前设置横向束紧带（尼龙搭扣）。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7、上衣左右肩部设有两个挂袢；左胸外设电台立体口袋，门襟内侧设防水插袋，下摆设置外贴袋；大腿外侧各设工具袋1个。所有外口袋均设置漏水孔。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8、上衣在胸部、下摆、袖口各设1条360°环形反光标识带，裤子在小腿部各设1条360°环形反光标志带。 反光标志带宽度为 50.8mm（2 英寸），颜色为黄银黄。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9、左上臂外侧设90mm×110mm盾牌型魔术贴并配盾牌型标识。左胸设19消防软胸徽同形状魔术贴，粘贴19消防员软胸徽或19消防干部软胸徽。右胸设90mm×57mm 长方形魔术贴并配消防指战员胸部标识。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10、肩、肘、膝部应采用耐磨层加厚处理，耐磨层应柔软且易于清洗。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11、整体热防护性能TPP≥28cal/cm²。外层面料经、纬向断裂强力≥650N，经纬向损毁长度≤20mm，经纬向撕破强力≥100N，经纬向接缝断裂强力≥650N；舒适层面料经纬向损毁长度≤50mm，经纬向断裂强力≥350N。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12、防护服总质量≤3.0kg（型号为175A的整套防护服）。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13、外层、防水透气层和舒适层参照GB/T21655.1-2008标准中方法测试浸湿质量，经滴水后三层材料浸湿质量总和不超过1200g/m²。</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魔术贴：剪切强度≥7.5N/cm²，剥离强度≥1.6N/cm；抗疲劳性能：离合1000次后，剪切强度≥6.6N/cm²，剥离强度≥1.4N/cm；外观平整，钩面排列整齐，钩形完好，毛面均匀，厚薄一致，无明显凹凸不平，无明显污渍，色泽统一均匀，无明显色差、色花。</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15、H型背带：采用机织带优等品。每厘米宽度含橡筋丝量12—14条，外观平整，无明显弯形、松档、断纱、漏针、跳纱、破边、污渍。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16、外观标识按照《20式消防员灭火防护服款式标识统型要求》执行。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17、产品具有清晰耐久标志（执行标准、型号、规格；生产厂的名称或商标；生产厂的识别编号、制造时间）和RFID芯片（上衣裤子各1个，内容根据采购方需要填写）。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80768" behindDoc="0" locked="0" layoutInCell="1" allowOverlap="1">
            <wp:simplePos x="0" y="0"/>
            <wp:positionH relativeFrom="column">
              <wp:posOffset>2105660</wp:posOffset>
            </wp:positionH>
            <wp:positionV relativeFrom="paragraph">
              <wp:posOffset>363855</wp:posOffset>
            </wp:positionV>
            <wp:extent cx="1485900" cy="2195195"/>
            <wp:effectExtent l="0" t="0" r="0" b="14605"/>
            <wp:wrapSquare wrapText="bothSides"/>
            <wp:docPr id="27" name="图片 48" descr="1608190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8" descr="1608190864(1)"/>
                    <pic:cNvPicPr>
                      <a:picLocks noChangeAspect="1"/>
                    </pic:cNvPicPr>
                  </pic:nvPicPr>
                  <pic:blipFill>
                    <a:blip r:embed="rId30"/>
                    <a:stretch>
                      <a:fillRect/>
                    </a:stretch>
                  </pic:blipFill>
                  <pic:spPr>
                    <a:xfrm>
                      <a:off x="0" y="0"/>
                      <a:ext cx="1485900" cy="219519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13"/>
        <w:spacing w:line="600" w:lineRule="exact"/>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十二、消防员灭火防护服作战款（冬季）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1、符合XF10-2014《消防员灭火防护服》标准，提供国家消防装备质量监督检验中心或其他国家级权威检验机构出具的检测报告复印件或扫描件。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2、由外层、防水透气层、隔热层和舒适层四层面料组成，消防员在进行灭火战斗时穿着的专用服装,用来对其上下躯干、头颈、手臂、腿进行防护。</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3、外层采用间位芳纶和对位芳纶及导电纤维交织混纺面料，防水透气层采用芳纶无纺布复合阻燃PTFE膜，隔热层采用芳纶无纺布，舒适层采用芳纶和阻燃粘胶纤维混纺面料。</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4、藏蓝色，潘通色号为 PANTONE 19-4013 TCX Dark Navy， 色差≥3级。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5、上下分体式结构。上衣和裤子间重叠部分应≥200mm；衣领为立领，前部设护领，衣领内侧采用顺色贴肤舒适面料；衣门襟魔术贴为贯通式；衣舒适层下摆设置止水布；上衣前门襟拈链号型≥8号。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6、袖口处采用圆弧形设计，外层本色布包边，设置收紧调节袢，并配置罗纹防护护腕，罗纹防护护腕开拇指孔，内部设置止水布。 裤脚口处采用圆弧形设计，内部设置止水布，内侧设置拈链，裤脚设耐磨材料包边。裤子裆部采用一体式设计，配H型背带，背带应可调节长度，可拆卸，胸前设置横向束紧带（尼龙搭扣）。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7、上衣左右肩部设有两个挂袢；左胸外设电台立体口袋，门襟内侧设防水插袋，下摆设置外贴袋；大腿外侧各设工具袋1个。所有外口袋均设置漏水孔。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8、上衣在胸部、下摆、袖口各设1条360°环形反光标识带，裤子在小腿部各设1条360°环形反光标志带。反光标志带宽度为 50.8mm（2 英寸），颜色为黄银黄。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9、左上臂外侧设90mm×110mm盾牌型魔术贴并配盾牌型标识。左胸设19消防软胸徽同形状魔术贴，粘贴19消防员软胸徽或19消防干部软胸徽。右胸设90mm×57mm 长方形魔术贴并配消防指战员胸部标识。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10、肩、肘、膝部应采用耐磨层加厚处理，耐磨层应柔软且易于清洗。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11、整体热防护性能TPP≥28cal/cm²。外层面料经、纬向断裂强力≥650N，经纬向损毁长度≤20mm，经纬向撕破强力≥100N，经纬向接缝断裂强力≥650N；舒适层面料经纬向损毁长度≤50mm，经纬向断裂强力≥350N。    </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12、防护服总质量≤3.0kg（型号为175A的整套防护服）。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魔术贴：剪切强度≥7.5N/cm²，剥离强度≥1.6N/cm；抗疲劳性能：离合1000次后，剪切强度≥6.6N/cm²，剥离强度≥1.4N/cm；外观平整，钩面排列整齐，钩形完好，毛面均匀，厚薄一致，无明显凹凸不平，无明显污渍，色泽统一均匀，无明显色差、色花。</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14、H型背带：采用机织带优等品。每厘米宽度含橡筋丝量12—14条，外观平整，无明显弯形、松档、断纱、漏针、跳纱、破边、污渍。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15、外观标识按照《20式消防员灭火防护服款式标识统型要求》执行。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16、产品具有清晰耐久标志（执行标准、型号、规格；生产厂的名称或商标；生产厂的识别编号、制造时间）和RFID芯片（上衣裤子各1个，内容根据采购方需要填写）。</w:t>
      </w:r>
    </w:p>
    <w:p>
      <w:pPr>
        <w:adjustRightInd w:val="0"/>
        <w:snapToGrid w:val="0"/>
        <w:spacing w:line="600" w:lineRule="exact"/>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81792" behindDoc="0" locked="0" layoutInCell="1" allowOverlap="1">
            <wp:simplePos x="0" y="0"/>
            <wp:positionH relativeFrom="column">
              <wp:posOffset>2317750</wp:posOffset>
            </wp:positionH>
            <wp:positionV relativeFrom="paragraph">
              <wp:posOffset>66040</wp:posOffset>
            </wp:positionV>
            <wp:extent cx="1267460" cy="1858645"/>
            <wp:effectExtent l="0" t="0" r="8890" b="8255"/>
            <wp:wrapSquare wrapText="bothSides"/>
            <wp:docPr id="12" name="图片 20"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0" descr="C:\Users\Administrator\Desktop\图片1.jpg图片1"/>
                    <pic:cNvPicPr>
                      <a:picLocks noChangeAspect="1"/>
                    </pic:cNvPicPr>
                  </pic:nvPicPr>
                  <pic:blipFill>
                    <a:blip r:embed="rId31"/>
                    <a:stretch>
                      <a:fillRect/>
                    </a:stretch>
                  </pic:blipFill>
                  <pic:spPr>
                    <a:xfrm>
                      <a:off x="0" y="0"/>
                      <a:ext cx="1267460" cy="185864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2"/>
        <w:ind w:firstLine="21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十三、消防员灭火防护服指挥款（冬季）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1、符合XF10-2014《消防员灭火防护服》标准，提供国家消防装备质量监督检验中心或其他国家级权威检验机构出具的检测报告复印件或扫描件。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2、由外层、防水透气层、隔热层和舒适层四层面料组成，消防员在进行灭火战斗时穿着的专用服装,用来对其上下躯干、头颈、手臂、腿进行防护。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3、外层采用间位芳纶和对位芳纶及导电纤维交织混纺面料，防水透气层复合阻燃PTFE膜，隔热层采用芳纶无纺布，舒适层采用芳纶和阻燃粘胶纤维混纺面料。</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4、藏蓝色，潘通色号为 PANTONE 19-4013 TCX Dark Navy， 色差≥3级。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5、上下分体式结构。上衣和裤子间重叠部分应≥340mm；衣领为立领，前部设护领，衣领内侧采用顺色贴肤舒适面料；衣门襟魔术贴为贯通式；衣舒适层下摆设置止水布；上衣前门襟拈链号型≥8号。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6、袖口处采用圆弧形设计，外层本色布包边、或耐磨材料，设置收紧调节袢，并配置罗纹防护护腕，罗纹防护护腕开拇指孔，内部设置止水布。 裤脚口处采用圆弧形设计，内部设置止水布，内侧设置拉链，裤脚设耐磨材料包边。裤子裆部采用一体式设计，配H型背带，背带应可调节长度，可拆卸，胸前设置横向束紧带（尼龙搭扣）。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7、上衣左右肩部设有两个挂袢；左胸外设电台立体口袋，门襟内侧设防水插袋，下摆设置外贴袋；大腿外侧各设工具袋1个。所有外口袋均设置漏水孔。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8、上衣在胸部、下摆、袖口各设1条360°环形反光标识带，裤子在小腿部各设1条360°环形反光标志带。反光标志带宽度为 50.8mm（2 英寸），颜色为黄银黄。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9、左上臂外侧设90mm×110mm盾牌型魔术贴并配盾牌型标识。左胸设19消防软胸徽同形状魔术贴，粘贴19消防员软胸徽或19消防干部软胸徽。右胸设90mm×57mm 长方形魔术贴并配消防指战员胸部标识。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10、肩、肘、膝部应采用耐磨层加厚处理，耐磨层应柔软且易于清洗。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11、整体热防护性能TPP≥28cal/cm²。外层面料经、纬向断裂强力≥650N，经纬向损毁长度≤20mm，经纬向撕破强力≥100N，经纬向接缝断裂强力≥650N；舒适层面料经纬向损毁长度≤50mm，经纬向断裂强力≥350N。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12、防护服总质量≤3.0kg（型号为175A的整套防护服）。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13、外层、防水透气层和舒适层参照GB/T21655.1-2008标准中方法测试浸湿质量，经滴水后三层材料浸湿质量总和不超过1200g/m²。</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魔术贴：剪切强度≥7.5N/cm²，剥离强度≥1.6N/cm；抗疲劳性能：离合1000次后，剪切强度≥6.6N/cm²，剥离强度≥1.4N/cm；外观平整，钩面排列整齐，钩形完好，毛面均匀，厚薄一致，无明显凹凸不平，无明显污渍，色泽统一均匀，无明显色差、色花。</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15、H型背带：采用机织带优等品。每厘米宽度含橡筋丝量12—14条，外观平整，无明显弯形、松档、断纱、漏针、跳纱、破边、污渍。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16、外观标识按照《20式消防员灭火防护服款式标识统型要求》执行。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17、产品具有清晰耐久标志（执行标准、型号、规格；生产厂的名称或商标；生产厂的识别编号、制造时间）和RFID芯片（上衣裤子各1个，内容根据采购方需要填写）。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82816" behindDoc="0" locked="0" layoutInCell="1" allowOverlap="1">
            <wp:simplePos x="0" y="0"/>
            <wp:positionH relativeFrom="column">
              <wp:posOffset>2174240</wp:posOffset>
            </wp:positionH>
            <wp:positionV relativeFrom="paragraph">
              <wp:posOffset>175895</wp:posOffset>
            </wp:positionV>
            <wp:extent cx="1485900" cy="2195195"/>
            <wp:effectExtent l="0" t="0" r="0" b="14605"/>
            <wp:wrapSquare wrapText="bothSides"/>
            <wp:docPr id="22" name="图片 49" descr="1608190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9" descr="1608190864(1)"/>
                    <pic:cNvPicPr>
                      <a:picLocks noChangeAspect="1"/>
                    </pic:cNvPicPr>
                  </pic:nvPicPr>
                  <pic:blipFill>
                    <a:blip r:embed="rId30"/>
                    <a:stretch>
                      <a:fillRect/>
                    </a:stretch>
                  </pic:blipFill>
                  <pic:spPr>
                    <a:xfrm>
                      <a:off x="0" y="0"/>
                      <a:ext cx="1485900" cy="2195195"/>
                    </a:xfrm>
                    <a:prstGeom prst="rect">
                      <a:avLst/>
                    </a:prstGeom>
                    <a:noFill/>
                    <a:ln>
                      <a:noFill/>
                    </a:ln>
                  </pic:spPr>
                </pic:pic>
              </a:graphicData>
            </a:graphic>
          </wp:anchor>
        </w:drawing>
      </w:r>
    </w:p>
    <w:p>
      <w:pPr>
        <w:pStyle w:val="22"/>
        <w:ind w:firstLine="320"/>
        <w:jc w:val="both"/>
        <w:rPr>
          <w:rFonts w:hint="eastAsia" w:ascii="仿宋" w:hAnsi="仿宋" w:eastAsia="仿宋" w:cs="仿宋"/>
          <w:color w:val="auto"/>
          <w:sz w:val="24"/>
          <w:szCs w:val="24"/>
          <w:highlight w:val="none"/>
        </w:rPr>
      </w:pPr>
    </w:p>
    <w:p>
      <w:pPr>
        <w:pStyle w:val="22"/>
        <w:ind w:firstLine="320"/>
        <w:jc w:val="both"/>
        <w:rPr>
          <w:rFonts w:hint="eastAsia" w:ascii="仿宋" w:hAnsi="仿宋" w:eastAsia="仿宋" w:cs="仿宋"/>
          <w:color w:val="auto"/>
          <w:sz w:val="24"/>
          <w:szCs w:val="24"/>
          <w:highlight w:val="none"/>
        </w:rPr>
      </w:pPr>
    </w:p>
    <w:p>
      <w:pPr>
        <w:pStyle w:val="22"/>
        <w:ind w:firstLine="320"/>
        <w:jc w:val="both"/>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十四、消防员灭火防护头套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1、符合XF869-2010《消防员灭火防护头套》的标准要求，提供国家消防装备质量监督检验中心或其他国家级权威检验机构出具的检测报告复印件或扫描件。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2、为消防员提供有效的头颈部防护，可与消防头盔和呼吸防护设备配合使用，保护消防员的脸部、头部减少热辐射热。</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3、采用黑色阻燃芳纶针织面料，双层结构，单位面料质量≥200g/㎡。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4、面料续燃时间≤2s，损毁长度≤100mm，无熔融和滴落现象；不褪色、无异味、柔软舒适、透气性非常好。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5、缝纫接缝处强度≥185N，抗起球等级＞3级，水洗后收缩率＜2.5%。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6、经热稳定性实验后，试样沿直向和横向的尺寸变化率≤1%，且试样样无变色，熔融和滴落现象。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7、整体重量≤300g。</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8、眼部开口带有松紧性，面部开口不妨碍呼吸防护装具面罩的佩戴，面部开口边缘与呼吸防护装具面罩边缘之间重叠部分的长度≥10 mm。头罩下沿两侧有开口设计，能与肩部贴合。</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9、头套应对头部、侧面部和颈部区域提供保护。头套前部和后部与防护服领口内重叠部分的长度≥200 mm，头套侧部与防护服领口内重叠部分长度≥130 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10、产品具有清晰耐久标志（执行标准、型号、规格；生产厂的名称或商标；生产厂的识别编号、制造时间）和RFID芯片（内容根据采购方需要填写）。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683840" behindDoc="0" locked="0" layoutInCell="1" allowOverlap="1">
            <wp:simplePos x="0" y="0"/>
            <wp:positionH relativeFrom="column">
              <wp:posOffset>3211830</wp:posOffset>
            </wp:positionH>
            <wp:positionV relativeFrom="paragraph">
              <wp:posOffset>325120</wp:posOffset>
            </wp:positionV>
            <wp:extent cx="1790700" cy="1737360"/>
            <wp:effectExtent l="0" t="0" r="0" b="15240"/>
            <wp:wrapSquare wrapText="bothSides"/>
            <wp:docPr id="25" name="图片 28" descr="阻燃头套(黑色）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8" descr="阻燃头套(黑色）1"/>
                    <pic:cNvPicPr>
                      <a:picLocks noChangeAspect="1"/>
                    </pic:cNvPicPr>
                  </pic:nvPicPr>
                  <pic:blipFill>
                    <a:blip r:embed="rId32"/>
                    <a:stretch>
                      <a:fillRect/>
                    </a:stretch>
                  </pic:blipFill>
                  <pic:spPr>
                    <a:xfrm>
                      <a:off x="0" y="0"/>
                      <a:ext cx="1790700" cy="1737360"/>
                    </a:xfrm>
                    <a:prstGeom prst="rect">
                      <a:avLst/>
                    </a:prstGeom>
                    <a:noFill/>
                    <a:ln>
                      <a:noFill/>
                    </a:ln>
                  </pic:spPr>
                </pic:pic>
              </a:graphicData>
            </a:graphic>
          </wp:anchor>
        </w:drawing>
      </w:r>
      <w:r>
        <w:rPr>
          <w:rFonts w:hint="eastAsia" w:ascii="仿宋" w:hAnsi="仿宋" w:eastAsia="仿宋" w:cs="仿宋"/>
          <w:bCs/>
          <w:color w:val="auto"/>
          <w:sz w:val="24"/>
          <w:szCs w:val="24"/>
          <w:highlight w:val="none"/>
        </w:rPr>
        <w:drawing>
          <wp:anchor distT="0" distB="0" distL="114300" distR="114300" simplePos="0" relativeHeight="251684864" behindDoc="0" locked="0" layoutInCell="1" allowOverlap="1">
            <wp:simplePos x="0" y="0"/>
            <wp:positionH relativeFrom="column">
              <wp:posOffset>785495</wp:posOffset>
            </wp:positionH>
            <wp:positionV relativeFrom="paragraph">
              <wp:posOffset>288290</wp:posOffset>
            </wp:positionV>
            <wp:extent cx="1651000" cy="1722120"/>
            <wp:effectExtent l="0" t="0" r="6350" b="11430"/>
            <wp:wrapSquare wrapText="bothSides"/>
            <wp:docPr id="26" name="图片 8" descr="阻燃头套(黑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descr="阻燃头套(黑色）"/>
                    <pic:cNvPicPr>
                      <a:picLocks noChangeAspect="1"/>
                    </pic:cNvPicPr>
                  </pic:nvPicPr>
                  <pic:blipFill>
                    <a:blip r:embed="rId33"/>
                    <a:stretch>
                      <a:fillRect/>
                    </a:stretch>
                  </pic:blipFill>
                  <pic:spPr>
                    <a:xfrm>
                      <a:off x="0" y="0"/>
                      <a:ext cx="1651000" cy="172212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十五、消防员灭火防护靴（冬靴）</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1、符合XF6-2004《消防员灭火防护靴》标准，提供国家消防装备质量监督检验中心或其他国家级权威检验机构出具的检测报告复印件或扫描件。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2、使消防员在灭火作业时保护腿部和小腿部免受水浸、免受外力损伤和热辐射热等伤害。</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3、胶靴，主体颜色为黑色，便于消防员快速穿着。从靴外底起至靴筒口最低处的高度≥300mm(±5mm)。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4、靴帮由外到里分为帮面、防切割层、隔热舒适层、保温层四层结构，靴底由上到下分为隔热舒适层、防穿刺层和靴大底三层结构，靴头部位设有保护包头。保温层内衬毡采用羊毛或其他更优保温材质。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5、在酸碱溶液中浸泡70h±2h，物理机械性能无显著变化。</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6、靴底的抗刺穿力≥1100N。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7、击穿电压≥5kV，且泄漏电流≤3mA。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8、灭火防护胶靴置于容器内后注水，水面距靴筒开口最低点的距离≥（25±3）mm，经4h后，靴内不应有水渗透现象。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9、灭火防护胶靴上各试验点在试验后其损毁长度≤100mm，离火自熄时间≤2s，且不产生熔融、熔滴或剥离等现象。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10、整体重量≤2.5kg。</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产品具有清晰耐久标志（执行标准、型号、规格；生产厂的名称或商标；生产厂的识别编号、制造时间）和RFID芯片（双脚各1，内容根据采购方需要填写）。</w:t>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686912" behindDoc="0" locked="0" layoutInCell="1" allowOverlap="1">
            <wp:simplePos x="0" y="0"/>
            <wp:positionH relativeFrom="column">
              <wp:posOffset>2715895</wp:posOffset>
            </wp:positionH>
            <wp:positionV relativeFrom="paragraph">
              <wp:posOffset>257810</wp:posOffset>
            </wp:positionV>
            <wp:extent cx="2065020" cy="1728470"/>
            <wp:effectExtent l="0" t="0" r="11430" b="5080"/>
            <wp:wrapSquare wrapText="bothSides"/>
            <wp:docPr id="28" name="图片 43" descr="6501a3a31ff525e1a4a420da030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3" descr="6501a3a31ff525e1a4a420da0306317"/>
                    <pic:cNvPicPr>
                      <a:picLocks noChangeAspect="1"/>
                    </pic:cNvPicPr>
                  </pic:nvPicPr>
                  <pic:blipFill>
                    <a:blip r:embed="rId34"/>
                    <a:stretch>
                      <a:fillRect/>
                    </a:stretch>
                  </pic:blipFill>
                  <pic:spPr>
                    <a:xfrm>
                      <a:off x="0" y="0"/>
                      <a:ext cx="2065020" cy="1728470"/>
                    </a:xfrm>
                    <a:prstGeom prst="rect">
                      <a:avLst/>
                    </a:prstGeom>
                    <a:noFill/>
                    <a:ln>
                      <a:noFill/>
                    </a:ln>
                  </pic:spPr>
                </pic:pic>
              </a:graphicData>
            </a:graphic>
          </wp:anchor>
        </w:drawing>
      </w:r>
      <w:r>
        <w:rPr>
          <w:rFonts w:hint="eastAsia" w:ascii="仿宋" w:hAnsi="仿宋" w:eastAsia="仿宋" w:cs="仿宋"/>
          <w:bCs/>
          <w:color w:val="auto"/>
          <w:sz w:val="24"/>
          <w:szCs w:val="24"/>
          <w:highlight w:val="none"/>
        </w:rPr>
        <w:drawing>
          <wp:anchor distT="0" distB="0" distL="114300" distR="114300" simplePos="0" relativeHeight="251685888" behindDoc="0" locked="0" layoutInCell="1" allowOverlap="1">
            <wp:simplePos x="0" y="0"/>
            <wp:positionH relativeFrom="margin">
              <wp:posOffset>479425</wp:posOffset>
            </wp:positionH>
            <wp:positionV relativeFrom="paragraph">
              <wp:posOffset>276860</wp:posOffset>
            </wp:positionV>
            <wp:extent cx="2092960" cy="1762125"/>
            <wp:effectExtent l="0" t="0" r="2540" b="9525"/>
            <wp:wrapSquare wrapText="bothSides"/>
            <wp:docPr id="29" name="图片 40" descr="微信图片_2020101814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0" descr="微信图片_20201018145658"/>
                    <pic:cNvPicPr>
                      <a:picLocks noChangeAspect="1"/>
                    </pic:cNvPicPr>
                  </pic:nvPicPr>
                  <pic:blipFill>
                    <a:blip r:embed="rId35"/>
                    <a:stretch>
                      <a:fillRect/>
                    </a:stretch>
                  </pic:blipFill>
                  <pic:spPr>
                    <a:xfrm>
                      <a:off x="0" y="0"/>
                      <a:ext cx="2092960" cy="176212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十六、消防员灭火防护靴</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1、符合XF6-2004《消防员灭火防护靴》标准，提供国家消防装备质量监督检验中心或其他国家级权威检验机构出具的检测报告复印件或扫描件。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2、使消防员在灭火作业时保护腿部和小腿部免受水浸、免受外力损伤和热辐射热等伤害。</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体颜色为黑色，靴帮由外到里分为帮面、防切割层和隔热舒适层三层结构，靴底由上到下分为隔热舒适层、防穿刺层和靴大底三层结构，靴头部位设有保护包头。从靴外底起至靴筒口最低处的高度≥300mm(±5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靴帮、靴底材料为阻燃橡胶，包头为铝质防砸包头或同等防护能力的复合材料包头，靴底防穿刺层应采用聚酰胺纤维材料，靴内衬采用发泡氯丁胶海绵材料。靴内采用减震缓冲排汗鞋垫，可有效吸收地面冲击力。靴面与夹里布、内底布以及防砸内包头衬垫应平整，没有脱壳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5、在酸碱溶液中浸泡70h±2h，物理机械性能无显著变化。</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6、靴底的抗刺穿力≥1100N。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7、击穿电压≥5kV，且泄漏电流≤3mA。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8、灭火防护胶靴置于容器内后注水，水面距靴筒开口最低点的距离≥（25±3）mm，经4h后，靴内不应有水渗透现象。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9、灭火防护胶靴上各试验点在试验后其损毁长度≤100mm，离火自熄时间≤2s，且不产生熔融、熔滴或剥离等现象。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10、整体重量≤2kg。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产品具有清晰耐久标志（执行标准、型号、规格；生产厂的名称或商标；生产厂的识别编号、制造时间）和RFID芯片（双脚各1，内容根据采购方需要填写）。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87936" behindDoc="0" locked="0" layoutInCell="1" allowOverlap="1">
            <wp:simplePos x="0" y="0"/>
            <wp:positionH relativeFrom="column">
              <wp:posOffset>3393440</wp:posOffset>
            </wp:positionH>
            <wp:positionV relativeFrom="paragraph">
              <wp:posOffset>31750</wp:posOffset>
            </wp:positionV>
            <wp:extent cx="1226820" cy="1381760"/>
            <wp:effectExtent l="0" t="0" r="11430" b="8890"/>
            <wp:wrapSquare wrapText="bothSides"/>
            <wp:docPr id="30" name="图片 79" descr="图片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9" descr="图片1_副本"/>
                    <pic:cNvPicPr>
                      <a:picLocks noChangeAspect="1"/>
                    </pic:cNvPicPr>
                  </pic:nvPicPr>
                  <pic:blipFill>
                    <a:blip r:embed="rId36"/>
                    <a:stretch>
                      <a:fillRect/>
                    </a:stretch>
                  </pic:blipFill>
                  <pic:spPr>
                    <a:xfrm>
                      <a:off x="0" y="0"/>
                      <a:ext cx="1226820" cy="138176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63360" behindDoc="1" locked="0" layoutInCell="1" allowOverlap="1">
            <wp:simplePos x="0" y="0"/>
            <wp:positionH relativeFrom="column">
              <wp:posOffset>987425</wp:posOffset>
            </wp:positionH>
            <wp:positionV relativeFrom="paragraph">
              <wp:posOffset>4445</wp:posOffset>
            </wp:positionV>
            <wp:extent cx="1247775" cy="1404620"/>
            <wp:effectExtent l="0" t="0" r="9525" b="5080"/>
            <wp:wrapNone/>
            <wp:docPr id="3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pic:cNvPicPr>
                      <a:picLocks noChangeAspect="1"/>
                    </pic:cNvPicPr>
                  </pic:nvPicPr>
                  <pic:blipFill>
                    <a:blip r:embed="rId37"/>
                    <a:stretch>
                      <a:fillRect/>
                    </a:stretch>
                  </pic:blipFill>
                  <pic:spPr>
                    <a:xfrm>
                      <a:off x="0" y="0"/>
                      <a:ext cx="1247775" cy="140462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tabs>
          <w:tab w:val="left" w:pos="4176"/>
        </w:tabs>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ab/>
      </w: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十七、正压式消防空气呼吸器（9L）</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1、符合国家XF124-2013《正压式消防空气呼吸器》标准，提供国家消防装备质量监督检验中心或其他国家级权威检验机构出具的检测报告复印件或扫描件。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2、由面罩、供气阀、气瓶、减压器、背托组成，为消防员进入缺氧或有毒现场作业时提供呼吸防护。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3、气瓶符合 GB28053-2011《呼吸器用复合气瓶》规定碳纤维复合气瓶，气瓶容量9L，每个气瓶配有保护套（阻燃材质），有防误关装置。工作压力：30MPa，侧开瓶阀，阀头带有橡胶保护功能，防止磕碰。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4、面罩面窗为宽视野面窗，自动除雾，胶体采用硅/橡胶，头网为阻燃材料。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5、压力平视显示装置：显示气瓶剩余压力，连续工作时间≥90h，待机时间≥75天。</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6、供气阀设置自动开启吸气装置，确保供气充足。</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7、背架为高强度的复合材料制成；整体按人体工程学设计。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8、减压阀输出压力0.6—0.9MPa,配有方向型手轮；设置安全阀，开启压力应在减压器输出压力最大值的110%--170%范围内，关闭压力≥0.9Mpa。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9、配有他救接口，配有一体式他救应急包及他救面罩，他救面罩管长≥1.2m。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10、背具、背具带、带扣和气瓶防护套在阻燃性能试验后，不应出现溶融现象，且续燃时间≤5s。</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11、全面罩、中压导气管和供气阀在阻燃性能试验后，续燃时间≤5s。</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12、报警哨及压力表荧光显示，符合国家标准。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13、配备快速充气装置。</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14、整体质量：≤16kg。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13、电子部分需符合Exia ⅡC T3及以上防爆认证，并提供防爆合格证。</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14、专用仪器储运箱，防水、防尘、防撞击。</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15、产品具有清晰耐久标志（执行标准、型号、规格；生产厂的名称或商标；生产厂的识别编号、制造时间）和RFID芯片（面罩、背托、气瓶各1个，内容根据采购方需要填写）。</w:t>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十八、正压式消防空气呼吸器（6.8L）</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1、符合国家XF124-2013《正压式消防空气呼吸器》标准，提供国家消防装备质量监督检验中心或其他国家级权威检验机构出具的检测报告复印件或扫描件。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2、由面罩、供气阀、气瓶、减压器、背托组成，为消防员进入缺氧或有毒现场作业时提供呼吸防护。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3、气瓶符合 GB28053-2011《呼吸器用复合气瓶瓶》规定碳纤维复合气瓶，气瓶容量6.8L，每个气瓶配有保护套（阻燃材质），有防误关装置。工作压力：30MPa，侧开瓶阀，阀头带有橡胶保护功能，防止磕碰。。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4、面罩面窗为宽视野面窗，自动除雾，胶体采用硅/橡胶，头网为阻燃材料。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5、压力平视显示装置：显示气瓶剩余压力，连续工作时间≥90小时，待机时间≥75天。</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6、供气阀设置自动开启吸气装置，确保供气充足。</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7、背架为高强度的复合材料制成；整体按人体工程学设计。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8、减压阀输出压力0.6—0.9MPa,配有方向型手轮；设置安全阀，开启压力应在减压器输出压力最大值的110%--170%范围内，关闭压力≥0.9Mpa。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9、配有他救接口，配有一体式他救应急包及他救面罩，他救面罩管长≥1.2m。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10、报警哨及压力表荧光显示，符合国家标准。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11、配备快速充气装置。</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12、整体质量：≤15kg。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13、电子部分需符合Exia ⅡC T3 及以上防爆认证，并提供防爆合格证。</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14、专用仪器储运箱，防水、防尘、防撞击。</w:t>
      </w:r>
    </w:p>
    <w:p>
      <w:pPr>
        <w:adjustRightInd w:val="0"/>
        <w:snapToGrid w:val="0"/>
        <w:spacing w:line="600" w:lineRule="exact"/>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和RFID芯片（面罩、背托、气瓶各1，内容根据采购方需要填写）</w:t>
      </w:r>
      <w:r>
        <w:rPr>
          <w:rFonts w:hint="eastAsia" w:ascii="仿宋" w:hAnsi="仿宋" w:eastAsia="仿宋" w:cs="仿宋"/>
          <w:color w:val="auto"/>
          <w:sz w:val="24"/>
          <w:szCs w:val="24"/>
          <w:highlight w:val="none"/>
        </w:rPr>
        <w:t>。</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十九、消防员抢险救援头盔</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1、符合行业XF633-2006《消防员抢险救援服装》标准，提供国家消防装备质量监督检验中心或其他国家级权威检验机构出具的检测报告复印件或扫描件。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2、由帽壳、佩带装置、下颌带、护目镜、缓冲层组成，消防员进行抢险救援时对头部提供防护。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3、盔壳采用高强度合成材料制成，橘红色，高抗冲击，有明显的反光标志。配有照明灯安装装置。</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4、半盔型，头盔由帽壳、可调节帽箍、泡沫缓冲层、下颏带、护目镜等部件组成，保证在狭小空间作业时，不易掉落。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5、冲击吸收性能最大冲击力≤3780N。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6、护目镜为全封闭防雾双层隔热镜片，带超硬防刮防雾涂层。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7、下颌带：三点式下颌带，并带有下颌托和快速脱卸扣。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8、缓冲层：采用PU软泡沫。</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9、重量（不含护目镜）≤800g。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10、标识：按应急管理部消防救援局统型标准执行。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88960" behindDoc="0" locked="0" layoutInCell="1" allowOverlap="1">
            <wp:simplePos x="0" y="0"/>
            <wp:positionH relativeFrom="margin">
              <wp:posOffset>3324225</wp:posOffset>
            </wp:positionH>
            <wp:positionV relativeFrom="paragraph">
              <wp:posOffset>198755</wp:posOffset>
            </wp:positionV>
            <wp:extent cx="1131570" cy="1383030"/>
            <wp:effectExtent l="0" t="0" r="11430" b="7620"/>
            <wp:wrapSquare wrapText="bothSides"/>
            <wp:docPr id="32"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3"/>
                    <pic:cNvPicPr>
                      <a:picLocks noChangeAspect="1"/>
                    </pic:cNvPicPr>
                  </pic:nvPicPr>
                  <pic:blipFill>
                    <a:blip r:embed="rId38"/>
                    <a:stretch>
                      <a:fillRect/>
                    </a:stretch>
                  </pic:blipFill>
                  <pic:spPr>
                    <a:xfrm>
                      <a:off x="0" y="0"/>
                      <a:ext cx="1131570" cy="138303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89984" behindDoc="0" locked="0" layoutInCell="1" allowOverlap="1">
            <wp:simplePos x="0" y="0"/>
            <wp:positionH relativeFrom="column">
              <wp:posOffset>1266190</wp:posOffset>
            </wp:positionH>
            <wp:positionV relativeFrom="paragraph">
              <wp:posOffset>216535</wp:posOffset>
            </wp:positionV>
            <wp:extent cx="1123315" cy="1382395"/>
            <wp:effectExtent l="0" t="0" r="635" b="8255"/>
            <wp:wrapSquare wrapText="bothSides"/>
            <wp:docPr id="5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09"/>
                    <pic:cNvPicPr>
                      <a:picLocks noChangeAspect="1"/>
                    </pic:cNvPicPr>
                  </pic:nvPicPr>
                  <pic:blipFill>
                    <a:blip r:embed="rId39"/>
                    <a:stretch>
                      <a:fillRect/>
                    </a:stretch>
                  </pic:blipFill>
                  <pic:spPr>
                    <a:xfrm>
                      <a:off x="0" y="0"/>
                      <a:ext cx="1123315" cy="138239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二十、消防员抢险救援手套（常规款）</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1、符合XF633-2006《消防员抢险救援服装》标准，提供国家消防装备质量监督检验中心或其他国家级权威检验机构出具的检测报告复印件或扫描件。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2、手套由外层、舒适层、防水层组成，五指分离式，在抢险救援作业时对消防员手部和腕部提供保护。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3、手背采用芳纶针织布，手腕处采用双松紧锁紧结构，除拇指外，其余四指指尖采用翻指式设计，增加指尖贴合度。手掌为3层结构，第一层为补强耐磨材质，第二层为阻燃超纤布，第三层为芳纶防割针织布。</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4、手套和袖筒外层材料和隔热层材料的损毁长度≤100mm，续燃和阴燃时间≤2s，且无熔融、滴落现象。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5、耐切割性能：≥4N。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6、耐撕破性能：≥50N。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7、耐机械刺穿性能：≥45N。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8、灵巧性能：手套的徒手控制百分比≤200%。</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9、握紧性能：拉重力比≥80%。</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tabs>
          <w:tab w:val="left" w:pos="1400"/>
        </w:tabs>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64384" behindDoc="1" locked="0" layoutInCell="1" allowOverlap="1">
            <wp:simplePos x="0" y="0"/>
            <wp:positionH relativeFrom="column">
              <wp:posOffset>2959735</wp:posOffset>
            </wp:positionH>
            <wp:positionV relativeFrom="paragraph">
              <wp:posOffset>-146685</wp:posOffset>
            </wp:positionV>
            <wp:extent cx="1341755" cy="1509395"/>
            <wp:effectExtent l="0" t="0" r="10795" b="14605"/>
            <wp:wrapNone/>
            <wp:docPr id="5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33"/>
                    <pic:cNvPicPr>
                      <a:picLocks noChangeAspect="1"/>
                    </pic:cNvPicPr>
                  </pic:nvPicPr>
                  <pic:blipFill>
                    <a:blip r:embed="rId40"/>
                    <a:srcRect l="39310" t="11134"/>
                    <a:stretch>
                      <a:fillRect/>
                    </a:stretch>
                  </pic:blipFill>
                  <pic:spPr>
                    <a:xfrm flipH="1">
                      <a:off x="0" y="0"/>
                      <a:ext cx="1341755" cy="150939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691008" behindDoc="0" locked="0" layoutInCell="1" allowOverlap="1">
            <wp:simplePos x="0" y="0"/>
            <wp:positionH relativeFrom="column">
              <wp:posOffset>1156335</wp:posOffset>
            </wp:positionH>
            <wp:positionV relativeFrom="paragraph">
              <wp:posOffset>-140335</wp:posOffset>
            </wp:positionV>
            <wp:extent cx="1267460" cy="1514475"/>
            <wp:effectExtent l="0" t="0" r="8890" b="9525"/>
            <wp:wrapSquare wrapText="bothSides"/>
            <wp:docPr id="57" name="图片 50" descr="微信图片_2020101815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0" descr="微信图片_20201018151741"/>
                    <pic:cNvPicPr>
                      <a:picLocks noChangeAspect="1"/>
                    </pic:cNvPicPr>
                  </pic:nvPicPr>
                  <pic:blipFill>
                    <a:blip r:embed="rId41"/>
                    <a:stretch>
                      <a:fillRect/>
                    </a:stretch>
                  </pic:blipFill>
                  <pic:spPr>
                    <a:xfrm>
                      <a:off x="0" y="0"/>
                      <a:ext cx="1267460" cy="151447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ind w:firstLine="313"/>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二十一、消防员抢险救援服作战款（夏季）</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1、符合XF633-2006《消防员抢险救援防护服装》标准。提供国家消防装备质量监督检验中心或其他国家级权威检验机构出具的检测报告复印件或扫描件。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2、由上衣、下裤组成，具有防静电、阻燃、耐磨，是消防员进行抢险救援作业穿着的专用服装，对躯干、颈部、手臂、手腕和腿部提供保护。</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上衣和裤子的重叠部分≥120mm，上衣采用收腰设计，衬衫式圆弧形下摆，前下摆应能够束入裤腰，且弯腰时后下摆不得滑出裤腰，前后衣长差量30-50mm。衣领为立领，衣领竖起时，能够覆盖颈部，门襟使用拉链闭合。</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4、面料采用芳纶、阻燃粘料纤维等交织而成的双重组织，主要成分为芳纶、导电纤维。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5、橘红色，潘通色号为 PANTONE 17-1456 TCX Tigerlily，深火焰蓝色，潘通色号为 PANTONE 19-3938 TCX，色差≥3 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6、前胸设V字形黄银黄反光标志带，后背设水平黄银黄反光标志带，袖口和脚口设环绕黄银黄反光标志带。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7、左右肩部设有两个挂袢。上衣肩背部设计拼接，面料为深火焰蓝色。上衣底摆设置立体贴袋，袋盖为深火焰蓝色。大腿两侧设置立体贴袋。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8、袖口设粘扣带收紧，方便穿戴救援手套。 裤脚口设粘扣带收紧，方便穿脱救援靴，肩、肘、膝、臀、裆部加厚处理增加耐磨性。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9、左上臂外侧设90mm×110mm盾牌型魔术贴并配盾牌型标识。左胸设19消防软胸徽同形状魔术贴，用于粘贴19消防干部软胸徽或19消防员软胸徽。右胸设90mm×57mm长方形魔术贴并配消防指战员胸部标识。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10、行军帽为棒球帽款式，正前方设19消防软帽徽（帽徽底色为橘红色），后部采用卡扣调节袢，头部围度520-640 mm，帽徽尺寸：长度×高度为53.5mm×55mm。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11、插口式编织腰带与抢险救援服配套使用，腰带规格：长度×宽度×厚度为：1300mm×50mm×2.8mm。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外层面料单位面积质量：≥200g/㎡。损毁长度≤100mm，续燃时间≤2s，无熔融滴落现象。沾水等级≥3级；断裂强力：经向≥350N，纬向≥350N。经纬向撕破强力≥25N。经过（180±5）℃热稳定性实验后，沿经纬向尺寸变化率不大于5%，且试样表面无明显变化。整套救援服带电量≤0.6uC。缝纫针距密度≥12针/3cm，经（180±5）℃，热稳定性能试验后，缝纫线无熔融，收缩现象。13、所有硬质附件表面光滑，无毛刺和锋利的边缘，五金件经过防腐蚀处理。</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14、抢险救援防护服外观标识按照应急管理部消防救援局《20式消防员抢险救援防护服款式标识统型要求》执行。</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15、产品具有清晰耐久标志（执行标准、型号、规格；生产厂的名称或商标；生产厂的识别编号、制造时间）和RFID芯片（内容根据采购方需要填写）。</w:t>
      </w:r>
    </w:p>
    <w:p>
      <w:pPr>
        <w:pStyle w:val="13"/>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692032" behindDoc="0" locked="0" layoutInCell="1" allowOverlap="1">
            <wp:simplePos x="0" y="0"/>
            <wp:positionH relativeFrom="column">
              <wp:posOffset>2065655</wp:posOffset>
            </wp:positionH>
            <wp:positionV relativeFrom="paragraph">
              <wp:posOffset>290830</wp:posOffset>
            </wp:positionV>
            <wp:extent cx="1228090" cy="1964055"/>
            <wp:effectExtent l="0" t="0" r="10160" b="17145"/>
            <wp:wrapSquare wrapText="bothSides"/>
            <wp:docPr id="56" name="图片 46" descr="1608190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6" descr="1608190686(1)"/>
                    <pic:cNvPicPr>
                      <a:picLocks noChangeAspect="1"/>
                    </pic:cNvPicPr>
                  </pic:nvPicPr>
                  <pic:blipFill>
                    <a:blip r:embed="rId42"/>
                    <a:stretch>
                      <a:fillRect/>
                    </a:stretch>
                  </pic:blipFill>
                  <pic:spPr>
                    <a:xfrm>
                      <a:off x="0" y="0"/>
                      <a:ext cx="1228090" cy="1964055"/>
                    </a:xfrm>
                    <a:prstGeom prst="rect">
                      <a:avLst/>
                    </a:prstGeom>
                    <a:noFill/>
                    <a:ln>
                      <a:noFill/>
                    </a:ln>
                  </pic:spPr>
                </pic:pic>
              </a:graphicData>
            </a:graphic>
          </wp:anchor>
        </w:drawing>
      </w:r>
    </w:p>
    <w:p>
      <w:pPr>
        <w:pStyle w:val="13"/>
        <w:spacing w:line="600" w:lineRule="exact"/>
        <w:ind w:firstLine="480" w:firstLineChars="200"/>
        <w:rPr>
          <w:rFonts w:hint="eastAsia" w:ascii="仿宋" w:hAnsi="仿宋" w:eastAsia="仿宋" w:cs="仿宋"/>
          <w:bCs/>
          <w:color w:val="auto"/>
          <w:sz w:val="24"/>
          <w:szCs w:val="24"/>
          <w:highlight w:val="none"/>
        </w:rPr>
      </w:pPr>
    </w:p>
    <w:p>
      <w:pPr>
        <w:pStyle w:val="13"/>
        <w:spacing w:line="600" w:lineRule="exact"/>
        <w:ind w:firstLine="480" w:firstLineChars="200"/>
        <w:rPr>
          <w:rFonts w:hint="eastAsia" w:ascii="仿宋" w:hAnsi="仿宋" w:eastAsia="仿宋" w:cs="仿宋"/>
          <w:bCs/>
          <w:color w:val="auto"/>
          <w:sz w:val="24"/>
          <w:szCs w:val="24"/>
          <w:highlight w:val="none"/>
        </w:rPr>
      </w:pPr>
    </w:p>
    <w:p>
      <w:pPr>
        <w:pStyle w:val="13"/>
        <w:spacing w:line="600" w:lineRule="exact"/>
        <w:ind w:firstLine="480" w:firstLineChars="200"/>
        <w:rPr>
          <w:rFonts w:hint="eastAsia" w:ascii="仿宋" w:hAnsi="仿宋" w:eastAsia="仿宋" w:cs="仿宋"/>
          <w:bCs/>
          <w:color w:val="auto"/>
          <w:sz w:val="24"/>
          <w:szCs w:val="24"/>
          <w:highlight w:val="none"/>
        </w:rPr>
      </w:pPr>
    </w:p>
    <w:p>
      <w:pPr>
        <w:pStyle w:val="13"/>
        <w:spacing w:line="600" w:lineRule="exact"/>
        <w:ind w:firstLine="480" w:firstLineChars="200"/>
        <w:rPr>
          <w:rFonts w:hint="eastAsia" w:ascii="仿宋" w:hAnsi="仿宋" w:eastAsia="仿宋" w:cs="仿宋"/>
          <w:bCs/>
          <w:color w:val="auto"/>
          <w:sz w:val="24"/>
          <w:szCs w:val="24"/>
          <w:highlight w:val="none"/>
        </w:rPr>
      </w:pPr>
    </w:p>
    <w:p>
      <w:pPr>
        <w:pStyle w:val="13"/>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二十二、消防员抢险救援服作战款（冬季）</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1、符合XF633-2006《消防员抢险救援防护服装》标准。提供国家消防装备质量监督检验中心或其他国家级权威检验机构出具的检测报告复印件或扫描件。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2、夹克式上衣配长裤设计，上衣和下裤经拉链连接可实现一体功能，是消防员进行抢险救援作业穿着的专用服装，对躯干、颈部、手臂、手腕和腿部提供保护。</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3、由外层、防水透气层和舒适层组成。外层采用间位芳纶和对位芳纶及导电纤维交织混纺面料，防水透气隔热层采用芳纶无纺布复合阻燃PTFE膜，舒适层采用芳纶和阻燃粘胶纤维混纺面料。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4、橘红色，潘通色号为 PANTONE 17-1456 TCX Tigerlily，深火焰蓝色，潘通色号为 PANTONE 19-3938 TCX，色差≥3级。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5、前胸设V字形黄银黄反光标志带，后背设水平黄银黄反光标志带，袖口和脚口设环绕黄银黄反光标志带，衣领为立领，衣领竖起时，能够覆盖颈部，门襟使用拉链闭合。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6、左右肩部设有两个挂袢。上衣肩背部设计拼接，面料为深火焰蓝色。上衣底摆设置立体贴袋，袋盖为深火焰蓝色。大腿两侧设置立体贴袋。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7、袖口设粘扣带收紧，方便穿戴救援手套。 裤脚口设粘扣带收紧，方便穿脱救援靴，肩、肘、膝、臀、裆部加厚处理增加耐磨性。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8、左上臂外侧设90mm×110mm盾牌型魔术贴并配盾牌型标识。左胸设19消防软胸徽同形状魔术贴，用于粘贴19消防干部软胸徽或19消防员软胸徽。右胸设90mm×57mm长方形魔术贴并配消防指战员胸部标识。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9、行军帽为棒球帽款式，正前方设19消防软帽徽（帽徽底色为橘红色），后部采用卡扣调节袢，头部围度520-640 mm，帽徽尺寸：长度×高度为53.5mm×55mm。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10、插口式编织腰带与抢险救援服配套使用，腰带规格：长度×宽度×厚度为：1300mm×50mm×2.8mm。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外层面料单位面积质量：≥200g/㎡。损毁长度≤100mm，续燃时间≤2s，无熔融滴落现象。沾水等级≥3级；断裂强力：经向≥350N，纬向≥350N。经纬向撕破强力≥25N。经过（180±5）℃热稳定性实验后，沿经纬向尺寸变化率不大于5%，且试样表面无明显变化。整套救援服带电量≤0.6uC。缝纫针距密度≥12针/3cm，经（180±5）℃，热稳定性能试验后，缝纫线无熔融，收缩现象。</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12、所有硬质附件表面光滑，无毛刺和锋利的边缘，五金件经过防腐蚀处理。</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13、抢险救援防护服外观标识按照应急管理部消防救援局《20式消防员抢险救援防护服款式标识统型要求》执行。</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jc w:val="left"/>
        <w:rPr>
          <w:rFonts w:hint="eastAsia" w:ascii="仿宋" w:hAnsi="仿宋" w:eastAsia="仿宋" w:cs="仿宋"/>
          <w:bCs/>
          <w:color w:val="auto"/>
          <w:sz w:val="24"/>
          <w:szCs w:val="24"/>
          <w:highlight w:val="none"/>
        </w:rPr>
      </w:pPr>
    </w:p>
    <w:p>
      <w:pPr>
        <w:pStyle w:val="13"/>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93056" behindDoc="0" locked="0" layoutInCell="1" allowOverlap="1">
            <wp:simplePos x="0" y="0"/>
            <wp:positionH relativeFrom="column">
              <wp:posOffset>2138680</wp:posOffset>
            </wp:positionH>
            <wp:positionV relativeFrom="paragraph">
              <wp:posOffset>179070</wp:posOffset>
            </wp:positionV>
            <wp:extent cx="1566545" cy="2471420"/>
            <wp:effectExtent l="0" t="0" r="14605" b="5080"/>
            <wp:wrapTopAndBottom/>
            <wp:docPr id="55" name="图片 29733" descr="C:\Users\Administrator\Desktop\图片3.jpg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9733" descr="C:\Users\Administrator\Desktop\图片3.jpg图片3"/>
                    <pic:cNvPicPr>
                      <a:picLocks noChangeAspect="1"/>
                    </pic:cNvPicPr>
                  </pic:nvPicPr>
                  <pic:blipFill>
                    <a:blip r:embed="rId43"/>
                    <a:stretch>
                      <a:fillRect/>
                    </a:stretch>
                  </pic:blipFill>
                  <pic:spPr>
                    <a:xfrm>
                      <a:off x="0" y="0"/>
                      <a:ext cx="1566545" cy="247142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二十三、消防员抢险救援靴</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1、符合XF633-2006《消防员抢险救援防护服装》标准，提供国家消防装备质量监督检验中心或其他国家级权威检验机构出具的检测报告复印件或扫描件。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2、中帮，靴面主体材料为黑色防水阻燃头层牛皮鞋面和防水阻燃帆布，靴底为双密度氯丁合成橡胶或更优材质，用于保护消防员脚部、踝部和小腿。</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3、透气性好；具备防刺、防滑、耐热、防砸等性能，穿着舒适，不磨脚。</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4、隔热性能试验，测试环境下保持30min，靴内底表面温升≤22℃。</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5、防砸性能和抗刺穿性能满足GB21148-2007的标准要求，防砸包头和抗刺穿垫适用非金属材料。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6、靴帮和外底结合强度满足GB21148-2007的标准要求。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7、防滑性能：始滑角≥15°。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8、电绝缘性能：在5000V下不击穿且泄露电流≤0.1mA。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9、靴帮拉链具有自动锁止功能。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10、反光标志带:安装在后跟处，按XF10-2002标准执行。</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11、鞋带颜色为橘红（PANTONE 17-1464 TPX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12、整体质量≤2kg。</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13、</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产品具有清晰耐久标志（执行标准、型号、规格；生产厂的名称或商标；生产厂的识别编号、制造时间）和RFID芯片（双脚各1，内容根据采购方需要填写）。</w:t>
      </w:r>
    </w:p>
    <w:p>
      <w:pPr>
        <w:pStyle w:val="13"/>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94080" behindDoc="0" locked="0" layoutInCell="1" allowOverlap="1">
            <wp:simplePos x="0" y="0"/>
            <wp:positionH relativeFrom="column">
              <wp:posOffset>1981200</wp:posOffset>
            </wp:positionH>
            <wp:positionV relativeFrom="paragraph">
              <wp:posOffset>7620</wp:posOffset>
            </wp:positionV>
            <wp:extent cx="2482850" cy="2152650"/>
            <wp:effectExtent l="0" t="0" r="12700" b="0"/>
            <wp:wrapTopAndBottom/>
            <wp:docPr id="49" name="图片 15" descr="138642f47833067efeb11ece07782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5" descr="138642f47833067efeb11ece07782d6"/>
                    <pic:cNvPicPr>
                      <a:picLocks noChangeAspect="1"/>
                    </pic:cNvPicPr>
                  </pic:nvPicPr>
                  <pic:blipFill>
                    <a:blip r:embed="rId44"/>
                    <a:stretch>
                      <a:fillRect/>
                    </a:stretch>
                  </pic:blipFill>
                  <pic:spPr>
                    <a:xfrm>
                      <a:off x="0" y="0"/>
                      <a:ext cx="2482850" cy="215265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二十四、佩戴式防爆照明灯</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 30734-2014《消防员照明灯具》国家标准的技术要求，提供国家消防装备质量监督检验中心或其他国家级权威检验机构出具的检测报告复印件或扫描件。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2、是消防员在无照明或照明条件的环境下进行消防作业使用的个人携带式灯具。</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3、照明时间：强光≥5h、工作光≥10h。</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4、照度要求：（照射距离5米处）平均值：强光≥450lx、弱光≥200lx。</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5、防爆等级： Exdib ⅡC T6 Gb；防爆性能应符合GB 3836.1-2010的要求。</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6、防护等级:IP67。</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7、外壳采用高强度的航空铝合金材料，表面进行深度硬质氧化，不怕摔，耐腐蚀。</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8、产品须具有电压报警功能，报警时间10-20s。低压报警后产品强光可连续使用使用≥15min，工作光≥30min。</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9、灯具具有强光、工作灯、闪烁警示光功能。内置智能芯片控制，保证恒流恒压输出。</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10、耐温区间-25℃—55℃，在此温度区间实验两小时，产品正常使用。</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11、灯具或充电器设置充放电保护电路。</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12、重量≤150g。</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13、产品具有清晰耐久标志（执行标准、型号、规格；生产厂的名称或商标；生产厂的识别编号、制造时间）和RFID芯片（内容根据采购方需要填写）。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95104" behindDoc="0" locked="0" layoutInCell="1" allowOverlap="1">
            <wp:simplePos x="0" y="0"/>
            <wp:positionH relativeFrom="column">
              <wp:posOffset>3435350</wp:posOffset>
            </wp:positionH>
            <wp:positionV relativeFrom="paragraph">
              <wp:posOffset>144145</wp:posOffset>
            </wp:positionV>
            <wp:extent cx="1722120" cy="1272540"/>
            <wp:effectExtent l="0" t="0" r="11430" b="3810"/>
            <wp:wrapSquare wrapText="bothSides"/>
            <wp:docPr id="54" name="图片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31"/>
                    <pic:cNvPicPr>
                      <a:picLocks noChangeAspect="1"/>
                    </pic:cNvPicPr>
                  </pic:nvPicPr>
                  <pic:blipFill>
                    <a:blip r:embed="rId45"/>
                    <a:stretch>
                      <a:fillRect/>
                    </a:stretch>
                  </pic:blipFill>
                  <pic:spPr>
                    <a:xfrm>
                      <a:off x="0" y="0"/>
                      <a:ext cx="1722120" cy="127254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696128" behindDoc="0" locked="0" layoutInCell="1" allowOverlap="1">
            <wp:simplePos x="0" y="0"/>
            <wp:positionH relativeFrom="column">
              <wp:posOffset>668655</wp:posOffset>
            </wp:positionH>
            <wp:positionV relativeFrom="paragraph">
              <wp:posOffset>152400</wp:posOffset>
            </wp:positionV>
            <wp:extent cx="1409700" cy="1283970"/>
            <wp:effectExtent l="0" t="0" r="0" b="11430"/>
            <wp:wrapSquare wrapText="bothSides"/>
            <wp:docPr id="5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pic:cNvPicPr>
                      <a:picLocks noChangeAspect="1"/>
                    </pic:cNvPicPr>
                  </pic:nvPicPr>
                  <pic:blipFill>
                    <a:blip r:embed="rId46"/>
                    <a:stretch>
                      <a:fillRect/>
                    </a:stretch>
                  </pic:blipFill>
                  <pic:spPr>
                    <a:xfrm>
                      <a:off x="0" y="0"/>
                      <a:ext cx="1409700" cy="128397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二十五、消防员隔热防护服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1、符合XF634-2015《消防员隔热防护服性能要求及试验方法》标准，提供国家消防装备质量监督检验中心或其他国家级权威检验机构出具的检测报告复印件或扫描件。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2、隔热服包括隔热上衣（有可容纳9升空气呼吸器的背囊）、隔热裤、隔热头罩（带头盔）、隔热手套（五指设计）以及隔热脚套组成，适用于消防员在高温作业中穿着。</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3、隔热服由外层、隔热层、舒适层等多层织物复合而成,表面采用铝箔复合阻燃织物，衬里为天然纤维织物。</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4、各部位缝制应平整，不有脱线、跳针以及破损等缺陷。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5、标志设置应正确，号型标志应准确清晰。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6、隔热头套的视窗应无明显擦伤或打毛痕迹；采用无石棉、非玻纤绿色环保材料。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7、隔热层损毁长度≤100mm，续燃时间≤2ｓ，且无熔融、滴落现象。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8、明暗线针距每3cm≥9针，包缝线针距每3cm≥7针。</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9、隔热头套视窗的总视野≥80％，双目视野≥65％，下方视野≥50°。无色透明和浅透明视窗的透光率分别≥85％和43％。</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10、在260℃辐射源的照射下内表温升24℃时间≤60s。</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11、整套隔热服的质量（包括隔热头套、隔热手套以及隔热脚套）≤5kg。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产品具有清晰耐久标志（执行标准、型号、规格；生产厂的名称或商标；生产厂的识别编号、制造时间）和RFID芯片（上衣、头套各1，手套、脚套各2，内容根据采购方需要填写）。</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97152" behindDoc="0" locked="0" layoutInCell="1" allowOverlap="1">
            <wp:simplePos x="0" y="0"/>
            <wp:positionH relativeFrom="column">
              <wp:posOffset>2229485</wp:posOffset>
            </wp:positionH>
            <wp:positionV relativeFrom="paragraph">
              <wp:posOffset>177800</wp:posOffset>
            </wp:positionV>
            <wp:extent cx="1204595" cy="2430780"/>
            <wp:effectExtent l="0" t="0" r="15240" b="7620"/>
            <wp:wrapSquare wrapText="bothSides"/>
            <wp:docPr id="52"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86"/>
                    <pic:cNvPicPr>
                      <a:picLocks noChangeAspect="1"/>
                    </pic:cNvPicPr>
                  </pic:nvPicPr>
                  <pic:blipFill>
                    <a:blip r:embed="rId47">
                      <a:clrChange>
                        <a:clrFrom>
                          <a:srgbClr val="E6FFFF"/>
                        </a:clrFrom>
                        <a:clrTo>
                          <a:srgbClr val="E6FFFF">
                            <a:alpha val="0"/>
                          </a:srgbClr>
                        </a:clrTo>
                      </a:clrChange>
                    </a:blip>
                    <a:stretch>
                      <a:fillRect/>
                    </a:stretch>
                  </pic:blipFill>
                  <pic:spPr>
                    <a:xfrm>
                      <a:off x="0" y="0"/>
                      <a:ext cx="1204595" cy="243078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二十六、消防员避火防护服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2、由上衣、背带裤、防火手套、防火靴、大视野防紫外线头罩组成，用于消防员深入火焰区短时间灭火或关阀作业时的全身防护装备。</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3、服装面料采用多层复合结构，由外层、防火层、耐火隔热层、防水层、阻燃隔热层、舒适层等组合而成，外层采用永久阻燃高强度耐热面料与铝箔复合材料，具有阻燃、耐高温、柔软、防水等性能。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4、腰部宽紧带可调，背部有呼吸器内置袋。</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5、各部位缝制应平整，不有脱线、跳针以及破损等缺陷。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6、服装组合材料在温度为1000℃的火焰上燃烧30s，其内表面的温升≤25℃，具有良好的耐火焰、隔热性能。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7、服装面料的阻燃性能：损毁长度16.6mm，续燃时间≤1.0s，阴燃时间≤2s。</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8、服装面料的强力性能：经纬向撕破强力≥32N。</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9、服装组合材料的抗辐射热渗透性能：在13.6kW/㎡的辐射热源下辐照2min,其内表面温升不超过25℃。</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10、重量≤12㎏。</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11、</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产品具有清晰耐久标志（执行标准、型号、规格；生产厂的名称或商标；生产厂的识别编号、制造时间）和RFID芯片（衣、头套各1，手套、脚套各2，内容根据采购方需要填写）。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98176" behindDoc="0" locked="0" layoutInCell="1" allowOverlap="1">
            <wp:simplePos x="0" y="0"/>
            <wp:positionH relativeFrom="column">
              <wp:posOffset>2157730</wp:posOffset>
            </wp:positionH>
            <wp:positionV relativeFrom="paragraph">
              <wp:posOffset>306705</wp:posOffset>
            </wp:positionV>
            <wp:extent cx="1281430" cy="2108200"/>
            <wp:effectExtent l="0" t="0" r="13970" b="6350"/>
            <wp:wrapSquare wrapText="bothSides"/>
            <wp:docPr id="51" name="图片 89" descr="C:\Users\ADMINI~1\AppData\Local\Temp\14987062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89" descr="C:\Users\ADMINI~1\AppData\Local\Temp\1498706220(1).png"/>
                    <pic:cNvPicPr>
                      <a:picLocks noChangeAspect="1"/>
                    </pic:cNvPicPr>
                  </pic:nvPicPr>
                  <pic:blipFill>
                    <a:blip r:embed="rId48"/>
                    <a:stretch>
                      <a:fillRect/>
                    </a:stretch>
                  </pic:blipFill>
                  <pic:spPr>
                    <a:xfrm>
                      <a:off x="0" y="0"/>
                      <a:ext cx="1281430" cy="210820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2"/>
        <w:ind w:firstLine="210"/>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二十七、二级化学防护服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 770-2008 《消防员化学防护服装》、GB 24539-2009《防护服装化学防护服通用技术要求》和 GB 24540-2009《防护服装酸碱类化学品防护服》标准的有关要求，提供国家消防装备质量监督检验中心或其他国家级权威检验机构出具的检测报告复印件或扫描件。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2、二级化学防护服为连体式结构，红色，双层门襟。由化学防护头罩、化学防护服、化学防护靴、化学防护手套构成，是消防员在处置挥发性固态、液态化学品事件中穿着的用于全身防护服。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3、服装表面平整，无破洞、磨损、脱层和气泡等现象，接缝处缝纫整齐，胶条结实、均匀，无开裂现象。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4、整体抗水渗漏性20min后无渗漏现象，抗化学品渗透时间≥60min。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5、面料撕破强力径向≥140N，纬向≥90N。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6、接缝撕破强力≥140N。耐热老化125℃×12h不粘不脆。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7、手套为橡胶手套，耐刺穿力≥20N。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8、防化靴靴底抗刺穿力≥900N，击穿电压≥5000V，且泄漏电流≤3mA。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99200" behindDoc="0" locked="0" layoutInCell="1" allowOverlap="1">
            <wp:simplePos x="0" y="0"/>
            <wp:positionH relativeFrom="column">
              <wp:posOffset>1616710</wp:posOffset>
            </wp:positionH>
            <wp:positionV relativeFrom="paragraph">
              <wp:posOffset>302260</wp:posOffset>
            </wp:positionV>
            <wp:extent cx="2336165" cy="1664970"/>
            <wp:effectExtent l="0" t="0" r="6985" b="11430"/>
            <wp:wrapSquare wrapText="bothSides"/>
            <wp:docPr id="41" name="图片 29" descr="cb33b58d7a3542885f6ad065dd3c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9" descr="cb33b58d7a3542885f6ad065dd3c351"/>
                    <pic:cNvPicPr>
                      <a:picLocks noChangeAspect="1"/>
                    </pic:cNvPicPr>
                  </pic:nvPicPr>
                  <pic:blipFill>
                    <a:blip r:embed="rId49"/>
                    <a:stretch>
                      <a:fillRect/>
                    </a:stretch>
                  </pic:blipFill>
                  <pic:spPr>
                    <a:xfrm>
                      <a:off x="0" y="0"/>
                      <a:ext cx="2336165" cy="166497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二十八、一级化学防护服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 770-2008 《消防员化学防护服装》、GB 24539-2009《防护服装化学防护服通用技术要求》和 GB 24540-2009《防护服装酸碱类化学品防护服》标准的有关要求，提供国家消防装备质量监督检验中心或其他国家级权威检验机构出具的检测报告复印件或扫描件。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2、全封闭连体结构，由大视窗的连体头罩、气密型防化服、由呼吸器背囊、防化靴、防化手套、排气阀等组成，在化学灾害现场处置高浓度、强渗透性液体、气体时穿着。</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3、面屏采用透明双层材质，PVC面镜外层覆聚四氟乙烯涂层，大视窗，不变形，耐化学渗透。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4、面料采用高性能多层聚合织物或橡胶制成。接口处内外粘贴有与衣物面料相同的密封防护条。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5、防化靴和防化服满足连体气密性设计。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6、防化手套内层为抗渗透性能极佳的复合膜，外层为抗撕裂和耐磨性好的橡胶双层手套。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7、化学防护服右侧配有≥120cm的气密拉链，链牙咬合力大，以保证防化服的气密性。</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8、整体气密性＜300Pa。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9、贴条的黏度强度≥0.78kN/m。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10、排气阀气密性≥15s。</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11、排气阀通气阻力：78—118Pa。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12、耐热老化性能：125℃×24h 不粘不脆。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13、耐寒性能：可在-25℃±1℃温度下冷冻15min 后，无裂纹。</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14、靴底耐穿刺力≥1100N 胶靴绝缘性能：击穿电压≥5000V，泄漏电流﹤3mA。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15、防滑性能：始滑角≥15°。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16、防化手套：耐穿刺力≥22N。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17、面料和接缝位抗化学品渗透时间：≥60min。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18、整套防护服可与内置正压式空气呼吸器或移动供气源配合使用。每套防护服应备有可重复使用的存储袋和一卷防化胶带。</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665408" behindDoc="1" locked="0" layoutInCell="1" allowOverlap="1">
            <wp:simplePos x="0" y="0"/>
            <wp:positionH relativeFrom="column">
              <wp:posOffset>1980565</wp:posOffset>
            </wp:positionH>
            <wp:positionV relativeFrom="paragraph">
              <wp:posOffset>190500</wp:posOffset>
            </wp:positionV>
            <wp:extent cx="1788160" cy="1695450"/>
            <wp:effectExtent l="0" t="0" r="2540" b="0"/>
            <wp:wrapNone/>
            <wp:docPr id="38" name="图片 59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9602"/>
                    <pic:cNvPicPr>
                      <a:picLocks noChangeAspect="1"/>
                    </pic:cNvPicPr>
                  </pic:nvPicPr>
                  <pic:blipFill>
                    <a:blip r:embed="rId50"/>
                    <a:stretch>
                      <a:fillRect/>
                    </a:stretch>
                  </pic:blipFill>
                  <pic:spPr>
                    <a:xfrm>
                      <a:off x="0" y="0"/>
                      <a:ext cx="1788160" cy="169545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二十九、化学防护手套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1、符合XF770-2008《消防员化学防护服装》、GB 24539-2009《防护服装化学防护服通用技术要求》和 GB 24540-2009《防护服装酸碱类化学品防护服》标准的有关要求，提供国家消防装备质量监督检验中心或其他国家级权威检验机构出具的检测报告复印件或扫描件。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2、能阻止危险化学品渗透，为手和手腕提供化学防护的手套，是化学防护服的一个组成部分。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3、具备阻燃、防酸碱、防水、佩戴舒适、活动方便等性能。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4、橡胶材质，手掌手背磨砂，厚度≥0.75mm。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5、耐刺穿力≥22N。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6、抗化学品渗透时间≥60min。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7、耐热老化性能：125℃×24h 不粘不脆。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8、耐寒性能：可在-25℃±1℃温度下冷冻15min 后，无裂纹。</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9、标准长度≥30cm。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10、可以防护多种化学物质,如:酸类、脂肪族溶剂和混合溶剂等。</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和RFID芯片（双手各1，内容根据采购方需要填写）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0" distR="0" simplePos="0" relativeHeight="251701248" behindDoc="0" locked="0" layoutInCell="1" allowOverlap="1">
            <wp:simplePos x="0" y="0"/>
            <wp:positionH relativeFrom="column">
              <wp:posOffset>955040</wp:posOffset>
            </wp:positionH>
            <wp:positionV relativeFrom="paragraph">
              <wp:posOffset>304800</wp:posOffset>
            </wp:positionV>
            <wp:extent cx="1557655" cy="1557655"/>
            <wp:effectExtent l="0" t="0" r="4445" b="4445"/>
            <wp:wrapSquare wrapText="bothSides"/>
            <wp:docPr id="3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8"/>
                    <pic:cNvPicPr>
                      <a:picLocks noChangeAspect="1"/>
                    </pic:cNvPicPr>
                  </pic:nvPicPr>
                  <pic:blipFill>
                    <a:blip r:embed="rId51"/>
                    <a:stretch>
                      <a:fillRect/>
                    </a:stretch>
                  </pic:blipFill>
                  <pic:spPr>
                    <a:xfrm>
                      <a:off x="0" y="0"/>
                      <a:ext cx="1557655" cy="155765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00224" behindDoc="0" locked="0" layoutInCell="1" allowOverlap="1">
            <wp:simplePos x="0" y="0"/>
            <wp:positionH relativeFrom="column">
              <wp:posOffset>3241040</wp:posOffset>
            </wp:positionH>
            <wp:positionV relativeFrom="paragraph">
              <wp:posOffset>99060</wp:posOffset>
            </wp:positionV>
            <wp:extent cx="1623060" cy="1623060"/>
            <wp:effectExtent l="0" t="0" r="15240" b="15240"/>
            <wp:wrapSquare wrapText="bothSides"/>
            <wp:docPr id="35" name="图片 2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9715"/>
                    <pic:cNvPicPr>
                      <a:picLocks noChangeAspect="1"/>
                    </pic:cNvPicPr>
                  </pic:nvPicPr>
                  <pic:blipFill>
                    <a:blip r:embed="rId52"/>
                    <a:stretch>
                      <a:fillRect/>
                    </a:stretch>
                  </pic:blipFill>
                  <pic:spPr>
                    <a:xfrm>
                      <a:off x="0" y="0"/>
                      <a:ext cx="1623060" cy="162306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三十、内置劳动保护手套</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颜色：蓝白</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尺寸：统一规格</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材料：丁腈 乳胶 尼龙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重量：约430（g）</w:t>
      </w:r>
    </w:p>
    <w:p>
      <w:pPr>
        <w:pStyle w:val="44"/>
        <w:rPr>
          <w:rFonts w:hint="eastAsia" w:ascii="仿宋" w:hAnsi="仿宋" w:eastAsia="仿宋" w:cs="仿宋"/>
          <w:color w:val="auto"/>
          <w:sz w:val="24"/>
          <w:szCs w:val="24"/>
          <w:highlight w:val="none"/>
        </w:rPr>
      </w:pPr>
    </w:p>
    <w:p>
      <w:pPr>
        <w:pStyle w:val="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bdr w:val="single" w:color="A9A9A9" w:sz="6" w:space="0"/>
          <w:shd w:val="clear" w:color="auto" w:fill="EEEEEE"/>
        </w:rPr>
        <w:drawing>
          <wp:inline distT="0" distB="0" distL="114300" distR="114300">
            <wp:extent cx="1743710" cy="1743710"/>
            <wp:effectExtent l="0" t="0" r="8890" b="8890"/>
            <wp:docPr id="36" name="图片 1" descr="IMG_256">
              <a:hlinkClick xmlns:a="http://schemas.openxmlformats.org/drawingml/2006/main" r:id="rId53" tooltip="翔源尼龙丁腈手套劳保丁晴丁青半胶乳胶手套耐磨工业劳保浸胶手套"/>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descr="IMG_256"/>
                    <pic:cNvPicPr>
                      <a:picLocks noChangeAspect="1"/>
                    </pic:cNvPicPr>
                  </pic:nvPicPr>
                  <pic:blipFill>
                    <a:blip r:embed="rId54"/>
                    <a:stretch>
                      <a:fillRect/>
                    </a:stretch>
                  </pic:blipFill>
                  <pic:spPr>
                    <a:xfrm>
                      <a:off x="0" y="0"/>
                      <a:ext cx="1743710" cy="1743710"/>
                    </a:xfrm>
                    <a:prstGeom prst="rect">
                      <a:avLst/>
                    </a:prstGeom>
                    <a:noFill/>
                    <a:ln>
                      <a:noFill/>
                    </a:ln>
                  </pic:spPr>
                </pic:pic>
              </a:graphicData>
            </a:graphic>
          </wp:inline>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三十一、防蜂服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1、符合XF3008-2020《消防防蜂服》标准的有关要求，提供国家消防装备质量监督检验中心或其他国家级权威检验机构出具的检测报告复印件或扫描件。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2、由不锈钢网面罩、护目镜、手套、靴子、上衣和裤子连体结构式，适用于消防员在摘除蜂窝等其他特种作业时穿着，防止蚊虫叮咬的防护服装。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3、防蜂服本体面料抗蜇刺力≥0.4N，损毁长度≤100mm，续燃时间≤2s。</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4、面料表面加载基材为300g/㎡、粒度为100目的砂纸，在9kPa的压力下，经2000次循环摩擦后，不应被磨穿。</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5、经、纬向干态断裂强力≥650N，经、纬向撕破强力≥60N。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6、甲醛含量应符合GB 18401-2010中的B类规定。</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7、pH值应符合GB 18401一2010中的B类规定。</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8、沾水等级≥3级，拒油性≥3级，接缝断裂强力≥500N。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9、头罩面部如有孔洞设计，则孔洞的孔径≤1mm。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10、头罩总视野保留率≥70%，双目视野保留率≥55%。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11、手套抗蜇刺力不应小于0.6N。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12、割破力不应小于2N，手套掌心面和背面材料的撕破强力≥50N。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13、靴子靴帮材料的最大抗穿刺力≥35N，击穿电压≥5000V时，泄漏电流≥3mA。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14、防蜂服总质量≤4.2kg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02272" behindDoc="0" locked="0" layoutInCell="1" allowOverlap="1">
            <wp:simplePos x="0" y="0"/>
            <wp:positionH relativeFrom="column">
              <wp:posOffset>2384425</wp:posOffset>
            </wp:positionH>
            <wp:positionV relativeFrom="paragraph">
              <wp:posOffset>-232410</wp:posOffset>
            </wp:positionV>
            <wp:extent cx="732155" cy="1852930"/>
            <wp:effectExtent l="0" t="0" r="10795" b="13970"/>
            <wp:wrapSquare wrapText="bothSides"/>
            <wp:docPr id="60" name="图片 105" descr="C:\Users\ADMINI~1\AppData\Local\Temp\149921642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05" descr="C:\Users\ADMINI~1\AppData\Local\Temp\1499216429(1).png"/>
                    <pic:cNvPicPr>
                      <a:picLocks noChangeAspect="1"/>
                    </pic:cNvPicPr>
                  </pic:nvPicPr>
                  <pic:blipFill>
                    <a:blip r:embed="rId55"/>
                    <a:stretch>
                      <a:fillRect/>
                    </a:stretch>
                  </pic:blipFill>
                  <pic:spPr>
                    <a:xfrm>
                      <a:off x="0" y="0"/>
                      <a:ext cx="732155" cy="1852930"/>
                    </a:xfrm>
                    <a:prstGeom prst="rect">
                      <a:avLst/>
                    </a:prstGeom>
                    <a:noFill/>
                    <a:ln>
                      <a:noFill/>
                    </a:ln>
                  </pic:spPr>
                </pic:pic>
              </a:graphicData>
            </a:graphic>
          </wp:anchor>
        </w:drawing>
      </w:r>
    </w:p>
    <w:p>
      <w:pPr>
        <w:pStyle w:val="22"/>
        <w:ind w:firstLine="210"/>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三十二、电绝缘装具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电绝缘装具符合GB 6568—2000《带电作业用屏蔽服装》标准要求，绝缘靴符合GB12011-2000《电绝缘鞋通用技术条件》要求，绝缘手套符合GB17622-2008《带电作业用绝缘手套》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1、由上衣、背带裤、手套和靴子组成，用于消防员在高电压现场作业时穿着的用于自身防护的专用服装。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2、用于制作屏蔽服装的衣料，屏蔽效率≥40dB，电阻≤800 mQ，熔断电流≥5A。经过500次摩擦试验后，衣料电阻≤1，衣料屏蔽效率≥40dB。</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3、对导电纤维类衣料，衣料的径向断裂强度≥343N，纬向断裂强度≥294N，径、纬向断裂伸长率≥10%；对导电涂层类衣料，衣料的径向断裂强度≥245N，结向断裂强度≥245N。径、纬向断裂伸长率均≥10%。</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4、测量上衣及裤子任意两个最远端之间≤15Ω，手套及短袜的电阻≤15Ω，鞋子的电阻≤500Ω。</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5、手套由经过特殊处理的天然橡胶制成，具有绝缘、耐油、耐酸、耐臭氧和耐低温、强机械抗性的性能，用于高电压场所手部保护。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6、手套最高测试电压：5kv，最高使用电压：10kv。拉伸强度≥16Mpa，拉伸永久变形不低于15%，抗机械刺穿力≥60N抗撕裂强度≥25N。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7、靴子帮面材料为橡胶靴面，靴底材料为橡胶底，具备耐油、耐酸、绝缘、防刺的性能，用于高电压场所作业脚部防护。</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8、靴子击穿电压≥5kv，泄露电流≤0.065mA；隔热性能≤2.8℃，抗辐射热渗透性能≤7℃，耐压性能≤5kv；最高使用电压：20kv。</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9、服装质量：≤4kg。</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10、产品具有清晰耐久标志（执行标准、型号、规格；生产厂的名称或商标；生产厂的识别编号、制造时间）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03296" behindDoc="0" locked="0" layoutInCell="1" allowOverlap="1">
            <wp:simplePos x="0" y="0"/>
            <wp:positionH relativeFrom="column">
              <wp:posOffset>2764155</wp:posOffset>
            </wp:positionH>
            <wp:positionV relativeFrom="paragraph">
              <wp:posOffset>120650</wp:posOffset>
            </wp:positionV>
            <wp:extent cx="2186940" cy="2186940"/>
            <wp:effectExtent l="0" t="0" r="3810" b="3810"/>
            <wp:wrapSquare wrapText="bothSides"/>
            <wp:docPr id="33" name="图片 29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718"/>
                    <pic:cNvPicPr>
                      <a:picLocks noChangeAspect="1"/>
                    </pic:cNvPicPr>
                  </pic:nvPicPr>
                  <pic:blipFill>
                    <a:blip r:embed="rId56"/>
                    <a:stretch>
                      <a:fillRect/>
                    </a:stretch>
                  </pic:blipFill>
                  <pic:spPr>
                    <a:xfrm>
                      <a:off x="0" y="0"/>
                      <a:ext cx="2186940" cy="218694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04320" behindDoc="0" locked="0" layoutInCell="1" allowOverlap="1">
            <wp:simplePos x="0" y="0"/>
            <wp:positionH relativeFrom="column">
              <wp:posOffset>953770</wp:posOffset>
            </wp:positionH>
            <wp:positionV relativeFrom="paragraph">
              <wp:posOffset>373380</wp:posOffset>
            </wp:positionV>
            <wp:extent cx="925830" cy="1762125"/>
            <wp:effectExtent l="0" t="0" r="7620" b="9525"/>
            <wp:wrapTopAndBottom/>
            <wp:docPr id="34" name="图片 106" descr="C:\Users\ADMINI~1\AppData\Local\Temp\149921544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6" descr="C:\Users\ADMINI~1\AppData\Local\Temp\1499215447(1).png"/>
                    <pic:cNvPicPr>
                      <a:picLocks noChangeAspect="1"/>
                    </pic:cNvPicPr>
                  </pic:nvPicPr>
                  <pic:blipFill>
                    <a:blip r:embed="rId57"/>
                    <a:stretch>
                      <a:fillRect/>
                    </a:stretch>
                  </pic:blipFill>
                  <pic:spPr>
                    <a:xfrm>
                      <a:off x="0" y="0"/>
                      <a:ext cx="925830" cy="176212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三十三、防静电服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1、符合GB12014-2019《防静电工作服》标准的有关要求，提供国家消防装备质量监督检验中心或其他国家级权威检验机构出具的检测报告复印件或扫描件。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2、由防静电服装和防静电鞋套组成，是消防员在易燃易爆事故现场进行抢险救援作业时穿着的防止静电积累的防护服装。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3、衣服损毁长度≤20mm，持续燃烧时间≤10s，阴燃时间≤10s，且不有熔融、滴落现象。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4、经、纬线撕破强力≥32N，经、纬线断裂强力≥450N。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5、带电量≤0.6uC，点对点电阻小于等于1×10</w:t>
      </w:r>
      <w:r>
        <w:rPr>
          <w:rFonts w:hint="eastAsia" w:ascii="仿宋" w:hAnsi="仿宋" w:eastAsia="仿宋" w:cs="仿宋"/>
          <w:color w:val="auto"/>
          <w:sz w:val="24"/>
          <w:szCs w:val="24"/>
          <w:highlight w:val="none"/>
          <w:vertAlign w:val="superscript"/>
        </w:rPr>
        <w:t>12</w:t>
      </w:r>
      <w:r>
        <w:rPr>
          <w:rFonts w:hint="eastAsia" w:ascii="仿宋" w:hAnsi="仿宋" w:eastAsia="仿宋" w:cs="仿宋"/>
          <w:color w:val="auto"/>
          <w:sz w:val="24"/>
          <w:szCs w:val="24"/>
          <w:highlight w:val="none"/>
        </w:rPr>
        <w:t>Ω。</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6、重量≤0.5kg。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pStyle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05344" behindDoc="0" locked="0" layoutInCell="1" allowOverlap="1">
            <wp:simplePos x="0" y="0"/>
            <wp:positionH relativeFrom="column">
              <wp:posOffset>1774190</wp:posOffset>
            </wp:positionH>
            <wp:positionV relativeFrom="paragraph">
              <wp:posOffset>323850</wp:posOffset>
            </wp:positionV>
            <wp:extent cx="2254250" cy="2030095"/>
            <wp:effectExtent l="0" t="0" r="12700" b="8255"/>
            <wp:wrapSquare wrapText="bothSides"/>
            <wp:docPr id="39" name="图片 30" descr="防静电服（蓝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0" descr="防静电服（蓝色）"/>
                    <pic:cNvPicPr>
                      <a:picLocks noChangeAspect="1"/>
                    </pic:cNvPicPr>
                  </pic:nvPicPr>
                  <pic:blipFill>
                    <a:blip r:embed="rId58"/>
                    <a:stretch>
                      <a:fillRect/>
                    </a:stretch>
                  </pic:blipFill>
                  <pic:spPr>
                    <a:xfrm>
                      <a:off x="0" y="0"/>
                      <a:ext cx="2254250" cy="2030095"/>
                    </a:xfrm>
                    <a:prstGeom prst="rect">
                      <a:avLst/>
                    </a:prstGeom>
                    <a:noFill/>
                    <a:ln>
                      <a:noFill/>
                    </a:ln>
                  </pic:spPr>
                </pic:pic>
              </a:graphicData>
            </a:graphic>
          </wp:anchor>
        </w:drawing>
      </w: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三十四、消防员降温背心</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1、符合XF1265-2015《蓄冷型消防员降温背心》标准有关要求，提供国家消防装备质量监督检验中心或其他国家级权威检验机构出具的检测报告复印件或扫描件。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2、由外层、隔冷层、舒适层三部分构成，为消防员的上身躯干提供降温保护的防护装备。</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3、经阻燃性能实验，衣服损毁长度≤100mm，持续燃烧时间≤2s，且不有熔融、滴落现象。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4、外层面料经、纬向干态断裂强力≥350N，外层面料经、纬向撕破强力≥25N。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5、蓄冷剂相变热≥200KJ/KG，单件降温背心总蓄冷量≥200KJ。</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6、蓄冷降温袋承重≥490N。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7、降温背心接触温度≥5℃。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8、降温背心外层接缝断裂强力≥350N。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9、重量≤2Kg。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06368" behindDoc="0" locked="0" layoutInCell="1" allowOverlap="1">
            <wp:simplePos x="0" y="0"/>
            <wp:positionH relativeFrom="column">
              <wp:posOffset>2273935</wp:posOffset>
            </wp:positionH>
            <wp:positionV relativeFrom="paragraph">
              <wp:posOffset>133350</wp:posOffset>
            </wp:positionV>
            <wp:extent cx="1432560" cy="1432560"/>
            <wp:effectExtent l="0" t="0" r="15240" b="15240"/>
            <wp:wrapSquare wrapText="bothSides"/>
            <wp:docPr id="40" name="图片 47" descr="降温背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7" descr="降温背心"/>
                    <pic:cNvPicPr>
                      <a:picLocks noChangeAspect="1"/>
                    </pic:cNvPicPr>
                  </pic:nvPicPr>
                  <pic:blipFill>
                    <a:blip r:embed="rId59"/>
                    <a:stretch>
                      <a:fillRect/>
                    </a:stretch>
                  </pic:blipFill>
                  <pic:spPr>
                    <a:xfrm>
                      <a:off x="0" y="0"/>
                      <a:ext cx="1432560" cy="143256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三十五、移动供气源</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1、符合XF1261-2015《长管空气呼吸器》要求，面罩符合XF124-2013《正压式消防空气呼吸器》要求，提供国家消防装备质量监督检验中心或其他国家级权威检验机构出具的检测报告复印件或扫描件。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气瓶推车、气瓶、高压胶管、气源分配器、减压器、压力表、报警器、中压长管、Y形快接、气体分流管、供气阀、面罩、辅助背带和应急逃生装置组成。是将新鲜空气输送到有毒有害工作环境下供工作人员使用的呼吸装备。</w:t>
      </w:r>
    </w:p>
    <w:p>
      <w:pPr>
        <w:numPr>
          <w:ilvl w:val="0"/>
          <w:numId w:val="6"/>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使用温度：-30—65℃。</w:t>
      </w:r>
    </w:p>
    <w:p>
      <w:pPr>
        <w:numPr>
          <w:ilvl w:val="0"/>
          <w:numId w:val="6"/>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供气量≥400L/min。</w:t>
      </w:r>
    </w:p>
    <w:p>
      <w:pPr>
        <w:numPr>
          <w:ilvl w:val="0"/>
          <w:numId w:val="6"/>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工作压力：30Mpa。</w:t>
      </w:r>
    </w:p>
    <w:p>
      <w:pPr>
        <w:numPr>
          <w:ilvl w:val="0"/>
          <w:numId w:val="6"/>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具备余气报警功能、小车上的气瓶可交替更换，实现不间断供气。</w:t>
      </w:r>
    </w:p>
    <w:p>
      <w:pPr>
        <w:numPr>
          <w:ilvl w:val="0"/>
          <w:numId w:val="6"/>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气密性测试，压力表压力1min压力降低≤2Mpa。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8、在30MPa—2MPa范围内，以呼吸频率25次/min、呼吸流量50L/min进行呼吸，呼吸器的全面罩内应始终保持正压，吸气阻力≤500Pa，呼气阻力≤1000Pa。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9、呼吸器的全面罩内静态压力≤500Pa，不大于排气阀的开启压力。</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10、全面罩与供气阀、转换装置与呼吸软管之间的连接强度≥250N。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11、分供气管与转换装置、主供气管与分供气管之间的连接强度≥750N。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12、小车的行走机构应安装刹车装置，摩擦系数≥0.45。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13、小车上的气瓶应符合的规定，公称工作压力为30MPa，公称容积≥6.8L，应急供气装置的气瓶公称工作压力为30MPa，公称容积≥2L。</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14、小车上的气瓶压力下降至(5.5±0.5)MPa时，小车上的警报器应发出连续声响警报，直至气瓶压力降至1MPa为止，声强峰值≥90dB(A) 。</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15、供气管经扭结试验，空气流量的降低≤10%，挤压试验，空气流量的降低≤10%。</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16、分供气管压力降至(0.3士0.1)MPa时，转换装置应能将气源自动转换到应急供气装置，报警器声强峰值≥90dB。警报平均耗气量≤5L/min。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17、全面罩总视野保留率≥70%，双目视野保留率≥55%，下方视野≥35°，镜片的透光率≥85%，吸人气体中的二氧化碳含量(按体积比)不大于1%。</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双减压器设计，通过一组压缩空气瓶向空气呼吸器使用者长时间提供空气，可1人使用，也可同时供2人以上使用。单人使用距离≥60m，双人使用距离≥30m。供气主管≥1根，长度≥60m，供气副管≥2根，长度≥10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0" distR="0" simplePos="0" relativeHeight="251708416" behindDoc="0" locked="0" layoutInCell="1" allowOverlap="1">
            <wp:simplePos x="0" y="0"/>
            <wp:positionH relativeFrom="column">
              <wp:posOffset>854075</wp:posOffset>
            </wp:positionH>
            <wp:positionV relativeFrom="paragraph">
              <wp:posOffset>154305</wp:posOffset>
            </wp:positionV>
            <wp:extent cx="1448435" cy="1487805"/>
            <wp:effectExtent l="0" t="0" r="18415" b="17145"/>
            <wp:wrapSquare wrapText="bothSides"/>
            <wp:docPr id="42" name="图片 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9719"/>
                    <pic:cNvPicPr>
                      <a:picLocks noChangeAspect="1"/>
                    </pic:cNvPicPr>
                  </pic:nvPicPr>
                  <pic:blipFill>
                    <a:blip r:embed="rId60"/>
                    <a:stretch>
                      <a:fillRect/>
                    </a:stretch>
                  </pic:blipFill>
                  <pic:spPr>
                    <a:xfrm flipH="1">
                      <a:off x="0" y="0"/>
                      <a:ext cx="1448435" cy="148780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707392" behindDoc="0" locked="0" layoutInCell="1" allowOverlap="1">
            <wp:simplePos x="0" y="0"/>
            <wp:positionH relativeFrom="column">
              <wp:posOffset>3268345</wp:posOffset>
            </wp:positionH>
            <wp:positionV relativeFrom="paragraph">
              <wp:posOffset>196215</wp:posOffset>
            </wp:positionV>
            <wp:extent cx="1478280" cy="1478280"/>
            <wp:effectExtent l="0" t="0" r="7620" b="7620"/>
            <wp:wrapSquare wrapText="bothSides"/>
            <wp:docPr id="4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3"/>
                    <pic:cNvPicPr>
                      <a:picLocks noChangeAspect="1"/>
                    </pic:cNvPicPr>
                  </pic:nvPicPr>
                  <pic:blipFill>
                    <a:blip r:embed="rId61"/>
                    <a:stretch>
                      <a:fillRect/>
                    </a:stretch>
                  </pic:blipFill>
                  <pic:spPr>
                    <a:xfrm>
                      <a:off x="0" y="0"/>
                      <a:ext cx="1478280" cy="147828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三十六、消防过滤式综合防毒面具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1、符合GB2890-2009《自吸过滤式防毒面具》标准，提供国家消防装备质量监督检验中心或其他国家级权威检验机构出具的检测报告复印件或扫描件。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2、由全面罩、导气管、过滤件组成，是消防员必备的个人防护呼吸保护装置。</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3、与面部结合，能够完全遮住眼、鼻、口和下颌的全面罩。</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4、面罩泄漏率≤0.5%，面罩死腔≤1%。</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5、总视野≥70%，下方视野≥35%，吸气阻力≤40Pa，呼气阻力≥100Pa，镜面透光率≥89%，面罩与过滤件结合力≥250N，头带拉力≥120N。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6、过滤件外观平滑、无毛刺，无影响气密性的缺陷，过滤件重量≤500g，导气管长度≥80cm。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pStyle w:val="44"/>
        <w:ind w:firstLine="640"/>
        <w:rPr>
          <w:rFonts w:hint="eastAsia" w:ascii="仿宋" w:hAnsi="仿宋" w:eastAsia="仿宋" w:cs="仿宋"/>
          <w:color w:val="auto"/>
          <w:sz w:val="24"/>
          <w:szCs w:val="24"/>
          <w:highlight w:val="none"/>
        </w:rPr>
      </w:pPr>
    </w:p>
    <w:p>
      <w:pPr>
        <w:pStyle w:val="4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7632" behindDoc="0" locked="0" layoutInCell="1" allowOverlap="1">
            <wp:simplePos x="0" y="0"/>
            <wp:positionH relativeFrom="column">
              <wp:posOffset>603885</wp:posOffset>
            </wp:positionH>
            <wp:positionV relativeFrom="paragraph">
              <wp:posOffset>17145</wp:posOffset>
            </wp:positionV>
            <wp:extent cx="2973070" cy="2237740"/>
            <wp:effectExtent l="0" t="0" r="17780" b="10160"/>
            <wp:wrapNone/>
            <wp:docPr id="4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0"/>
                    <pic:cNvPicPr>
                      <a:picLocks noChangeAspect="1"/>
                    </pic:cNvPicPr>
                  </pic:nvPicPr>
                  <pic:blipFill>
                    <a:blip r:embed="rId62"/>
                    <a:stretch>
                      <a:fillRect/>
                    </a:stretch>
                  </pic:blipFill>
                  <pic:spPr>
                    <a:xfrm>
                      <a:off x="0" y="0"/>
                      <a:ext cx="2973070" cy="2237740"/>
                    </a:xfrm>
                    <a:prstGeom prst="rect">
                      <a:avLst/>
                    </a:prstGeom>
                    <a:noFill/>
                    <a:ln>
                      <a:noFill/>
                    </a:ln>
                  </pic:spPr>
                </pic:pic>
              </a:graphicData>
            </a:graphic>
          </wp:anchor>
        </w:drawing>
      </w:r>
    </w:p>
    <w:p>
      <w:pPr>
        <w:pStyle w:val="22"/>
        <w:ind w:firstLine="210"/>
        <w:rPr>
          <w:rFonts w:hint="eastAsia" w:ascii="仿宋" w:hAnsi="仿宋" w:eastAsia="仿宋" w:cs="仿宋"/>
          <w:color w:val="auto"/>
          <w:sz w:val="24"/>
          <w:szCs w:val="24"/>
          <w:highlight w:val="none"/>
        </w:rPr>
      </w:pPr>
    </w:p>
    <w:p>
      <w:pPr>
        <w:pStyle w:val="22"/>
        <w:ind w:firstLine="210"/>
        <w:rPr>
          <w:rFonts w:hint="eastAsia" w:ascii="仿宋" w:hAnsi="仿宋" w:eastAsia="仿宋" w:cs="仿宋"/>
          <w:color w:val="auto"/>
          <w:sz w:val="24"/>
          <w:szCs w:val="24"/>
          <w:highlight w:val="none"/>
        </w:rPr>
      </w:pPr>
    </w:p>
    <w:p>
      <w:pPr>
        <w:pStyle w:val="22"/>
        <w:ind w:firstLine="210"/>
        <w:rPr>
          <w:rFonts w:hint="eastAsia" w:ascii="仿宋" w:hAnsi="仿宋" w:eastAsia="仿宋" w:cs="仿宋"/>
          <w:color w:val="auto"/>
          <w:sz w:val="24"/>
          <w:szCs w:val="24"/>
          <w:highlight w:val="none"/>
        </w:rPr>
      </w:pPr>
    </w:p>
    <w:p>
      <w:pPr>
        <w:pStyle w:val="22"/>
        <w:tabs>
          <w:tab w:val="left" w:pos="1176"/>
        </w:tabs>
        <w:ind w:firstLine="2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p>
    <w:p>
      <w:pPr>
        <w:pStyle w:val="22"/>
        <w:ind w:firstLine="0" w:firstLineChars="0"/>
        <w:rPr>
          <w:rFonts w:hint="eastAsia" w:ascii="仿宋" w:hAnsi="仿宋" w:eastAsia="仿宋" w:cs="仿宋"/>
          <w:color w:val="auto"/>
          <w:sz w:val="24"/>
          <w:szCs w:val="24"/>
          <w:highlight w:val="none"/>
        </w:rPr>
      </w:pPr>
    </w:p>
    <w:p>
      <w:pPr>
        <w:pStyle w:val="22"/>
        <w:ind w:firstLine="21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三十</w:t>
      </w:r>
      <w:r>
        <w:rPr>
          <w:rFonts w:hint="eastAsia" w:ascii="仿宋" w:hAnsi="仿宋" w:eastAsia="仿宋" w:cs="仿宋"/>
          <w:color w:val="auto"/>
          <w:kern w:val="0"/>
          <w:sz w:val="24"/>
          <w:szCs w:val="24"/>
          <w:highlight w:val="none"/>
          <w:lang w:eastAsia="zh-CN"/>
        </w:rPr>
        <w:t>七</w:t>
      </w:r>
      <w:r>
        <w:rPr>
          <w:rFonts w:hint="eastAsia" w:ascii="仿宋" w:hAnsi="仿宋" w:eastAsia="仿宋" w:cs="仿宋"/>
          <w:color w:val="auto"/>
          <w:kern w:val="0"/>
          <w:sz w:val="24"/>
          <w:szCs w:val="24"/>
          <w:highlight w:val="none"/>
        </w:rPr>
        <w:t>、消防坐式半身安全吊带</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1、符合国家XF494-2004《消防用防坠落装备》标准要求，提供国家消防装备质量监督检验中心或其他国家级权威检验机构出具的检测报告复印件或扫描件。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2、负荷≥2.67KN。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3、安全吊带的承重织带宽度40—70mm，能调节尺寸大小，吊带的织带边缘通过热封或其它措施来防止织线松脱。</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4、缝合接口及缝合末端回缝≥13mm。</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5、安全吊带的带扣的边角半径≥6mm。</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6、静负荷性能：安全吊带不会从人体上松脱，带扣和调节装置滑移距离≤10mm。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7、金属部件和金属零件应无棱角、毛刺，不得有裂纹、明显压痕和划伤等缺陷，其边缘应呈弧形。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8、可调节的宽大腿环、固定挂点≥2个。</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9、永久性标签包括：执行标准、型号、规格；生产厂的名称或商标；出厂日期、型号和RFID芯片（内容根据采购方需要填写）等。</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09440" behindDoc="0" locked="0" layoutInCell="1" allowOverlap="1">
            <wp:simplePos x="0" y="0"/>
            <wp:positionH relativeFrom="column">
              <wp:posOffset>3612515</wp:posOffset>
            </wp:positionH>
            <wp:positionV relativeFrom="paragraph">
              <wp:posOffset>115570</wp:posOffset>
            </wp:positionV>
            <wp:extent cx="1657350" cy="1207135"/>
            <wp:effectExtent l="0" t="0" r="0" b="12065"/>
            <wp:wrapSquare wrapText="bothSides"/>
            <wp:docPr id="47" name="图片 5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9592"/>
                    <pic:cNvPicPr>
                      <a:picLocks noChangeAspect="1"/>
                    </pic:cNvPicPr>
                  </pic:nvPicPr>
                  <pic:blipFill>
                    <a:blip r:embed="rId63"/>
                    <a:stretch>
                      <a:fillRect/>
                    </a:stretch>
                  </pic:blipFill>
                  <pic:spPr>
                    <a:xfrm rot="-10800000" flipV="1">
                      <a:off x="0" y="0"/>
                      <a:ext cx="1657350" cy="120713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10464" behindDoc="0" locked="0" layoutInCell="1" allowOverlap="1">
            <wp:simplePos x="0" y="0"/>
            <wp:positionH relativeFrom="column">
              <wp:posOffset>807720</wp:posOffset>
            </wp:positionH>
            <wp:positionV relativeFrom="paragraph">
              <wp:posOffset>77470</wp:posOffset>
            </wp:positionV>
            <wp:extent cx="1644650" cy="1219200"/>
            <wp:effectExtent l="0" t="0" r="12700" b="0"/>
            <wp:wrapSquare wrapText="bothSides"/>
            <wp:docPr id="48" name="图片 54" descr="DSC0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4" descr="DSC01478"/>
                    <pic:cNvPicPr>
                      <a:picLocks noChangeAspect="1"/>
                    </pic:cNvPicPr>
                  </pic:nvPicPr>
                  <pic:blipFill>
                    <a:blip r:embed="rId64"/>
                    <a:stretch>
                      <a:fillRect/>
                    </a:stretch>
                  </pic:blipFill>
                  <pic:spPr>
                    <a:xfrm>
                      <a:off x="0" y="0"/>
                      <a:ext cx="1644650" cy="121920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三十八</w:t>
      </w:r>
      <w:r>
        <w:rPr>
          <w:rFonts w:hint="eastAsia" w:ascii="仿宋" w:hAnsi="仿宋" w:eastAsia="仿宋" w:cs="仿宋"/>
          <w:color w:val="auto"/>
          <w:kern w:val="0"/>
          <w:sz w:val="24"/>
          <w:szCs w:val="24"/>
          <w:highlight w:val="none"/>
        </w:rPr>
        <w:t>、消防轻型安全绳</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1、符合国家XF494-2004《消防用防坠落装备》标准。提供国家消防装备质量监督检验中心或其他国家级权威检验机构出具的检测报告复印件或扫描件。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2、主承重部分应由连续纤维制成，表面无任何机械损伤现象，应为连续结构，整绳粗细均匀、结构一致。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3、绳索外层无明显破损、高温灼伤，无化学品浸蚀，绳芯无明显变形。</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4、应采用夹芯绳结构，直径9.5±0.5mm。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5、绳芯采用芳纶长丝制成。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6、每根绳长度≥20m，绳的两端采用绳环结构收尾，并用同种材料的细绳缝制，缝制距离≥50mm，在扎缝处热封，扎缝处包以裹紧的橡胶或塑料套管，在绳尾处采用热封方式标注永久性标签内容。</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7、最小破断强度≥20kN，当承重达到最小破断强度的10％时，延伸率≤1.2％。</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1488" behindDoc="0" locked="0" layoutInCell="1" allowOverlap="1">
            <wp:simplePos x="0" y="0"/>
            <wp:positionH relativeFrom="column">
              <wp:posOffset>1419860</wp:posOffset>
            </wp:positionH>
            <wp:positionV relativeFrom="paragraph">
              <wp:posOffset>83820</wp:posOffset>
            </wp:positionV>
            <wp:extent cx="3171825" cy="1609725"/>
            <wp:effectExtent l="0" t="0" r="9525" b="9525"/>
            <wp:wrapSquare wrapText="bothSides"/>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pic:cNvPicPr>
                      <a:picLocks noChangeAspect="1"/>
                    </pic:cNvPicPr>
                  </pic:nvPicPr>
                  <pic:blipFill>
                    <a:blip r:embed="rId65"/>
                    <a:stretch>
                      <a:fillRect/>
                    </a:stretch>
                  </pic:blipFill>
                  <pic:spPr>
                    <a:xfrm>
                      <a:off x="0" y="0"/>
                      <a:ext cx="3171825" cy="1609725"/>
                    </a:xfrm>
                    <a:prstGeom prst="rect">
                      <a:avLst/>
                    </a:prstGeom>
                    <a:noFill/>
                    <a:ln>
                      <a:noFill/>
                    </a:ln>
                  </pic:spPr>
                </pic:pic>
              </a:graphicData>
            </a:graphic>
          </wp:anchor>
        </w:drawing>
      </w:r>
    </w:p>
    <w:p>
      <w:pPr>
        <w:pStyle w:val="2"/>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pStyle w:val="2"/>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三十九</w:t>
      </w:r>
      <w:r>
        <w:rPr>
          <w:rFonts w:hint="eastAsia" w:ascii="仿宋" w:hAnsi="仿宋" w:eastAsia="仿宋" w:cs="仿宋"/>
          <w:color w:val="auto"/>
          <w:kern w:val="0"/>
          <w:sz w:val="24"/>
          <w:szCs w:val="24"/>
          <w:highlight w:val="none"/>
        </w:rPr>
        <w:t>、消防通用安全绳</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1、符合XF494-2004《消防用防坠落装备》标准。提供国家消防装备质量监督检验中心或其他国家级权威检验机构出具的检测报告复印件或扫描件。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2、安全绳长度按需定制，连续、夹心绳结构，在灭火、抢险救援作业中用于自救和救人的绳索。</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3、绳芯采用芳纶或其他优质材料制成，最小破断强度≥40kN，重量≤3Kg。</w:t>
      </w:r>
    </w:p>
    <w:p>
      <w:pPr>
        <w:spacing w:line="600" w:lineRule="exact"/>
        <w:ind w:left="638" w:leftChars="30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4、当承重达到最小破断强度的10%时，延伸率≤5％。</w:t>
      </w:r>
    </w:p>
    <w:p>
      <w:pPr>
        <w:spacing w:line="600" w:lineRule="exact"/>
        <w:ind w:left="638" w:leftChars="30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5、安全绳的直径为13±0.5mm，经204℃±5℃的耐高温性能时，安全绳不会出现融熔、焦化现象。</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6、绳的两端采用绳环结构收尾，并用同种材料的细绳缝制，缝制距离≥50mm，在扎缝处热封，扎缝处包以裹紧的橡胶或塑料套管，在绳尾处采用热封方式标注永久性标签内容。</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2512" behindDoc="0" locked="0" layoutInCell="1" allowOverlap="1">
            <wp:simplePos x="0" y="0"/>
            <wp:positionH relativeFrom="column">
              <wp:posOffset>1828165</wp:posOffset>
            </wp:positionH>
            <wp:positionV relativeFrom="paragraph">
              <wp:posOffset>199390</wp:posOffset>
            </wp:positionV>
            <wp:extent cx="1685925" cy="1809750"/>
            <wp:effectExtent l="0" t="0" r="9525" b="0"/>
            <wp:wrapSquare wrapText="bothSides"/>
            <wp:docPr id="61"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6"/>
                    <pic:cNvPicPr>
                      <a:picLocks noChangeAspect="1"/>
                    </pic:cNvPicPr>
                  </pic:nvPicPr>
                  <pic:blipFill>
                    <a:blip r:embed="rId66"/>
                    <a:stretch>
                      <a:fillRect/>
                    </a:stretch>
                  </pic:blipFill>
                  <pic:spPr>
                    <a:xfrm>
                      <a:off x="0" y="0"/>
                      <a:ext cx="1685925" cy="180975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四十、消防防坠落辅助部件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1、符合国家XF494-2004《消防用防坠落装备》标准要求，提供国家消防装备质量监督检验中心或其他国家级权威检验机构出具的检测报告复印件或扫描件。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包括：梨型丝扣主锁、O型双动自动扣主锁、集成滑轮系统的上升器（左手）、胸式上升器、防脱绳脚式上升器、下降器、止坠器配势能吸收器、1.5英寸万向单滑轮、滑轮系统、滑轮、2.0英寸万向单（双）滑轮、救援下降器等部件。</w:t>
      </w:r>
    </w:p>
    <w:p>
      <w:pPr>
        <w:adjustRightInd w:val="0"/>
        <w:snapToGrid w:val="0"/>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3、该</w:t>
      </w:r>
      <w:r>
        <w:rPr>
          <w:rFonts w:hint="eastAsia" w:ascii="仿宋" w:hAnsi="仿宋" w:eastAsia="仿宋" w:cs="仿宋"/>
          <w:color w:val="auto"/>
          <w:sz w:val="24"/>
          <w:szCs w:val="24"/>
          <w:highlight w:val="none"/>
          <w:shd w:val="clear" w:color="auto" w:fill="FFFFFF"/>
        </w:rPr>
        <w:t>辅助设备主要用于安全带与安全绳等防坠落设备之间的连接，可与多重装备配合使用。</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4、梨型丝扣主锁：双T锁身结构，防止横向受力。防钩挂锁鼻防止扣入和取绳时发生钩挂。纵向最小断裂强度≥20kN，横向最小断裂强度≥9kN，重量≤80g，开口尺寸≥20mm。</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5、O型双动自动扣主锁：轻合金型自动扣主锁，表面进行阳极氧化处理；O形锁适合滑轮和上升器的定位；防钩挂锁鼻防止在扣入和取出设备时发生钩挂。纵向最小断裂强度≥20kN，横向最小断裂强度≥7kN，重量≤80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6、集成滑轮系统上升器：</w:t>
      </w:r>
      <w:r>
        <w:rPr>
          <w:rFonts w:hint="eastAsia" w:ascii="仿宋" w:hAnsi="仿宋" w:eastAsia="仿宋" w:cs="仿宋"/>
          <w:color w:val="auto"/>
          <w:sz w:val="24"/>
          <w:szCs w:val="24"/>
          <w:highlight w:val="none"/>
        </w:rPr>
        <w:t>具有自带滑轮功能，可自组提拉系统，绳索防卡住释放系统能进行向下的移动。含有3个凸轮槽防止污垢堆积。下方有2个连接孔，防止系统装反，第2个孔能够安装脚踏圈。使用绳索直径范围为 8-13mm。重量≤300g。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7、胸式上升器：</w:t>
      </w:r>
      <w:r>
        <w:rPr>
          <w:rFonts w:hint="eastAsia" w:ascii="仿宋" w:hAnsi="仿宋" w:eastAsia="仿宋" w:cs="仿宋"/>
          <w:color w:val="auto"/>
          <w:sz w:val="24"/>
          <w:szCs w:val="24"/>
          <w:highlight w:val="none"/>
        </w:rPr>
        <w:t>轻合金胸式上升器，表面进行了阳极氧化处理。工作负荷≥120kg，重量≤150g。可使用绳索直径范围为8-13mm。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8、防脱绳脚式上升器：</w:t>
      </w:r>
      <w:r>
        <w:rPr>
          <w:rFonts w:hint="eastAsia" w:ascii="仿宋" w:hAnsi="仿宋" w:eastAsia="仿宋" w:cs="仿宋"/>
          <w:color w:val="auto"/>
          <w:sz w:val="24"/>
          <w:szCs w:val="24"/>
          <w:highlight w:val="none"/>
        </w:rPr>
        <w:t>扁带可调节，脚踏端扁带使用扁带套加固、稳定，不会在受力下翻转。重量≤170g。使用绳索直径范围为8-13mm。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9、下降器：</w:t>
      </w:r>
      <w:r>
        <w:rPr>
          <w:rFonts w:hint="eastAsia" w:ascii="仿宋" w:hAnsi="仿宋" w:eastAsia="仿宋" w:cs="仿宋"/>
          <w:color w:val="auto"/>
          <w:sz w:val="24"/>
          <w:szCs w:val="24"/>
          <w:highlight w:val="none"/>
        </w:rPr>
        <w:t>内置单向滑轮的下降器。最大负重≥240kg，用于10.5-11.5mm直径绳索。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10、止坠器配势能吸收器：</w:t>
      </w:r>
      <w:r>
        <w:rPr>
          <w:rFonts w:hint="eastAsia" w:ascii="仿宋" w:hAnsi="仿宋" w:eastAsia="仿宋" w:cs="仿宋"/>
          <w:color w:val="auto"/>
          <w:sz w:val="24"/>
          <w:szCs w:val="24"/>
          <w:highlight w:val="none"/>
        </w:rPr>
        <w:t>带有锁定功能。势能吸收器只能与移动止坠器配合使用。可以用于双人救援，最大负重≥240kg。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11、1.5英寸万向单滑轮：</w:t>
      </w:r>
      <w:r>
        <w:rPr>
          <w:rFonts w:hint="eastAsia" w:ascii="仿宋" w:hAnsi="仿宋" w:eastAsia="仿宋" w:cs="仿宋"/>
          <w:color w:val="auto"/>
          <w:sz w:val="24"/>
          <w:szCs w:val="24"/>
          <w:highlight w:val="none"/>
        </w:rPr>
        <w:t>具备万向结和滑轮的功能，最小破断力≥36kN；载荷≥8kN。滑轮直径≤38mm;最大绳子直径≥13mm。重量≤300g。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12、滑轮系统：</w:t>
      </w:r>
      <w:r>
        <w:rPr>
          <w:rFonts w:hint="eastAsia" w:ascii="仿宋" w:hAnsi="仿宋" w:eastAsia="仿宋" w:cs="仿宋"/>
          <w:color w:val="auto"/>
          <w:sz w:val="24"/>
          <w:szCs w:val="24"/>
          <w:highlight w:val="none"/>
        </w:rPr>
        <w:t>配套组合式4:1滑轮系统，最小破断力≥36kN，载荷≥3kN/人，载荷≥5kN/物体，滑轮直径≤25mm，最大绳子直径≥8mm，重量≤500g。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r>
        <w:rPr>
          <w:rFonts w:hint="eastAsia" w:ascii="仿宋" w:hAnsi="仿宋" w:eastAsia="仿宋" w:cs="仿宋"/>
          <w:bCs/>
          <w:color w:val="auto"/>
          <w:sz w:val="24"/>
          <w:szCs w:val="24"/>
          <w:highlight w:val="none"/>
        </w:rPr>
        <w:t>滑轮：</w:t>
      </w:r>
      <w:r>
        <w:rPr>
          <w:rFonts w:hint="eastAsia" w:ascii="仿宋" w:hAnsi="仿宋" w:eastAsia="仿宋" w:cs="仿宋"/>
          <w:color w:val="auto"/>
          <w:sz w:val="24"/>
          <w:szCs w:val="24"/>
          <w:highlight w:val="none"/>
        </w:rPr>
        <w:t>绳子直径8-19mm，最小破断力≥39kN，载荷≥6kN，滑轮直径≤56mm，重量≤720g。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14、2.0英寸万向单（双）滑轮：</w:t>
      </w:r>
      <w:r>
        <w:rPr>
          <w:rFonts w:hint="eastAsia" w:ascii="仿宋" w:hAnsi="仿宋" w:eastAsia="仿宋" w:cs="仿宋"/>
          <w:color w:val="auto"/>
          <w:sz w:val="24"/>
          <w:szCs w:val="24"/>
          <w:highlight w:val="none"/>
        </w:rPr>
        <w:t>具备万向结和滑轮功能。最小破断力≥36kN，载荷≥8kN，滑轮直径≥51mm，最大绳子直径≤13mm。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15、救援下降器：</w:t>
      </w:r>
      <w:r>
        <w:rPr>
          <w:rFonts w:hint="eastAsia" w:ascii="仿宋" w:hAnsi="仿宋" w:eastAsia="仿宋" w:cs="仿宋"/>
          <w:color w:val="auto"/>
          <w:sz w:val="24"/>
          <w:szCs w:val="24"/>
          <w:highlight w:val="none"/>
        </w:rPr>
        <w:t>配有改进的高强度抗腐蚀制停凸轮，可精确控制下降速度。下降器的断裂负荷≥16kN。用于10.5-11.5mm直径绳索,下降工作负荷60-240kg。重量≤700g。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3536" behindDoc="0" locked="0" layoutInCell="1" allowOverlap="1">
            <wp:simplePos x="0" y="0"/>
            <wp:positionH relativeFrom="column">
              <wp:posOffset>1787525</wp:posOffset>
            </wp:positionH>
            <wp:positionV relativeFrom="paragraph">
              <wp:posOffset>332740</wp:posOffset>
            </wp:positionV>
            <wp:extent cx="2080260" cy="1584960"/>
            <wp:effectExtent l="0" t="0" r="15240" b="15240"/>
            <wp:wrapSquare wrapText="bothSides"/>
            <wp:docPr id="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
                    <pic:cNvPicPr>
                      <a:picLocks noChangeAspect="1"/>
                    </pic:cNvPicPr>
                  </pic:nvPicPr>
                  <pic:blipFill>
                    <a:blip r:embed="rId67"/>
                    <a:stretch>
                      <a:fillRect/>
                    </a:stretch>
                  </pic:blipFill>
                  <pic:spPr>
                    <a:xfrm>
                      <a:off x="0" y="0"/>
                      <a:ext cx="2080260" cy="158496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四十</w:t>
      </w:r>
      <w:r>
        <w:rPr>
          <w:rFonts w:hint="eastAsia" w:ascii="仿宋" w:hAnsi="仿宋" w:eastAsia="仿宋" w:cs="仿宋"/>
          <w:color w:val="auto"/>
          <w:kern w:val="0"/>
          <w:sz w:val="24"/>
          <w:szCs w:val="24"/>
          <w:highlight w:val="none"/>
          <w:lang w:eastAsia="zh-CN"/>
        </w:rPr>
        <w:t>一</w:t>
      </w:r>
      <w:r>
        <w:rPr>
          <w:rFonts w:hint="eastAsia" w:ascii="仿宋" w:hAnsi="仿宋" w:eastAsia="仿宋" w:cs="仿宋"/>
          <w:color w:val="auto"/>
          <w:kern w:val="0"/>
          <w:sz w:val="24"/>
          <w:szCs w:val="24"/>
          <w:highlight w:val="none"/>
        </w:rPr>
        <w:t>、手提式强光照明灯</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1、符合GB 30734-2014《消防员照明灯具》国家标准的技术要求，提供国家消防装备质量监督检验中心或其他国家级权威检验机构出具的检测报告复印件或扫描件。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2、是消防员在无照明或照明条件的环境下进行消防作业使用的个人携带式灯具。</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3、重量≤1.5kg。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4、照明时间：强光≥5h、工作光≥10h。</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5、照度要求：（照射距离10m处）平均值：强光≥500lx、弱光≥200lx。</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6、防爆等级： Exdib ⅡC T6 Gb；防爆性能应符合GB 3836.1-2010的要求。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7、防护等级:IP66。</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8、外壳采用高强度的航空铝合金材料，表面进行深度硬质氧化，不怕摔，耐腐蚀。</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9、产品须具有电压报警功能，报警时间10-20s。低压报警后产品强光可连续使用使用≥15min，工作光≥30min。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10、灯具具有强光、工作灯、闪烁警示光功能。内置智能芯片控制，保证恒流恒压输出。</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11、耐温区间-25℃—55℃，在此温度区间实验两小时，产品正常使用。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12、灯具或充电器设置充放电保护电路。</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4560" behindDoc="0" locked="0" layoutInCell="1" allowOverlap="1">
            <wp:simplePos x="0" y="0"/>
            <wp:positionH relativeFrom="column">
              <wp:posOffset>701675</wp:posOffset>
            </wp:positionH>
            <wp:positionV relativeFrom="paragraph">
              <wp:posOffset>29845</wp:posOffset>
            </wp:positionV>
            <wp:extent cx="1767840" cy="1602105"/>
            <wp:effectExtent l="0" t="0" r="3810" b="17145"/>
            <wp:wrapSquare wrapText="bothSides"/>
            <wp:docPr id="63" name="图片 58" descr="7_Y1(@X2{ABGV_P334_Q]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8" descr="7_Y1(@X2{ABGV_P334_Q]HI"/>
                    <pic:cNvPicPr>
                      <a:picLocks noChangeAspect="1"/>
                    </pic:cNvPicPr>
                  </pic:nvPicPr>
                  <pic:blipFill>
                    <a:blip r:embed="rId68"/>
                    <a:stretch>
                      <a:fillRect/>
                    </a:stretch>
                  </pic:blipFill>
                  <pic:spPr>
                    <a:xfrm>
                      <a:off x="0" y="0"/>
                      <a:ext cx="1767840" cy="160210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0" distR="0" simplePos="0" relativeHeight="251715584" behindDoc="0" locked="0" layoutInCell="1" allowOverlap="1">
            <wp:simplePos x="0" y="0"/>
            <wp:positionH relativeFrom="column">
              <wp:posOffset>3322320</wp:posOffset>
            </wp:positionH>
            <wp:positionV relativeFrom="paragraph">
              <wp:posOffset>-33655</wp:posOffset>
            </wp:positionV>
            <wp:extent cx="1980565" cy="1546860"/>
            <wp:effectExtent l="0" t="0" r="635" b="15240"/>
            <wp:wrapSquare wrapText="bothSides"/>
            <wp:docPr id="64" name="图片 29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9729"/>
                    <pic:cNvPicPr>
                      <a:picLocks noChangeAspect="1"/>
                    </pic:cNvPicPr>
                  </pic:nvPicPr>
                  <pic:blipFill>
                    <a:blip r:embed="rId69"/>
                    <a:stretch>
                      <a:fillRect/>
                    </a:stretch>
                  </pic:blipFill>
                  <pic:spPr>
                    <a:xfrm>
                      <a:off x="0" y="0"/>
                      <a:ext cx="1980565" cy="154686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四十</w:t>
      </w:r>
      <w:r>
        <w:rPr>
          <w:rFonts w:hint="eastAsia" w:ascii="仿宋" w:hAnsi="仿宋" w:eastAsia="仿宋" w:cs="仿宋"/>
          <w:color w:val="auto"/>
          <w:kern w:val="0"/>
          <w:sz w:val="24"/>
          <w:szCs w:val="24"/>
          <w:highlight w:val="none"/>
          <w:lang w:eastAsia="zh-CN"/>
        </w:rPr>
        <w:t>二</w:t>
      </w:r>
      <w:r>
        <w:rPr>
          <w:rFonts w:hint="eastAsia" w:ascii="仿宋" w:hAnsi="仿宋" w:eastAsia="仿宋" w:cs="仿宋"/>
          <w:color w:val="auto"/>
          <w:kern w:val="0"/>
          <w:sz w:val="24"/>
          <w:szCs w:val="24"/>
          <w:highlight w:val="none"/>
        </w:rPr>
        <w:t>、消防用荧光棒</w:t>
      </w:r>
    </w:p>
    <w:p>
      <w:pPr>
        <w:numPr>
          <w:ilvl w:val="0"/>
          <w:numId w:val="7"/>
        </w:num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符合XF/T1428-2017《消防用荧光棒》标准，提供国家消防装备质量监督检验中心或其他国家级权威检验机构出具的检测报告复印件或扫描件。</w:t>
      </w:r>
    </w:p>
    <w:p>
      <w:pPr>
        <w:pStyle w:val="21"/>
        <w:widowControl/>
        <w:shd w:val="clear" w:color="auto" w:fill="FFFFFF"/>
        <w:spacing w:beforeAutospacing="0" w:afterAutospacing="0" w:line="600" w:lineRule="exact"/>
        <w:ind w:firstLine="436"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shd w:val="clear" w:color="auto" w:fill="FFFFFF"/>
        </w:rPr>
        <w:t>2、是一种在消防应急救援与灭火救援作业中使用的指示照明工具，由内外两管组成，</w:t>
      </w:r>
      <w:r>
        <w:rPr>
          <w:rFonts w:hint="eastAsia" w:ascii="仿宋" w:hAnsi="仿宋" w:eastAsia="仿宋" w:cs="仿宋"/>
          <w:color w:val="auto"/>
          <w:spacing w:val="-19"/>
          <w:sz w:val="24"/>
          <w:szCs w:val="24"/>
          <w:highlight w:val="none"/>
          <w:shd w:val="clear" w:color="auto" w:fill="FFFFFF"/>
        </w:rPr>
        <w:t>通过弯折使内管破</w:t>
      </w:r>
      <w:r>
        <w:rPr>
          <w:rFonts w:hint="eastAsia" w:ascii="仿宋" w:hAnsi="仿宋" w:eastAsia="仿宋" w:cs="仿宋"/>
          <w:color w:val="auto"/>
          <w:spacing w:val="-11"/>
          <w:sz w:val="24"/>
          <w:szCs w:val="24"/>
          <w:highlight w:val="none"/>
          <w:shd w:val="clear" w:color="auto" w:fill="FFFFFF"/>
        </w:rPr>
        <w:t>裂，并使内管中的过氧化物和外管中的酯类化合物发生反应而激励荧光材料发光。</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3、发光颜色为橙色或绿色。</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4、工作时间≥90min。</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5、长度30㎝±0.5cm。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6、最大直径≤2.5cm。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7、初始亮度≥210cd/㎡，有效亮度≥20cd/㎡。</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6608" behindDoc="0" locked="0" layoutInCell="1" allowOverlap="1">
            <wp:simplePos x="0" y="0"/>
            <wp:positionH relativeFrom="column">
              <wp:posOffset>1483360</wp:posOffset>
            </wp:positionH>
            <wp:positionV relativeFrom="paragraph">
              <wp:posOffset>85725</wp:posOffset>
            </wp:positionV>
            <wp:extent cx="2252980" cy="2007235"/>
            <wp:effectExtent l="0" t="0" r="13970" b="12065"/>
            <wp:wrapSquare wrapText="bothSides"/>
            <wp:docPr id="65"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0"/>
                    <pic:cNvPicPr>
                      <a:picLocks noChangeAspect="1"/>
                    </pic:cNvPicPr>
                  </pic:nvPicPr>
                  <pic:blipFill>
                    <a:blip r:embed="rId70"/>
                    <a:stretch>
                      <a:fillRect/>
                    </a:stretch>
                  </pic:blipFill>
                  <pic:spPr>
                    <a:xfrm>
                      <a:off x="0" y="0"/>
                      <a:ext cx="2252980" cy="200723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br w:type="page"/>
      </w:r>
    </w:p>
    <w:p>
      <w:pPr>
        <w:pStyle w:val="2"/>
        <w:numPr>
          <w:ilvl w:val="0"/>
          <w:numId w:val="0"/>
        </w:numPr>
        <w:jc w:val="lef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2包：</w:t>
      </w:r>
    </w:p>
    <w:p>
      <w:pPr>
        <w:pStyle w:val="22"/>
        <w:ind w:left="0" w:leftChars="0" w:firstLine="0" w:firstLineChars="0"/>
        <w:rPr>
          <w:rFonts w:hint="eastAsia" w:eastAsia="仿宋"/>
          <w:color w:val="auto"/>
          <w:highlight w:val="none"/>
          <w:lang w:eastAsia="zh-CN"/>
        </w:rPr>
      </w:pPr>
      <w:r>
        <w:rPr>
          <w:rFonts w:hint="eastAsia" w:ascii="仿宋" w:hAnsi="仿宋" w:eastAsia="仿宋" w:cs="仿宋"/>
          <w:b/>
          <w:bCs/>
          <w:color w:val="auto"/>
          <w:sz w:val="24"/>
          <w:highlight w:val="none"/>
          <w:lang w:eastAsia="zh-CN"/>
        </w:rPr>
        <w:t>（一）采购清单</w:t>
      </w:r>
    </w:p>
    <w:tbl>
      <w:tblPr>
        <w:tblStyle w:val="23"/>
        <w:tblW w:w="8977" w:type="dxa"/>
        <w:tblInd w:w="93" w:type="dxa"/>
        <w:shd w:val="clear" w:color="auto" w:fill="auto"/>
        <w:tblLayout w:type="autofit"/>
        <w:tblCellMar>
          <w:top w:w="0" w:type="dxa"/>
          <w:left w:w="108" w:type="dxa"/>
          <w:bottom w:w="0" w:type="dxa"/>
          <w:right w:w="108" w:type="dxa"/>
        </w:tblCellMar>
      </w:tblPr>
      <w:tblGrid>
        <w:gridCol w:w="761"/>
        <w:gridCol w:w="1456"/>
        <w:gridCol w:w="1159"/>
        <w:gridCol w:w="4032"/>
        <w:gridCol w:w="1569"/>
      </w:tblGrid>
      <w:tr>
        <w:tblPrEx>
          <w:shd w:val="clear" w:color="auto" w:fill="auto"/>
          <w:tblCellMar>
            <w:top w:w="0" w:type="dxa"/>
            <w:left w:w="108" w:type="dxa"/>
            <w:bottom w:w="0" w:type="dxa"/>
            <w:right w:w="108" w:type="dxa"/>
          </w:tblCellMar>
        </w:tblPrEx>
        <w:trPr>
          <w:trHeight w:val="41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序号</w:t>
            </w:r>
          </w:p>
        </w:tc>
        <w:tc>
          <w:tcPr>
            <w:tcW w:w="14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包号、名称</w:t>
            </w:r>
          </w:p>
        </w:tc>
        <w:tc>
          <w:tcPr>
            <w:tcW w:w="115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类别</w:t>
            </w:r>
          </w:p>
        </w:tc>
        <w:tc>
          <w:tcPr>
            <w:tcW w:w="403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器材名称</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数量</w:t>
            </w:r>
          </w:p>
        </w:tc>
      </w:tr>
      <w:tr>
        <w:tblPrEx>
          <w:shd w:val="clear" w:color="auto" w:fill="auto"/>
          <w:tblCellMar>
            <w:top w:w="0" w:type="dxa"/>
            <w:left w:w="108" w:type="dxa"/>
            <w:bottom w:w="0" w:type="dxa"/>
            <w:right w:w="108" w:type="dxa"/>
          </w:tblCellMar>
        </w:tblPrEx>
        <w:trPr>
          <w:trHeight w:val="41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14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包2：水域救援、救生类装备</w:t>
            </w:r>
          </w:p>
        </w:tc>
        <w:tc>
          <w:tcPr>
            <w:tcW w:w="115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水域救援装备</w:t>
            </w:r>
          </w:p>
        </w:tc>
        <w:tc>
          <w:tcPr>
            <w:tcW w:w="4032"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水域救援漂浮救生绳</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潜水装具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救生圈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干式水域救援服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湿式水域救援服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28</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水下救生手环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水域救援个人携行包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水域救援手套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水域救援靴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消防员水域救援头盔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激流救生衣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消防救生衣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救生类</w:t>
            </w: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肢体固定气囊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折叠式担架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多功能担架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救生缓降器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医药急救箱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医用简易呼吸器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19</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机动橡皮舟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tblCellMar>
            <w:top w:w="0" w:type="dxa"/>
            <w:left w:w="108" w:type="dxa"/>
            <w:bottom w:w="0" w:type="dxa"/>
            <w:right w:w="108" w:type="dxa"/>
          </w:tblCellMar>
        </w:tblPrEx>
        <w:trPr>
          <w:trHeight w:val="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救生软梯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r>
      <w:tr>
        <w:tblPrEx>
          <w:tblCellMar>
            <w:top w:w="0" w:type="dxa"/>
            <w:left w:w="108" w:type="dxa"/>
            <w:bottom w:w="0" w:type="dxa"/>
            <w:right w:w="108" w:type="dxa"/>
          </w:tblCellMar>
        </w:tblPrEx>
        <w:trPr>
          <w:trHeight w:val="42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21</w:t>
            </w: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自喷荧光漆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tblCellMar>
            <w:top w:w="0" w:type="dxa"/>
            <w:left w:w="108" w:type="dxa"/>
            <w:bottom w:w="0" w:type="dxa"/>
            <w:right w:w="108" w:type="dxa"/>
          </w:tblCellMar>
        </w:tblPrEx>
        <w:trPr>
          <w:trHeight w:val="850" w:hRule="atLeast"/>
        </w:trPr>
        <w:tc>
          <w:tcPr>
            <w:tcW w:w="897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b/>
                <w:bCs/>
                <w:color w:val="auto"/>
                <w:kern w:val="0"/>
                <w:sz w:val="24"/>
                <w:szCs w:val="24"/>
                <w:highlight w:val="none"/>
                <w:lang w:val="en-US" w:eastAsia="zh-CN"/>
              </w:rPr>
              <w:t>1、投标人所报的</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必须满足国家相关质量标准要求。</w:t>
            </w:r>
          </w:p>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color w:val="auto"/>
                <w:kern w:val="0"/>
                <w:sz w:val="24"/>
                <w:szCs w:val="24"/>
                <w:highlight w:val="none"/>
                <w:lang w:val="en-US" w:eastAsia="zh-CN"/>
              </w:rPr>
              <w:t>2、</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优先考虑</w:t>
            </w:r>
            <w:r>
              <w:rPr>
                <w:rFonts w:hint="eastAsia" w:ascii="仿宋" w:hAnsi="仿宋" w:eastAsia="仿宋" w:cs="仿宋"/>
                <w:b/>
                <w:bCs/>
                <w:color w:val="auto"/>
                <w:kern w:val="0"/>
                <w:sz w:val="24"/>
                <w:szCs w:val="24"/>
                <w:highlight w:val="none"/>
              </w:rPr>
              <w:t>取得国家认可的权威检验机构出具的检测报告</w:t>
            </w:r>
            <w:r>
              <w:rPr>
                <w:rFonts w:hint="eastAsia" w:ascii="仿宋" w:hAnsi="仿宋" w:eastAsia="仿宋" w:cs="仿宋"/>
                <w:b/>
                <w:bCs/>
                <w:color w:val="auto"/>
                <w:kern w:val="0"/>
                <w:sz w:val="24"/>
                <w:szCs w:val="24"/>
                <w:highlight w:val="none"/>
                <w:lang w:eastAsia="zh-CN"/>
              </w:rPr>
              <w:t>且</w:t>
            </w:r>
            <w:r>
              <w:rPr>
                <w:rFonts w:hint="eastAsia" w:ascii="仿宋" w:hAnsi="仿宋" w:eastAsia="仿宋" w:cs="仿宋"/>
                <w:b/>
                <w:bCs/>
                <w:color w:val="auto"/>
                <w:kern w:val="0"/>
                <w:sz w:val="24"/>
                <w:szCs w:val="24"/>
                <w:highlight w:val="none"/>
              </w:rPr>
              <w:t>检测合格的产品，</w:t>
            </w:r>
            <w:r>
              <w:rPr>
                <w:rFonts w:hint="eastAsia" w:ascii="仿宋" w:hAnsi="仿宋" w:eastAsia="仿宋" w:cs="仿宋"/>
                <w:b/>
                <w:bCs/>
                <w:color w:val="auto"/>
                <w:kern w:val="0"/>
                <w:sz w:val="24"/>
                <w:szCs w:val="24"/>
                <w:highlight w:val="none"/>
                <w:lang w:eastAsia="zh-CN"/>
              </w:rPr>
              <w:t>检测报告作为评分依据</w:t>
            </w:r>
            <w:r>
              <w:rPr>
                <w:rFonts w:hint="eastAsia" w:ascii="仿宋" w:hAnsi="仿宋" w:eastAsia="仿宋" w:cs="仿宋"/>
                <w:b/>
                <w:bCs/>
                <w:color w:val="auto"/>
                <w:kern w:val="0"/>
                <w:sz w:val="24"/>
                <w:szCs w:val="24"/>
                <w:highlight w:val="none"/>
              </w:rPr>
              <w:t>。</w:t>
            </w:r>
          </w:p>
        </w:tc>
      </w:tr>
    </w:tbl>
    <w:p>
      <w:pPr>
        <w:pStyle w:val="22"/>
        <w:rPr>
          <w:rFonts w:hint="eastAsia" w:ascii="仿宋" w:hAnsi="仿宋" w:eastAsia="仿宋" w:cs="仿宋"/>
          <w:b/>
          <w:bCs/>
          <w:color w:val="auto"/>
          <w:kern w:val="0"/>
          <w:szCs w:val="21"/>
          <w:highlight w:val="none"/>
          <w:lang w:eastAsia="zh-CN" w:bidi="ar"/>
        </w:rPr>
      </w:pPr>
      <w:r>
        <w:rPr>
          <w:rFonts w:hint="eastAsia" w:ascii="仿宋" w:hAnsi="仿宋" w:eastAsia="仿宋" w:cs="仿宋"/>
          <w:color w:val="auto"/>
          <w:highlight w:val="none"/>
        </w:rPr>
        <w:t>★</w:t>
      </w:r>
      <w:r>
        <w:rPr>
          <w:rFonts w:hint="eastAsia" w:ascii="仿宋" w:hAnsi="仿宋" w:eastAsia="仿宋" w:cs="仿宋"/>
          <w:b/>
          <w:bCs/>
          <w:color w:val="auto"/>
          <w:highlight w:val="none"/>
          <w:lang w:eastAsia="zh-CN"/>
        </w:rPr>
        <w:t>本包核心产品为激流救生衣，</w:t>
      </w:r>
      <w:r>
        <w:rPr>
          <w:rFonts w:hint="eastAsia" w:ascii="仿宋" w:hAnsi="仿宋" w:eastAsia="仿宋" w:cs="仿宋"/>
          <w:b/>
          <w:bCs/>
          <w:color w:val="auto"/>
          <w:kern w:val="0"/>
          <w:szCs w:val="21"/>
          <w:highlight w:val="none"/>
          <w:lang w:eastAsia="zh-CN" w:bidi="ar"/>
        </w:rPr>
        <w:t>多家供应商提供的核心产品品牌相同的，提供相同品牌产品且通过资格审查、符合性审查的不同供应商参加同一合同项下报价的，按一家供应商计算，评审后得分最高的同品牌投标人获得中标人推荐资格；评审得分相同的，按报价由低到高的顺序排列，报价得分相同的，按技术得分由高到低的顺序排列，技术得分也相同的，采取随机抽取的方式确定。</w:t>
      </w:r>
    </w:p>
    <w:p>
      <w:pPr>
        <w:pStyle w:val="2"/>
        <w:numPr>
          <w:ilvl w:val="0"/>
          <w:numId w:val="0"/>
        </w:numPr>
        <w:jc w:val="left"/>
        <w:rPr>
          <w:rFonts w:hint="eastAsia" w:ascii="仿宋" w:hAnsi="仿宋" w:eastAsia="仿宋" w:cs="仿宋"/>
          <w:color w:val="auto"/>
          <w:highlight w:val="none"/>
        </w:rPr>
      </w:pPr>
    </w:p>
    <w:p>
      <w:pPr>
        <w:pStyle w:val="2"/>
        <w:numPr>
          <w:ilvl w:val="0"/>
          <w:numId w:val="0"/>
        </w:numPr>
        <w:jc w:val="left"/>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（二）技术规格要求</w:t>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一</w:t>
      </w:r>
      <w:r>
        <w:rPr>
          <w:rFonts w:hint="eastAsia" w:ascii="仿宋" w:hAnsi="仿宋" w:eastAsia="仿宋" w:cs="仿宋"/>
          <w:color w:val="auto"/>
          <w:kern w:val="0"/>
          <w:sz w:val="24"/>
          <w:szCs w:val="24"/>
          <w:highlight w:val="none"/>
        </w:rPr>
        <w:t>、水域救援漂浮救生绳</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2、是</w:t>
      </w:r>
      <w:r>
        <w:rPr>
          <w:rFonts w:hint="eastAsia" w:ascii="仿宋" w:hAnsi="仿宋" w:eastAsia="仿宋" w:cs="仿宋"/>
          <w:color w:val="auto"/>
          <w:sz w:val="24"/>
          <w:szCs w:val="24"/>
          <w:highlight w:val="none"/>
          <w:shd w:val="clear" w:color="auto" w:fill="FFFFFF"/>
        </w:rPr>
        <w:t>防汛抢险救灾、救生救援、海上救生、河边、海滩等救生设备场地，实施救援的器材。</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3、质量轻，防水性能好，漂浮时间≥24h。</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4、直径：12±0.5mm。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5、破断负荷≥18kN。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6、长度：50m。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8656" behindDoc="0" locked="0" layoutInCell="1" allowOverlap="1">
            <wp:simplePos x="0" y="0"/>
            <wp:positionH relativeFrom="column">
              <wp:posOffset>1955165</wp:posOffset>
            </wp:positionH>
            <wp:positionV relativeFrom="paragraph">
              <wp:posOffset>97790</wp:posOffset>
            </wp:positionV>
            <wp:extent cx="1744345" cy="1395730"/>
            <wp:effectExtent l="0" t="0" r="8255" b="13970"/>
            <wp:wrapSquare wrapText="bothSides"/>
            <wp:docPr id="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
                    <pic:cNvPicPr>
                      <a:picLocks noChangeAspect="1"/>
                    </pic:cNvPicPr>
                  </pic:nvPicPr>
                  <pic:blipFill>
                    <a:blip r:embed="rId71"/>
                    <a:stretch>
                      <a:fillRect/>
                    </a:stretch>
                  </pic:blipFill>
                  <pic:spPr>
                    <a:xfrm>
                      <a:off x="0" y="0"/>
                      <a:ext cx="1744345" cy="139573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二</w:t>
      </w:r>
      <w:r>
        <w:rPr>
          <w:rFonts w:hint="eastAsia" w:ascii="仿宋" w:hAnsi="仿宋" w:eastAsia="仿宋" w:cs="仿宋"/>
          <w:color w:val="auto"/>
          <w:kern w:val="0"/>
          <w:sz w:val="24"/>
          <w:szCs w:val="24"/>
          <w:highlight w:val="none"/>
        </w:rPr>
        <w:t>、潜水装具</w:t>
      </w:r>
    </w:p>
    <w:p>
      <w:pPr>
        <w:shd w:val="clear" w:color="auto" w:fill="FFFFFF"/>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1、参照</w:t>
      </w:r>
      <w:r>
        <w:rPr>
          <w:rFonts w:hint="eastAsia" w:ascii="仿宋" w:hAnsi="仿宋" w:eastAsia="仿宋" w:cs="仿宋"/>
          <w:color w:val="auto"/>
          <w:sz w:val="24"/>
          <w:szCs w:val="24"/>
          <w:highlight w:val="none"/>
          <w:shd w:val="clear" w:color="auto" w:fill="FFFFFF"/>
        </w:rPr>
        <w:t>JT/T207-2008 《69-Ⅲ型轻潜水装具》标准的有关要求，</w:t>
      </w:r>
      <w:r>
        <w:rPr>
          <w:rFonts w:hint="eastAsia" w:ascii="仿宋" w:hAnsi="仿宋" w:eastAsia="仿宋" w:cs="仿宋"/>
          <w:color w:val="auto"/>
          <w:sz w:val="24"/>
          <w:szCs w:val="24"/>
          <w:highlight w:val="none"/>
        </w:rPr>
        <w:t>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潜水装具包括干式潜水服、干式防寒衣内胆、湿衣、潜水面镜、干式呼吸管、潜水头套、潜水靴、潜水脚蹼、一级头、二级头和备用二级头、三联表、浮力调整背心、潜水手电、电脑表、打捞袋套组、紧急救援瓶、配重腰带、环保配重铅块、多用途潜水刀、装备包、象拔（水面信号浮标）及线轮、打捞袋（遗体打捞）等装备，是消防员水下作业时的专用服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3、潜水装具重量≤35Kg。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4、潜水装具金属零件必须有电镀层，电镀层材质为：镀镍套铬，镀层厚度≥10um。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5、潜水装具气瓶容量≥12L，工作压力：20Mpa，直径：175mm，长度小于等于650mm，外层进行镀锌处理。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供气调节器在0.5MPa压力下保证气密性。流量为30L/min，频率为18次/min时，其呼气、吸气阻力在±0.5kPa范围内。输入压力为0.5MPa，流量≥300L/min时供气调节器不漏水，调节减压器至供气调节器输入压力为0.5MPa时，最大流量应≥3001/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7、减压器在20MPa压力下保证气密，当输入压力为3MPa—20MPa时，则输出压力为0.75MPa—0.4MPa。当减压器的输入压力为14MPa—15MPa时，减压器的压力降不超过200kPa。</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8、安全阀当压力低于0.95MPa时，安全阀保持关闭。当压力为1MPa—1.5MPa时，安全阀打开，开启后当压力下降至0.8MPa时，安全阀自动关闭，并保持气密。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9、气瓶阀在20MPa压力下保证气密。当气瓶压力为14MPa-15MPa时，流量≥600L/min。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干式潜水服：膝盖、肩部及裆部等易磨损部位进行补强，领封和袖封使用可更换硬环。胸前和手臂配有反光条，手封及领封使用液态硅胶，干衣腿部两侧具有工具性口袋，内部设置D环挂扣，底部设有排水孔。前胸双层斜拉链，内层密封性拉链，外层保护性拉链。</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11、干式防寒衣内胆：连体设计可执行冷水任务。表面材料具有防泼水涂层。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12、湿衣：厚度≥5mm，由超弹面料制成。关节位做热模塑形预制处理，肩部具有耐磨图层，手臂配备指北针。手臂，领口，脚口，均有锁水涂层。膝盖部位预制橡胶补强。具有保暖性。</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13、潜水面镜：单视窗潜水面镜，强化玻璃镜片厚度≥3mm。液态硅胶裙边，3D硅胶头带，带扣系统可上下转动。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14、干式呼吸管：PVC材料3D管身，防护罩设计。排水阀设计易快速排出积水。</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15、潜水头套：3+5㎜超弹材料，头部气泡弱化装置，锁水涂层设计。专用高识别色，及三面反光条。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16、潜水靴：单手快速锁紧设置,可一键松脱。采用防穿刺鞋底、鞋两侧配加强筋。</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17、潜水脚蹼：导流槽≥3个。不锈钢弹簧带为不锈钢材质。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一级头：具备双系统工作（弹簧减压工作组，同时也具备横隔膜减压工作组）在单个失效的情况下依然可以保证供气。一级头减压舱具有绝对的抗污能力；质量≤660g；工作压力：≥10Mpa，爆破压力：≥40Mpa；锥形气体过滤器符合公共安全标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二级头和备用二级头：主用具有双调节功能（出气量和呼吸阻抗）。主用可在不需要特殊工具使用的情况下进行拆装以及方便维护。可根据作业需求随意调换管线左右双侧安装。供气管线为高强度尼龙编织管，高强度内壁支撑，任意弯折角度不会对二级头出气量造成影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20、三联表：含指南针、深度表和压力表共同组合仪表。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21、浮力调整背心：双层式组合结构；双气瓶负重系统；软衬垫加宽肩带，可调节固定式胸带和肩带，快插扣式可调节裆带；配重快速释放系统，每个配重袋可装载4Kg潜水铅块；带有反光条。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22、潜水手电：水下作业时间≥1.5h，灯光≥1000lm。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23、电脑表：LED屏幕显示，带指南针，具备震动提醒功能，中文显示功能。潜水使用深度≥40m。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24、紧急救援瓶：铝合金气瓶，容积≥0.8L，设有快插式充气接口。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25、配重腰带：组合式结构，包含腰带、带扣、日字扣，腰带长短可调节，各部件均可自由更换。配有双挂环系统，含多用途不锈钢D型环和多功能O型挂环，挂接潜水装备或牵拉水中、水面物件。单手可操作。</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26、环保配重铅块：材质为铅，外层环保包塑，耐磨，不易损坏。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27、多用途潜水刀：设计尺寸：全长≥25cm，刃长≥12cm，刃厚≥0.3cm。刀身材质为钛合金或相同性能材质；刀鞘设有机械式安全扣，可快拔；刀把材质为防滑式橡胶；弹性橡胶刀带，配备不少于2条。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28、装备包：容量≥70L。双肩背负系统，肩部配软垫,带快卸扣防雨顶盖，标识需求方要求设置。</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29、象拔（水面信号浮标）及线轮：线轮长度≥３０米，线轮具有抗腐蚀性。象拔长度≥1.８米。配带荧光条及夜航灯。</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30、打捞袋（遗体打捞）：颜色标识明显，透水性好，可折叠，承重≥150kg。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21728" behindDoc="0" locked="0" layoutInCell="1" allowOverlap="1">
            <wp:simplePos x="0" y="0"/>
            <wp:positionH relativeFrom="column">
              <wp:posOffset>406400</wp:posOffset>
            </wp:positionH>
            <wp:positionV relativeFrom="paragraph">
              <wp:posOffset>315595</wp:posOffset>
            </wp:positionV>
            <wp:extent cx="802005" cy="541655"/>
            <wp:effectExtent l="0" t="0" r="17145" b="10795"/>
            <wp:wrapSquare wrapText="bothSides"/>
            <wp:docPr id="67"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59"/>
                    <pic:cNvPicPr>
                      <a:picLocks noChangeAspect="1"/>
                    </pic:cNvPicPr>
                  </pic:nvPicPr>
                  <pic:blipFill>
                    <a:blip r:embed="rId72"/>
                    <a:stretch>
                      <a:fillRect/>
                    </a:stretch>
                  </pic:blipFill>
                  <pic:spPr>
                    <a:xfrm>
                      <a:off x="0" y="0"/>
                      <a:ext cx="802005" cy="54165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inline distT="0" distB="0" distL="114300" distR="114300">
            <wp:extent cx="684530" cy="869315"/>
            <wp:effectExtent l="0" t="0" r="1270" b="6985"/>
            <wp:docPr id="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
                    <pic:cNvPicPr>
                      <a:picLocks noChangeAspect="1"/>
                    </pic:cNvPicPr>
                  </pic:nvPicPr>
                  <pic:blipFill>
                    <a:blip r:embed="rId73"/>
                    <a:stretch>
                      <a:fillRect/>
                    </a:stretch>
                  </pic:blipFill>
                  <pic:spPr>
                    <a:xfrm>
                      <a:off x="0" y="0"/>
                      <a:ext cx="684530" cy="869315"/>
                    </a:xfrm>
                    <a:prstGeom prst="rect">
                      <a:avLst/>
                    </a:prstGeom>
                    <a:noFill/>
                    <a:ln>
                      <a:noFill/>
                    </a:ln>
                  </pic:spPr>
                </pic:pic>
              </a:graphicData>
            </a:graphic>
          </wp:inline>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26848" behindDoc="0" locked="0" layoutInCell="1" allowOverlap="1">
            <wp:simplePos x="0" y="0"/>
            <wp:positionH relativeFrom="column">
              <wp:posOffset>1638935</wp:posOffset>
            </wp:positionH>
            <wp:positionV relativeFrom="paragraph">
              <wp:posOffset>43180</wp:posOffset>
            </wp:positionV>
            <wp:extent cx="802640" cy="577850"/>
            <wp:effectExtent l="0" t="0" r="16510" b="12700"/>
            <wp:wrapSquare wrapText="bothSides"/>
            <wp:docPr id="69"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63"/>
                    <pic:cNvPicPr>
                      <a:picLocks noChangeAspect="1"/>
                    </pic:cNvPicPr>
                  </pic:nvPicPr>
                  <pic:blipFill>
                    <a:blip r:embed="rId74"/>
                    <a:stretch>
                      <a:fillRect/>
                    </a:stretch>
                  </pic:blipFill>
                  <pic:spPr>
                    <a:xfrm>
                      <a:off x="0" y="0"/>
                      <a:ext cx="802640" cy="57785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23776" behindDoc="0" locked="0" layoutInCell="1" allowOverlap="1">
            <wp:simplePos x="0" y="0"/>
            <wp:positionH relativeFrom="column">
              <wp:posOffset>1840865</wp:posOffset>
            </wp:positionH>
            <wp:positionV relativeFrom="paragraph">
              <wp:posOffset>29845</wp:posOffset>
            </wp:positionV>
            <wp:extent cx="602615" cy="1118870"/>
            <wp:effectExtent l="0" t="0" r="6985" b="5080"/>
            <wp:wrapSquare wrapText="bothSides"/>
            <wp:docPr id="7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60"/>
                    <pic:cNvPicPr>
                      <a:picLocks noChangeAspect="1"/>
                    </pic:cNvPicPr>
                  </pic:nvPicPr>
                  <pic:blipFill>
                    <a:blip r:embed="rId75"/>
                    <a:stretch>
                      <a:fillRect/>
                    </a:stretch>
                  </pic:blipFill>
                  <pic:spPr>
                    <a:xfrm>
                      <a:off x="0" y="0"/>
                      <a:ext cx="602615" cy="111887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25824" behindDoc="0" locked="0" layoutInCell="1" allowOverlap="1">
            <wp:simplePos x="0" y="0"/>
            <wp:positionH relativeFrom="column">
              <wp:posOffset>571500</wp:posOffset>
            </wp:positionH>
            <wp:positionV relativeFrom="paragraph">
              <wp:posOffset>16510</wp:posOffset>
            </wp:positionV>
            <wp:extent cx="685800" cy="1250315"/>
            <wp:effectExtent l="0" t="0" r="0" b="6985"/>
            <wp:wrapSquare wrapText="bothSides"/>
            <wp:docPr id="71"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62"/>
                    <pic:cNvPicPr>
                      <a:picLocks noChangeAspect="1"/>
                    </pic:cNvPicPr>
                  </pic:nvPicPr>
                  <pic:blipFill>
                    <a:blip r:embed="rId76"/>
                    <a:stretch>
                      <a:fillRect/>
                    </a:stretch>
                  </pic:blipFill>
                  <pic:spPr>
                    <a:xfrm>
                      <a:off x="0" y="0"/>
                      <a:ext cx="685800" cy="125031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22752" behindDoc="0" locked="0" layoutInCell="1" allowOverlap="1">
            <wp:simplePos x="0" y="0"/>
            <wp:positionH relativeFrom="column">
              <wp:posOffset>545465</wp:posOffset>
            </wp:positionH>
            <wp:positionV relativeFrom="paragraph">
              <wp:posOffset>231775</wp:posOffset>
            </wp:positionV>
            <wp:extent cx="796925" cy="702945"/>
            <wp:effectExtent l="0" t="0" r="3175" b="1905"/>
            <wp:wrapSquare wrapText="bothSides"/>
            <wp:docPr id="72" name="图片 158" descr="X(A`(6OJ_%J]@SPNEN7~79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8" descr="X(A`(6OJ_%J]@SPNEN7~79Y"/>
                    <pic:cNvPicPr>
                      <a:picLocks noChangeAspect="1"/>
                    </pic:cNvPicPr>
                  </pic:nvPicPr>
                  <pic:blipFill>
                    <a:blip r:embed="rId77"/>
                    <a:stretch>
                      <a:fillRect/>
                    </a:stretch>
                  </pic:blipFill>
                  <pic:spPr>
                    <a:xfrm>
                      <a:off x="0" y="0"/>
                      <a:ext cx="796925" cy="70294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24800" behindDoc="0" locked="0" layoutInCell="1" allowOverlap="1">
            <wp:simplePos x="0" y="0"/>
            <wp:positionH relativeFrom="column">
              <wp:posOffset>1689100</wp:posOffset>
            </wp:positionH>
            <wp:positionV relativeFrom="paragraph">
              <wp:posOffset>120015</wp:posOffset>
            </wp:positionV>
            <wp:extent cx="798830" cy="785495"/>
            <wp:effectExtent l="0" t="0" r="1270" b="14605"/>
            <wp:wrapSquare wrapText="bothSides"/>
            <wp:docPr id="73" name="图片 53" descr="D:\Documents\Tencent Files\25962404\Image\C2C\AHRW@GOQ3TF$[HG6Z35L%R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53" descr="D:\Documents\Tencent Files\25962404\Image\C2C\AHRW@GOQ3TF$[HG6Z35L%RQ.jpg"/>
                    <pic:cNvPicPr>
                      <a:picLocks noChangeAspect="1"/>
                    </pic:cNvPicPr>
                  </pic:nvPicPr>
                  <pic:blipFill>
                    <a:blip r:embed="rId78"/>
                    <a:stretch>
                      <a:fillRect/>
                    </a:stretch>
                  </pic:blipFill>
                  <pic:spPr>
                    <a:xfrm>
                      <a:off x="0" y="0"/>
                      <a:ext cx="798830" cy="785495"/>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19680" behindDoc="0" locked="0" layoutInCell="1" allowOverlap="1">
            <wp:simplePos x="0" y="0"/>
            <wp:positionH relativeFrom="column">
              <wp:posOffset>24765</wp:posOffset>
            </wp:positionH>
            <wp:positionV relativeFrom="paragraph">
              <wp:posOffset>10638790</wp:posOffset>
            </wp:positionV>
            <wp:extent cx="857250" cy="1190625"/>
            <wp:effectExtent l="0" t="0" r="0" b="9525"/>
            <wp:wrapNone/>
            <wp:docPr id="74"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65"/>
                    <pic:cNvPicPr>
                      <a:picLocks noChangeAspect="1"/>
                    </pic:cNvPicPr>
                  </pic:nvPicPr>
                  <pic:blipFill>
                    <a:blip r:embed="rId79"/>
                    <a:stretch>
                      <a:fillRect/>
                    </a:stretch>
                  </pic:blipFill>
                  <pic:spPr>
                    <a:xfrm>
                      <a:off x="0" y="0"/>
                      <a:ext cx="857250" cy="119062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20704" behindDoc="0" locked="0" layoutInCell="1" allowOverlap="1">
            <wp:simplePos x="0" y="0"/>
            <wp:positionH relativeFrom="column">
              <wp:posOffset>1905</wp:posOffset>
            </wp:positionH>
            <wp:positionV relativeFrom="paragraph">
              <wp:posOffset>13930630</wp:posOffset>
            </wp:positionV>
            <wp:extent cx="789940" cy="726440"/>
            <wp:effectExtent l="0" t="0" r="10160" b="16510"/>
            <wp:wrapNone/>
            <wp:docPr id="75"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67"/>
                    <pic:cNvPicPr>
                      <a:picLocks noChangeAspect="1"/>
                    </pic:cNvPicPr>
                  </pic:nvPicPr>
                  <pic:blipFill>
                    <a:blip r:embed="rId80"/>
                    <a:stretch>
                      <a:fillRect/>
                    </a:stretch>
                  </pic:blipFill>
                  <pic:spPr>
                    <a:xfrm>
                      <a:off x="0" y="0"/>
                      <a:ext cx="789940" cy="726440"/>
                    </a:xfrm>
                    <a:prstGeom prst="rect">
                      <a:avLst/>
                    </a:prstGeom>
                    <a:noFill/>
                    <a:ln>
                      <a:noFill/>
                    </a:ln>
                  </pic:spPr>
                </pic:pic>
              </a:graphicData>
            </a:graphic>
          </wp:anchor>
        </w:drawing>
      </w:r>
    </w:p>
    <w:p>
      <w:pPr>
        <w:spacing w:line="6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三</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救生圈</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1、符合国家GB4302-2008《船用救生圈》标准，提供国家消防装备质量监督检验中心或其他国家权威机构出具的检测报告复印件或扫描件。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2、用于水域救生中使被困人员漂浮于水面。</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3、外径：≤800mm、内径：≤400mm、厚度：≤105mm。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4、沿救生圈四个相等间距位置缠绕逆向反光带，宽度：≥50mm。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5、耐高低温，无褶皱、破裂、膨胀，从规定高度投落后，无开裂或破损。</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6、浮力：支承14.5kg的铁块在淡水中持续漂浮24h。</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7、颜色：橘红色，带救援绳。</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8、可浮把手索：≥4倍救生圈外径，直径：≥9.5mm。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9、重量：≥2.5 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727872" behindDoc="0" locked="0" layoutInCell="1" allowOverlap="1">
            <wp:simplePos x="0" y="0"/>
            <wp:positionH relativeFrom="column">
              <wp:posOffset>1535430</wp:posOffset>
            </wp:positionH>
            <wp:positionV relativeFrom="paragraph">
              <wp:posOffset>1433830</wp:posOffset>
            </wp:positionV>
            <wp:extent cx="2152015" cy="1783080"/>
            <wp:effectExtent l="0" t="0" r="635" b="7620"/>
            <wp:wrapTopAndBottom/>
            <wp:docPr id="76" name="图片 35"/>
            <wp:cNvGraphicFramePr/>
            <a:graphic xmlns:a="http://schemas.openxmlformats.org/drawingml/2006/main">
              <a:graphicData uri="http://schemas.openxmlformats.org/drawingml/2006/picture">
                <pic:pic xmlns:pic="http://schemas.openxmlformats.org/drawingml/2006/picture">
                  <pic:nvPicPr>
                    <pic:cNvPr id="76" name="图片 35"/>
                    <pic:cNvPicPr/>
                  </pic:nvPicPr>
                  <pic:blipFill>
                    <a:blip r:embed="rId81"/>
                    <a:stretch>
                      <a:fillRect/>
                    </a:stretch>
                  </pic:blipFill>
                  <pic:spPr>
                    <a:xfrm>
                      <a:off x="0" y="0"/>
                      <a:ext cx="2152015" cy="1783080"/>
                    </a:xfrm>
                    <a:prstGeom prst="rect">
                      <a:avLst/>
                    </a:prstGeom>
                    <a:noFill/>
                    <a:ln>
                      <a:noFill/>
                    </a:ln>
                  </pic:spPr>
                </pic:pic>
              </a:graphicData>
            </a:graphic>
          </wp:anchor>
        </w:drawing>
      </w:r>
      <w:r>
        <w:rPr>
          <w:rFonts w:hint="eastAsia" w:ascii="仿宋" w:hAnsi="仿宋" w:eastAsia="仿宋" w:cs="仿宋"/>
          <w:bCs/>
          <w:color w:val="auto"/>
          <w:sz w:val="24"/>
          <w:szCs w:val="24"/>
          <w:highlight w:val="none"/>
        </w:rPr>
        <w:t>10、永久性标签要求：标签包括如下内容:制造厂名称、地址和注册商标；产品名称及型号；生产日期和批号；产品执行标准的代号和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kern w:val="0"/>
          <w:sz w:val="24"/>
          <w:szCs w:val="24"/>
          <w:highlight w:val="none"/>
        </w:rPr>
        <w:t>四、干式水域救援服</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2、</w:t>
      </w:r>
      <w:r>
        <w:rPr>
          <w:rStyle w:val="28"/>
          <w:rFonts w:hint="eastAsia" w:ascii="仿宋" w:hAnsi="仿宋" w:eastAsia="仿宋" w:cs="仿宋"/>
          <w:i w:val="0"/>
          <w:color w:val="auto"/>
          <w:sz w:val="24"/>
          <w:szCs w:val="24"/>
          <w:highlight w:val="none"/>
          <w:shd w:val="clear" w:color="auto" w:fill="FFFFFF"/>
        </w:rPr>
        <w:t>消防员水域救援</w:t>
      </w:r>
      <w:r>
        <w:rPr>
          <w:rFonts w:hint="eastAsia" w:ascii="仿宋" w:hAnsi="仿宋" w:eastAsia="仿宋" w:cs="仿宋"/>
          <w:color w:val="auto"/>
          <w:sz w:val="24"/>
          <w:szCs w:val="24"/>
          <w:highlight w:val="none"/>
          <w:shd w:val="clear" w:color="auto" w:fill="FFFFFF"/>
        </w:rPr>
        <w:t>行动中，保护身体的个人防护专用器材。</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用连体结构，三层防水透气复合尼龙布材料复合为一层，领口、袖口采用环状罗纹锥形结构，可保证不同体形人员穿着，男士小便拉链口设计，并设有保护盖，如厕时不用脱下整件衣服，大腿两侧设置立体排水孔工具袋。</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领口、袖口、袜套都采用乳胶材质，防水密封设计，领口拉直后可以保持直立，且领口、袖口都有收紧作用，附带一体的乳胶袜套可以防水并且确保脚部更为保暖，集成式腰部束紧设计,左右两侧可调节舒适度，设有可拆卸、可调节Y型背带，穿戴时更贴身牢固。</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5、在经常磨损的区域例如臀部、肘部和膝部选用高于500D的芳纶双层材料做耐磨、防割等加固处理。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6、主要性能：保温性能：经保温性能试验后，受试者的体表（手、脚和腰部皮肤表面）温度均未降至10℃以下，体温下降＜1.5℃，且受试者能捡一支直径8mm的铅笔并书写。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7、防渗漏性能：≤0.1kg。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8、温度适用性能：10 个高低温循环后（高温70℃，低温-20℃），产品无皱缩、破裂、胀大、分解等现象或机械性能的改变</w:t>
      </w:r>
      <w:bookmarkStart w:id="122" w:name="_Hlk57814809"/>
      <w:r>
        <w:rPr>
          <w:rFonts w:hint="eastAsia" w:ascii="仿宋" w:hAnsi="仿宋" w:eastAsia="仿宋" w:cs="仿宋"/>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9、服装具有防水透汽性能，面料耐静水压≥600kpa</w:t>
      </w:r>
      <w:bookmarkEnd w:id="122"/>
      <w:r>
        <w:rPr>
          <w:rFonts w:hint="eastAsia" w:ascii="仿宋" w:hAnsi="仿宋" w:eastAsia="仿宋" w:cs="仿宋"/>
          <w:color w:val="auto"/>
          <w:sz w:val="24"/>
          <w:szCs w:val="24"/>
          <w:highlight w:val="none"/>
        </w:rPr>
        <w:t>，撕破力≥150N，接缝抗拉强度≥100N。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10、产品具有清晰耐用永久标志（执行标准、型号、规格：生产厂名称或商标：生产厂的识别编号、制造时间）和RFID芯片（内容根据采购方需要填写）。前后标识根据采购方需求定制。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0" distR="0" simplePos="0" relativeHeight="251730944" behindDoc="0" locked="0" layoutInCell="1" allowOverlap="1">
            <wp:simplePos x="0" y="0"/>
            <wp:positionH relativeFrom="column">
              <wp:posOffset>529590</wp:posOffset>
            </wp:positionH>
            <wp:positionV relativeFrom="paragraph">
              <wp:posOffset>170180</wp:posOffset>
            </wp:positionV>
            <wp:extent cx="1379220" cy="1778635"/>
            <wp:effectExtent l="0" t="0" r="11430" b="12065"/>
            <wp:wrapSquare wrapText="bothSides"/>
            <wp:docPr id="7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1"/>
                    <pic:cNvPicPr>
                      <a:picLocks noChangeAspect="1"/>
                    </pic:cNvPicPr>
                  </pic:nvPicPr>
                  <pic:blipFill>
                    <a:blip r:embed="rId82"/>
                    <a:stretch>
                      <a:fillRect/>
                    </a:stretch>
                  </pic:blipFill>
                  <pic:spPr>
                    <a:xfrm>
                      <a:off x="0" y="0"/>
                      <a:ext cx="1379220" cy="177863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728896" behindDoc="0" locked="0" layoutInCell="1" allowOverlap="1">
            <wp:simplePos x="0" y="0"/>
            <wp:positionH relativeFrom="column">
              <wp:posOffset>2114550</wp:posOffset>
            </wp:positionH>
            <wp:positionV relativeFrom="paragraph">
              <wp:posOffset>197485</wp:posOffset>
            </wp:positionV>
            <wp:extent cx="1242060" cy="1744980"/>
            <wp:effectExtent l="0" t="0" r="15240" b="7620"/>
            <wp:wrapSquare wrapText="bothSides"/>
            <wp:docPr id="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
                    <pic:cNvPicPr>
                      <a:picLocks noChangeAspect="1"/>
                    </pic:cNvPicPr>
                  </pic:nvPicPr>
                  <pic:blipFill>
                    <a:blip r:embed="rId83"/>
                    <a:stretch>
                      <a:fillRect/>
                    </a:stretch>
                  </pic:blipFill>
                  <pic:spPr>
                    <a:xfrm>
                      <a:off x="0" y="0"/>
                      <a:ext cx="1242060" cy="174498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729920" behindDoc="0" locked="0" layoutInCell="1" allowOverlap="1">
            <wp:simplePos x="0" y="0"/>
            <wp:positionH relativeFrom="column">
              <wp:posOffset>4025900</wp:posOffset>
            </wp:positionH>
            <wp:positionV relativeFrom="paragraph">
              <wp:posOffset>184785</wp:posOffset>
            </wp:positionV>
            <wp:extent cx="1066800" cy="1765300"/>
            <wp:effectExtent l="0" t="0" r="0" b="6350"/>
            <wp:wrapSquare wrapText="bothSides"/>
            <wp:docPr id="79" name="图片 12" descr="53689858203255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2" descr="536898582032552904"/>
                    <pic:cNvPicPr>
                      <a:picLocks noChangeAspect="1"/>
                    </pic:cNvPicPr>
                  </pic:nvPicPr>
                  <pic:blipFill>
                    <a:blip r:embed="rId84"/>
                    <a:stretch>
                      <a:fillRect/>
                    </a:stretch>
                  </pic:blipFill>
                  <pic:spPr>
                    <a:xfrm>
                      <a:off x="0" y="0"/>
                      <a:ext cx="1066800" cy="1765300"/>
                    </a:xfrm>
                    <a:prstGeom prst="rect">
                      <a:avLst/>
                    </a:prstGeom>
                    <a:noFill/>
                    <a:ln>
                      <a:noFill/>
                    </a:ln>
                  </pic:spPr>
                </pic:pic>
              </a:graphicData>
            </a:graphic>
          </wp:anchor>
        </w:drawing>
      </w:r>
    </w:p>
    <w:p>
      <w:pPr>
        <w:adjustRightInd w:val="0"/>
        <w:snapToGrid w:val="0"/>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五</w:t>
      </w:r>
      <w:r>
        <w:rPr>
          <w:rFonts w:hint="eastAsia" w:ascii="仿宋" w:hAnsi="仿宋" w:eastAsia="仿宋" w:cs="仿宋"/>
          <w:color w:val="auto"/>
          <w:kern w:val="0"/>
          <w:sz w:val="24"/>
          <w:szCs w:val="24"/>
          <w:highlight w:val="none"/>
        </w:rPr>
        <w:t>、湿式水域救援防护服</w:t>
      </w:r>
    </w:p>
    <w:p>
      <w:pPr>
        <w:spacing w:line="600" w:lineRule="exact"/>
        <w:ind w:firstLine="480" w:firstLineChars="200"/>
        <w:rPr>
          <w:rFonts w:hint="eastAsia" w:ascii="仿宋" w:hAnsi="仿宋" w:eastAsia="仿宋" w:cs="仿宋"/>
          <w:bCs/>
          <w:color w:val="auto"/>
          <w:kern w:val="44"/>
          <w:sz w:val="24"/>
          <w:szCs w:val="24"/>
          <w:highlight w:val="none"/>
        </w:rPr>
      </w:pPr>
      <w:r>
        <w:rPr>
          <w:rFonts w:hint="eastAsia" w:ascii="仿宋" w:hAnsi="仿宋" w:eastAsia="仿宋" w:cs="仿宋"/>
          <w:bCs/>
          <w:color w:val="auto"/>
          <w:kern w:val="44"/>
          <w:sz w:val="24"/>
          <w:szCs w:val="24"/>
          <w:highlight w:val="none"/>
        </w:rPr>
        <w:t>分体式湿式水域救援防护服</w:t>
      </w:r>
    </w:p>
    <w:p>
      <w:pPr>
        <w:pStyle w:val="4"/>
        <w:widowControl/>
        <w:spacing w:beforeAutospacing="0" w:afterAutospacing="0" w:line="600" w:lineRule="exact"/>
        <w:ind w:firstLine="480" w:firstLineChars="200"/>
        <w:jc w:val="both"/>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1、总体要求参照GB 24540-2009《防护服装 酸碱类化学品防护服国家标准</w:t>
      </w:r>
      <w:r>
        <w:rPr>
          <w:rFonts w:hint="eastAsia" w:ascii="仿宋" w:hAnsi="仿宋" w:eastAsia="仿宋" w:cs="仿宋"/>
          <w:b w:val="0"/>
          <w:bCs/>
          <w:color w:val="auto"/>
          <w:sz w:val="24"/>
          <w:szCs w:val="24"/>
          <w:highlight w:val="none"/>
          <w:shd w:val="clear" w:color="auto" w:fill="FFFFFF"/>
        </w:rPr>
        <w:t>》和GB/T 19976-2005 《纺织品 顶破强力的测定》的要求</w:t>
      </w:r>
      <w:r>
        <w:rPr>
          <w:rFonts w:hint="eastAsia" w:ascii="仿宋" w:hAnsi="仿宋" w:eastAsia="仿宋" w:cs="仿宋"/>
          <w:b w:val="0"/>
          <w:bCs/>
          <w:color w:val="auto"/>
          <w:sz w:val="24"/>
          <w:szCs w:val="24"/>
          <w:highlight w:val="none"/>
        </w:rPr>
        <w:t>。提供国家消防装备质量监督检验中心或其他国家级权威检验机构出具的检测报告复印件或扫描件。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shd w:val="clear" w:color="auto" w:fill="FFFFFF"/>
        </w:rPr>
        <w:t>用于</w:t>
      </w:r>
      <w:r>
        <w:rPr>
          <w:rStyle w:val="28"/>
          <w:rFonts w:hint="eastAsia" w:ascii="仿宋" w:hAnsi="仿宋" w:eastAsia="仿宋" w:cs="仿宋"/>
          <w:i w:val="0"/>
          <w:color w:val="auto"/>
          <w:sz w:val="24"/>
          <w:szCs w:val="24"/>
          <w:highlight w:val="none"/>
          <w:shd w:val="clear" w:color="auto" w:fill="FFFFFF"/>
        </w:rPr>
        <w:t>消防员</w:t>
      </w:r>
      <w:r>
        <w:rPr>
          <w:rFonts w:hint="eastAsia" w:ascii="仿宋" w:hAnsi="仿宋" w:eastAsia="仿宋" w:cs="仿宋"/>
          <w:color w:val="auto"/>
          <w:sz w:val="24"/>
          <w:szCs w:val="24"/>
          <w:highlight w:val="none"/>
          <w:shd w:val="clear" w:color="auto" w:fill="FFFFFF"/>
        </w:rPr>
        <w:t>急流洪水和</w:t>
      </w:r>
      <w:r>
        <w:rPr>
          <w:rStyle w:val="28"/>
          <w:rFonts w:hint="eastAsia" w:ascii="仿宋" w:hAnsi="仿宋" w:eastAsia="仿宋" w:cs="仿宋"/>
          <w:i w:val="0"/>
          <w:color w:val="auto"/>
          <w:sz w:val="24"/>
          <w:szCs w:val="24"/>
          <w:highlight w:val="none"/>
          <w:shd w:val="clear" w:color="auto" w:fill="FFFFFF"/>
        </w:rPr>
        <w:t>水域救援</w:t>
      </w:r>
      <w:r>
        <w:rPr>
          <w:rFonts w:hint="eastAsia" w:ascii="仿宋" w:hAnsi="仿宋" w:eastAsia="仿宋" w:cs="仿宋"/>
          <w:color w:val="auto"/>
          <w:sz w:val="24"/>
          <w:szCs w:val="24"/>
          <w:highlight w:val="none"/>
          <w:shd w:val="clear" w:color="auto" w:fill="FFFFFF"/>
        </w:rPr>
        <w:t>行动中，保护身体的个人防护专用器材。</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3、整装</w:t>
      </w:r>
      <w:r>
        <w:rPr>
          <w:rFonts w:hint="eastAsia" w:ascii="仿宋" w:hAnsi="仿宋" w:eastAsia="仿宋" w:cs="仿宋"/>
          <w:color w:val="auto"/>
          <w:kern w:val="0"/>
          <w:sz w:val="24"/>
          <w:szCs w:val="24"/>
          <w:highlight w:val="none"/>
          <w:shd w:val="clear" w:color="auto" w:fill="FFFFFF"/>
          <w:lang w:bidi="ar"/>
        </w:rPr>
        <w:t>分体式设计，前开拉链上衣和系带长裤，方便穿脱，厚度≥3mm。</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bidi="ar"/>
        </w:rPr>
        <w:t>4、</w:t>
      </w:r>
      <w:r>
        <w:rPr>
          <w:rStyle w:val="25"/>
          <w:rFonts w:hint="eastAsia" w:ascii="仿宋" w:hAnsi="仿宋" w:eastAsia="仿宋" w:cs="仿宋"/>
          <w:b w:val="0"/>
          <w:color w:val="auto"/>
          <w:kern w:val="0"/>
          <w:sz w:val="24"/>
          <w:szCs w:val="24"/>
          <w:highlight w:val="none"/>
          <w:shd w:val="clear" w:color="auto" w:fill="FFFFFF"/>
          <w:lang w:bidi="ar"/>
        </w:rPr>
        <w:t>水域救援服</w:t>
      </w:r>
      <w:r>
        <w:rPr>
          <w:rFonts w:hint="eastAsia" w:ascii="仿宋" w:hAnsi="仿宋" w:eastAsia="仿宋" w:cs="仿宋"/>
          <w:color w:val="auto"/>
          <w:kern w:val="0"/>
          <w:sz w:val="24"/>
          <w:szCs w:val="24"/>
          <w:highlight w:val="none"/>
          <w:shd w:val="clear" w:color="auto" w:fill="FFFFFF"/>
          <w:lang w:bidi="ar"/>
        </w:rPr>
        <w:t>为双层设计，外层为氯丁橡胶，内层为尼龙拉纱布，贴合度良好。</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bidi="ar"/>
        </w:rPr>
        <w:t>5、臀部、肩部、手肘、膝盖关节处等易磨损处设置抗磨面料。</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bidi="ar"/>
        </w:rPr>
        <w:t>6、手腕、手臂、背部和裤口部位，加设弹性反光带。</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bidi="ar"/>
        </w:rPr>
        <w:t>7、胸口右侧设有魔术贴，满足身份识别需要。</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bidi="ar"/>
        </w:rPr>
        <w:t>8、设置前置拉链和踝部、腕部拉链。</w:t>
      </w:r>
    </w:p>
    <w:p>
      <w:pPr>
        <w:widowControl/>
        <w:shd w:val="clear" w:color="auto" w:fill="FFFFFF"/>
        <w:spacing w:line="600" w:lineRule="exact"/>
        <w:ind w:firstLine="480" w:firstLineChars="200"/>
        <w:rPr>
          <w:rFonts w:hint="eastAsia" w:ascii="仿宋" w:hAnsi="仿宋" w:eastAsia="仿宋" w:cs="仿宋"/>
          <w:color w:val="auto"/>
          <w:kern w:val="0"/>
          <w:sz w:val="24"/>
          <w:szCs w:val="24"/>
          <w:highlight w:val="none"/>
          <w:shd w:val="clear" w:color="auto" w:fill="FFFFFF"/>
          <w:lang w:bidi="ar"/>
        </w:rPr>
      </w:pPr>
      <w:r>
        <w:rPr>
          <w:rFonts w:hint="eastAsia" w:ascii="仿宋" w:hAnsi="仿宋" w:eastAsia="仿宋" w:cs="仿宋"/>
          <w:color w:val="auto"/>
          <w:kern w:val="0"/>
          <w:sz w:val="24"/>
          <w:szCs w:val="24"/>
          <w:highlight w:val="none"/>
          <w:shd w:val="clear" w:color="auto" w:fill="FFFFFF"/>
          <w:lang w:bidi="ar"/>
        </w:rPr>
        <w:t xml:space="preserve">9、所有缝线处都是用暗针缝制，上衣下摆做防滑设计（塑料带）。    </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bidi="ar"/>
        </w:rPr>
        <w:t>10、</w:t>
      </w:r>
      <w:r>
        <w:rPr>
          <w:rFonts w:hint="eastAsia" w:ascii="仿宋" w:hAnsi="仿宋" w:eastAsia="仿宋" w:cs="仿宋"/>
          <w:color w:val="auto"/>
          <w:sz w:val="24"/>
          <w:szCs w:val="24"/>
          <w:highlight w:val="none"/>
        </w:rPr>
        <w:t>产品具有清晰耐久标志（执行标准、型号、规格；生产厂的名称或商标；生产厂的识别编号、制造时间）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。前后标识根据采购方需求定制。</w:t>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31968" behindDoc="0" locked="0" layoutInCell="1" allowOverlap="1">
            <wp:simplePos x="0" y="0"/>
            <wp:positionH relativeFrom="column">
              <wp:posOffset>2419985</wp:posOffset>
            </wp:positionH>
            <wp:positionV relativeFrom="paragraph">
              <wp:posOffset>321945</wp:posOffset>
            </wp:positionV>
            <wp:extent cx="787400" cy="1924685"/>
            <wp:effectExtent l="0" t="0" r="12700" b="18415"/>
            <wp:wrapSquare wrapText="bothSides"/>
            <wp:docPr id="8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
                    <pic:cNvPicPr>
                      <a:picLocks noChangeAspect="1"/>
                    </pic:cNvPicPr>
                  </pic:nvPicPr>
                  <pic:blipFill>
                    <a:blip r:embed="rId85"/>
                    <a:stretch>
                      <a:fillRect/>
                    </a:stretch>
                  </pic:blipFill>
                  <pic:spPr>
                    <a:xfrm>
                      <a:off x="0" y="0"/>
                      <a:ext cx="787400" cy="1924685"/>
                    </a:xfrm>
                    <a:prstGeom prst="rect">
                      <a:avLst/>
                    </a:prstGeom>
                    <a:noFill/>
                    <a:ln>
                      <a:noFill/>
                    </a:ln>
                  </pic:spPr>
                </pic:pic>
              </a:graphicData>
            </a:graphic>
          </wp:anchor>
        </w:drawing>
      </w: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p>
    <w:p>
      <w:pPr>
        <w:widowControl/>
        <w:shd w:val="clear" w:color="auto" w:fill="FFFFFF"/>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2" w:firstLineChars="200"/>
        <w:rPr>
          <w:rFonts w:hint="eastAsia" w:ascii="仿宋" w:hAnsi="仿宋" w:eastAsia="仿宋" w:cs="仿宋"/>
          <w:b/>
          <w:bCs/>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六</w:t>
      </w:r>
      <w:r>
        <w:rPr>
          <w:rFonts w:hint="eastAsia" w:ascii="仿宋" w:hAnsi="仿宋" w:eastAsia="仿宋" w:cs="仿宋"/>
          <w:color w:val="auto"/>
          <w:kern w:val="0"/>
          <w:sz w:val="24"/>
          <w:szCs w:val="24"/>
          <w:highlight w:val="none"/>
        </w:rPr>
        <w:t>、水下救生手环</w:t>
      </w:r>
    </w:p>
    <w:p>
      <w:pPr>
        <w:pStyle w:val="22"/>
        <w:ind w:firstLine="32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整体结构包括腕带、气仓和气囊，重168g，二氧化碳气罐，最高可负重达 125 公斤，适用于老人、成年人以及孩子。</w:t>
      </w:r>
    </w:p>
    <w:p>
      <w:pPr>
        <w:pStyle w:val="22"/>
        <w:ind w:firstLine="32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drawing>
          <wp:anchor distT="0" distB="0" distL="114300" distR="114300" simplePos="0" relativeHeight="251748352" behindDoc="0" locked="0" layoutInCell="1" allowOverlap="1">
            <wp:simplePos x="0" y="0"/>
            <wp:positionH relativeFrom="column">
              <wp:posOffset>993140</wp:posOffset>
            </wp:positionH>
            <wp:positionV relativeFrom="paragraph">
              <wp:posOffset>215900</wp:posOffset>
            </wp:positionV>
            <wp:extent cx="2884805" cy="1622425"/>
            <wp:effectExtent l="0" t="0" r="10795" b="15875"/>
            <wp:wrapNone/>
            <wp:docPr id="81" name="图片 62" descr="微信图片_2021071210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2" descr="微信图片_20210712101812"/>
                    <pic:cNvPicPr>
                      <a:picLocks noChangeAspect="1"/>
                    </pic:cNvPicPr>
                  </pic:nvPicPr>
                  <pic:blipFill>
                    <a:blip r:embed="rId86"/>
                    <a:stretch>
                      <a:fillRect/>
                    </a:stretch>
                  </pic:blipFill>
                  <pic:spPr>
                    <a:xfrm>
                      <a:off x="0" y="0"/>
                      <a:ext cx="2884805" cy="1622425"/>
                    </a:xfrm>
                    <a:prstGeom prst="rect">
                      <a:avLst/>
                    </a:prstGeom>
                    <a:noFill/>
                    <a:ln>
                      <a:noFill/>
                    </a:ln>
                  </pic:spPr>
                </pic:pic>
              </a:graphicData>
            </a:graphic>
          </wp:anchor>
        </w:drawing>
      </w:r>
    </w:p>
    <w:p>
      <w:pPr>
        <w:pStyle w:val="22"/>
        <w:ind w:firstLine="320"/>
        <w:rPr>
          <w:rFonts w:hint="eastAsia" w:ascii="仿宋" w:hAnsi="仿宋" w:eastAsia="仿宋" w:cs="仿宋"/>
          <w:color w:val="auto"/>
          <w:kern w:val="2"/>
          <w:sz w:val="24"/>
          <w:szCs w:val="24"/>
          <w:highlight w:val="none"/>
        </w:rPr>
      </w:pPr>
    </w:p>
    <w:p>
      <w:pPr>
        <w:pStyle w:val="22"/>
        <w:ind w:firstLine="210"/>
        <w:rPr>
          <w:rFonts w:hint="eastAsia" w:ascii="仿宋" w:hAnsi="仿宋" w:eastAsia="仿宋" w:cs="仿宋"/>
          <w:color w:val="auto"/>
          <w:sz w:val="24"/>
          <w:szCs w:val="24"/>
          <w:highlight w:val="none"/>
        </w:rPr>
      </w:pPr>
    </w:p>
    <w:p>
      <w:pPr>
        <w:pStyle w:val="2"/>
        <w:ind w:firstLine="240" w:firstLineChars="100"/>
        <w:rPr>
          <w:rFonts w:hint="eastAsia" w:ascii="仿宋" w:hAnsi="仿宋" w:eastAsia="仿宋" w:cs="仿宋"/>
          <w:color w:val="auto"/>
          <w:sz w:val="24"/>
          <w:szCs w:val="24"/>
          <w:highlight w:val="none"/>
        </w:rPr>
      </w:pPr>
    </w:p>
    <w:p>
      <w:pPr>
        <w:pStyle w:val="2"/>
        <w:ind w:firstLine="240" w:firstLineChars="100"/>
        <w:rPr>
          <w:rFonts w:hint="eastAsia" w:ascii="仿宋" w:hAnsi="仿宋" w:eastAsia="仿宋" w:cs="仿宋"/>
          <w:color w:val="auto"/>
          <w:sz w:val="24"/>
          <w:szCs w:val="24"/>
          <w:highlight w:val="none"/>
        </w:rPr>
      </w:pPr>
    </w:p>
    <w:p>
      <w:pPr>
        <w:pStyle w:val="2"/>
        <w:ind w:firstLine="240" w:firstLineChars="100"/>
        <w:rPr>
          <w:rFonts w:hint="eastAsia" w:ascii="仿宋" w:hAnsi="仿宋" w:eastAsia="仿宋" w:cs="仿宋"/>
          <w:color w:val="auto"/>
          <w:sz w:val="24"/>
          <w:szCs w:val="24"/>
          <w:highlight w:val="none"/>
        </w:rPr>
      </w:pPr>
    </w:p>
    <w:p>
      <w:pPr>
        <w:pStyle w:val="2"/>
        <w:ind w:firstLine="240" w:firstLineChars="100"/>
        <w:rPr>
          <w:rFonts w:hint="eastAsia" w:ascii="仿宋" w:hAnsi="仿宋" w:eastAsia="仿宋" w:cs="仿宋"/>
          <w:color w:val="auto"/>
          <w:sz w:val="24"/>
          <w:szCs w:val="24"/>
          <w:highlight w:val="none"/>
        </w:rPr>
      </w:pPr>
    </w:p>
    <w:p>
      <w:pPr>
        <w:pStyle w:val="2"/>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七</w:t>
      </w:r>
      <w:r>
        <w:rPr>
          <w:rFonts w:hint="eastAsia" w:ascii="仿宋" w:hAnsi="仿宋" w:eastAsia="仿宋" w:cs="仿宋"/>
          <w:color w:val="auto"/>
          <w:sz w:val="24"/>
          <w:szCs w:val="24"/>
          <w:highlight w:val="none"/>
        </w:rPr>
        <w:t>、水域救援个人携行包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ab/>
      </w:r>
      <w:r>
        <w:rPr>
          <w:rFonts w:hint="eastAsia" w:ascii="仿宋" w:hAnsi="仿宋" w:eastAsia="仿宋" w:cs="仿宋"/>
          <w:color w:val="auto"/>
          <w:sz w:val="24"/>
          <w:szCs w:val="24"/>
          <w:highlight w:val="none"/>
        </w:rPr>
        <w:t>1.组件：主背包（Main Backpack）</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面料：600D高强度防水尼龙，3次PU涂层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里料：210D聚酯纤维，聚氨酯涂层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容积：70L 10L可扩充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重量：2.5KG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尺寸：长x宽x高（35x28x80cm）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织带：高纤涤纶材料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肩带：舒适透气的网布肩带，肩带可根据不同身高来调节，快速方便</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储能夜光反光条：在肩垫带前侧、包两侧和护腰带具有反光条，在夜间或视觉不良环境中提供可靠的个人安全保障，耐久性，耐老化耐磨和耐洗性，可干洗或水洗，洗涤后仍保持良好的反光效果。</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拉链：YKK</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卡扣：不锈钢高承重调节扣，特点：强韧，富弹性，耐热性</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储存：干燥通风处储存</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2.组件：辅助胸包（Chest Rig）</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面料：600D高强度防水尼龙，3次PU涂层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里料：210D尼龙加密材料，涂优丽胶面料，防水。</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容积： 30L 2L</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尺寸：长x宽x高（32x15.5x41cm）可扩充高度14cm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织带：高纤涤纶材料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卡扣：UTX材质，特点：强韧，富弹性，耐热性</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储存：干燥通风处储存</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3.组件：装备背心（Equipment Supplies Carrier）</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面料：600D高强度防水尼龙，3次PU涂层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织带：高纤涤纶材料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卡扣：UTX材质，特点：强韧，富弹性，耐热性好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储存：干燥通风处储存</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4.组件：水袋包（Hydration Pack）</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面料：600D高强度防水尼龙，3次PU涂层</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织带：高纤涤纶材料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尺寸：长x宽x高（16x6.5x15cm）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储存：干燥通风处储存</w:t>
      </w:r>
    </w:p>
    <w:p>
      <w:pPr>
        <w:adjustRightInd w:val="0"/>
        <w:snapToGrid w:val="0"/>
        <w:spacing w:line="600" w:lineRule="exact"/>
        <w:ind w:left="878" w:leftChars="304" w:hanging="240" w:hanging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5.组件：工具腿包（Leg Thigh Rig）</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面料：600D高强度防水尼龙，3次PU涂层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里料：210D聚酯纤维，聚氨酯涂层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容积：约3.2升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重量：约0.5kg</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尺寸：约20x20x8cm</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织带：高纤聚酯纤维</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肩带：舒适透气的网布肩带，肩带可根据不同身高来调节，快速方便</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储能夜光反光条：在肩垫带前侧、包两侧和护腰带具有反光条，在夜间或视觉不良环境中提供可靠的个人安全保障，耐久性，耐老化耐磨和耐洗性，可干洗或水洗，洗涤后仍保持良好的反光效果。</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拉链：YKK</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卡扣：UTX材质，特点：强韧，富弹性，耐热性</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储存：干燥通风处储存</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主背包：装载主要生存用装备包括帐篷/睡袋/防潮垫/炊具等</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辅助胸包：装载装备背心和其他物资，且到达营地后可转为主背包</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装备背心：装载常用小型救援装备</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水袋包：装载2L水合包，用于补充水分</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工具腿包：装载常用工具包括急救医疗品</w:t>
      </w:r>
    </w:p>
    <w:p>
      <w:pPr>
        <w:tabs>
          <w:tab w:val="left" w:pos="816"/>
        </w:tabs>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shd w:val="clear" w:color="auto" w:fill="EEEEEE"/>
        </w:rPr>
        <w:drawing>
          <wp:anchor distT="0" distB="0" distL="114300" distR="114300" simplePos="0" relativeHeight="251749376" behindDoc="0" locked="0" layoutInCell="1" allowOverlap="1">
            <wp:simplePos x="0" y="0"/>
            <wp:positionH relativeFrom="column">
              <wp:posOffset>961390</wp:posOffset>
            </wp:positionH>
            <wp:positionV relativeFrom="paragraph">
              <wp:posOffset>360045</wp:posOffset>
            </wp:positionV>
            <wp:extent cx="2221230" cy="2221230"/>
            <wp:effectExtent l="0" t="0" r="7620" b="7620"/>
            <wp:wrapNone/>
            <wp:docPr id="82"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7" descr="IMG_256"/>
                    <pic:cNvPicPr>
                      <a:picLocks noChangeAspect="1"/>
                    </pic:cNvPicPr>
                  </pic:nvPicPr>
                  <pic:blipFill>
                    <a:blip r:embed="rId87"/>
                    <a:stretch>
                      <a:fillRect/>
                    </a:stretch>
                  </pic:blipFill>
                  <pic:spPr>
                    <a:xfrm>
                      <a:off x="0" y="0"/>
                      <a:ext cx="2221230" cy="2221230"/>
                    </a:xfrm>
                    <a:prstGeom prst="rect">
                      <a:avLst/>
                    </a:prstGeom>
                    <a:noFill/>
                    <a:ln>
                      <a:noFill/>
                    </a:ln>
                  </pic:spPr>
                </pic:pic>
              </a:graphicData>
            </a:graphic>
          </wp:anchor>
        </w:drawing>
      </w:r>
      <w:r>
        <w:rPr>
          <w:rFonts w:hint="eastAsia" w:ascii="仿宋" w:hAnsi="仿宋" w:eastAsia="仿宋" w:cs="仿宋"/>
          <w:color w:val="auto"/>
          <w:sz w:val="24"/>
          <w:szCs w:val="24"/>
          <w:highlight w:val="none"/>
        </w:rPr>
        <w:br w:type="textWrapp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八</w:t>
      </w:r>
      <w:r>
        <w:rPr>
          <w:rFonts w:hint="eastAsia" w:ascii="仿宋" w:hAnsi="仿宋" w:eastAsia="仿宋" w:cs="仿宋"/>
          <w:color w:val="auto"/>
          <w:kern w:val="0"/>
          <w:sz w:val="24"/>
          <w:szCs w:val="24"/>
          <w:highlight w:val="none"/>
        </w:rPr>
        <w:t>、消防员水域救援手套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w:t>
      </w:r>
      <w:r>
        <w:rPr>
          <w:rFonts w:hint="eastAsia" w:ascii="仿宋" w:hAnsi="仿宋" w:eastAsia="仿宋" w:cs="仿宋"/>
          <w:color w:val="auto"/>
          <w:sz w:val="24"/>
          <w:szCs w:val="24"/>
          <w:highlight w:val="none"/>
          <w:shd w:val="clear" w:color="auto" w:fill="FFFFFF"/>
        </w:rPr>
        <w:t>XF633-2006《</w:t>
      </w:r>
      <w:r>
        <w:rPr>
          <w:rStyle w:val="28"/>
          <w:rFonts w:hint="eastAsia" w:ascii="仿宋" w:hAnsi="仿宋" w:eastAsia="仿宋" w:cs="仿宋"/>
          <w:i w:val="0"/>
          <w:color w:val="auto"/>
          <w:sz w:val="24"/>
          <w:szCs w:val="24"/>
          <w:highlight w:val="none"/>
          <w:shd w:val="clear" w:color="auto" w:fill="FFFFFF"/>
        </w:rPr>
        <w:t>消防员</w:t>
      </w:r>
      <w:r>
        <w:rPr>
          <w:rFonts w:hint="eastAsia" w:ascii="仿宋" w:hAnsi="仿宋" w:eastAsia="仿宋" w:cs="仿宋"/>
          <w:color w:val="auto"/>
          <w:sz w:val="24"/>
          <w:szCs w:val="24"/>
          <w:highlight w:val="none"/>
          <w:shd w:val="clear" w:color="auto" w:fill="FFFFFF"/>
        </w:rPr>
        <w:t>抢险救援防护服》标准</w:t>
      </w:r>
      <w:r>
        <w:rPr>
          <w:rFonts w:hint="eastAsia" w:ascii="仿宋" w:hAnsi="仿宋" w:eastAsia="仿宋" w:cs="仿宋"/>
          <w:color w:val="auto"/>
          <w:sz w:val="24"/>
          <w:szCs w:val="24"/>
          <w:highlight w:val="none"/>
        </w:rPr>
        <w:t>。提供国家消防装备质量监督检测中心或其他国家级权威检测机构出具的检测报告复印件或扫描件。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2、由外层、防护保暖复合层组合制成，手套的掌心和手指部分缝有用于增强外层耐磨性的材料。</w:t>
      </w:r>
    </w:p>
    <w:p>
      <w:pPr>
        <w:adjustRightInd w:val="0"/>
        <w:snapToGrid w:val="0"/>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3、主要用于</w:t>
      </w:r>
      <w:r>
        <w:rPr>
          <w:rFonts w:hint="eastAsia" w:ascii="仿宋" w:hAnsi="仿宋" w:eastAsia="仿宋" w:cs="仿宋"/>
          <w:color w:val="auto"/>
          <w:sz w:val="24"/>
          <w:szCs w:val="24"/>
          <w:highlight w:val="none"/>
          <w:shd w:val="clear" w:color="auto" w:fill="FFFFFF"/>
        </w:rPr>
        <w:t>水域救援作业时，保护消防员手部，操作绳索及其他救援工具时提供防护。</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4、</w:t>
      </w:r>
      <w:r>
        <w:rPr>
          <w:rFonts w:hint="eastAsia" w:ascii="仿宋" w:hAnsi="仿宋" w:eastAsia="仿宋" w:cs="仿宋"/>
          <w:color w:val="auto"/>
          <w:sz w:val="24"/>
          <w:szCs w:val="24"/>
          <w:highlight w:val="none"/>
        </w:rPr>
        <w:t>特殊的合成皮革材料可以为手掌和手指处提供良好的抓握性和耐磨保护性。</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5、手套的耐磨性能：在9KPa的压力下，经8000次循环摩擦后未能击穿。</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6、灵巧性能：手套徒手控制百分比达到102%。</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7、穿戴性能：手套穿戴时间15s。</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8、在手套的背面采用2mm的氯丁橡胶层提供良好的保暖性和抗冲击性。</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9、手掌和手指正面都经过合成皮革的加固处理，保证耐用性同时不失灵活性。</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10、在经常性磨损区域都做了非常稳定的加固垫，确保在用手划水和操作绳索的时候都可以得到良好的保护。</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11、拇指处的衬垫方便擦拭鼻子和眉毛。</w:t>
      </w:r>
    </w:p>
    <w:p>
      <w:pPr>
        <w:pStyle w:val="21"/>
        <w:widowControl/>
        <w:spacing w:beforeAutospacing="0" w:afterAutospacing="0" w:line="6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12、在手腕处设有魔术贴织带，可以快速调节和固定，并确保手套不会滑落，增加了保暖性。</w:t>
      </w:r>
    </w:p>
    <w:p>
      <w:pPr>
        <w:adjustRightInd w:val="0"/>
        <w:snapToGrid w:val="0"/>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13、产品具有清晰耐用永久标志（执行标准、型号、规格：生产厂名称或商标：生产厂的识别编号、制造时间）</w:t>
      </w:r>
      <w:r>
        <w:rPr>
          <w:rFonts w:hint="eastAsia" w:ascii="仿宋" w:hAnsi="仿宋" w:eastAsia="仿宋" w:cs="仿宋"/>
          <w:bCs/>
          <w:color w:val="auto"/>
          <w:sz w:val="24"/>
          <w:szCs w:val="24"/>
          <w:highlight w:val="none"/>
        </w:rPr>
        <w:t>和RFID芯片（内容根据采购方需要填写）</w:t>
      </w:r>
      <w:r>
        <w:rPr>
          <w:rFonts w:hint="eastAsia" w:ascii="仿宋" w:hAnsi="仿宋" w:eastAsia="仿宋" w:cs="仿宋"/>
          <w:color w:val="auto"/>
          <w:sz w:val="24"/>
          <w:szCs w:val="24"/>
          <w:highlight w:val="none"/>
        </w:rPr>
        <w:t>。</w:t>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32992" behindDoc="0" locked="0" layoutInCell="1" allowOverlap="1">
            <wp:simplePos x="0" y="0"/>
            <wp:positionH relativeFrom="column">
              <wp:posOffset>1323975</wp:posOffset>
            </wp:positionH>
            <wp:positionV relativeFrom="paragraph">
              <wp:posOffset>458470</wp:posOffset>
            </wp:positionV>
            <wp:extent cx="1653540" cy="1520825"/>
            <wp:effectExtent l="0" t="0" r="3810" b="3175"/>
            <wp:wrapTopAndBottom/>
            <wp:docPr id="8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8"/>
                    <pic:cNvPicPr>
                      <a:picLocks noChangeAspect="1"/>
                    </pic:cNvPicPr>
                  </pic:nvPicPr>
                  <pic:blipFill>
                    <a:blip r:embed="rId80"/>
                    <a:stretch>
                      <a:fillRect/>
                    </a:stretch>
                  </pic:blipFill>
                  <pic:spPr>
                    <a:xfrm>
                      <a:off x="0" y="0"/>
                      <a:ext cx="1653540" cy="152082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34016" behindDoc="0" locked="0" layoutInCell="1" allowOverlap="1">
            <wp:simplePos x="0" y="0"/>
            <wp:positionH relativeFrom="column">
              <wp:posOffset>3846195</wp:posOffset>
            </wp:positionH>
            <wp:positionV relativeFrom="paragraph">
              <wp:posOffset>282575</wp:posOffset>
            </wp:positionV>
            <wp:extent cx="1203960" cy="1493520"/>
            <wp:effectExtent l="0" t="0" r="15240" b="11430"/>
            <wp:wrapTopAndBottom/>
            <wp:docPr id="8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
                    <pic:cNvPicPr>
                      <a:picLocks noChangeAspect="1"/>
                    </pic:cNvPicPr>
                  </pic:nvPicPr>
                  <pic:blipFill>
                    <a:blip r:embed="rId88"/>
                    <a:stretch>
                      <a:fillRect/>
                    </a:stretch>
                  </pic:blipFill>
                  <pic:spPr>
                    <a:xfrm>
                      <a:off x="0" y="0"/>
                      <a:ext cx="1203960" cy="1493520"/>
                    </a:xfrm>
                    <a:prstGeom prst="rect">
                      <a:avLst/>
                    </a:prstGeom>
                    <a:noFill/>
                    <a:ln>
                      <a:noFill/>
                    </a:ln>
                  </pic:spPr>
                </pic:pic>
              </a:graphicData>
            </a:graphic>
          </wp:anchor>
        </w:drawing>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九</w:t>
      </w:r>
      <w:r>
        <w:rPr>
          <w:rFonts w:hint="eastAsia" w:ascii="仿宋" w:hAnsi="仿宋" w:eastAsia="仿宋" w:cs="仿宋"/>
          <w:color w:val="auto"/>
          <w:kern w:val="0"/>
          <w:sz w:val="24"/>
          <w:szCs w:val="24"/>
          <w:highlight w:val="none"/>
        </w:rPr>
        <w:t>、消防员水域救援靴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2、消防员急流洪水和水域救援行动中，保护脚部、脚踝不受伤害的防护装备。</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3、舒适、速干面料，高帮水域救援靴。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4、鞋两侧有滤水孔，方便排水。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5、鞋垫材质：氯丁橡胶，厚度≥7mm。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6、鞋底适应水面和陆地的各种地形，防滑防刺，舒适保暖。</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7、脚跟处凸起设计，方便与脚蹼搭配使用。</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0" distR="0" simplePos="0" relativeHeight="251736064" behindDoc="0" locked="0" layoutInCell="1" allowOverlap="1">
            <wp:simplePos x="0" y="0"/>
            <wp:positionH relativeFrom="column">
              <wp:posOffset>4288155</wp:posOffset>
            </wp:positionH>
            <wp:positionV relativeFrom="paragraph">
              <wp:posOffset>204470</wp:posOffset>
            </wp:positionV>
            <wp:extent cx="1234440" cy="1388745"/>
            <wp:effectExtent l="0" t="0" r="3810" b="1905"/>
            <wp:wrapSquare wrapText="bothSides"/>
            <wp:docPr id="8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
                    <pic:cNvPicPr>
                      <a:picLocks noChangeAspect="1"/>
                    </pic:cNvPicPr>
                  </pic:nvPicPr>
                  <pic:blipFill>
                    <a:blip r:embed="rId89"/>
                    <a:stretch>
                      <a:fillRect/>
                    </a:stretch>
                  </pic:blipFill>
                  <pic:spPr>
                    <a:xfrm>
                      <a:off x="0" y="0"/>
                      <a:ext cx="1234440" cy="138874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0" distR="0" simplePos="0" relativeHeight="251735040" behindDoc="0" locked="0" layoutInCell="1" allowOverlap="1">
            <wp:simplePos x="0" y="0"/>
            <wp:positionH relativeFrom="column">
              <wp:posOffset>526415</wp:posOffset>
            </wp:positionH>
            <wp:positionV relativeFrom="paragraph">
              <wp:posOffset>5715</wp:posOffset>
            </wp:positionV>
            <wp:extent cx="1448435" cy="1198245"/>
            <wp:effectExtent l="0" t="0" r="18415" b="1905"/>
            <wp:wrapSquare wrapText="bothSides"/>
            <wp:docPr id="86" name="图片 50" descr="微信截图_2019070112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0" descr="微信截图_20190701124838"/>
                    <pic:cNvPicPr>
                      <a:picLocks noChangeAspect="1"/>
                    </pic:cNvPicPr>
                  </pic:nvPicPr>
                  <pic:blipFill>
                    <a:blip r:embed="rId90"/>
                    <a:stretch>
                      <a:fillRect/>
                    </a:stretch>
                  </pic:blipFill>
                  <pic:spPr>
                    <a:xfrm>
                      <a:off x="0" y="0"/>
                      <a:ext cx="1448435" cy="1198245"/>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737088" behindDoc="0" locked="0" layoutInCell="1" allowOverlap="1">
            <wp:simplePos x="0" y="0"/>
            <wp:positionH relativeFrom="column">
              <wp:posOffset>2732405</wp:posOffset>
            </wp:positionH>
            <wp:positionV relativeFrom="paragraph">
              <wp:posOffset>123190</wp:posOffset>
            </wp:positionV>
            <wp:extent cx="1341120" cy="1237615"/>
            <wp:effectExtent l="0" t="0" r="11430" b="635"/>
            <wp:wrapSquare wrapText="bothSides"/>
            <wp:docPr id="87" name="图片 22" descr="QQ图片20170606150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2" descr="QQ图片20170606150626.jpg"/>
                    <pic:cNvPicPr>
                      <a:picLocks noChangeAspect="1"/>
                    </pic:cNvPicPr>
                  </pic:nvPicPr>
                  <pic:blipFill>
                    <a:blip r:embed="rId91"/>
                    <a:stretch>
                      <a:fillRect/>
                    </a:stretch>
                  </pic:blipFill>
                  <pic:spPr>
                    <a:xfrm>
                      <a:off x="0" y="0"/>
                      <a:ext cx="1341120" cy="123761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tabs>
          <w:tab w:val="left" w:pos="748"/>
        </w:tabs>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十、消防员水域救援头盔</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shd w:val="clear" w:color="auto" w:fill="FFFFFF"/>
        </w:rPr>
        <w:t>主要由盔壳、缓冲垫、系带、帽衬调节、护耳部件等组成；</w:t>
      </w:r>
      <w:r>
        <w:rPr>
          <w:rStyle w:val="28"/>
          <w:rFonts w:hint="eastAsia" w:ascii="仿宋" w:hAnsi="仿宋" w:eastAsia="仿宋" w:cs="仿宋"/>
          <w:i w:val="0"/>
          <w:color w:val="auto"/>
          <w:sz w:val="24"/>
          <w:szCs w:val="24"/>
          <w:highlight w:val="none"/>
          <w:shd w:val="clear" w:color="auto" w:fill="FFFFFF"/>
        </w:rPr>
        <w:t>消防员</w:t>
      </w:r>
      <w:r>
        <w:rPr>
          <w:rFonts w:hint="eastAsia" w:ascii="仿宋" w:hAnsi="仿宋" w:eastAsia="仿宋" w:cs="仿宋"/>
          <w:color w:val="auto"/>
          <w:sz w:val="24"/>
          <w:szCs w:val="24"/>
          <w:highlight w:val="none"/>
          <w:shd w:val="clear" w:color="auto" w:fill="FFFFFF"/>
        </w:rPr>
        <w:t>急流洪水和</w:t>
      </w:r>
      <w:r>
        <w:rPr>
          <w:rStyle w:val="28"/>
          <w:rFonts w:hint="eastAsia" w:ascii="仿宋" w:hAnsi="仿宋" w:eastAsia="仿宋" w:cs="仿宋"/>
          <w:i w:val="0"/>
          <w:color w:val="auto"/>
          <w:sz w:val="24"/>
          <w:szCs w:val="24"/>
          <w:highlight w:val="none"/>
          <w:shd w:val="clear" w:color="auto" w:fill="FFFFFF"/>
        </w:rPr>
        <w:t>水域救援</w:t>
      </w:r>
      <w:r>
        <w:rPr>
          <w:rFonts w:hint="eastAsia" w:ascii="仿宋" w:hAnsi="仿宋" w:eastAsia="仿宋" w:cs="仿宋"/>
          <w:color w:val="auto"/>
          <w:sz w:val="24"/>
          <w:szCs w:val="24"/>
          <w:highlight w:val="none"/>
          <w:shd w:val="clear" w:color="auto" w:fill="FFFFFF"/>
        </w:rPr>
        <w:t>行动中，保护头部不受伤害的防护装备。</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3、材质：外壳采用采用ABS树脂材质、内衬采用EVA泡沫缓冲垫层或更高性能材质制成。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3、通风口≥8个、设计有排水槽。</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4、下颚带护垫快速调节带，可快速调节至适合尺寸。</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5、佩戴装置：旋钮式调节器，可单手快速调节头围。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6、开口式护耳，通风口能够有效保障听力不受影响。</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7、可将战术导轨安装在头盔左右任意一侧。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8、多种尺码可供选择：54-65cm。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9、重量≤550g，标识根据采购方需求定制。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10、漂浮性能：经过4h的漂浮性能实验，头盔能始终漂浮在水面上。</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38112" behindDoc="0" locked="0" layoutInCell="1" allowOverlap="1">
            <wp:simplePos x="0" y="0"/>
            <wp:positionH relativeFrom="column">
              <wp:posOffset>971550</wp:posOffset>
            </wp:positionH>
            <wp:positionV relativeFrom="paragraph">
              <wp:posOffset>253365</wp:posOffset>
            </wp:positionV>
            <wp:extent cx="1173480" cy="1143000"/>
            <wp:effectExtent l="0" t="0" r="7620" b="0"/>
            <wp:wrapSquare wrapText="bothSides"/>
            <wp:docPr id="88" name="图片_4"/>
            <wp:cNvGraphicFramePr/>
            <a:graphic xmlns:a="http://schemas.openxmlformats.org/drawingml/2006/main">
              <a:graphicData uri="http://schemas.openxmlformats.org/drawingml/2006/picture">
                <pic:pic xmlns:pic="http://schemas.openxmlformats.org/drawingml/2006/picture">
                  <pic:nvPicPr>
                    <pic:cNvPr id="88" name="图片_4"/>
                    <pic:cNvPicPr/>
                  </pic:nvPicPr>
                  <pic:blipFill>
                    <a:blip r:embed="rId92"/>
                    <a:stretch>
                      <a:fillRect/>
                    </a:stretch>
                  </pic:blipFill>
                  <pic:spPr>
                    <a:xfrm>
                      <a:off x="0" y="0"/>
                      <a:ext cx="1173480" cy="114300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0" distR="0" simplePos="0" relativeHeight="251739136" behindDoc="0" locked="0" layoutInCell="1" allowOverlap="1">
            <wp:simplePos x="0" y="0"/>
            <wp:positionH relativeFrom="column">
              <wp:posOffset>3623310</wp:posOffset>
            </wp:positionH>
            <wp:positionV relativeFrom="paragraph">
              <wp:posOffset>294640</wp:posOffset>
            </wp:positionV>
            <wp:extent cx="1066800" cy="1127125"/>
            <wp:effectExtent l="0" t="0" r="0" b="15875"/>
            <wp:wrapSquare wrapText="bothSides"/>
            <wp:docPr id="89" name="图片 48" descr="微信截图_2019070112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8" descr="微信截图_20190701124521"/>
                    <pic:cNvPicPr>
                      <a:picLocks noChangeAspect="1"/>
                    </pic:cNvPicPr>
                  </pic:nvPicPr>
                  <pic:blipFill>
                    <a:blip r:embed="rId93"/>
                    <a:stretch>
                      <a:fillRect/>
                    </a:stretch>
                  </pic:blipFill>
                  <pic:spPr>
                    <a:xfrm>
                      <a:off x="0" y="0"/>
                      <a:ext cx="1066800" cy="1127125"/>
                    </a:xfrm>
                    <a:prstGeom prst="rect">
                      <a:avLst/>
                    </a:prstGeom>
                    <a:noFill/>
                    <a:ln>
                      <a:noFill/>
                    </a:ln>
                  </pic:spPr>
                </pic:pic>
              </a:graphicData>
            </a:graphic>
          </wp:anchor>
        </w:drawing>
      </w:r>
    </w:p>
    <w:p>
      <w:pPr>
        <w:ind w:firstLine="448"/>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w:t>
      </w: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、肢体固定气囊</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w:t>
      </w:r>
      <w:r>
        <w:rPr>
          <w:rFonts w:hint="eastAsia" w:ascii="仿宋" w:hAnsi="仿宋" w:eastAsia="仿宋" w:cs="仿宋"/>
          <w:color w:val="auto"/>
          <w:sz w:val="24"/>
          <w:szCs w:val="24"/>
          <w:highlight w:val="none"/>
          <w:shd w:val="clear" w:color="auto" w:fill="FFFFFF"/>
        </w:rPr>
        <w:t>由PVC材料制成，表面不易损坏。</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3、主要用于</w:t>
      </w:r>
      <w:r>
        <w:rPr>
          <w:rFonts w:hint="eastAsia" w:ascii="仿宋" w:hAnsi="仿宋" w:eastAsia="仿宋" w:cs="仿宋"/>
          <w:color w:val="auto"/>
          <w:kern w:val="0"/>
          <w:sz w:val="24"/>
          <w:szCs w:val="24"/>
          <w:highlight w:val="none"/>
        </w:rPr>
        <w:t>固定受伤人员肢体，保护骨折部位免受伤害。</w:t>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kern w:val="0"/>
          <w:sz w:val="24"/>
          <w:szCs w:val="24"/>
          <w:highlight w:val="none"/>
        </w:rPr>
        <w:t>分体式，负压原理快速定型。</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shd w:val="clear" w:color="auto" w:fill="FFFFFF"/>
        </w:rPr>
        <w:t>利用专用抽气筒去担架气囊内的空气，使得气囊与人体形状相符并紧贴在一起，对受伤部位起保护作用，避免二次伤害。</w:t>
      </w:r>
    </w:p>
    <w:p>
      <w:pPr>
        <w:pStyle w:val="6"/>
        <w:spacing w:before="0" w:beforeAutospacing="0" w:after="0" w:afterAutospacing="0"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w:t>
      </w:r>
      <w:r>
        <w:rPr>
          <w:rFonts w:hint="eastAsia" w:ascii="仿宋" w:hAnsi="仿宋" w:eastAsia="仿宋" w:cs="仿宋"/>
          <w:b w:val="0"/>
          <w:bCs w:val="0"/>
          <w:color w:val="auto"/>
          <w:sz w:val="24"/>
          <w:szCs w:val="24"/>
          <w:highlight w:val="none"/>
          <w:shd w:val="clear" w:color="auto" w:fill="FFFFFF"/>
        </w:rPr>
        <w:t>可进行X光成像、CT及磁共振检查。</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7、真空保持时间≥70h。</w:t>
      </w:r>
    </w:p>
    <w:p>
      <w:pPr>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8、外层材料采用阻燃材料，</w:t>
      </w:r>
      <w:r>
        <w:rPr>
          <w:rFonts w:hint="eastAsia" w:ascii="仿宋" w:hAnsi="仿宋" w:eastAsia="仿宋" w:cs="仿宋"/>
          <w:color w:val="auto"/>
          <w:sz w:val="24"/>
          <w:szCs w:val="24"/>
          <w:highlight w:val="none"/>
          <w:shd w:val="clear" w:color="auto" w:fill="FFFFFF"/>
        </w:rPr>
        <w:t>内衬高强粒子。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9、</w:t>
      </w:r>
      <w:r>
        <w:rPr>
          <w:rFonts w:hint="eastAsia" w:ascii="仿宋" w:hAnsi="仿宋" w:eastAsia="仿宋" w:cs="仿宋"/>
          <w:color w:val="auto"/>
          <w:sz w:val="24"/>
          <w:szCs w:val="24"/>
          <w:highlight w:val="none"/>
        </w:rPr>
        <w:t>配备纸质版和电子版中文使用维护保养说明书，配备专用器材储运包，防水、防尘、防刮擦。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10、永久性标签内容包括:制造厂名称、地址、联系方式和注册商标；产品名称及型号；生产日期和批号；产品执行标准的代号和RFID芯片（内容根据采购方需要填写）。</w:t>
      </w: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0160" behindDoc="0" locked="0" layoutInCell="1" allowOverlap="1">
            <wp:simplePos x="0" y="0"/>
            <wp:positionH relativeFrom="column">
              <wp:posOffset>2126615</wp:posOffset>
            </wp:positionH>
            <wp:positionV relativeFrom="paragraph">
              <wp:posOffset>179070</wp:posOffset>
            </wp:positionV>
            <wp:extent cx="1489075" cy="1489075"/>
            <wp:effectExtent l="0" t="0" r="15875" b="15875"/>
            <wp:wrapSquare wrapText="bothSides"/>
            <wp:docPr id="9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9"/>
                    <pic:cNvPicPr>
                      <a:picLocks noChangeAspect="1"/>
                    </pic:cNvPicPr>
                  </pic:nvPicPr>
                  <pic:blipFill>
                    <a:blip r:embed="rId94"/>
                    <a:stretch>
                      <a:fillRect/>
                    </a:stretch>
                  </pic:blipFill>
                  <pic:spPr>
                    <a:xfrm>
                      <a:off x="0" y="0"/>
                      <a:ext cx="1489075" cy="1489075"/>
                    </a:xfrm>
                    <a:prstGeom prst="rect">
                      <a:avLst/>
                    </a:prstGeom>
                    <a:noFill/>
                    <a:ln>
                      <a:noFill/>
                    </a:ln>
                  </pic:spPr>
                </pic:pic>
              </a:graphicData>
            </a:graphic>
          </wp:anchor>
        </w:drawing>
      </w:r>
    </w:p>
    <w:p>
      <w:pPr>
        <w:pStyle w:val="6"/>
        <w:spacing w:before="0" w:beforeAutospacing="0" w:after="0" w:afterAutospacing="0" w:line="600" w:lineRule="exact"/>
        <w:jc w:val="center"/>
        <w:rPr>
          <w:rFonts w:hint="eastAsia" w:ascii="仿宋" w:hAnsi="仿宋" w:eastAsia="仿宋" w:cs="仿宋"/>
          <w:b w:val="0"/>
          <w:bCs w:val="0"/>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十二</w:t>
      </w:r>
      <w:r>
        <w:rPr>
          <w:rFonts w:hint="eastAsia" w:ascii="仿宋" w:hAnsi="仿宋" w:eastAsia="仿宋" w:cs="仿宋"/>
          <w:color w:val="auto"/>
          <w:sz w:val="24"/>
          <w:szCs w:val="24"/>
          <w:highlight w:val="none"/>
        </w:rPr>
        <w:t>、折叠式担架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2、采用高强度金属材料和牛津布担架面制成。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3、主要用于</w:t>
      </w:r>
      <w:r>
        <w:rPr>
          <w:rFonts w:hint="eastAsia" w:ascii="仿宋" w:hAnsi="仿宋" w:eastAsia="仿宋" w:cs="仿宋"/>
          <w:color w:val="auto"/>
          <w:kern w:val="0"/>
          <w:sz w:val="24"/>
          <w:szCs w:val="24"/>
          <w:highlight w:val="none"/>
        </w:rPr>
        <w:t>运送事故现场受伤人员。</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4、本担架带支腿、可折叠，前方设置万向轮，后方设置定向轮。</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5、承重≥150kg。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6、配备纸质版和电子版中文使用维护保养说明书，配备专用器材储运包，防水、防尘、防刮擦。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p>
    <w:p>
      <w:pPr>
        <w:pStyle w:val="6"/>
        <w:spacing w:before="0" w:beforeAutospacing="0" w:after="0" w:afterAutospacing="0" w:line="600" w:lineRule="exact"/>
        <w:jc w:val="both"/>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1184" behindDoc="0" locked="0" layoutInCell="1" allowOverlap="1">
            <wp:simplePos x="0" y="0"/>
            <wp:positionH relativeFrom="column">
              <wp:posOffset>1564005</wp:posOffset>
            </wp:positionH>
            <wp:positionV relativeFrom="paragraph">
              <wp:posOffset>138430</wp:posOffset>
            </wp:positionV>
            <wp:extent cx="2607945" cy="1351280"/>
            <wp:effectExtent l="0" t="0" r="1905" b="1270"/>
            <wp:wrapSquare wrapText="bothSides"/>
            <wp:docPr id="9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1"/>
                    <pic:cNvPicPr>
                      <a:picLocks noChangeAspect="1"/>
                    </pic:cNvPicPr>
                  </pic:nvPicPr>
                  <pic:blipFill>
                    <a:blip r:embed="rId95"/>
                    <a:srcRect t="21207" r="-1987" b="25951"/>
                    <a:stretch>
                      <a:fillRect/>
                    </a:stretch>
                  </pic:blipFill>
                  <pic:spPr>
                    <a:xfrm>
                      <a:off x="0" y="0"/>
                      <a:ext cx="2607945" cy="1351280"/>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pStyle w:val="22"/>
        <w:spacing w:after="0" w:line="600" w:lineRule="exact"/>
        <w:ind w:firstLine="320"/>
        <w:rPr>
          <w:rFonts w:hint="eastAsia" w:ascii="仿宋" w:hAnsi="仿宋" w:eastAsia="仿宋" w:cs="仿宋"/>
          <w:color w:val="auto"/>
          <w:sz w:val="24"/>
          <w:szCs w:val="24"/>
          <w:highlight w:val="none"/>
        </w:rPr>
      </w:pPr>
    </w:p>
    <w:p>
      <w:pPr>
        <w:spacing w:line="600" w:lineRule="exact"/>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w:t>
      </w: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、多功能担架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2、采用高性能材质复合而成；主要用于</w:t>
      </w:r>
      <w:r>
        <w:rPr>
          <w:rFonts w:hint="eastAsia" w:ascii="仿宋" w:hAnsi="仿宋" w:eastAsia="仿宋" w:cs="仿宋"/>
          <w:color w:val="auto"/>
          <w:kern w:val="0"/>
          <w:sz w:val="24"/>
          <w:szCs w:val="24"/>
          <w:highlight w:val="none"/>
        </w:rPr>
        <w:t>深井、狭小空间、高空等环境下的人员救助。</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rPr>
        <w:t>可水平或垂直吊运，</w:t>
      </w:r>
      <w:r>
        <w:rPr>
          <w:rFonts w:hint="eastAsia" w:ascii="仿宋" w:hAnsi="仿宋" w:eastAsia="仿宋" w:cs="仿宋"/>
          <w:color w:val="auto"/>
          <w:sz w:val="24"/>
          <w:szCs w:val="24"/>
          <w:highlight w:val="none"/>
        </w:rPr>
        <w:t>也可在光滑的地面拖拉，单人操作。</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4、参考尺寸：2500×1000mm。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5、颜色：橙色。</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6、载重：≥150kg。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7、使用温度：-20℃～45℃。</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8、质量：≤12kg。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9、配备纸质版和电子版中文使用维护保养说明书，配备专用器材储运包，防水、防尘、防刮擦。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2208" behindDoc="0" locked="0" layoutInCell="1" allowOverlap="1">
            <wp:simplePos x="0" y="0"/>
            <wp:positionH relativeFrom="column">
              <wp:posOffset>1518285</wp:posOffset>
            </wp:positionH>
            <wp:positionV relativeFrom="paragraph">
              <wp:posOffset>167640</wp:posOffset>
            </wp:positionV>
            <wp:extent cx="2352675" cy="1764030"/>
            <wp:effectExtent l="0" t="0" r="9525" b="7620"/>
            <wp:wrapTopAndBottom/>
            <wp:docPr id="9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3"/>
                    <pic:cNvPicPr>
                      <a:picLocks noChangeAspect="1"/>
                    </pic:cNvPicPr>
                  </pic:nvPicPr>
                  <pic:blipFill>
                    <a:blip r:embed="rId96"/>
                    <a:stretch>
                      <a:fillRect/>
                    </a:stretch>
                  </pic:blipFill>
                  <pic:spPr>
                    <a:xfrm>
                      <a:off x="0" y="0"/>
                      <a:ext cx="2352675" cy="176403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十四</w:t>
      </w:r>
      <w:r>
        <w:rPr>
          <w:rFonts w:hint="eastAsia" w:ascii="仿宋" w:hAnsi="仿宋" w:eastAsia="仿宋" w:cs="仿宋"/>
          <w:color w:val="auto"/>
          <w:sz w:val="24"/>
          <w:szCs w:val="24"/>
          <w:highlight w:val="none"/>
        </w:rPr>
        <w:t>、救生缓降器</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1、总体要求符合GB21976.2-2012《建筑火灾逃生避难器材 第2部分：逃生缓降器》标准，提供国家消防装备质量监督检验中心或其他国家级权威检验机构出具的检测报告复印件或扫描件。</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2、整套装备由安全钩、安全带、绳索、调速器、金属连接件及绳索卷盘组成，主要用于高处救人和自救。</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3、缓降器各部件无变形、损伤等异常现象。金属件的外表面光滑，无锈烛、斑点、毛刺并进行防腐 蚀处理。绳索端头应采用保护物包扎。</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4、采用航空用钢丝绳的，直径≥3mm；采用有芯绳索的绳芯，直径≥3mm,外层材质为棉纱或合成纤维材料。全绳应结构一致，编织紧密，粗细均匀并无扭曲现象。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5、安全带材质为棉纱或合成纤维材料。带宽40—80mm，带厚1—3mm,带长1000—1800mm，并带有能按使用者胸围大小调整长度的扣环。</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6、安全钩由金属材料制成并设有防止误开启的保险装置，保险装置应锁止可靠。</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7、绳索卷盘由橡胶、塑料等非金属材料制成，且无尖锐的棱角和凸起。</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8、额定工作高度≥30m。</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9、缓降器采用摩擦阻尼结构，最大负荷连续200次使用所有部件无异常现象，最小负荷、标准负荷、最大负荷，缓降器的下降速度均应在0.16m/s-1.5m/s之间。</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10、金属件外表面应光滑，无锈蚀、斑点、毛刺并进行防锈处理；绳索端头应采用保护物包扎；各不见应连接可靠，无变形、损伤等异常现象。</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11、配备纸质版和电子版中文使用维护保养说明书，配备专用器材储运箱，防水、防尘、防刮擦。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十五</w:t>
      </w:r>
      <w:r>
        <w:rPr>
          <w:rFonts w:hint="eastAsia" w:ascii="仿宋" w:hAnsi="仿宋" w:eastAsia="仿宋" w:cs="仿宋"/>
          <w:color w:val="auto"/>
          <w:sz w:val="24"/>
          <w:szCs w:val="24"/>
          <w:highlight w:val="none"/>
        </w:rPr>
        <w:t>、医药急救箱</w:t>
      </w:r>
    </w:p>
    <w:p>
      <w:pPr>
        <w:widowControl/>
        <w:numPr>
          <w:ilvl w:val="0"/>
          <w:numId w:val="8"/>
        </w:numPr>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急救箱内药品符合国家现行有关标准、规范，其工具及药品具备国家食品药品监督管理局颁布的《中华人民共和国药典》生产批号及批次。</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2、主要用于</w:t>
      </w:r>
      <w:r>
        <w:rPr>
          <w:rFonts w:hint="eastAsia" w:ascii="仿宋" w:hAnsi="仿宋" w:eastAsia="仿宋" w:cs="仿宋"/>
          <w:color w:val="auto"/>
          <w:kern w:val="0"/>
          <w:sz w:val="24"/>
          <w:szCs w:val="24"/>
          <w:highlight w:val="none"/>
        </w:rPr>
        <w:t>现场医疗急救。</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rPr>
        <w:t>包含常规外伤和化学伤害急救的敷料、药品和器械。</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碘伏棉棒：数量≥10片。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超大创口贴：数量≥3片。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直角大创口贴：数量≥3片。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关节创口贴：数量≥3片。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指尖创口贴：数量≥15片。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弹力防水创口贴：数量≥12片。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口对口呼吸器：数量≥1张。</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卡扣式止血带：数量≥1个。</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降温贴：数量≥2片。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敷料镊子：数量≥2支。</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绷带剪刀：数量≥1把。</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医用手套：数量≥2副，符合GB10213-2006标准。</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卷式骨折夹板：数量≥1卷。</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手指骨折夹板：数量≥1副。</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体温计：数量≥1支。</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清洁湿巾：数量≥8片，符合GB15979-2002执行标准。</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驱蚊虫湿巾：数量≥8片。</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医用口罩：数量≥4只。</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应急口哨：数量≥1只。</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急救毯：数量≥2张。</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三角绷带：数量≥2包。</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安全别针：数量≥4枚。</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速冷冰袋：数量≥2包。</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弹性绷带：数量≥4卷，8cm*5m，自然纤维编织而成，质料柔软，弹性极高。</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自粘弹性绷带：数量≥1卷。</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医用纱布片：数量≥8片，主要性能指标符合YY0331-2006标准规定。</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医用胶布：数量≥2卷，执行标准：(YY/T 0148-2006)。</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弹力网帽：数量≥2个。 </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急救手册：数量≥1本。</w:t>
      </w:r>
    </w:p>
    <w:p>
      <w:pPr>
        <w:pStyle w:val="45"/>
        <w:numPr>
          <w:ilvl w:val="0"/>
          <w:numId w:val="9"/>
        </w:numPr>
        <w:spacing w:line="600" w:lineRule="exact"/>
        <w:ind w:left="0" w:firstLine="20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酒精棉棒：数量≥10片。</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4、急救箱内设计人体红外感应开关式工作灯，具备方位指示灯等附加功能。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5、求救方位指示灯：防护等级：≥IP67；光源类型：LED， 光源功率：≥1W。</w:t>
      </w:r>
    </w:p>
    <w:p>
      <w:pPr>
        <w:pStyle w:val="45"/>
        <w:spacing w:line="600" w:lineRule="exact"/>
        <w:ind w:firstLine="64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6、</w:t>
      </w:r>
      <w:r>
        <w:rPr>
          <w:rFonts w:hint="eastAsia" w:ascii="仿宋" w:hAnsi="仿宋" w:eastAsia="仿宋" w:cs="仿宋"/>
          <w:color w:val="auto"/>
          <w:sz w:val="24"/>
          <w:szCs w:val="24"/>
          <w:highlight w:val="none"/>
        </w:rPr>
        <w:t>急救箱设计应急光线指引系统，产品外部设计有荧光标识作为光线指引。</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7、配备纸质版和电子版中文使用维护保养说明书，配备专用器材储运包，防水、防尘、防刮擦。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3232" behindDoc="0" locked="0" layoutInCell="1" allowOverlap="1">
            <wp:simplePos x="0" y="0"/>
            <wp:positionH relativeFrom="column">
              <wp:posOffset>1852295</wp:posOffset>
            </wp:positionH>
            <wp:positionV relativeFrom="paragraph">
              <wp:posOffset>379730</wp:posOffset>
            </wp:positionV>
            <wp:extent cx="2272030" cy="1927860"/>
            <wp:effectExtent l="0" t="0" r="13970" b="15240"/>
            <wp:wrapSquare wrapText="bothSides"/>
            <wp:docPr id="9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6"/>
                    <pic:cNvPicPr>
                      <a:picLocks noChangeAspect="1"/>
                    </pic:cNvPicPr>
                  </pic:nvPicPr>
                  <pic:blipFill>
                    <a:blip r:embed="rId97"/>
                    <a:stretch>
                      <a:fillRect/>
                    </a:stretch>
                  </pic:blipFill>
                  <pic:spPr>
                    <a:xfrm>
                      <a:off x="0" y="0"/>
                      <a:ext cx="2272030" cy="192786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1153"/>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十六</w:t>
      </w:r>
      <w:r>
        <w:rPr>
          <w:rFonts w:hint="eastAsia" w:ascii="仿宋" w:hAnsi="仿宋" w:eastAsia="仿宋" w:cs="仿宋"/>
          <w:color w:val="auto"/>
          <w:sz w:val="24"/>
          <w:szCs w:val="24"/>
          <w:highlight w:val="none"/>
        </w:rPr>
        <w:t>、医用简易呼吸器</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2、整套装备由氧气瓶、供气面罩、人工肺等组成。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3、主要用于紧急抢救时，辅助人员呼吸。</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4、经环氧乙烷灭菌后，环氧乙烷残留量≤10ug/g；一次性使用。</w:t>
      </w: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5、</w:t>
      </w:r>
      <w:r>
        <w:rPr>
          <w:rFonts w:hint="eastAsia" w:ascii="仿宋" w:hAnsi="仿宋" w:eastAsia="仿宋" w:cs="仿宋"/>
          <w:b w:val="0"/>
          <w:bCs w:val="0"/>
          <w:color w:val="auto"/>
          <w:sz w:val="24"/>
          <w:szCs w:val="24"/>
          <w:highlight w:val="none"/>
          <w:shd w:val="clear" w:color="auto" w:fill="FFFFFF"/>
        </w:rPr>
        <w:t>耐高温：-50℃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shd w:val="clear" w:color="auto" w:fill="FFFFFF"/>
        </w:rPr>
        <w:t>200℃。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6、配备纸质版和电子版中文使用维护保养说明书，配备专用器材储运包，防水、防尘、防刮擦。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7、永久性标签内容包括:制造厂名称、地址和注册商标；产品名称及型号；生产日期和批号；产品执行标准的代号和RFID芯片（内容根据采购方需要填写）。</w:t>
      </w:r>
    </w:p>
    <w:p>
      <w:pPr>
        <w:pStyle w:val="2"/>
        <w:spacing w:line="6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4256" behindDoc="0" locked="0" layoutInCell="1" allowOverlap="1">
            <wp:simplePos x="0" y="0"/>
            <wp:positionH relativeFrom="column">
              <wp:posOffset>1387475</wp:posOffset>
            </wp:positionH>
            <wp:positionV relativeFrom="paragraph">
              <wp:posOffset>153035</wp:posOffset>
            </wp:positionV>
            <wp:extent cx="2849880" cy="2182495"/>
            <wp:effectExtent l="0" t="0" r="7620" b="8255"/>
            <wp:wrapSquare wrapText="bothSides"/>
            <wp:docPr id="94" name="Picture 1190" descr="53KT3[}CJ9AA4T74}S@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1190" descr="53KT3[}CJ9AA4T74}S@_)55"/>
                    <pic:cNvPicPr>
                      <a:picLocks noChangeAspect="1"/>
                    </pic:cNvPicPr>
                  </pic:nvPicPr>
                  <pic:blipFill>
                    <a:blip r:embed="rId98"/>
                    <a:stretch>
                      <a:fillRect/>
                    </a:stretch>
                  </pic:blipFill>
                  <pic:spPr>
                    <a:xfrm>
                      <a:off x="0" y="0"/>
                      <a:ext cx="2849880" cy="218249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十七</w:t>
      </w:r>
      <w:r>
        <w:rPr>
          <w:rFonts w:hint="eastAsia" w:ascii="仿宋" w:hAnsi="仿宋" w:eastAsia="仿宋" w:cs="仿宋"/>
          <w:color w:val="auto"/>
          <w:sz w:val="24"/>
          <w:szCs w:val="24"/>
          <w:highlight w:val="none"/>
        </w:rPr>
        <w:t>、橡皮艇式冲锋舟</w:t>
      </w:r>
    </w:p>
    <w:p>
      <w:pPr>
        <w:widowControl/>
        <w:numPr>
          <w:ilvl w:val="0"/>
          <w:numId w:val="10"/>
        </w:numPr>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总体要求符合国家《军用机动橡皮舟规范》GJB2311-95。提供国家消防装备质量监督检验中心或其他国家级权威检验机构出具的检测报告复印件或扫描件。</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w:t>
      </w:r>
      <w:r>
        <w:rPr>
          <w:rFonts w:hint="eastAsia" w:ascii="仿宋" w:hAnsi="仿宋" w:eastAsia="仿宋" w:cs="仿宋"/>
          <w:color w:val="auto"/>
          <w:sz w:val="24"/>
          <w:szCs w:val="24"/>
          <w:highlight w:val="none"/>
          <w:shd w:val="clear" w:color="auto" w:fill="FFFFFF"/>
        </w:rPr>
        <w:t>由</w:t>
      </w:r>
      <w:r>
        <w:rPr>
          <w:rFonts w:hint="eastAsia" w:ascii="仿宋" w:hAnsi="仿宋" w:eastAsia="仿宋" w:cs="仿宋"/>
          <w:color w:val="auto"/>
          <w:sz w:val="24"/>
          <w:szCs w:val="24"/>
          <w:highlight w:val="none"/>
        </w:rPr>
        <w:t>皮艇、</w:t>
      </w:r>
      <w:r>
        <w:rPr>
          <w:rFonts w:hint="eastAsia" w:ascii="仿宋" w:hAnsi="仿宋" w:eastAsia="仿宋" w:cs="仿宋"/>
          <w:color w:val="auto"/>
          <w:sz w:val="24"/>
          <w:szCs w:val="24"/>
          <w:highlight w:val="none"/>
          <w:shd w:val="clear" w:color="auto" w:fill="FFFFFF"/>
        </w:rPr>
        <w:t>舷外机组成，</w:t>
      </w:r>
      <w:r>
        <w:rPr>
          <w:rFonts w:hint="eastAsia" w:ascii="仿宋" w:hAnsi="仿宋" w:eastAsia="仿宋" w:cs="仿宋"/>
          <w:color w:val="auto"/>
          <w:sz w:val="24"/>
          <w:szCs w:val="24"/>
          <w:highlight w:val="none"/>
        </w:rPr>
        <w:t>主要用于</w:t>
      </w:r>
      <w:r>
        <w:rPr>
          <w:rFonts w:hint="eastAsia" w:ascii="仿宋" w:hAnsi="仿宋" w:eastAsia="仿宋" w:cs="仿宋"/>
          <w:color w:val="auto"/>
          <w:kern w:val="0"/>
          <w:sz w:val="24"/>
          <w:szCs w:val="24"/>
          <w:highlight w:val="none"/>
        </w:rPr>
        <w:t>水域救援。</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rPr>
        <w:t>双尾锥充气船体，材料防老化、防紫外线。</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kern w:val="0"/>
          <w:sz w:val="24"/>
          <w:szCs w:val="24"/>
          <w:highlight w:val="none"/>
        </w:rPr>
        <w:t>船底部有充气舷梁，具有排水阀门。</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5、总长≥470cm。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6、总宽≥180cm。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7、气室直径≥48cm。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8、气室数量≥4+1个。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9、净重≤150kg。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10、最大载重≥1000kg。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sz w:val="24"/>
          <w:szCs w:val="24"/>
          <w:highlight w:val="none"/>
        </w:rPr>
        <w:t>舟艇舷外机功率≥40hp；排气量:≥700cc；</w:t>
      </w:r>
      <w:r>
        <w:rPr>
          <w:rFonts w:hint="eastAsia" w:ascii="仿宋" w:hAnsi="仿宋" w:eastAsia="仿宋" w:cs="仿宋"/>
          <w:color w:val="auto"/>
          <w:kern w:val="0"/>
          <w:sz w:val="24"/>
          <w:szCs w:val="24"/>
          <w:highlight w:val="none"/>
        </w:rPr>
        <w:t>艉</w:t>
      </w:r>
      <w:r>
        <w:rPr>
          <w:rFonts w:hint="eastAsia" w:ascii="仿宋" w:hAnsi="仿宋" w:eastAsia="仿宋" w:cs="仿宋"/>
          <w:color w:val="auto"/>
          <w:sz w:val="24"/>
          <w:szCs w:val="24"/>
          <w:highlight w:val="none"/>
        </w:rPr>
        <w:t>板高度:≥500mm；重量:≤85kg；具备钥匙脱离熄火功能。</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12、配件要求：船桨</w:t>
      </w:r>
      <w:r>
        <w:rPr>
          <w:rFonts w:hint="eastAsia" w:ascii="仿宋" w:hAnsi="仿宋" w:eastAsia="仿宋" w:cs="仿宋"/>
          <w:color w:val="auto"/>
          <w:kern w:val="0"/>
          <w:sz w:val="24"/>
          <w:szCs w:val="24"/>
          <w:highlight w:val="none"/>
        </w:rPr>
        <w:t>≥4把。</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13、配备纸质版和电子版中文使用维护保养说明书。</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14、永久性标签内容包括:制造厂名称、地址、联系方式和注册商标；产品名称及型号；生产日期和批号；产品执行标准的代号和RFID芯片（内容根据采购方需要填写）。</w:t>
      </w: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drawing>
          <wp:anchor distT="0" distB="0" distL="114300" distR="114300" simplePos="0" relativeHeight="251745280" behindDoc="0" locked="0" layoutInCell="1" allowOverlap="1">
            <wp:simplePos x="0" y="0"/>
            <wp:positionH relativeFrom="column">
              <wp:posOffset>1651635</wp:posOffset>
            </wp:positionH>
            <wp:positionV relativeFrom="paragraph">
              <wp:posOffset>50165</wp:posOffset>
            </wp:positionV>
            <wp:extent cx="1998345" cy="1569085"/>
            <wp:effectExtent l="0" t="0" r="1905" b="12065"/>
            <wp:wrapSquare wrapText="bothSides"/>
            <wp:docPr id="9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1"/>
                    <pic:cNvPicPr>
                      <a:picLocks noChangeAspect="1"/>
                    </pic:cNvPicPr>
                  </pic:nvPicPr>
                  <pic:blipFill>
                    <a:blip r:embed="rId99"/>
                    <a:stretch>
                      <a:fillRect/>
                    </a:stretch>
                  </pic:blipFill>
                  <pic:spPr>
                    <a:xfrm>
                      <a:off x="0" y="0"/>
                      <a:ext cx="1998345" cy="1569085"/>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p>
    <w:p>
      <w:pPr>
        <w:spacing w:line="600" w:lineRule="exact"/>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p>
    <w:p>
      <w:pPr>
        <w:spacing w:line="600" w:lineRule="exact"/>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十八</w:t>
      </w:r>
      <w:r>
        <w:rPr>
          <w:rFonts w:hint="eastAsia" w:ascii="仿宋" w:hAnsi="仿宋" w:eastAsia="仿宋" w:cs="仿宋"/>
          <w:color w:val="auto"/>
          <w:sz w:val="24"/>
          <w:szCs w:val="24"/>
          <w:highlight w:val="none"/>
        </w:rPr>
        <w:t>、救生软梯</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w:t>
      </w:r>
      <w:r>
        <w:rPr>
          <w:rFonts w:hint="eastAsia" w:ascii="仿宋" w:hAnsi="仿宋" w:eastAsia="仿宋" w:cs="仿宋"/>
          <w:color w:val="auto"/>
          <w:kern w:val="0"/>
          <w:sz w:val="24"/>
          <w:szCs w:val="24"/>
          <w:highlight w:val="none"/>
        </w:rPr>
        <w:t>符合国家有关标准、规范，</w:t>
      </w:r>
      <w:r>
        <w:rPr>
          <w:rFonts w:hint="eastAsia" w:ascii="仿宋" w:hAnsi="仿宋" w:eastAsia="仿宋" w:cs="仿宋"/>
          <w:color w:val="auto"/>
          <w:sz w:val="24"/>
          <w:szCs w:val="24"/>
          <w:highlight w:val="none"/>
        </w:rPr>
        <w:t>提供国家消防装备质量监督检验中心或其他国家级权威检验机构出具的检测报告复印件或扫描件。</w:t>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2、主要用途：用于被困人员营救。</w:t>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3、横档直径≥20mm，宽度≥300mm，档距≥350mm。</w:t>
      </w:r>
    </w:p>
    <w:p>
      <w:pPr>
        <w:spacing w:line="600" w:lineRule="exact"/>
        <w:ind w:left="480" w:firstLine="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4、边绳宽度：≥20mm。</w:t>
      </w:r>
    </w:p>
    <w:p>
      <w:pPr>
        <w:spacing w:line="600" w:lineRule="exact"/>
        <w:ind w:left="480" w:firstLine="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5、破断拉力≥15kN。</w:t>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6、软梯长≥15m。</w:t>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7、荷载≥1000kg，每节梯登荷载≥150kg，最多载≥6人。</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8、软梯当头有铁环保护，防止挂点磨损。</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9、重量≤15kg。</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6304" behindDoc="0" locked="0" layoutInCell="1" allowOverlap="1">
            <wp:simplePos x="0" y="0"/>
            <wp:positionH relativeFrom="column">
              <wp:posOffset>1850390</wp:posOffset>
            </wp:positionH>
            <wp:positionV relativeFrom="paragraph">
              <wp:posOffset>1226185</wp:posOffset>
            </wp:positionV>
            <wp:extent cx="2052955" cy="1539240"/>
            <wp:effectExtent l="0" t="0" r="4445" b="3810"/>
            <wp:wrapTopAndBottom/>
            <wp:docPr id="96"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2"/>
                    <pic:cNvPicPr>
                      <a:picLocks noChangeAspect="1"/>
                    </pic:cNvPicPr>
                  </pic:nvPicPr>
                  <pic:blipFill>
                    <a:blip r:embed="rId100"/>
                    <a:stretch>
                      <a:fillRect/>
                    </a:stretch>
                  </pic:blipFill>
                  <pic:spPr>
                    <a:xfrm>
                      <a:off x="0" y="0"/>
                      <a:ext cx="2052955" cy="1539240"/>
                    </a:xfrm>
                    <a:prstGeom prst="rect">
                      <a:avLst/>
                    </a:prstGeom>
                    <a:noFill/>
                    <a:ln>
                      <a:noFill/>
                    </a:ln>
                  </pic:spPr>
                </pic:pic>
              </a:graphicData>
            </a:graphic>
          </wp:anchor>
        </w:drawing>
      </w:r>
      <w:r>
        <w:rPr>
          <w:rFonts w:hint="eastAsia" w:ascii="仿宋" w:hAnsi="仿宋" w:eastAsia="仿宋" w:cs="仿宋"/>
          <w:color w:val="auto"/>
          <w:sz w:val="24"/>
          <w:szCs w:val="24"/>
          <w:highlight w:val="none"/>
        </w:rPr>
        <w:t>10、永久性标签内容包括:制造厂名称、地址和注册商标；产品名称及型号；生产日期和批号；产品执行标准的代号和RFID芯片（内容根据采购方需要填写）。</w:t>
      </w:r>
    </w:p>
    <w:p>
      <w:pPr>
        <w:spacing w:line="600" w:lineRule="exact"/>
        <w:jc w:val="left"/>
        <w:outlineLvl w:val="0"/>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十九</w:t>
      </w:r>
      <w:r>
        <w:rPr>
          <w:rFonts w:hint="eastAsia" w:ascii="仿宋" w:hAnsi="仿宋" w:eastAsia="仿宋" w:cs="仿宋"/>
          <w:color w:val="auto"/>
          <w:sz w:val="24"/>
          <w:szCs w:val="24"/>
          <w:highlight w:val="none"/>
        </w:rPr>
        <w:t>、自喷荧光漆</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1、总体要求符合国家相关标准、规定，提供国家消防装备质量监督检验中心或其他国家级权威检验机构出具的检测报告复印件或扫描件。</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2、主要用于标记救人位置、搜索范围、集结区域等。</w:t>
      </w:r>
    </w:p>
    <w:p>
      <w:pPr>
        <w:shd w:val="clear" w:color="auto" w:fill="FFFFFF"/>
        <w:spacing w:line="600" w:lineRule="exact"/>
        <w:ind w:firstLine="480" w:firstLineChars="200"/>
        <w:jc w:val="left"/>
        <w:rPr>
          <w:rFonts w:hint="eastAsia" w:ascii="仿宋" w:hAnsi="仿宋" w:eastAsia="仿宋" w:cs="仿宋"/>
          <w:color w:val="auto"/>
          <w:kern w:val="0"/>
          <w:sz w:val="24"/>
          <w:szCs w:val="24"/>
          <w:highlight w:val="none"/>
          <w:shd w:val="clear" w:color="auto" w:fill="FFFFFF"/>
        </w:rPr>
      </w:pP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shd w:val="clear" w:color="auto" w:fill="FFFFFF"/>
        </w:rPr>
        <w:t>荧光效果保持8h以上，100%由丙烯酸树脂制成，室内室外都可使用。</w:t>
      </w:r>
    </w:p>
    <w:p>
      <w:pPr>
        <w:shd w:val="clear" w:color="auto" w:fill="FFFFFF"/>
        <w:spacing w:line="60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4、容量≥400mL。</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5、配备纸质版和电子版中文使用维护保养说明书。</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6、永久性标签内容包括:制造厂名称、地址和注册商标；产品名称及型号；生产日期和批号；产品执行标准的代号和RFID芯片（内容根据采购方需要填写）。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47328" behindDoc="0" locked="0" layoutInCell="1" allowOverlap="1">
            <wp:simplePos x="0" y="0"/>
            <wp:positionH relativeFrom="column">
              <wp:posOffset>2552700</wp:posOffset>
            </wp:positionH>
            <wp:positionV relativeFrom="paragraph">
              <wp:posOffset>148590</wp:posOffset>
            </wp:positionV>
            <wp:extent cx="561975" cy="1733550"/>
            <wp:effectExtent l="0" t="0" r="9525" b="0"/>
            <wp:wrapSquare wrapText="bothSides"/>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pic:cNvPicPr>
                  </pic:nvPicPr>
                  <pic:blipFill>
                    <a:blip r:embed="rId101"/>
                    <a:stretch>
                      <a:fillRect/>
                    </a:stretch>
                  </pic:blipFill>
                  <pic:spPr>
                    <a:xfrm>
                      <a:off x="0" y="0"/>
                      <a:ext cx="561975" cy="173355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tabs>
          <w:tab w:val="left" w:pos="778"/>
        </w:tabs>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二十</w:t>
      </w:r>
      <w:r>
        <w:rPr>
          <w:rFonts w:hint="eastAsia" w:ascii="仿宋" w:hAnsi="仿宋" w:eastAsia="仿宋" w:cs="仿宋"/>
          <w:color w:val="auto"/>
          <w:kern w:val="0"/>
          <w:sz w:val="24"/>
          <w:szCs w:val="24"/>
          <w:highlight w:val="none"/>
        </w:rPr>
        <w:t>、消防激流救生衣（不含附件）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1、参照GB4303—2008《船用救生衣》标准的相关要求，投标文件提供国家消防装备质量监督检测中心或其他国家级权威检测机构出具的检测报告复印件或扫描件。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2、消防救援人员专用激流救生衣、适用于所有河流、湖泊和海洋的专用防护装备。</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3、通码设计，多条固定带设计，可调节至适用胸围范围75-142cm使用者，肩部可调节，两侧腋下、腰带、档带两侧双向可调节，使得救生衣调至最适合的人体尺寸。</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4、通道式可调肩带，多余织带可隐藏至通道内，通道外侧增加2个对称挂点，可以挂置割绳刀、口哨等配套救援装备。</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5、通道高亮反光片，便于夜间辨识度。不少于7点调节，腰部不少于4条，肩部2条，底部1条。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6、前端两个防割材料排水口袋，救援战术拓展外挂点≥10个，背面松紧带式荧光棒插槽，救生衣领后配有轻型可拖拽把手。</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7、后背设计有可脱卸式大口袋。</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8、后置口袋设计有排水网孔，大口袋可以放通讯设备或环保水袋，方便救援人员通讯同时给与饮水补充，口袋上设计魔术贴，可贴队标，方便统一辨认。</w:t>
      </w:r>
    </w:p>
    <w:p>
      <w:pPr>
        <w:numPr>
          <w:ilvl w:val="0"/>
          <w:numId w:val="0"/>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9、救生衣胸襟使用双插扣及拉链加强；胸襟两侧增加优质高亮反光条，便于夜间救援。</w:t>
      </w:r>
    </w:p>
    <w:p>
      <w:pPr>
        <w:numPr>
          <w:ilvl w:val="0"/>
          <w:numId w:val="0"/>
        </w:num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10、拉链上部配有拉链弹性保护套索，对拉链起到一个双重保护作用，防止在救援过程中，拉链下滑，环绕胸部的快速释放救生带附带不锈钢O型环。</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11、浮力≥150N。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pStyle w:val="2"/>
        <w:spacing w:line="600" w:lineRule="exact"/>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0400" behindDoc="0" locked="0" layoutInCell="1" allowOverlap="1">
            <wp:simplePos x="0" y="0"/>
            <wp:positionH relativeFrom="column">
              <wp:posOffset>1870075</wp:posOffset>
            </wp:positionH>
            <wp:positionV relativeFrom="paragraph">
              <wp:posOffset>130810</wp:posOffset>
            </wp:positionV>
            <wp:extent cx="1745615" cy="1494155"/>
            <wp:effectExtent l="0" t="0" r="6985" b="10795"/>
            <wp:wrapSquare wrapText="bothSides"/>
            <wp:docPr id="98" name="图片 5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9591"/>
                    <pic:cNvPicPr>
                      <a:picLocks noChangeAspect="1"/>
                    </pic:cNvPicPr>
                  </pic:nvPicPr>
                  <pic:blipFill>
                    <a:blip r:embed="rId102"/>
                    <a:stretch>
                      <a:fillRect/>
                    </a:stretch>
                  </pic:blipFill>
                  <pic:spPr>
                    <a:xfrm>
                      <a:off x="0" y="0"/>
                      <a:ext cx="1745615" cy="149415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二十一</w:t>
      </w:r>
      <w:r>
        <w:rPr>
          <w:rFonts w:hint="eastAsia" w:ascii="仿宋" w:hAnsi="仿宋" w:eastAsia="仿宋" w:cs="仿宋"/>
          <w:color w:val="auto"/>
          <w:kern w:val="0"/>
          <w:sz w:val="24"/>
          <w:szCs w:val="24"/>
          <w:highlight w:val="none"/>
        </w:rPr>
        <w:t>、消防救生衣</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1、符合GB4303—2008《船用救生衣》标准的相关要求，投标文件提供国家消防装备质量监督检测中心或其他国家级权威检测机构出具的检测报告复印件或扫描件。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2、带有荧光标志、快速连接扣、应急口哨，是消防救援人员水上救援和自救，以防溺水的专用装备。</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3、耐高低温稳定性：承受10个高低温循环后，浮力材料应无结构上的改变。</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4、浸水1d后及7d后，在柴油中浸溃过的浮力材料的浮力减小≤10%，未在柴油中浸渍过的浮力材料的浮力减小≤5%，不有皱缩、开裂、膨胀、分解等损坏迹象。</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5、浮力材料抗拉破断强度≥140kPa，经历10个高低温循环和浸渍柴油24h之后抗拉破断强度的减少≤25%。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救生衣包布颜色应为橙红色。救生衣的系固应采用扣件形式。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7、救生衣应具备用于不同的救生衣在水中相互连接、系固的可释放浮绳或其他装置。具备用于将穿着者从水中拉到救生筏上或救助艇中的提拉装置或附件。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8、救生衣所适用的胸围的范围：700—1350mm。</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9、穿着人员在水中处于静平衡状态时，水面以上的救生衣外表面所贴逆向反光带的总面积应≥400 cm²。</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10、每件救生衣应配备细索系牢的哨笛一只。</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11、救生衣在淡水中浸24h后，其浮力损失不超过5%。</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12、救生衣过火2s后，不持续燃烧或继续熔化。</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13、教生衣衣身以及每一圈提环均应能承受3200N的作用力30 min而不损坏。肩部应能承受900 N的作用力30 min 而不损坏。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14、浮力≥150N。</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1424" behindDoc="0" locked="0" layoutInCell="1" allowOverlap="1">
            <wp:simplePos x="0" y="0"/>
            <wp:positionH relativeFrom="column">
              <wp:posOffset>2087880</wp:posOffset>
            </wp:positionH>
            <wp:positionV relativeFrom="paragraph">
              <wp:posOffset>17145</wp:posOffset>
            </wp:positionV>
            <wp:extent cx="1106170" cy="1188085"/>
            <wp:effectExtent l="0" t="0" r="17780" b="12065"/>
            <wp:wrapSquare wrapText="bothSides"/>
            <wp:docPr id="9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8"/>
                    <pic:cNvPicPr>
                      <a:picLocks noChangeAspect="1"/>
                    </pic:cNvPicPr>
                  </pic:nvPicPr>
                  <pic:blipFill>
                    <a:blip r:embed="rId103"/>
                    <a:stretch>
                      <a:fillRect/>
                    </a:stretch>
                  </pic:blipFill>
                  <pic:spPr>
                    <a:xfrm>
                      <a:off x="0" y="0"/>
                      <a:ext cx="1106170" cy="118808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pStyle w:val="2"/>
        <w:numPr>
          <w:ilvl w:val="0"/>
          <w:numId w:val="0"/>
        </w:numPr>
        <w:jc w:val="left"/>
        <w:rPr>
          <w:rFonts w:hint="eastAsia" w:ascii="仿宋" w:hAnsi="仿宋" w:eastAsia="仿宋" w:cs="仿宋"/>
          <w:color w:val="auto"/>
          <w:highlight w:val="none"/>
          <w:lang w:val="en-US" w:eastAsia="zh-CN"/>
        </w:rPr>
      </w:pPr>
    </w:p>
    <w:p>
      <w:pPr>
        <w:pStyle w:val="2"/>
        <w:numPr>
          <w:ilvl w:val="0"/>
          <w:numId w:val="0"/>
        </w:numPr>
        <w:jc w:val="left"/>
        <w:rPr>
          <w:rFonts w:hint="eastAsia" w:ascii="仿宋" w:hAnsi="仿宋" w:eastAsia="仿宋" w:cs="仿宋"/>
          <w:color w:val="auto"/>
          <w:highlight w:val="none"/>
          <w:lang w:val="en-US" w:eastAsia="zh-CN"/>
        </w:rPr>
      </w:pP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pPr>
        <w:pStyle w:val="2"/>
        <w:numPr>
          <w:ilvl w:val="0"/>
          <w:numId w:val="0"/>
        </w:num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3包：</w:t>
      </w:r>
    </w:p>
    <w:p>
      <w:pPr>
        <w:pStyle w:val="2"/>
        <w:numPr>
          <w:ilvl w:val="0"/>
          <w:numId w:val="11"/>
        </w:num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采购清单</w:t>
      </w:r>
    </w:p>
    <w:tbl>
      <w:tblPr>
        <w:tblStyle w:val="23"/>
        <w:tblW w:w="9089" w:type="dxa"/>
        <w:tblInd w:w="93" w:type="dxa"/>
        <w:shd w:val="clear" w:color="auto" w:fill="auto"/>
        <w:tblLayout w:type="autofit"/>
        <w:tblCellMar>
          <w:top w:w="0" w:type="dxa"/>
          <w:left w:w="108" w:type="dxa"/>
          <w:bottom w:w="0" w:type="dxa"/>
          <w:right w:w="108" w:type="dxa"/>
        </w:tblCellMar>
      </w:tblPr>
      <w:tblGrid>
        <w:gridCol w:w="752"/>
        <w:gridCol w:w="1446"/>
        <w:gridCol w:w="1277"/>
        <w:gridCol w:w="3850"/>
        <w:gridCol w:w="1764"/>
      </w:tblGrid>
      <w:tr>
        <w:tblPrEx>
          <w:shd w:val="clear" w:color="auto" w:fill="auto"/>
          <w:tblCellMar>
            <w:top w:w="0" w:type="dxa"/>
            <w:left w:w="108" w:type="dxa"/>
            <w:bottom w:w="0" w:type="dxa"/>
            <w:right w:w="108" w:type="dxa"/>
          </w:tblCellMar>
        </w:tblPrEx>
        <w:trPr>
          <w:trHeight w:val="408" w:hRule="atLeast"/>
        </w:trPr>
        <w:tc>
          <w:tcPr>
            <w:tcW w:w="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序号</w:t>
            </w:r>
          </w:p>
        </w:tc>
        <w:tc>
          <w:tcPr>
            <w:tcW w:w="144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eastAsia="zh-CN"/>
              </w:rPr>
              <w:t>包号、名称</w:t>
            </w:r>
          </w:p>
        </w:tc>
        <w:tc>
          <w:tcPr>
            <w:tcW w:w="1277"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类别</w:t>
            </w:r>
          </w:p>
        </w:tc>
        <w:tc>
          <w:tcPr>
            <w:tcW w:w="385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eastAsia="zh-CN"/>
              </w:rPr>
              <w:t>器材名称</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eastAsia="zh-CN"/>
              </w:rPr>
              <w:t>数量</w:t>
            </w:r>
          </w:p>
        </w:tc>
      </w:tr>
      <w:tr>
        <w:tblPrEx>
          <w:shd w:val="clear" w:color="auto" w:fill="auto"/>
          <w:tblCellMar>
            <w:top w:w="0" w:type="dxa"/>
            <w:left w:w="108" w:type="dxa"/>
            <w:bottom w:w="0" w:type="dxa"/>
            <w:right w:w="108" w:type="dxa"/>
          </w:tblCellMar>
        </w:tblPrEx>
        <w:trPr>
          <w:trHeight w:val="408" w:hRule="atLeast"/>
        </w:trPr>
        <w:tc>
          <w:tcPr>
            <w:tcW w:w="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1446" w:type="dxa"/>
            <w:vMerge w:val="restart"/>
            <w:tcBorders>
              <w:top w:val="single" w:color="auto" w:sz="4" w:space="0"/>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包3：侦检、破拆、堵漏、输转类装备</w:t>
            </w:r>
          </w:p>
        </w:tc>
        <w:tc>
          <w:tcPr>
            <w:tcW w:w="1277" w:type="dxa"/>
            <w:vMerge w:val="restart"/>
            <w:tcBorders>
              <w:top w:val="single" w:color="auto" w:sz="4" w:space="0"/>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侦检类</w:t>
            </w:r>
          </w:p>
        </w:tc>
        <w:tc>
          <w:tcPr>
            <w:tcW w:w="385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无线复合气体探测仪</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消防用红外热像仪</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漏电探测仪</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激光测距仪</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破拆类</w:t>
            </w: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手动破拆工具组</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液压破拆工具组</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机动链锯</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无齿锯</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液压开门器</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玻璃破碎器</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凿岩机</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绝缘剪断钳</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9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堵漏类</w:t>
            </w: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注入式堵漏工具</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输转类</w:t>
            </w: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粘稠液体抽吸泵</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有毒物质密封桶</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r>
      <w:tr>
        <w:tblPrEx>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2.0Mpa 65mm水带</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540</w:t>
            </w:r>
          </w:p>
        </w:tc>
      </w:tr>
      <w:tr>
        <w:tblPrEx>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2.0Mpa 80mm水带</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310</w:t>
            </w:r>
          </w:p>
        </w:tc>
      </w:tr>
      <w:tr>
        <w:tblPrEx>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446"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1.6Mpa 65mm水幕水带</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r>
      <w:tr>
        <w:tblPrEx>
          <w:tblCellMar>
            <w:top w:w="0" w:type="dxa"/>
            <w:left w:w="108" w:type="dxa"/>
            <w:bottom w:w="0" w:type="dxa"/>
            <w:right w:w="108" w:type="dxa"/>
          </w:tblCellMar>
        </w:tblPrEx>
        <w:trPr>
          <w:trHeight w:val="9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19</w:t>
            </w:r>
          </w:p>
        </w:tc>
        <w:tc>
          <w:tcPr>
            <w:tcW w:w="1446"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洗消类</w:t>
            </w: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强酸、碱洗消器</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tblCellMar>
            <w:top w:w="0" w:type="dxa"/>
            <w:left w:w="108" w:type="dxa"/>
            <w:bottom w:w="0" w:type="dxa"/>
            <w:right w:w="108" w:type="dxa"/>
          </w:tblCellMar>
        </w:tblPrEx>
        <w:trPr>
          <w:trHeight w:val="975" w:hRule="atLeast"/>
        </w:trPr>
        <w:tc>
          <w:tcPr>
            <w:tcW w:w="908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b/>
                <w:bCs/>
                <w:color w:val="auto"/>
                <w:kern w:val="0"/>
                <w:sz w:val="24"/>
                <w:szCs w:val="24"/>
                <w:highlight w:val="none"/>
                <w:lang w:val="en-US" w:eastAsia="zh-CN"/>
              </w:rPr>
              <w:t>1、投标人所报的</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必须满足国家相关质量标准要求。</w:t>
            </w:r>
          </w:p>
          <w:p>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color w:val="auto"/>
                <w:kern w:val="0"/>
                <w:sz w:val="24"/>
                <w:szCs w:val="24"/>
                <w:highlight w:val="none"/>
                <w:lang w:val="en-US" w:eastAsia="zh-CN"/>
              </w:rPr>
              <w:t xml:space="preserve">    2、</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优先考虑</w:t>
            </w:r>
            <w:r>
              <w:rPr>
                <w:rFonts w:hint="eastAsia" w:ascii="仿宋" w:hAnsi="仿宋" w:eastAsia="仿宋" w:cs="仿宋"/>
                <w:b/>
                <w:bCs/>
                <w:color w:val="auto"/>
                <w:kern w:val="0"/>
                <w:sz w:val="24"/>
                <w:szCs w:val="24"/>
                <w:highlight w:val="none"/>
              </w:rPr>
              <w:t>取得国家认可的权威检验机构出具的检测报告</w:t>
            </w:r>
            <w:r>
              <w:rPr>
                <w:rFonts w:hint="eastAsia" w:ascii="仿宋" w:hAnsi="仿宋" w:eastAsia="仿宋" w:cs="仿宋"/>
                <w:b/>
                <w:bCs/>
                <w:color w:val="auto"/>
                <w:kern w:val="0"/>
                <w:sz w:val="24"/>
                <w:szCs w:val="24"/>
                <w:highlight w:val="none"/>
                <w:lang w:eastAsia="zh-CN"/>
              </w:rPr>
              <w:t>且</w:t>
            </w:r>
            <w:r>
              <w:rPr>
                <w:rFonts w:hint="eastAsia" w:ascii="仿宋" w:hAnsi="仿宋" w:eastAsia="仿宋" w:cs="仿宋"/>
                <w:b/>
                <w:bCs/>
                <w:color w:val="auto"/>
                <w:kern w:val="0"/>
                <w:sz w:val="24"/>
                <w:szCs w:val="24"/>
                <w:highlight w:val="none"/>
              </w:rPr>
              <w:t>检测合格的产品，</w:t>
            </w:r>
            <w:r>
              <w:rPr>
                <w:rFonts w:hint="eastAsia" w:ascii="仿宋" w:hAnsi="仿宋" w:eastAsia="仿宋" w:cs="仿宋"/>
                <w:b/>
                <w:bCs/>
                <w:color w:val="auto"/>
                <w:kern w:val="0"/>
                <w:sz w:val="24"/>
                <w:szCs w:val="24"/>
                <w:highlight w:val="none"/>
                <w:lang w:eastAsia="zh-CN"/>
              </w:rPr>
              <w:t>检测报告作为评分依据</w:t>
            </w:r>
            <w:r>
              <w:rPr>
                <w:rFonts w:hint="eastAsia" w:ascii="仿宋" w:hAnsi="仿宋" w:eastAsia="仿宋" w:cs="仿宋"/>
                <w:b/>
                <w:bCs/>
                <w:color w:val="auto"/>
                <w:kern w:val="0"/>
                <w:sz w:val="24"/>
                <w:szCs w:val="24"/>
                <w:highlight w:val="none"/>
              </w:rPr>
              <w:t>。</w:t>
            </w:r>
          </w:p>
        </w:tc>
      </w:tr>
    </w:tbl>
    <w:p>
      <w:pPr>
        <w:pStyle w:val="22"/>
        <w:rPr>
          <w:rFonts w:hint="eastAsia" w:ascii="仿宋" w:hAnsi="仿宋" w:eastAsia="仿宋" w:cs="仿宋"/>
          <w:b/>
          <w:bCs/>
          <w:color w:val="auto"/>
          <w:kern w:val="0"/>
          <w:szCs w:val="21"/>
          <w:highlight w:val="none"/>
          <w:lang w:eastAsia="zh-CN" w:bidi="ar"/>
        </w:rPr>
      </w:pPr>
      <w:r>
        <w:rPr>
          <w:rFonts w:hint="eastAsia" w:ascii="仿宋" w:hAnsi="仿宋" w:eastAsia="仿宋" w:cs="仿宋"/>
          <w:color w:val="auto"/>
          <w:highlight w:val="none"/>
        </w:rPr>
        <w:t>★</w:t>
      </w:r>
      <w:r>
        <w:rPr>
          <w:rFonts w:hint="eastAsia" w:ascii="仿宋" w:hAnsi="仿宋" w:eastAsia="仿宋" w:cs="仿宋"/>
          <w:b/>
          <w:bCs/>
          <w:color w:val="auto"/>
          <w:highlight w:val="none"/>
          <w:lang w:eastAsia="zh-CN"/>
        </w:rPr>
        <w:t>本包核心产品为2.0Mpa 65mm水带，</w:t>
      </w:r>
      <w:r>
        <w:rPr>
          <w:rFonts w:hint="eastAsia" w:ascii="仿宋" w:hAnsi="仿宋" w:eastAsia="仿宋" w:cs="仿宋"/>
          <w:b/>
          <w:bCs/>
          <w:color w:val="auto"/>
          <w:kern w:val="0"/>
          <w:szCs w:val="21"/>
          <w:highlight w:val="none"/>
          <w:lang w:eastAsia="zh-CN" w:bidi="ar"/>
        </w:rPr>
        <w:t>多家供应商提供的核心产品品牌相同的，提供相同品牌产品且通过资格审查、符合性审查的不同供应商参加同一合同项下报价的，按一家供应商计算，评审后得分最高的同品牌投标人获得中标人推荐资格；评审得分相同的，按报价由低到高的顺序排列，报价得分相同的，按技术得分由高到低的顺序排列，技术得分也相同的，采取随机抽取的方式确定。</w:t>
      </w:r>
    </w:p>
    <w:p>
      <w:pPr>
        <w:pStyle w:val="2"/>
        <w:numPr>
          <w:ilvl w:val="0"/>
          <w:numId w:val="0"/>
        </w:numPr>
        <w:jc w:val="left"/>
        <w:rPr>
          <w:rFonts w:hint="eastAsia" w:ascii="仿宋" w:hAnsi="仿宋" w:eastAsia="仿宋" w:cs="仿宋"/>
          <w:color w:val="auto"/>
          <w:highlight w:val="none"/>
          <w:lang w:val="en-US" w:eastAsia="zh-CN"/>
        </w:rPr>
      </w:pPr>
    </w:p>
    <w:p>
      <w:pPr>
        <w:pStyle w:val="2"/>
        <w:numPr>
          <w:ilvl w:val="0"/>
          <w:numId w:val="0"/>
        </w:numPr>
        <w:jc w:val="lef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（二）技术规格要求</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、无线复合气体探测仪</w:t>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1、符合GB15322.3-2019《</w:t>
      </w:r>
      <w:r>
        <w:rPr>
          <w:rFonts w:hint="eastAsia" w:ascii="仿宋" w:hAnsi="仿宋" w:eastAsia="仿宋" w:cs="仿宋"/>
          <w:color w:val="auto"/>
          <w:sz w:val="24"/>
          <w:szCs w:val="24"/>
          <w:highlight w:val="none"/>
          <w:shd w:val="clear" w:color="auto" w:fill="FFFFFF"/>
        </w:rPr>
        <w:t>工业及商业用途便携式可燃气体探测器</w:t>
      </w:r>
      <w:r>
        <w:rPr>
          <w:rFonts w:hint="eastAsia" w:ascii="仿宋" w:hAnsi="仿宋" w:eastAsia="仿宋" w:cs="仿宋"/>
          <w:color w:val="auto"/>
          <w:sz w:val="24"/>
          <w:szCs w:val="24"/>
          <w:highlight w:val="none"/>
        </w:rPr>
        <w:t>》，提供国家消防装备质量监督检验中心或其他国家级权威检验机构出具的检测报告复印件或扫描件。</w:t>
      </w:r>
    </w:p>
    <w:p>
      <w:pPr>
        <w:spacing w:line="600" w:lineRule="exact"/>
        <w:ind w:firstLine="480" w:firstLineChars="200"/>
        <w:jc w:val="lef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2、用于实时检测现场的有毒有害气体浓度。内设不少于一百种VOCs气体校正系数，示值无须人工转换；具备GPS定位功能。</w:t>
      </w:r>
    </w:p>
    <w:p>
      <w:pPr>
        <w:spacing w:line="600" w:lineRule="exact"/>
        <w:ind w:firstLine="480" w:firstLineChars="200"/>
        <w:jc w:val="lef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3、可检测气体种类：氧气(O2)： 0-30%（VOL）、分辨率 0.1% </w:t>
      </w:r>
    </w:p>
    <w:p>
      <w:pPr>
        <w:spacing w:line="600" w:lineRule="exact"/>
        <w:ind w:firstLine="480" w:firstLineChars="200"/>
        <w:jc w:val="lef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LEL：0-100LEL、分辨率 0.1%LEL</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VOC：0-100ppm 、分辨率 0.01ppm ；</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H2S：0-100PPM 、分辨率 0.01PPM</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氯气CL2 ：0-10PPM、分辩率：0.01PPM</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PM2.5：0-500ug/m3, 分辩率：PM2.5 0.1ug/m3;</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PM10：0-2000ug/m3，分辨率：PM10 1mg/m3等。</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4、测量界面可显示气体种类、瞬时值、浓度曲线图等数据；配置无线传输模块，现场检测数据可实时通过无线的方式传输。</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5、仪器在空旷条件下可传输距离≥500m。</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6、连续工作时间≥10h（非报警状态）。</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7、防护等级：IP65。</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8、防爆等级：</w:t>
      </w:r>
      <w:r>
        <w:rPr>
          <w:rFonts w:hint="eastAsia" w:ascii="仿宋" w:hAnsi="仿宋" w:eastAsia="仿宋" w:cs="仿宋"/>
          <w:color w:val="auto"/>
          <w:kern w:val="0"/>
          <w:sz w:val="24"/>
          <w:szCs w:val="24"/>
          <w:highlight w:val="none"/>
        </w:rPr>
        <w:t>Ex ib IIC T4 Gb以上，提供认证</w:t>
      </w:r>
      <w:r>
        <w:rPr>
          <w:rFonts w:hint="eastAsia" w:ascii="仿宋" w:hAnsi="仿宋" w:eastAsia="仿宋" w:cs="仿宋"/>
          <w:color w:val="auto"/>
          <w:sz w:val="24"/>
          <w:szCs w:val="24"/>
          <w:highlight w:val="none"/>
        </w:rPr>
        <w:t>。</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9、配备纸质版和电子版中文使用维护保养说明书，配备专用装备储运箱，防水、防尘、防撞击。</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10、永久性标签内容包括:制造厂名称、地址和注册商标；产品名称及型号；生产日期和批号；产品执行标准的代号和RFID芯片（内容根据采购方需要填写）。</w:t>
      </w:r>
    </w:p>
    <w:p>
      <w:pPr>
        <w:ind w:firstLine="253"/>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、手持式消防用红外热像仪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1、符合《消防用红外热像仪》XF/T 635-2006标准，提供国家消防装备质量监督检验中心或其他国家级权威检验机构出具的检测报告复印件或扫描件</w:t>
      </w:r>
      <w:r>
        <w:rPr>
          <w:rFonts w:hint="eastAsia" w:ascii="仿宋" w:hAnsi="仿宋" w:eastAsia="仿宋" w:cs="仿宋"/>
          <w:color w:val="auto"/>
          <w:kern w:val="0"/>
          <w:sz w:val="24"/>
          <w:szCs w:val="24"/>
          <w:highlight w:val="none"/>
        </w:rPr>
        <w:t>。</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2、整套装备由热像仪主机、充电电池、充电器、可调节手柄、肩带等组成。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3、具有火场中全屏自动最高温及最低温指针搜寻模式，并同时显示最高及最低温度，内置激光定位器，可以在屏幕上显示方向,激光指针可指示危险区域。</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4、集红外成像和数码成像于一体。</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5、探测温度范围：≥-20～1000℃。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6、温度灵敏度：≤0.1℃（常温下）。</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7、波长范围：8～14um。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8、分辨率：≥384*288；</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9、具有摄录和图像冻结功能。</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10、防护等级：IP67。</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11、抗跌落性能：2m坠落无物理损伤。</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12、具备后场无线传输功能。</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13、连续工作时间：≥4h。</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14、配备纸质版和电子版中文使用维护保养说明书，配备专用装备储运箱，防水、防尘、防撞击。</w:t>
      </w:r>
    </w:p>
    <w:p>
      <w:pPr>
        <w:pStyle w:val="44"/>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15、永久性标签内容包括:制造厂名称、地址和注册商标；产品名称及型号；生产日期和批号；产品执行标准的代号和RFID芯片（内容根据采购方需要填写）。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、漏电探测仪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1、符合国家现行有关标准、规范，提供国家消防装备质量监督检验中心或其他国家权威机构出具的检测报告复印件或扫描件。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2、用于事故现场确定泄漏电源具体位置。</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3、使用温度：-20℃～50℃。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4、可声光报警；探测漏电频率： 20Hz-100Hz。</w:t>
      </w:r>
    </w:p>
    <w:p>
      <w:pPr>
        <w:pStyle w:val="21"/>
        <w:widowControl/>
        <w:shd w:val="clear" w:color="auto" w:fill="FFFFFF"/>
        <w:spacing w:beforeAutospacing="0" w:afterAutospacing="0"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5、重量≤570g。</w:t>
      </w:r>
    </w:p>
    <w:p>
      <w:pPr>
        <w:pStyle w:val="21"/>
        <w:widowControl/>
        <w:shd w:val="clear" w:color="auto" w:fill="FFFFFF"/>
        <w:spacing w:beforeAutospacing="0" w:afterAutospacing="0" w:line="60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6、三种工作模式，不更换电池</w:t>
      </w:r>
      <w:r>
        <w:rPr>
          <w:rFonts w:hint="eastAsia" w:ascii="仿宋" w:hAnsi="仿宋" w:eastAsia="仿宋" w:cs="仿宋"/>
          <w:color w:val="auto"/>
          <w:sz w:val="24"/>
          <w:szCs w:val="24"/>
          <w:highlight w:val="none"/>
          <w:shd w:val="clear" w:color="auto" w:fill="FFFFFF"/>
        </w:rPr>
        <w:t>持续使用使用时间≥300h</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7、配备纸质版和电子版中文使用维护保养说明书，配备专用装备储运箱，防水、防尘、防撞击。</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8、永久性标签内容包括:制造厂名称、地址和注册商标；产品名称及型号；生产日期和批号；产品执行标准的代号。</w:t>
      </w:r>
    </w:p>
    <w:p>
      <w:pPr>
        <w:pStyle w:val="44"/>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、激光测距仪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1、总体要求：符合JJG966-2001《手持式激光测距仪检定规程》相关标准、规范，提供国家消防装备质量监督检验中心或其他国家级权威检验机构出具的检测报告复印件或扫描件。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2、对距离、面积和体积的快速准确测量，为灭火救援提供各种距离参数。</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3、外置中文界面显示屏，数据同步显示。</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4、量程≥3-1200m。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5、测距误差±0.3m。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6、测高最小高度1m。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7、测量角度范围：-90°~90°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8、操作温度≥-20℃～40℃。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9、具有两点测高功能、任意两点测距、连续测距功能。</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10、数据存储功能：可调用最后结果数≥20个。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11、测速范围：18~300km/h</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12、望远镜倍率：≥7X。</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13、配备纸质版和电子版中文使用维护保养说明书，配备专用装备储运箱，防水、防尘、防撞击。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五</w:t>
      </w:r>
      <w:r>
        <w:rPr>
          <w:rFonts w:hint="eastAsia" w:ascii="仿宋" w:hAnsi="仿宋" w:eastAsia="仿宋" w:cs="仿宋"/>
          <w:color w:val="auto"/>
          <w:sz w:val="24"/>
          <w:szCs w:val="24"/>
          <w:highlight w:val="none"/>
        </w:rPr>
        <w:t>、手动破拆工具组</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1、总体要求符合GB 32459-2015《消防应急救援装备手动破拆工具通用技术条件》的标准要求，提供国家消防装备质量监督检验中心或其他国家级权威检验机构出具的检测报告复印件或扫描件。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w:t>
      </w:r>
      <w:r>
        <w:rPr>
          <w:rFonts w:hint="eastAsia" w:ascii="仿宋" w:hAnsi="仿宋" w:eastAsia="仿宋" w:cs="仿宋"/>
          <w:color w:val="auto"/>
          <w:kern w:val="0"/>
          <w:sz w:val="24"/>
          <w:szCs w:val="24"/>
          <w:highlight w:val="none"/>
        </w:rPr>
        <w:t>冲杆、拆锁器、金属切断器、凿子、钎子等部件组成，</w:t>
      </w:r>
      <w:r>
        <w:rPr>
          <w:rFonts w:hint="eastAsia" w:ascii="仿宋" w:hAnsi="仿宋" w:eastAsia="仿宋" w:cs="仿宋"/>
          <w:color w:val="auto"/>
          <w:sz w:val="24"/>
          <w:szCs w:val="24"/>
          <w:highlight w:val="none"/>
        </w:rPr>
        <w:t>不少于8件套，主要</w:t>
      </w:r>
      <w:r>
        <w:rPr>
          <w:rFonts w:hint="eastAsia" w:ascii="仿宋" w:hAnsi="仿宋" w:eastAsia="仿宋" w:cs="仿宋"/>
          <w:color w:val="auto"/>
          <w:kern w:val="0"/>
          <w:sz w:val="24"/>
          <w:szCs w:val="24"/>
          <w:highlight w:val="none"/>
        </w:rPr>
        <w:t>用于灭火救援现场常规手动破拆。</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3、无须额外动力，单人即可操作。</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shd w:val="clear" w:color="auto" w:fill="FFFFFF"/>
        </w:rPr>
        <w:t>手动破拆工具的铸件表面光洁，无裂纹、气孔、缩孔、沙眼等缺陷。</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shd w:val="clear" w:color="auto" w:fill="FFFFFF"/>
        </w:rPr>
        <w:t>单件手动破拆工具的重量≤10 kg，手动破拆工具组总重量≤25 kg。</w:t>
      </w:r>
    </w:p>
    <w:p>
      <w:pPr>
        <w:pStyle w:val="6"/>
        <w:spacing w:before="0" w:beforeAutospacing="0" w:after="0" w:afterAutospacing="0"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w:t>
      </w:r>
      <w:r>
        <w:rPr>
          <w:rFonts w:hint="eastAsia" w:ascii="仿宋" w:hAnsi="仿宋" w:eastAsia="仿宋" w:cs="仿宋"/>
          <w:b w:val="0"/>
          <w:bCs w:val="0"/>
          <w:color w:val="auto"/>
          <w:sz w:val="24"/>
          <w:szCs w:val="24"/>
          <w:highlight w:val="none"/>
          <w:shd w:val="clear" w:color="auto" w:fill="FFFFFF"/>
        </w:rPr>
        <w:t>手动破拆工具手柄绝缘，手柄部分浸水2 h后绝缘电阻不小于10MΩ。</w:t>
      </w:r>
    </w:p>
    <w:p>
      <w:pPr>
        <w:pStyle w:val="6"/>
        <w:spacing w:before="0" w:beforeAutospacing="0" w:after="0" w:afterAutospacing="0"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w:t>
      </w:r>
      <w:r>
        <w:rPr>
          <w:rFonts w:hint="eastAsia" w:ascii="仿宋" w:hAnsi="仿宋" w:eastAsia="仿宋" w:cs="仿宋"/>
          <w:b w:val="0"/>
          <w:bCs w:val="0"/>
          <w:color w:val="auto"/>
          <w:sz w:val="24"/>
          <w:szCs w:val="24"/>
          <w:highlight w:val="none"/>
          <w:shd w:val="clear" w:color="auto" w:fill="FFFFFF"/>
        </w:rPr>
        <w:t>冲击式破拆器尖刃应能凿裂强度等级为C20的混凝土试块，消防腰斧、撬斧尖刃应能凿穿厚度1.5 mm的Q235A钢板，且刃口无明显崩刃和开裂。</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shd w:val="clear" w:color="auto" w:fill="FFFFFF"/>
        </w:rPr>
        <w:t>消防短斧平刃能砍断直径6.5 mm的Q235A圆钢，且刃口无明显卷刃、崩刃和开裂等现象。</w:t>
      </w:r>
    </w:p>
    <w:p>
      <w:pPr>
        <w:pStyle w:val="6"/>
        <w:spacing w:before="0" w:beforeAutospacing="0" w:after="0" w:afterAutospacing="0"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9、</w:t>
      </w:r>
      <w:r>
        <w:rPr>
          <w:rFonts w:hint="eastAsia" w:ascii="仿宋" w:hAnsi="仿宋" w:eastAsia="仿宋" w:cs="仿宋"/>
          <w:b w:val="0"/>
          <w:bCs w:val="0"/>
          <w:color w:val="auto"/>
          <w:sz w:val="24"/>
          <w:szCs w:val="24"/>
          <w:highlight w:val="none"/>
          <w:shd w:val="clear" w:color="auto" w:fill="FFFFFF"/>
        </w:rPr>
        <w:t>手动破拆工具如采用焊接工艺，焊缝表面不得有悍瘤、夹渣、裂纹、弧坑等缺陷。</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10、配备纸质版和电子版中文使用维护保养说明书，配备专用仪器储运箱，防水、防尘、防撞击。</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2448" behindDoc="0" locked="0" layoutInCell="1" allowOverlap="1">
            <wp:simplePos x="0" y="0"/>
            <wp:positionH relativeFrom="column">
              <wp:posOffset>1592580</wp:posOffset>
            </wp:positionH>
            <wp:positionV relativeFrom="paragraph">
              <wp:posOffset>94615</wp:posOffset>
            </wp:positionV>
            <wp:extent cx="2169160" cy="1627505"/>
            <wp:effectExtent l="0" t="0" r="2540" b="10795"/>
            <wp:wrapSquare wrapText="bothSides"/>
            <wp:docPr id="10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4"/>
                    <pic:cNvPicPr>
                      <a:picLocks noChangeAspect="1"/>
                    </pic:cNvPicPr>
                  </pic:nvPicPr>
                  <pic:blipFill>
                    <a:blip r:embed="rId104"/>
                    <a:stretch>
                      <a:fillRect/>
                    </a:stretch>
                  </pic:blipFill>
                  <pic:spPr>
                    <a:xfrm>
                      <a:off x="0" y="0"/>
                      <a:ext cx="2169160" cy="162750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六、机动液压破拆工具组</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1、总体要求符合GB/T 17906-1999《液压破拆工具通用技术条件》的要求，提供国家消防装备质量监督检验中心或其他国家级权威检验机构出具的检测报告复印件或扫描件。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w:t>
      </w:r>
      <w:r>
        <w:rPr>
          <w:rFonts w:hint="eastAsia" w:ascii="仿宋" w:hAnsi="仿宋" w:eastAsia="仿宋" w:cs="仿宋"/>
          <w:color w:val="auto"/>
          <w:sz w:val="24"/>
          <w:szCs w:val="24"/>
          <w:highlight w:val="none"/>
          <w:shd w:val="clear" w:color="auto" w:fill="FFFFFF"/>
        </w:rPr>
        <w:t>机动液压泵</w:t>
      </w:r>
      <w:r>
        <w:rPr>
          <w:rFonts w:hint="eastAsia" w:ascii="仿宋" w:hAnsi="仿宋" w:eastAsia="仿宋" w:cs="仿宋"/>
          <w:color w:val="auto"/>
          <w:sz w:val="24"/>
          <w:szCs w:val="24"/>
          <w:highlight w:val="none"/>
        </w:rPr>
        <w:t>、液压管、剪切器、扩张器、剪扩器、救援顶杆、手动液压泵组成（或选配撬门器、开缝器等其他液压设备），主要用于建筑倒塌、交通事故等救援现场剪切、扩张、撑顶作业。</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3、机动液压泵：双输出，四冲程汽油机功率≥1.5kw，液压油量≥3L。</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4、工作压力≥63MPa。</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5、配备液压软管2套；单管长度≥10m。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6、接头为雌雄插头或平面密封式，有锁止功能。</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7、手动液压泵：工作压力≥63MPa。</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8、剪切器：剪切能力≥20mm圆钢、≥2mm板材，剪切开口≥90mm，重量≤15kg。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9、扩张器：最大扩张力≥60kN，扩张距离≥500mm，牵引距离≥300mm，重量≤15kg。</w:t>
      </w:r>
    </w:p>
    <w:p>
      <w:pPr>
        <w:pStyle w:val="13"/>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10、剪扩器：最大扩张力≥25kN，剪切能力≥16mm圆钢、≥3mm板材，重量≤15kg。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11、液压顶杆：最大撑顶力≥110kN，最大顶升行程≥200mm，最大撑顶长度≥700mm，重量≤12kg。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12、配件要求：同款液压油1L、防尘帽1套。</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13、破拆工具机动泵和手动泵在与水平面成30°的倾斜面上应能正常工作，无异常现象。</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14、外表面应光滑平整，无毛刺及加工缺陷，黑色金属表面应进行防锈处理。</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15、机动泵从起动至达到额定工况连续进行50次，手动泵动作到额定工作压力连续50次后，应动作正常，无泄报和异常现象。</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16、扩张器、剪扩器和撑顶器经密封性能试验后，其最大位移量：扩张器、剪扩器应不大于2mm；撑顶器应不大于1mm。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17、配备纸质版和电子版中文使用维护保养说明书，配备专用仪器储运箱，防水、防尘、防撞击。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18、永久性标签内容包括:制造厂名称、地址、联系方式和注册商标；产品名称及型号；生产日期和批号；产品执行标准的代号和RFID芯片（内容根据采购方需要填写）。</w:t>
      </w:r>
    </w:p>
    <w:p>
      <w:pPr>
        <w:spacing w:line="600" w:lineRule="exact"/>
        <w:ind w:left="1590" w:leftChars="300" w:hanging="960" w:hangingChars="400"/>
        <w:rPr>
          <w:rFonts w:hint="eastAsia" w:ascii="仿宋" w:hAnsi="仿宋" w:eastAsia="仿宋" w:cs="仿宋"/>
          <w:color w:val="auto"/>
          <w:sz w:val="24"/>
          <w:szCs w:val="24"/>
          <w:highlight w:val="none"/>
        </w:rPr>
      </w:pPr>
    </w:p>
    <w:p>
      <w:pPr>
        <w:spacing w:line="600" w:lineRule="exact"/>
        <w:ind w:left="1590" w:leftChars="300" w:hanging="960" w:hangingChars="400"/>
        <w:rPr>
          <w:rFonts w:hint="eastAsia" w:ascii="仿宋" w:hAnsi="仿宋" w:eastAsia="仿宋" w:cs="仿宋"/>
          <w:color w:val="auto"/>
          <w:sz w:val="24"/>
          <w:szCs w:val="24"/>
          <w:highlight w:val="none"/>
        </w:rPr>
      </w:pPr>
    </w:p>
    <w:p>
      <w:pPr>
        <w:pStyle w:val="22"/>
        <w:spacing w:after="0" w:line="600" w:lineRule="exact"/>
        <w:ind w:firstLine="3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3472" behindDoc="0" locked="0" layoutInCell="1" allowOverlap="1">
            <wp:simplePos x="0" y="0"/>
            <wp:positionH relativeFrom="column">
              <wp:posOffset>1517015</wp:posOffset>
            </wp:positionH>
            <wp:positionV relativeFrom="paragraph">
              <wp:posOffset>-95250</wp:posOffset>
            </wp:positionV>
            <wp:extent cx="3223260" cy="2000250"/>
            <wp:effectExtent l="0" t="0" r="15240" b="0"/>
            <wp:wrapSquare wrapText="bothSides"/>
            <wp:docPr id="10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5"/>
                    <pic:cNvPicPr>
                      <a:picLocks noChangeAspect="1"/>
                    </pic:cNvPicPr>
                  </pic:nvPicPr>
                  <pic:blipFill>
                    <a:blip r:embed="rId105"/>
                    <a:stretch>
                      <a:fillRect/>
                    </a:stretch>
                  </pic:blipFill>
                  <pic:spPr>
                    <a:xfrm>
                      <a:off x="0" y="0"/>
                      <a:ext cx="3223260" cy="2000250"/>
                    </a:xfrm>
                    <a:prstGeom prst="rect">
                      <a:avLst/>
                    </a:prstGeom>
                    <a:noFill/>
                    <a:ln>
                      <a:noFill/>
                    </a:ln>
                  </pic:spPr>
                </pic:pic>
              </a:graphicData>
            </a:graphic>
          </wp:anchor>
        </w:drawing>
      </w:r>
    </w:p>
    <w:p>
      <w:pPr>
        <w:pStyle w:val="22"/>
        <w:spacing w:after="0" w:line="600" w:lineRule="exact"/>
        <w:ind w:firstLine="320"/>
        <w:rPr>
          <w:rFonts w:hint="eastAsia" w:ascii="仿宋" w:hAnsi="仿宋" w:eastAsia="仿宋" w:cs="仿宋"/>
          <w:color w:val="auto"/>
          <w:sz w:val="24"/>
          <w:szCs w:val="24"/>
          <w:highlight w:val="none"/>
        </w:rPr>
      </w:pPr>
    </w:p>
    <w:p>
      <w:pPr>
        <w:pStyle w:val="22"/>
        <w:spacing w:after="0" w:line="600" w:lineRule="exact"/>
        <w:ind w:firstLine="21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七、机动链锯</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2、整套装备由机体、发动机（包括开关，启动拉绳，风门，油门，油门锁，减压阀)、链条、燃油箱等组成。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3、主要用途：用于切割各类木质结构障碍物。</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4、电子点火装置，点火系统全封闭。</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5、功率：≥2kw。</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6、重量：≤4.5㎏。</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7、导板尺寸：≥40mm。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8、机油润滑性能良好，链条润滑油具有优异的防磨损性能，保证链条在导板中运行畅通无阻。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9、导板端部带有导轮。</w:t>
      </w: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10、安全性能：主机上装有多处防止人身伤害防护装置，机器的任何故障均能保证人身不受伤害。</w:t>
      </w:r>
    </w:p>
    <w:p>
      <w:pPr>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shd w:val="clear" w:color="auto" w:fill="FFFFFF"/>
        </w:rPr>
        <w:t>单缸二冲程风冷式发动机，燃油为（25：1)比例的汽油：机油。</w:t>
      </w:r>
    </w:p>
    <w:p>
      <w:pPr>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shd w:val="clear" w:color="auto" w:fill="FFFFFF"/>
        </w:rPr>
        <w:t>最小切割方孔为：长×宽=120×120mm。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13、配件要求：提供1条备用链条。</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14、配备纸质版和电子版中文使用维护保养说明书。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15、永久性标签内容包括:制造厂名称、地址、联系方式和注册商标；产品名称及型号；生产日期和批号；产品执行标准的代号和RFID芯片（内容根据采购方需要填写）。</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4496" behindDoc="0" locked="0" layoutInCell="1" allowOverlap="1">
            <wp:simplePos x="0" y="0"/>
            <wp:positionH relativeFrom="column">
              <wp:posOffset>1527810</wp:posOffset>
            </wp:positionH>
            <wp:positionV relativeFrom="paragraph">
              <wp:posOffset>539115</wp:posOffset>
            </wp:positionV>
            <wp:extent cx="2613660" cy="1021715"/>
            <wp:effectExtent l="0" t="0" r="15240" b="6985"/>
            <wp:wrapTopAndBottom/>
            <wp:docPr id="10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7"/>
                    <pic:cNvPicPr>
                      <a:picLocks noChangeAspect="1"/>
                    </pic:cNvPicPr>
                  </pic:nvPicPr>
                  <pic:blipFill>
                    <a:blip r:embed="rId106"/>
                    <a:stretch>
                      <a:fillRect/>
                    </a:stretch>
                  </pic:blipFill>
                  <pic:spPr>
                    <a:xfrm>
                      <a:off x="0" y="0"/>
                      <a:ext cx="2613660" cy="102171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八</w:t>
      </w:r>
      <w:r>
        <w:rPr>
          <w:rFonts w:hint="eastAsia" w:ascii="仿宋" w:hAnsi="仿宋" w:eastAsia="仿宋" w:cs="仿宋"/>
          <w:color w:val="auto"/>
          <w:sz w:val="24"/>
          <w:szCs w:val="24"/>
          <w:highlight w:val="none"/>
        </w:rPr>
        <w:t>、无齿锯</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2、整套装备由机体、发动机（包括开关，启动拉绳，风门，油门，油门锁，减压阀)、锯片、燃油箱等组成，主要用于切割金属和混凝土材料。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3、汽油发动机功率≥4.5kW，转速≥5400rpm。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4、切割深度：≥150mm。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5、锯片外径≥350mm，锯片中心孔尺寸：≥20/25.4mm。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6、重量≤10㎏。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7、专用仪器储运箱，防水、防尘、防撞击。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shd w:val="clear" w:color="auto" w:fill="FFFFFF"/>
        </w:rPr>
        <w:t>单缸二冲程风冷式发动机，燃油为（25：1)比例的汽油：机油。</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9、配件要求：金属、混凝土和多功能锯片各2片。</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10、配备纸质版和电子版中文使用维护保养说明书。</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11、永久性标签内容包括:制造厂名称、地址、联系方式和注册商标；产品名称及型号；生产日期和批号；产品执行标准的代号和RFID芯片（内容根据采购方需要填写）。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5520" behindDoc="0" locked="0" layoutInCell="1" allowOverlap="1">
            <wp:simplePos x="0" y="0"/>
            <wp:positionH relativeFrom="column">
              <wp:posOffset>1457325</wp:posOffset>
            </wp:positionH>
            <wp:positionV relativeFrom="paragraph">
              <wp:posOffset>310515</wp:posOffset>
            </wp:positionV>
            <wp:extent cx="2369185" cy="1234440"/>
            <wp:effectExtent l="0" t="0" r="12065" b="3810"/>
            <wp:wrapTopAndBottom/>
            <wp:docPr id="10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8"/>
                    <pic:cNvPicPr>
                      <a:picLocks noChangeAspect="1"/>
                    </pic:cNvPicPr>
                  </pic:nvPicPr>
                  <pic:blipFill>
                    <a:blip r:embed="rId107"/>
                    <a:stretch>
                      <a:fillRect/>
                    </a:stretch>
                  </pic:blipFill>
                  <pic:spPr>
                    <a:xfrm>
                      <a:off x="0" y="0"/>
                      <a:ext cx="2369185" cy="123444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九</w:t>
      </w:r>
      <w:r>
        <w:rPr>
          <w:rFonts w:hint="eastAsia" w:ascii="仿宋" w:hAnsi="仿宋" w:eastAsia="仿宋" w:cs="仿宋"/>
          <w:color w:val="auto"/>
          <w:sz w:val="24"/>
          <w:szCs w:val="24"/>
          <w:highlight w:val="none"/>
        </w:rPr>
        <w:t>、液压开门器</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1、总体要求符合GB/T17906-1999《液压破拆工具通用技术条件》，提供国家消防装备质量监督检验中心或其他国家级权威检验机构出具的检测报告复印件或扫描件。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2、整套装备由开门器、高压油管、手动液压泵组成，主要用于卷帘门、金属防盗门等破拆作业。</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3、使用温度：≥-20℃～50℃。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4、开启力：≥75KN。</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5、闭合长度≤300mm，最大升限≥110mm。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6、工作压力：≥63MPa。</w:t>
      </w: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7、质量：≤6㎏。</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8、配备纸质版和电子版中文使用维护保养说明书，配备专用装备储运箱，防水、防尘、防撞击。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9、永久性标签内容包括:制造厂名称、地址、联系方式和注册商标；产品名称及型号；生产日期和批号；产品执行标准的代号和RFID芯片（内容根据采购方需要填写）。</w:t>
      </w:r>
    </w:p>
    <w:p>
      <w:pPr>
        <w:pStyle w:val="6"/>
        <w:spacing w:before="0" w:beforeAutospacing="0" w:after="0" w:afterAutospacing="0" w:line="600" w:lineRule="exact"/>
        <w:jc w:val="center"/>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6544" behindDoc="0" locked="0" layoutInCell="1" allowOverlap="1">
            <wp:simplePos x="0" y="0"/>
            <wp:positionH relativeFrom="column">
              <wp:posOffset>1729740</wp:posOffset>
            </wp:positionH>
            <wp:positionV relativeFrom="paragraph">
              <wp:posOffset>339725</wp:posOffset>
            </wp:positionV>
            <wp:extent cx="1871345" cy="1671320"/>
            <wp:effectExtent l="0" t="0" r="14605" b="5080"/>
            <wp:wrapSquare wrapText="bothSides"/>
            <wp:docPr id="10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3"/>
                    <pic:cNvPicPr>
                      <a:picLocks noChangeAspect="1"/>
                    </pic:cNvPicPr>
                  </pic:nvPicPr>
                  <pic:blipFill>
                    <a:blip r:embed="rId108"/>
                    <a:stretch>
                      <a:fillRect/>
                    </a:stretch>
                  </pic:blipFill>
                  <pic:spPr>
                    <a:xfrm>
                      <a:off x="0" y="0"/>
                      <a:ext cx="1871345" cy="167132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tabs>
          <w:tab w:val="left" w:pos="246"/>
        </w:tabs>
        <w:ind w:firstLine="336"/>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w:t>
      </w:r>
      <w:r>
        <w:rPr>
          <w:rFonts w:hint="eastAsia" w:ascii="仿宋" w:hAnsi="仿宋" w:eastAsia="仿宋" w:cs="仿宋"/>
          <w:color w:val="auto"/>
          <w:sz w:val="24"/>
          <w:szCs w:val="24"/>
          <w:highlight w:val="none"/>
        </w:rPr>
        <w:t>、玻璃破碎器</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2、整套装备由玻璃切割机、玻璃切割片、充电式电钻、玻璃吸盘、电池、充电系统等组成。</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3、主要用于灭火救援现场门窗玻璃、玻璃幕墙的手动破拆，也可对砖瓦、薄型金属进行破碎。</w:t>
      </w:r>
    </w:p>
    <w:p>
      <w:pPr>
        <w:spacing w:line="600" w:lineRule="exact"/>
        <w:ind w:firstLine="480" w:firstLineChars="20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shd w:val="clear" w:color="auto" w:fill="FFFFFF"/>
        </w:rPr>
        <w:t>充电式玻璃切割锯，充电时间≤1h。</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5、玻璃切割片：</w:t>
      </w:r>
      <w:r>
        <w:rPr>
          <w:rFonts w:hint="eastAsia" w:ascii="仿宋" w:hAnsi="仿宋" w:eastAsia="仿宋" w:cs="仿宋"/>
          <w:color w:val="auto"/>
          <w:sz w:val="24"/>
          <w:szCs w:val="24"/>
          <w:highlight w:val="none"/>
          <w:shd w:val="clear" w:color="auto" w:fill="FFFFFF"/>
        </w:rPr>
        <w:t>100mm，数量≥5片。</w:t>
      </w:r>
      <w:r>
        <w:rPr>
          <w:rFonts w:hint="eastAsia" w:ascii="仿宋" w:hAnsi="仿宋" w:eastAsia="仿宋" w:cs="仿宋"/>
          <w:color w:val="auto"/>
          <w:sz w:val="24"/>
          <w:szCs w:val="24"/>
          <w:highlight w:val="none"/>
        </w:rPr>
        <w:t xml:space="preserve">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6、充电式电钻转速≥2000</w:t>
      </w:r>
      <w:r>
        <w:rPr>
          <w:rFonts w:hint="eastAsia" w:ascii="仿宋" w:hAnsi="仿宋" w:eastAsia="仿宋" w:cs="仿宋"/>
          <w:color w:val="auto"/>
          <w:sz w:val="24"/>
          <w:szCs w:val="24"/>
          <w:highlight w:val="none"/>
          <w:shd w:val="clear" w:color="auto" w:fill="FFFFFF"/>
        </w:rPr>
        <w:t>r/min。</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7、大理石玻璃钻头：Ф100mm≥1个、Ф50mm≥3个、Ф25mm≥3个。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8、玻璃吸盘水平吸力≥30Kg</w:t>
      </w:r>
      <w:r>
        <w:rPr>
          <w:rFonts w:hint="eastAsia" w:ascii="仿宋" w:hAnsi="仿宋" w:eastAsia="仿宋" w:cs="仿宋"/>
          <w:color w:val="auto"/>
          <w:sz w:val="24"/>
          <w:szCs w:val="24"/>
          <w:highlight w:val="none"/>
          <w:shd w:val="clear" w:color="auto" w:fill="FFFFFF"/>
        </w:rPr>
        <w:t>。</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9、配件要求：充电电池2块。</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10、配备纸质版和电子版中文使用维护保养说明书，配备专用装备储运箱，防水、防尘、防撞击。</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11、永久性标签内容包括:制造厂名称、地址、联系方式和注册商标；产品名称及型号；生产日期和批号；产品执行标准的代号和RFID芯片（内容根据采购方需要填写）。</w:t>
      </w: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7568" behindDoc="0" locked="0" layoutInCell="1" allowOverlap="1">
            <wp:simplePos x="0" y="0"/>
            <wp:positionH relativeFrom="column">
              <wp:posOffset>1819910</wp:posOffset>
            </wp:positionH>
            <wp:positionV relativeFrom="paragraph">
              <wp:posOffset>354330</wp:posOffset>
            </wp:positionV>
            <wp:extent cx="1840230" cy="2332990"/>
            <wp:effectExtent l="0" t="0" r="7620" b="10160"/>
            <wp:wrapSquare wrapText="bothSides"/>
            <wp:docPr id="10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0"/>
                    <pic:cNvPicPr>
                      <a:picLocks noChangeAspect="1"/>
                    </pic:cNvPicPr>
                  </pic:nvPicPr>
                  <pic:blipFill>
                    <a:blip r:embed="rId109"/>
                    <a:stretch>
                      <a:fillRect/>
                    </a:stretch>
                  </pic:blipFill>
                  <pic:spPr>
                    <a:xfrm>
                      <a:off x="0" y="0"/>
                      <a:ext cx="1840230" cy="2332990"/>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ind w:firstLine="216"/>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十一</w:t>
      </w:r>
      <w:r>
        <w:rPr>
          <w:rFonts w:hint="eastAsia" w:ascii="仿宋" w:hAnsi="仿宋" w:eastAsia="仿宋" w:cs="仿宋"/>
          <w:color w:val="auto"/>
          <w:sz w:val="24"/>
          <w:szCs w:val="24"/>
          <w:highlight w:val="none"/>
        </w:rPr>
        <w:t>、手持式内燃凿岩机</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1、总体要求符合JB/T 7171-2011（手持式内燃凿岩机）有关标准、规范，提供国家消防装备质量监督检验中心或其他国家级权威检验机构出具的检测报告复印件或扫描件。</w:t>
      </w:r>
    </w:p>
    <w:p>
      <w:pPr>
        <w:pStyle w:val="6"/>
        <w:spacing w:before="0" w:beforeAutospacing="0" w:after="0" w:afterAutospacing="0" w:line="6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2、整体装备由主机、注油器、气腿等部分组成，主要用于抢险救援现场开凿混凝土结构破拆。</w:t>
      </w:r>
    </w:p>
    <w:p>
      <w:pPr>
        <w:adjustRightInd w:val="0"/>
        <w:snapToGrid w:val="0"/>
        <w:spacing w:line="600" w:lineRule="exact"/>
        <w:ind w:left="638" w:leftChars="30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3、启动方便，安全可靠，机动能力强，可在任意角度下工作。</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4、采用防震手柄，低震动，具有强大的激震力，较高的破碎速度。</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5、动力源：汽油机；功率：≥2kW。</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6、冲击频率：≥1800次/min；最大冲击能力：≥80J。</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7、钻孔直径：≥35～45mm 。</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8、整体长度：≥700mm。</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9、重量：≤30kg。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10、专用仪器储运箱，防水、防尘、防撞击。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11、配件要求：尖头、平头钻头各2个。</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12、配备纸质版和电子版中文使用维护保养说明书，配备专用装备储运箱，防水、防尘、防撞击。</w:t>
      </w:r>
    </w:p>
    <w:p>
      <w:pPr>
        <w:pStyle w:val="6"/>
        <w:spacing w:before="0" w:beforeAutospacing="0" w:after="0" w:afterAutospacing="0" w:line="6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13、永久性标签内容包括:制造厂名称、地址、联系方式和注册商标；产品名称及型号；生产日期和批号；产品执行标准的代号和RFID芯片（内容根据采购方需要填写）。</w:t>
      </w: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8592" behindDoc="0" locked="0" layoutInCell="1" allowOverlap="1">
            <wp:simplePos x="0" y="0"/>
            <wp:positionH relativeFrom="column">
              <wp:posOffset>1066800</wp:posOffset>
            </wp:positionH>
            <wp:positionV relativeFrom="paragraph">
              <wp:posOffset>180975</wp:posOffset>
            </wp:positionV>
            <wp:extent cx="2743200" cy="2056130"/>
            <wp:effectExtent l="0" t="0" r="0" b="1270"/>
            <wp:wrapSquare wrapText="bothSides"/>
            <wp:docPr id="106"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39"/>
                    <pic:cNvPicPr>
                      <a:picLocks noChangeAspect="1"/>
                    </pic:cNvPicPr>
                  </pic:nvPicPr>
                  <pic:blipFill>
                    <a:blip r:embed="rId110"/>
                    <a:stretch>
                      <a:fillRect/>
                    </a:stretch>
                  </pic:blipFill>
                  <pic:spPr>
                    <a:xfrm>
                      <a:off x="0" y="0"/>
                      <a:ext cx="2743200" cy="205613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eastAsia="zh-CN"/>
        </w:rPr>
        <w:t>十二</w:t>
      </w:r>
      <w:r>
        <w:rPr>
          <w:rFonts w:hint="eastAsia" w:ascii="仿宋" w:hAnsi="仿宋" w:eastAsia="仿宋" w:cs="仿宋"/>
          <w:color w:val="auto"/>
          <w:sz w:val="24"/>
          <w:szCs w:val="24"/>
          <w:highlight w:val="none"/>
        </w:rPr>
        <w:t>、绝缘剪断钳</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2、主要用于事故现场电线电缆或其它带电体的剪切。</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3、刀头碳钢锻压，整体热处理，刃口高频感应淬火，连臂一侧螺栓调节间隙，剪切硬度≥HRC30。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4、可剪断直径16mm以下电线、钢筋（普通圆钢）等，绝缘操作。</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5、剪刃口硬度HRC55-60。</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6、剪柄耐电压≥5000V。</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7、配备纸质版和电子版中文使用维护保养说明书，配备专用装备储运箱，防水、防尘、防撞击。</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8、永久性标签内容包括:制造厂名称、地址、联系方式和注册商标；产品名称及型号；生产日期和批号；产品执行标准的代号和RFID芯片（内容根据采购方需要填写）。</w:t>
      </w:r>
    </w:p>
    <w:p>
      <w:pPr>
        <w:pStyle w:val="6"/>
        <w:spacing w:before="0" w:beforeAutospacing="0" w:after="0" w:afterAutospacing="0" w:line="600" w:lineRule="exact"/>
        <w:jc w:val="both"/>
        <w:rPr>
          <w:rFonts w:hint="eastAsia" w:ascii="仿宋" w:hAnsi="仿宋" w:eastAsia="仿宋" w:cs="仿宋"/>
          <w:b w:val="0"/>
          <w:bCs w:val="0"/>
          <w:color w:val="auto"/>
          <w:sz w:val="24"/>
          <w:szCs w:val="24"/>
          <w:highlight w:val="none"/>
        </w:rPr>
      </w:pPr>
    </w:p>
    <w:p>
      <w:pPr>
        <w:spacing w:line="6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十三</w:t>
      </w:r>
      <w:r>
        <w:rPr>
          <w:rFonts w:hint="eastAsia" w:ascii="仿宋" w:hAnsi="仿宋" w:eastAsia="仿宋" w:cs="仿宋"/>
          <w:color w:val="auto"/>
          <w:sz w:val="24"/>
          <w:szCs w:val="24"/>
          <w:highlight w:val="none"/>
        </w:rPr>
        <w:t>、注入式堵漏工具</w:t>
      </w:r>
    </w:p>
    <w:p>
      <w:pPr>
        <w:widowControl/>
        <w:shd w:val="clear" w:color="auto" w:fill="FFFFFF"/>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1、符合国家现行有关标准、规范，提供</w:t>
      </w:r>
      <w:r>
        <w:rPr>
          <w:rFonts w:hint="eastAsia" w:ascii="仿宋" w:hAnsi="仿宋" w:eastAsia="仿宋" w:cs="仿宋"/>
          <w:color w:val="auto"/>
          <w:sz w:val="24"/>
          <w:szCs w:val="24"/>
          <w:highlight w:val="none"/>
        </w:rPr>
        <w:t>国家消防装备质量监督检验中心或其他国家级权威检验机构出具的检测报告复印件或扫描件。</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bookmarkStart w:id="123" w:name="_Hlk49277376"/>
      <w:r>
        <w:rPr>
          <w:rFonts w:hint="eastAsia" w:ascii="仿宋" w:hAnsi="仿宋" w:eastAsia="仿宋" w:cs="仿宋"/>
          <w:bCs/>
          <w:color w:val="auto"/>
          <w:sz w:val="24"/>
          <w:szCs w:val="24"/>
          <w:highlight w:val="none"/>
        </w:rPr>
        <w:t>整套装备由高压注胶工具、手动高压油泵、角向接头、注胶螺母、注胶螺杆、专用润滑松动喷剂组成，用于化工、化肥、炼油、煤气、发电、冶金等装置管道上的各种静密封点堵漏密封。</w:t>
      </w:r>
      <w:bookmarkEnd w:id="123"/>
      <w:r>
        <w:rPr>
          <w:rFonts w:hint="eastAsia" w:ascii="仿宋" w:hAnsi="仿宋" w:eastAsia="仿宋" w:cs="仿宋"/>
          <w:bCs/>
          <w:color w:val="auto"/>
          <w:sz w:val="24"/>
          <w:szCs w:val="24"/>
          <w:highlight w:val="none"/>
        </w:rPr>
        <w:br w:type="textWrapping"/>
      </w:r>
      <w:r>
        <w:rPr>
          <w:rFonts w:hint="eastAsia" w:ascii="仿宋" w:hAnsi="仿宋" w:eastAsia="仿宋" w:cs="仿宋"/>
          <w:bCs/>
          <w:color w:val="auto"/>
          <w:sz w:val="24"/>
          <w:szCs w:val="24"/>
          <w:highlight w:val="none"/>
        </w:rPr>
        <w:t xml:space="preserve">    3、适用介质品种：各种酸、碱、盐、水、油、气和多种化学溶剂。   </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4、堵漏胶和密封剂能承受水、油、液化气、30%的硫酸、30%的盐酸、氢氧化钠、饱和氯化钠溶液的侵蚀。</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5、可堵泄漏介质温度范围：-200℃-600℃。</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6、堵漏口尺寸及速度：不规则泄露口最大宽度≤5mm，堵漏速度≤15min。</w:t>
      </w:r>
      <w:r>
        <w:rPr>
          <w:rFonts w:hint="eastAsia" w:ascii="仿宋" w:hAnsi="仿宋" w:eastAsia="仿宋" w:cs="仿宋"/>
          <w:bCs/>
          <w:color w:val="auto"/>
          <w:sz w:val="24"/>
          <w:szCs w:val="24"/>
          <w:highlight w:val="none"/>
        </w:rPr>
        <w:br w:type="textWrapping"/>
      </w:r>
      <w:r>
        <w:rPr>
          <w:rFonts w:hint="eastAsia" w:ascii="仿宋" w:hAnsi="仿宋" w:eastAsia="仿宋" w:cs="仿宋"/>
          <w:bCs/>
          <w:color w:val="auto"/>
          <w:sz w:val="24"/>
          <w:szCs w:val="24"/>
          <w:highlight w:val="none"/>
        </w:rPr>
        <w:t xml:space="preserve">    7、泄漏缝隙最大宽度和最大孔径：≥5mm。</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8、堵漏压力：≥20Mpa。</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9、修复后可承受压力：≥20Mpa。</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10、无火花材料、防爆材料制作。</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11、堵漏胶3盒（红盒胶1盒、白盒胶1盒、蓝盒胶1盒）。</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12、带快速接头、防震压力表的手动高压油泵1台，带快速接头的专用高压油管1根，油管长度：≥1m，泵缸压力：≥74Mpa。</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13、45°角向接头：≥1只，90°角向接头：≥1只，M12注射弯头：≥1只，无火花材料。</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14、注胶螺母（M12、M14、M16、M18、M20、M22、M24）：≥各1只，无火花材料。</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15、注胶螺杆（M12、M14、M16、M18、M20、M22、M24）：≥各1只，无火花材料。</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16、专用润滑松动喷剂：≥1罐。</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w:t>
      </w:r>
      <w:r>
        <w:rPr>
          <w:rFonts w:hint="eastAsia" w:ascii="仿宋" w:hAnsi="仿宋" w:eastAsia="仿宋" w:cs="仿宋"/>
          <w:color w:val="auto"/>
          <w:sz w:val="24"/>
          <w:szCs w:val="24"/>
          <w:highlight w:val="none"/>
        </w:rPr>
        <w:t>配备纸质版和电子版中文使用维护保养说明书，配备专用器材储运箱，防水、防尘、防撞击。</w:t>
      </w: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18、永久性标签要求：制造厂名称、地址和注册商标；产品名称及型号；生产日期和批号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spacing w:line="600" w:lineRule="exact"/>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59616" behindDoc="0" locked="0" layoutInCell="1" allowOverlap="1">
            <wp:simplePos x="0" y="0"/>
            <wp:positionH relativeFrom="column">
              <wp:posOffset>1457325</wp:posOffset>
            </wp:positionH>
            <wp:positionV relativeFrom="paragraph">
              <wp:posOffset>158115</wp:posOffset>
            </wp:positionV>
            <wp:extent cx="2975610" cy="2316480"/>
            <wp:effectExtent l="0" t="0" r="15240" b="7620"/>
            <wp:wrapTopAndBottom/>
            <wp:docPr id="107" name="图片 5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59636"/>
                    <pic:cNvPicPr>
                      <a:picLocks noChangeAspect="1"/>
                    </pic:cNvPicPr>
                  </pic:nvPicPr>
                  <pic:blipFill>
                    <a:blip r:embed="rId111"/>
                    <a:stretch>
                      <a:fillRect/>
                    </a:stretch>
                  </pic:blipFill>
                  <pic:spPr>
                    <a:xfrm>
                      <a:off x="0" y="0"/>
                      <a:ext cx="2975610" cy="2316480"/>
                    </a:xfrm>
                    <a:prstGeom prst="rect">
                      <a:avLst/>
                    </a:prstGeom>
                    <a:noFill/>
                    <a:ln>
                      <a:noFill/>
                    </a:ln>
                  </pic:spPr>
                </pic:pic>
              </a:graphicData>
            </a:graphic>
          </wp:anchor>
        </w:drawing>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十四</w:t>
      </w:r>
      <w:r>
        <w:rPr>
          <w:rFonts w:hint="eastAsia" w:ascii="仿宋" w:hAnsi="仿宋" w:eastAsia="仿宋" w:cs="仿宋"/>
          <w:color w:val="auto"/>
          <w:sz w:val="24"/>
          <w:szCs w:val="24"/>
          <w:highlight w:val="none"/>
        </w:rPr>
        <w:t>、粘稠液体抽吸泵</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1、符合国家现行有关标准、规范，</w:t>
      </w:r>
      <w:r>
        <w:rPr>
          <w:rFonts w:hint="eastAsia" w:ascii="仿宋" w:hAnsi="仿宋" w:eastAsia="仿宋" w:cs="仿宋"/>
          <w:color w:val="auto"/>
          <w:sz w:val="24"/>
          <w:szCs w:val="24"/>
          <w:highlight w:val="none"/>
        </w:rPr>
        <w:t>提供国家消防装备质量监督检验中心或其他国家级权威检验机构出具的检测报告复印件或扫描件</w:t>
      </w:r>
      <w:r>
        <w:rPr>
          <w:rFonts w:hint="eastAsia" w:ascii="仿宋" w:hAnsi="仿宋" w:eastAsia="仿宋" w:cs="仿宋"/>
          <w:bCs/>
          <w:color w:val="auto"/>
          <w:sz w:val="24"/>
          <w:szCs w:val="24"/>
          <w:highlight w:val="none"/>
        </w:rPr>
        <w:t>。</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2、由吸管、吸嘴、集液桶、风机、马达、控制板组成，用于在事故现场快速抽取有毒有害及粘稠液体。</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3、容量:≥80L；流量：≥1.7L/s。</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4、功率:≥3000W。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5、电压：220V。</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6、气流量:≥100L/s。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7、真空吸力:≥20MPa。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8、电机驱动，配有接地线；防腐材料桶身，防酸，防碱，腐蚀，耐碰撞。</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9、静音型马达，防水，防爆，防静电。配备放水喉、隔尘网。</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10、</w:t>
      </w:r>
      <w:r>
        <w:rPr>
          <w:rFonts w:hint="eastAsia" w:ascii="仿宋" w:hAnsi="仿宋" w:eastAsia="仿宋" w:cs="仿宋"/>
          <w:color w:val="auto"/>
          <w:sz w:val="24"/>
          <w:szCs w:val="24"/>
          <w:highlight w:val="none"/>
        </w:rPr>
        <w:t>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bCs/>
          <w:color w:val="auto"/>
          <w:sz w:val="24"/>
          <w:szCs w:val="24"/>
          <w:highlight w:val="none"/>
        </w:rPr>
        <w:t>永久性标签要求：标签包括如下内容:制造厂名称、地址和注册商标；产品名称及型号；生产日期和批号；产品执行标准的代号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0640" behindDoc="1" locked="0" layoutInCell="1" allowOverlap="1">
            <wp:simplePos x="0" y="0"/>
            <wp:positionH relativeFrom="column">
              <wp:posOffset>1996440</wp:posOffset>
            </wp:positionH>
            <wp:positionV relativeFrom="paragraph">
              <wp:posOffset>187960</wp:posOffset>
            </wp:positionV>
            <wp:extent cx="1758950" cy="1758950"/>
            <wp:effectExtent l="0" t="0" r="12700" b="12700"/>
            <wp:wrapTight wrapText="bothSides">
              <wp:wrapPolygon>
                <wp:start x="0" y="0"/>
                <wp:lineTo x="0" y="21288"/>
                <wp:lineTo x="21288" y="21288"/>
                <wp:lineTo x="21288" y="0"/>
                <wp:lineTo x="0" y="0"/>
              </wp:wrapPolygon>
            </wp:wrapTight>
            <wp:docPr id="108" name="图片 5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59632"/>
                    <pic:cNvPicPr>
                      <a:picLocks noChangeAspect="1"/>
                    </pic:cNvPicPr>
                  </pic:nvPicPr>
                  <pic:blipFill>
                    <a:blip r:embed="rId112"/>
                    <a:stretch>
                      <a:fillRect/>
                    </a:stretch>
                  </pic:blipFill>
                  <pic:spPr>
                    <a:xfrm>
                      <a:off x="0" y="0"/>
                      <a:ext cx="1758950" cy="175895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bCs/>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p>
    <w:p>
      <w:pPr>
        <w:pStyle w:val="13"/>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十五</w:t>
      </w:r>
      <w:r>
        <w:rPr>
          <w:rFonts w:hint="eastAsia" w:ascii="仿宋" w:hAnsi="仿宋" w:eastAsia="仿宋" w:cs="仿宋"/>
          <w:color w:val="auto"/>
          <w:sz w:val="24"/>
          <w:szCs w:val="24"/>
          <w:highlight w:val="none"/>
        </w:rPr>
        <w:t>、有毒物质密封桶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1、符合国家现行有关标准、规范，</w:t>
      </w:r>
      <w:r>
        <w:rPr>
          <w:rFonts w:hint="eastAsia" w:ascii="仿宋" w:hAnsi="仿宋" w:eastAsia="仿宋" w:cs="仿宋"/>
          <w:color w:val="auto"/>
          <w:sz w:val="24"/>
          <w:szCs w:val="24"/>
          <w:highlight w:val="none"/>
        </w:rPr>
        <w:t>提供国家消防装备质量监督检验中心或其他国家级权威检验机构出具的检测报告复印件或扫描件</w:t>
      </w:r>
      <w:r>
        <w:rPr>
          <w:rFonts w:hint="eastAsia" w:ascii="仿宋" w:hAnsi="仿宋" w:eastAsia="仿宋" w:cs="仿宋"/>
          <w:bCs/>
          <w:color w:val="auto"/>
          <w:sz w:val="24"/>
          <w:szCs w:val="24"/>
          <w:highlight w:val="none"/>
        </w:rPr>
        <w:t>。</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2由高密度聚乙烯材质制成，防酸碱，耐高温，有较强的抗化学性能，主要用于收集并转运有毒物质和污染严重的土壤。</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3、上端留取样窗口和观察窗。</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4、容量：≥90L。</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5、重量：≤7kg。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color w:val="auto"/>
          <w:sz w:val="24"/>
          <w:szCs w:val="24"/>
          <w:highlight w:val="none"/>
        </w:rPr>
        <w:t>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bCs/>
          <w:color w:val="auto"/>
          <w:sz w:val="24"/>
          <w:szCs w:val="24"/>
          <w:highlight w:val="none"/>
        </w:rPr>
        <w:t>永久性标签要求：标签包括如下内容:制造厂名称、地址和注册商标；产品名称及型号；生产日期和批号；产品执行标准的代号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1664" behindDoc="0" locked="0" layoutInCell="1" allowOverlap="1">
            <wp:simplePos x="0" y="0"/>
            <wp:positionH relativeFrom="column">
              <wp:posOffset>2124075</wp:posOffset>
            </wp:positionH>
            <wp:positionV relativeFrom="paragraph">
              <wp:posOffset>367030</wp:posOffset>
            </wp:positionV>
            <wp:extent cx="1457325" cy="1543050"/>
            <wp:effectExtent l="0" t="0" r="9525" b="0"/>
            <wp:wrapSquare wrapText="bothSides"/>
            <wp:docPr id="10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
                    <pic:cNvPicPr>
                      <a:picLocks noChangeAspect="1"/>
                    </pic:cNvPicPr>
                  </pic:nvPicPr>
                  <pic:blipFill>
                    <a:blip r:embed="rId113"/>
                    <a:stretch>
                      <a:fillRect/>
                    </a:stretch>
                  </pic:blipFill>
                  <pic:spPr>
                    <a:xfrm>
                      <a:off x="0" y="0"/>
                      <a:ext cx="1457325" cy="1543050"/>
                    </a:xfrm>
                    <a:prstGeom prst="rect">
                      <a:avLst/>
                    </a:prstGeom>
                    <a:noFill/>
                    <a:ln>
                      <a:noFill/>
                    </a:ln>
                  </pic:spPr>
                </pic:pic>
              </a:graphicData>
            </a:graphic>
          </wp:anchor>
        </w:drawing>
      </w: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十六</w:t>
      </w:r>
      <w:r>
        <w:rPr>
          <w:rFonts w:hint="eastAsia" w:ascii="仿宋" w:hAnsi="仿宋" w:eastAsia="仿宋" w:cs="仿宋"/>
          <w:color w:val="auto"/>
          <w:sz w:val="24"/>
          <w:szCs w:val="24"/>
          <w:highlight w:val="none"/>
        </w:rPr>
        <w:t>、2.0MPa-65mm-20m水带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1、符合GB6246-2011《消防水带》标准，提供具有国家消防装备质量监督检验中心出具的有效检测报告。</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2、供消防员铺设供水线路使用。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3、直径65mm，水带内径：63.5＋2mm，爆破压力：≥6MPa，长度≥20m。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4、聚氨酯衬里消防水带，外编织层经线纬线均采用高强度涤纶长丝斜纹紧密编织。</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5、水带编织层与衬里之间的附着强度：≥20N/25mm，轴向延伸率：≤5%，直径膨胀率：≤5%。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6、水带和水带扎口在≥3.0Mpa水压下无渗漏。</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7、水带和水带接口在3.0Mpa水压下，不出现裂纹或断裂。</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8、水带和水带接口紧固连接，采用65mm卡式水带接口。</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9、水带两端应注明：厂名、编号、原料、公称内径、长度、生产日期、设计工作压力。</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2688" behindDoc="0" locked="0" layoutInCell="1" allowOverlap="1">
            <wp:simplePos x="0" y="0"/>
            <wp:positionH relativeFrom="column">
              <wp:posOffset>1522095</wp:posOffset>
            </wp:positionH>
            <wp:positionV relativeFrom="paragraph">
              <wp:posOffset>306705</wp:posOffset>
            </wp:positionV>
            <wp:extent cx="2324100" cy="1114425"/>
            <wp:effectExtent l="0" t="0" r="0" b="9525"/>
            <wp:wrapSquare wrapText="bothSides"/>
            <wp:docPr id="1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4"/>
                    <pic:cNvPicPr>
                      <a:picLocks noChangeAspect="1"/>
                    </pic:cNvPicPr>
                  </pic:nvPicPr>
                  <pic:blipFill>
                    <a:blip r:embed="rId114"/>
                    <a:stretch>
                      <a:fillRect/>
                    </a:stretch>
                  </pic:blipFill>
                  <pic:spPr>
                    <a:xfrm>
                      <a:off x="0" y="0"/>
                      <a:ext cx="2324100" cy="1114425"/>
                    </a:xfrm>
                    <a:prstGeom prst="rect">
                      <a:avLst/>
                    </a:prstGeom>
                    <a:noFill/>
                    <a:ln>
                      <a:noFill/>
                    </a:ln>
                  </pic:spPr>
                </pic:pic>
              </a:graphicData>
            </a:graphic>
          </wp:anchor>
        </w:drawing>
      </w:r>
      <w:r>
        <w:rPr>
          <w:rFonts w:hint="eastAsia" w:ascii="仿宋" w:hAnsi="仿宋" w:eastAsia="仿宋" w:cs="仿宋"/>
          <w:color w:val="auto"/>
          <w:sz w:val="24"/>
          <w:szCs w:val="24"/>
          <w:highlight w:val="none"/>
        </w:rPr>
        <w:t xml:space="preserve">                </w:t>
      </w:r>
    </w:p>
    <w:p>
      <w:pPr>
        <w:spacing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26"/>
        <w:rPr>
          <w:rFonts w:hint="eastAsia" w:ascii="仿宋" w:hAnsi="仿宋" w:eastAsia="仿宋" w:cs="仿宋"/>
          <w:color w:val="auto"/>
          <w:sz w:val="24"/>
          <w:szCs w:val="24"/>
          <w:highlight w:val="none"/>
        </w:rPr>
      </w:pPr>
    </w:p>
    <w:p>
      <w:pPr>
        <w:tabs>
          <w:tab w:val="left" w:pos="771"/>
        </w:tabs>
        <w:jc w:val="lef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十七</w:t>
      </w:r>
      <w:r>
        <w:rPr>
          <w:rFonts w:hint="eastAsia" w:ascii="仿宋" w:hAnsi="仿宋" w:eastAsia="仿宋" w:cs="仿宋"/>
          <w:color w:val="auto"/>
          <w:sz w:val="24"/>
          <w:szCs w:val="24"/>
          <w:highlight w:val="none"/>
        </w:rPr>
        <w:t>、2.0MPa-80mm-20m水带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1、符合GB6246-2011《消防水带》标准，提供具有国家消防装备质量监督检验中心出具的有效检测报告。</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2、供消防员铺设供水线路使用。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3、直径80mm，水带内径：76±2.0mm，爆破压力：≥6Mpa，长度≥20m。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4、聚氨酯衬里消防水带，外编织层经线纬线均采用高强度涤纶长丝斜纹紧密编织。</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5、水带编织层与衬里之间的附着强度：≥20N/25mm，轴向延伸率：≤5%，直径膨胀率：≤5%。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6、水带和水带扎口在≥3.0Mpa水压下无渗漏。</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7、水带和水带接口在3.0Mpa水压下，不出现裂纹或断裂。</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8、水带和水带接口紧固连接，采用80mm卡式水带接口。</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9、水带两端应注明：厂名、编号、原料、公称内径、长度、生产日期、设计工作压力。</w:t>
      </w: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3712" behindDoc="0" locked="0" layoutInCell="1" allowOverlap="1">
            <wp:simplePos x="0" y="0"/>
            <wp:positionH relativeFrom="column">
              <wp:posOffset>1490980</wp:posOffset>
            </wp:positionH>
            <wp:positionV relativeFrom="paragraph">
              <wp:posOffset>139065</wp:posOffset>
            </wp:positionV>
            <wp:extent cx="2552700" cy="1419225"/>
            <wp:effectExtent l="0" t="0" r="0" b="9525"/>
            <wp:wrapSquare wrapText="bothSides"/>
            <wp:docPr id="11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5"/>
                    <pic:cNvPicPr>
                      <a:picLocks noChangeAspect="1"/>
                    </pic:cNvPicPr>
                  </pic:nvPicPr>
                  <pic:blipFill>
                    <a:blip r:embed="rId115"/>
                    <a:stretch>
                      <a:fillRect/>
                    </a:stretch>
                  </pic:blipFill>
                  <pic:spPr>
                    <a:xfrm>
                      <a:off x="0" y="0"/>
                      <a:ext cx="2552700" cy="1419225"/>
                    </a:xfrm>
                    <a:prstGeom prst="rect">
                      <a:avLst/>
                    </a:prstGeom>
                    <a:noFill/>
                    <a:ln>
                      <a:noFill/>
                    </a:ln>
                  </pic:spPr>
                </pic:pic>
              </a:graphicData>
            </a:graphic>
          </wp:anchor>
        </w:drawing>
      </w:r>
      <w:r>
        <w:rPr>
          <w:rFonts w:hint="eastAsia" w:ascii="仿宋" w:hAnsi="仿宋" w:eastAsia="仿宋" w:cs="仿宋"/>
          <w:color w:val="auto"/>
          <w:sz w:val="24"/>
          <w:szCs w:val="24"/>
          <w:highlight w:val="none"/>
        </w:rPr>
        <w:t xml:space="preserve">             </w:t>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十八</w:t>
      </w:r>
      <w:r>
        <w:rPr>
          <w:rFonts w:hint="eastAsia" w:ascii="仿宋" w:hAnsi="仿宋" w:eastAsia="仿宋" w:cs="仿宋"/>
          <w:color w:val="auto"/>
          <w:sz w:val="24"/>
          <w:szCs w:val="24"/>
          <w:highlight w:val="none"/>
        </w:rPr>
        <w:t>、水幕水带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1、符合GB6246-2011《消防水带》标准要求，提供国家消防装备质量监督检验中心或其他国家权威机构出具的检测报告复印件或扫描件。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2、在一定水压作用下能够均匀地喷出雾状水带形成水幕墙，对火焰及热辐射起阻隔作用，用于火场隔离，降低救火现场温度，确保消防队员安全。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水带外层采用高强工业涤纶长丝材料编制而成，水带的织物层应均匀，表面整洁；无跳双经、断双经、跳纬及划伤；内衬聚氨酯材料，水带衬里的厚度应均匀，表面应光滑平整、无折皱或其他缺陷，重量轻，易收卷。</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4、水带内径：DN65。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5、标准工作压力：1.3Mpa。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6、爆破压力：≥3.9Mpa。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7、每盘长度20米，整盘水带的重量轻便，便于使用。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8、单位长度重量：≤400g/m。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9、水带在高压水流的作用下，抗形变能力良好，轴向延伸率：≤5％，直径膨胀率：≤5％，附着强度：≥20N/25mm；扯断伸长率：≥280%；扯断强度：≥12MPa。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10、水带两端应注明：厂名、编号、原料、公称内径、长度、生产日期、设计工作压力。</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11、水带两端有捆扎好的卡式接口，配橡胶水带护套。</w:t>
      </w: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4736" behindDoc="0" locked="0" layoutInCell="1" allowOverlap="1">
            <wp:simplePos x="0" y="0"/>
            <wp:positionH relativeFrom="column">
              <wp:posOffset>948055</wp:posOffset>
            </wp:positionH>
            <wp:positionV relativeFrom="paragraph">
              <wp:posOffset>298450</wp:posOffset>
            </wp:positionV>
            <wp:extent cx="3543300" cy="1574165"/>
            <wp:effectExtent l="0" t="0" r="0" b="6985"/>
            <wp:wrapSquare wrapText="bothSides"/>
            <wp:docPr id="11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 descr="IMG_256"/>
                    <pic:cNvPicPr>
                      <a:picLocks noChangeAspect="1"/>
                    </pic:cNvPicPr>
                  </pic:nvPicPr>
                  <pic:blipFill>
                    <a:blip r:embed="rId116"/>
                    <a:srcRect l="3081" t="15495" r="-2707" b="18057"/>
                    <a:stretch>
                      <a:fillRect/>
                    </a:stretch>
                  </pic:blipFill>
                  <pic:spPr>
                    <a:xfrm>
                      <a:off x="0" y="0"/>
                      <a:ext cx="3543300" cy="1574165"/>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outlineLvl w:val="0"/>
        <w:rPr>
          <w:rFonts w:hint="eastAsia" w:ascii="仿宋" w:hAnsi="仿宋" w:eastAsia="仿宋" w:cs="仿宋"/>
          <w:color w:val="auto"/>
          <w:sz w:val="24"/>
          <w:szCs w:val="24"/>
          <w:highlight w:val="none"/>
        </w:rPr>
      </w:pPr>
    </w:p>
    <w:p>
      <w:pPr>
        <w:pStyle w:val="13"/>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十九</w:t>
      </w:r>
      <w:r>
        <w:rPr>
          <w:rFonts w:hint="eastAsia" w:ascii="仿宋" w:hAnsi="仿宋" w:eastAsia="仿宋" w:cs="仿宋"/>
          <w:color w:val="auto"/>
          <w:sz w:val="24"/>
          <w:szCs w:val="24"/>
          <w:highlight w:val="none"/>
        </w:rPr>
        <w:t>、强酸碱洗消器</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1、符合国家现行有关标准、规范，</w:t>
      </w:r>
      <w:r>
        <w:rPr>
          <w:rFonts w:hint="eastAsia" w:ascii="仿宋" w:hAnsi="仿宋" w:eastAsia="仿宋" w:cs="仿宋"/>
          <w:color w:val="auto"/>
          <w:sz w:val="24"/>
          <w:szCs w:val="24"/>
          <w:highlight w:val="none"/>
        </w:rPr>
        <w:t>提供国家消防装备质量监督检验中心或其他国家级权威检验机构出具的检测报告复印件或扫描件</w:t>
      </w:r>
      <w:r>
        <w:rPr>
          <w:rFonts w:hint="eastAsia" w:ascii="仿宋" w:hAnsi="仿宋" w:eastAsia="仿宋" w:cs="仿宋"/>
          <w:bCs/>
          <w:color w:val="auto"/>
          <w:sz w:val="24"/>
          <w:szCs w:val="24"/>
          <w:highlight w:val="none"/>
        </w:rPr>
        <w:t>。</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2、由手动泵、喷枪、水管等组成，用于化学品污染后的身体洗消及装备洗消。</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3、不锈钢喷罐，内壁覆盖聚脂纤维保护层。</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4、容积:≥10L。</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5、气动系统带手动泵。</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6、安全压力阀，可快速放气。</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7、喷枪长:≥800mm，分为喷杆和喷嘴两部分。</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8、水管长:≥1200mm，材料抗压性好，带快速连接口。</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9、三角刷长:≥150mm。</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10、椭圆刷长:≥200mm。</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11、可伸缩握杆最大长度:≥2100mm。</w:t>
      </w:r>
    </w:p>
    <w:p>
      <w:pPr>
        <w:widowControl/>
        <w:shd w:val="clear" w:color="auto" w:fill="FFFFFF"/>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w:t>
      </w:r>
      <w:r>
        <w:rPr>
          <w:rFonts w:hint="eastAsia" w:ascii="仿宋" w:hAnsi="仿宋" w:eastAsia="仿宋" w:cs="仿宋"/>
          <w:color w:val="auto"/>
          <w:sz w:val="24"/>
          <w:szCs w:val="24"/>
          <w:highlight w:val="none"/>
        </w:rPr>
        <w:t>配备纸质版和电子版中文使用维护保养说明书，配备专用器材储运箱，防水、防尘、防撞击。</w:t>
      </w:r>
    </w:p>
    <w:p>
      <w:pPr>
        <w:spacing w:line="6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13、永久性标签要求：标签包括如下内容:制造厂名称、地址和注册商标；产品名称及型号；生产日期和批号；产品执行标准的代号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5760" behindDoc="0" locked="0" layoutInCell="1" allowOverlap="1">
            <wp:simplePos x="0" y="0"/>
            <wp:positionH relativeFrom="column">
              <wp:posOffset>2240280</wp:posOffset>
            </wp:positionH>
            <wp:positionV relativeFrom="paragraph">
              <wp:posOffset>109855</wp:posOffset>
            </wp:positionV>
            <wp:extent cx="1270000" cy="1270000"/>
            <wp:effectExtent l="0" t="0" r="6350" b="6350"/>
            <wp:wrapSquare wrapText="bothSides"/>
            <wp:docPr id="113" name="图片 70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707648"/>
                    <pic:cNvPicPr>
                      <a:picLocks noChangeAspect="1"/>
                    </pic:cNvPicPr>
                  </pic:nvPicPr>
                  <pic:blipFill>
                    <a:blip r:embed="rId117"/>
                    <a:stretch>
                      <a:fillRect/>
                    </a:stretch>
                  </pic:blipFill>
                  <pic:spPr>
                    <a:xfrm>
                      <a:off x="0" y="0"/>
                      <a:ext cx="1270000" cy="1270000"/>
                    </a:xfrm>
                    <a:prstGeom prst="rect">
                      <a:avLst/>
                    </a:prstGeom>
                    <a:noFill/>
                    <a:ln>
                      <a:noFill/>
                    </a:ln>
                  </pic:spPr>
                </pic:pic>
              </a:graphicData>
            </a:graphic>
          </wp:anchor>
        </w:drawing>
      </w: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jc w:val="left"/>
        <w:outlineLvl w:val="0"/>
        <w:rPr>
          <w:rFonts w:hint="eastAsia" w:ascii="仿宋" w:hAnsi="仿宋" w:eastAsia="仿宋" w:cs="仿宋"/>
          <w:color w:val="auto"/>
          <w:sz w:val="24"/>
          <w:szCs w:val="24"/>
          <w:highlight w:val="none"/>
        </w:rPr>
      </w:pPr>
    </w:p>
    <w:p>
      <w:pPr>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rPr>
          <w:rFonts w:hint="eastAsia" w:ascii="仿宋" w:hAnsi="仿宋" w:eastAsia="仿宋" w:cs="仿宋"/>
          <w:color w:val="auto"/>
          <w:sz w:val="24"/>
          <w:szCs w:val="24"/>
          <w:highlight w:val="none"/>
        </w:rPr>
      </w:pPr>
    </w:p>
    <w:p>
      <w:pPr>
        <w:pStyle w:val="2"/>
        <w:numPr>
          <w:ilvl w:val="0"/>
          <w:numId w:val="0"/>
        </w:numPr>
        <w:jc w:val="left"/>
        <w:rPr>
          <w:rFonts w:hint="eastAsia" w:ascii="仿宋" w:hAnsi="仿宋" w:eastAsia="仿宋" w:cs="仿宋"/>
          <w:color w:val="auto"/>
          <w:highlight w:val="none"/>
          <w:lang w:val="en-US" w:eastAsia="zh-CN"/>
        </w:rPr>
      </w:pP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pPr>
        <w:pStyle w:val="2"/>
        <w:numPr>
          <w:ilvl w:val="0"/>
          <w:numId w:val="0"/>
        </w:num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4包：</w:t>
      </w:r>
    </w:p>
    <w:p>
      <w:pPr>
        <w:pStyle w:val="2"/>
        <w:numPr>
          <w:ilvl w:val="0"/>
          <w:numId w:val="12"/>
        </w:num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采购清单</w:t>
      </w:r>
    </w:p>
    <w:tbl>
      <w:tblPr>
        <w:tblStyle w:val="23"/>
        <w:tblW w:w="8697" w:type="dxa"/>
        <w:tblInd w:w="93" w:type="dxa"/>
        <w:shd w:val="clear" w:color="auto" w:fill="auto"/>
        <w:tblLayout w:type="autofit"/>
        <w:tblCellMar>
          <w:top w:w="0" w:type="dxa"/>
          <w:left w:w="108" w:type="dxa"/>
          <w:bottom w:w="0" w:type="dxa"/>
          <w:right w:w="108" w:type="dxa"/>
        </w:tblCellMar>
      </w:tblPr>
      <w:tblGrid>
        <w:gridCol w:w="737"/>
        <w:gridCol w:w="1419"/>
        <w:gridCol w:w="1005"/>
        <w:gridCol w:w="4016"/>
        <w:gridCol w:w="1520"/>
      </w:tblGrid>
      <w:tr>
        <w:tblPrEx>
          <w:shd w:val="clear" w:color="auto" w:fill="auto"/>
          <w:tblCellMar>
            <w:top w:w="0" w:type="dxa"/>
            <w:left w:w="108" w:type="dxa"/>
            <w:bottom w:w="0" w:type="dxa"/>
            <w:right w:w="108" w:type="dxa"/>
          </w:tblCellMar>
        </w:tblPrEx>
        <w:trPr>
          <w:trHeight w:val="403" w:hRule="atLeast"/>
        </w:trPr>
        <w:tc>
          <w:tcPr>
            <w:tcW w:w="737"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序号</w:t>
            </w:r>
          </w:p>
        </w:tc>
        <w:tc>
          <w:tcPr>
            <w:tcW w:w="141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eastAsia="zh-CN"/>
              </w:rPr>
              <w:t>包号、名称</w:t>
            </w:r>
          </w:p>
        </w:tc>
        <w:tc>
          <w:tcPr>
            <w:tcW w:w="1005"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类别</w:t>
            </w:r>
          </w:p>
        </w:tc>
        <w:tc>
          <w:tcPr>
            <w:tcW w:w="401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eastAsia="zh-CN"/>
              </w:rPr>
              <w:t>器材名称</w:t>
            </w:r>
          </w:p>
        </w:tc>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eastAsia="zh-CN"/>
              </w:rPr>
              <w:t>数量</w:t>
            </w:r>
          </w:p>
        </w:tc>
      </w:tr>
      <w:tr>
        <w:tblPrEx>
          <w:shd w:val="clear" w:color="auto" w:fill="auto"/>
          <w:tblCellMar>
            <w:top w:w="0" w:type="dxa"/>
            <w:left w:w="108" w:type="dxa"/>
            <w:bottom w:w="0" w:type="dxa"/>
            <w:right w:w="108" w:type="dxa"/>
          </w:tblCellMar>
        </w:tblPrEx>
        <w:trPr>
          <w:trHeight w:val="432" w:hRule="atLeast"/>
        </w:trPr>
        <w:tc>
          <w:tcPr>
            <w:tcW w:w="737"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1419" w:type="dxa"/>
            <w:vMerge w:val="restart"/>
            <w:tcBorders>
              <w:top w:val="single" w:color="auto" w:sz="4" w:space="0"/>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包4：其他类装备</w:t>
            </w:r>
          </w:p>
        </w:tc>
        <w:tc>
          <w:tcPr>
            <w:tcW w:w="1005" w:type="dxa"/>
            <w:vMerge w:val="restart"/>
            <w:tcBorders>
              <w:top w:val="single" w:color="auto" w:sz="4" w:space="0"/>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其他类</w:t>
            </w:r>
          </w:p>
        </w:tc>
        <w:tc>
          <w:tcPr>
            <w:tcW w:w="401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≤4.5Kw发电机</w:t>
            </w:r>
          </w:p>
        </w:tc>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15㎡帐篷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60㎡帐篷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干粉灭火药剂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大流量移动消防炮≥80L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消防机动泵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手持电台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四旋翼消防用小型飞行器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布控球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单兵图传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中压分水器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多功能消防水枪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6米拉梯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9米拉梯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15米拉梯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挂钩梯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5</w:t>
            </w:r>
          </w:p>
        </w:tc>
      </w:tr>
      <w:tr>
        <w:tblPrEx>
          <w:shd w:val="clear" w:color="auto" w:fill="auto"/>
          <w:tblCellMar>
            <w:top w:w="0" w:type="dxa"/>
            <w:left w:w="108" w:type="dxa"/>
            <w:bottom w:w="0" w:type="dxa"/>
            <w:right w:w="108" w:type="dxa"/>
          </w:tblCellMar>
        </w:tblPrEx>
        <w:trPr>
          <w:trHeight w:val="4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419"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单杠梯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w:t>
            </w:r>
          </w:p>
        </w:tc>
      </w:tr>
      <w:tr>
        <w:tblPrEx>
          <w:shd w:val="clear" w:color="auto" w:fill="auto"/>
          <w:tblCellMar>
            <w:top w:w="0" w:type="dxa"/>
            <w:left w:w="108" w:type="dxa"/>
            <w:bottom w:w="0" w:type="dxa"/>
            <w:right w:w="108" w:type="dxa"/>
          </w:tblCellMar>
        </w:tblPrEx>
        <w:trPr>
          <w:trHeight w:val="41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419"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005"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4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折叠式救援梯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w:t>
            </w:r>
          </w:p>
        </w:tc>
      </w:tr>
      <w:tr>
        <w:tblPrEx>
          <w:tblCellMar>
            <w:top w:w="0" w:type="dxa"/>
            <w:left w:w="108" w:type="dxa"/>
            <w:bottom w:w="0" w:type="dxa"/>
            <w:right w:w="108" w:type="dxa"/>
          </w:tblCellMar>
        </w:tblPrEx>
        <w:trPr>
          <w:trHeight w:val="413" w:hRule="atLeast"/>
        </w:trPr>
        <w:tc>
          <w:tcPr>
            <w:tcW w:w="869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b/>
                <w:bCs/>
                <w:color w:val="auto"/>
                <w:kern w:val="0"/>
                <w:sz w:val="24"/>
                <w:szCs w:val="24"/>
                <w:highlight w:val="none"/>
                <w:lang w:val="en-US" w:eastAsia="zh-CN"/>
              </w:rPr>
              <w:t>1、投标人所报的</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必须满足国家相关质量标准要求。</w:t>
            </w:r>
          </w:p>
          <w:p>
            <w:pPr>
              <w:keepNext w:val="0"/>
              <w:keepLines w:val="0"/>
              <w:widowControl/>
              <w:suppressLineNumbers w:val="0"/>
              <w:ind w:firstLine="482" w:firstLineChars="20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color w:val="auto"/>
                <w:kern w:val="0"/>
                <w:sz w:val="24"/>
                <w:szCs w:val="24"/>
                <w:highlight w:val="none"/>
                <w:lang w:val="en-US" w:eastAsia="zh-CN"/>
              </w:rPr>
              <w:t>2、</w:t>
            </w:r>
            <w:r>
              <w:rPr>
                <w:rFonts w:hint="eastAsia" w:ascii="仿宋" w:hAnsi="仿宋" w:eastAsia="仿宋" w:cs="仿宋"/>
                <w:b/>
                <w:bCs/>
                <w:color w:val="auto"/>
                <w:kern w:val="0"/>
                <w:sz w:val="24"/>
                <w:szCs w:val="24"/>
                <w:highlight w:val="none"/>
              </w:rPr>
              <w:t>消防设备品目内的产品或涉及本次采购用于消防行业的产品，</w:t>
            </w:r>
            <w:r>
              <w:rPr>
                <w:rFonts w:hint="eastAsia" w:ascii="仿宋" w:hAnsi="仿宋" w:eastAsia="仿宋" w:cs="仿宋"/>
                <w:b/>
                <w:bCs/>
                <w:color w:val="auto"/>
                <w:kern w:val="0"/>
                <w:sz w:val="24"/>
                <w:szCs w:val="24"/>
                <w:highlight w:val="none"/>
                <w:lang w:eastAsia="zh-CN"/>
              </w:rPr>
              <w:t>优先考虑</w:t>
            </w:r>
            <w:r>
              <w:rPr>
                <w:rFonts w:hint="eastAsia" w:ascii="仿宋" w:hAnsi="仿宋" w:eastAsia="仿宋" w:cs="仿宋"/>
                <w:b/>
                <w:bCs/>
                <w:color w:val="auto"/>
                <w:kern w:val="0"/>
                <w:sz w:val="24"/>
                <w:szCs w:val="24"/>
                <w:highlight w:val="none"/>
              </w:rPr>
              <w:t>取得国家认可的权威检验机构出具的检测报告</w:t>
            </w:r>
            <w:r>
              <w:rPr>
                <w:rFonts w:hint="eastAsia" w:ascii="仿宋" w:hAnsi="仿宋" w:eastAsia="仿宋" w:cs="仿宋"/>
                <w:b/>
                <w:bCs/>
                <w:color w:val="auto"/>
                <w:kern w:val="0"/>
                <w:sz w:val="24"/>
                <w:szCs w:val="24"/>
                <w:highlight w:val="none"/>
                <w:lang w:eastAsia="zh-CN"/>
              </w:rPr>
              <w:t>且</w:t>
            </w:r>
            <w:r>
              <w:rPr>
                <w:rFonts w:hint="eastAsia" w:ascii="仿宋" w:hAnsi="仿宋" w:eastAsia="仿宋" w:cs="仿宋"/>
                <w:b/>
                <w:bCs/>
                <w:color w:val="auto"/>
                <w:kern w:val="0"/>
                <w:sz w:val="24"/>
                <w:szCs w:val="24"/>
                <w:highlight w:val="none"/>
              </w:rPr>
              <w:t>检测合格的产品，</w:t>
            </w:r>
            <w:r>
              <w:rPr>
                <w:rFonts w:hint="eastAsia" w:ascii="仿宋" w:hAnsi="仿宋" w:eastAsia="仿宋" w:cs="仿宋"/>
                <w:b/>
                <w:bCs/>
                <w:color w:val="auto"/>
                <w:kern w:val="0"/>
                <w:sz w:val="24"/>
                <w:szCs w:val="24"/>
                <w:highlight w:val="none"/>
                <w:lang w:eastAsia="zh-CN"/>
              </w:rPr>
              <w:t>检测报告作为评分依据</w:t>
            </w:r>
            <w:r>
              <w:rPr>
                <w:rFonts w:hint="eastAsia" w:ascii="仿宋" w:hAnsi="仿宋" w:eastAsia="仿宋" w:cs="仿宋"/>
                <w:b/>
                <w:bCs/>
                <w:color w:val="auto"/>
                <w:kern w:val="0"/>
                <w:sz w:val="24"/>
                <w:szCs w:val="24"/>
                <w:highlight w:val="none"/>
              </w:rPr>
              <w:t>。</w:t>
            </w:r>
          </w:p>
        </w:tc>
      </w:tr>
    </w:tbl>
    <w:p>
      <w:pPr>
        <w:pStyle w:val="22"/>
        <w:rPr>
          <w:rFonts w:hint="eastAsia" w:ascii="仿宋" w:hAnsi="仿宋" w:eastAsia="仿宋" w:cs="仿宋"/>
          <w:b/>
          <w:bCs/>
          <w:color w:val="auto"/>
          <w:kern w:val="0"/>
          <w:szCs w:val="21"/>
          <w:highlight w:val="none"/>
          <w:lang w:eastAsia="zh-CN" w:bidi="ar"/>
        </w:rPr>
      </w:pPr>
      <w:r>
        <w:rPr>
          <w:rFonts w:hint="eastAsia" w:ascii="仿宋" w:hAnsi="仿宋" w:eastAsia="仿宋" w:cs="仿宋"/>
          <w:color w:val="auto"/>
          <w:highlight w:val="none"/>
        </w:rPr>
        <w:t>★</w:t>
      </w:r>
      <w:r>
        <w:rPr>
          <w:rFonts w:hint="eastAsia" w:ascii="仿宋" w:hAnsi="仿宋" w:eastAsia="仿宋" w:cs="仿宋"/>
          <w:b/>
          <w:bCs/>
          <w:color w:val="auto"/>
          <w:highlight w:val="none"/>
          <w:lang w:eastAsia="zh-CN"/>
        </w:rPr>
        <w:t>本包核心产品为60㎡帐篷，</w:t>
      </w:r>
      <w:r>
        <w:rPr>
          <w:rFonts w:hint="eastAsia" w:ascii="仿宋" w:hAnsi="仿宋" w:eastAsia="仿宋" w:cs="仿宋"/>
          <w:b/>
          <w:bCs/>
          <w:color w:val="auto"/>
          <w:kern w:val="0"/>
          <w:szCs w:val="21"/>
          <w:highlight w:val="none"/>
          <w:lang w:eastAsia="zh-CN" w:bidi="ar"/>
        </w:rPr>
        <w:t>多家供应商提供的核心产品品牌相同的，提供相同品牌产品且通过资格审查、符合性审查的不同供应商参加同一合同项下报价的，按一家供应商计算，评审后得分最高的同品牌投标人获得中标人推荐资格；评审得分相同的，按报价由低到高的顺序排列，报价得分相同的，按技术得分由高到低的顺序排列，技术得分也相同的，采取随机抽取的方式确定。</w:t>
      </w:r>
    </w:p>
    <w:p>
      <w:pPr>
        <w:pStyle w:val="2"/>
        <w:numPr>
          <w:ilvl w:val="0"/>
          <w:numId w:val="0"/>
        </w:numPr>
        <w:jc w:val="left"/>
        <w:rPr>
          <w:color w:val="auto"/>
          <w:highlight w:val="none"/>
        </w:rPr>
      </w:pPr>
    </w:p>
    <w:p>
      <w:pPr>
        <w:pStyle w:val="2"/>
        <w:numPr>
          <w:ilvl w:val="0"/>
          <w:numId w:val="12"/>
        </w:numPr>
        <w:jc w:val="left"/>
        <w:rPr>
          <w:color w:val="auto"/>
          <w:highlight w:val="none"/>
        </w:rPr>
      </w:pPr>
      <w:r>
        <w:rPr>
          <w:rFonts w:hint="eastAsia" w:ascii="仿宋" w:hAnsi="仿宋" w:eastAsia="仿宋" w:cs="仿宋"/>
          <w:color w:val="auto"/>
          <w:highlight w:val="none"/>
          <w:lang w:eastAsia="zh-CN"/>
        </w:rPr>
        <w:t>技术规格要求</w:t>
      </w: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、小型发电机（</w:t>
      </w:r>
      <w:r>
        <w:rPr>
          <w:rFonts w:hint="eastAsia" w:ascii="仿宋" w:hAnsi="仿宋" w:eastAsia="仿宋" w:cs="仿宋"/>
          <w:bCs/>
          <w:color w:val="auto"/>
          <w:sz w:val="24"/>
          <w:szCs w:val="24"/>
          <w:highlight w:val="none"/>
        </w:rPr>
        <w:t>发动机功率：≥4.5Kw</w:t>
      </w:r>
      <w:r>
        <w:rPr>
          <w:rFonts w:hint="eastAsia" w:ascii="仿宋" w:hAnsi="仿宋" w:eastAsia="仿宋" w:cs="仿宋"/>
          <w:color w:val="auto"/>
          <w:sz w:val="24"/>
          <w:szCs w:val="24"/>
          <w:highlight w:val="none"/>
        </w:rPr>
        <w:t>）</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 8365-1987 《工频汽油发电机组通用技术条件》、 GJB 425-1988 《交流工频汽油发电机组通用技术条件》、GJB 425A-2001 《交流工频汽油发电机组通用规范》、GJB/T 10304-2001《工频汽油发电机组技术条件》标准的有关要求，提供国家权威机构出具的检测报告复印件或扫描件。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2、由发动机、发电机、控制面板组成，用于灾害现场供电。</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3、起动系统：反冲式启动。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4、排气量≥190cm3；发动机功率：≥4.5Kw。</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5、相数：单相。</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6、连续工作时间：≥7h。</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7、防护等级：IP65，绝缘等级：F。</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8、噪音（距离7米处）：≤50dB。</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9、额定频率：≥50Hz。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10、额定电压： 220V。</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11、额定电流：≥10A。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12、额定功率：≥3.0KVA。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13、重量：≤40kg。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14、配件要求：简易维修工具1套（含专用工具），备用火花塞1个，漏斗1个（汽油/机油）。</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15、</w:t>
      </w:r>
      <w:r>
        <w:rPr>
          <w:rFonts w:hint="eastAsia" w:ascii="仿宋" w:hAnsi="仿宋" w:eastAsia="仿宋" w:cs="仿宋"/>
          <w:color w:val="auto"/>
          <w:sz w:val="24"/>
          <w:szCs w:val="24"/>
          <w:highlight w:val="none"/>
        </w:rPr>
        <w:t>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bCs/>
          <w:color w:val="auto"/>
          <w:sz w:val="24"/>
          <w:szCs w:val="24"/>
          <w:highlight w:val="none"/>
        </w:rPr>
        <w:t>永久性标签要求：标签包括如下内容:制造厂名称、地址和注册商标；产品名称及型号；生产日期和批号；产品执行标准的代号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pPr>
        <w:spacing w:line="600" w:lineRule="exact"/>
        <w:rPr>
          <w:rFonts w:hint="eastAsia" w:ascii="仿宋" w:hAnsi="仿宋" w:eastAsia="仿宋" w:cs="仿宋"/>
          <w:color w:val="auto"/>
          <w:sz w:val="24"/>
          <w:szCs w:val="24"/>
          <w:highlight w:val="none"/>
        </w:rPr>
      </w:pPr>
    </w:p>
    <w:p>
      <w:pPr>
        <w:pStyle w:val="22"/>
        <w:rPr>
          <w:rFonts w:hint="eastAsia"/>
          <w:color w:val="auto"/>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6784" behindDoc="0" locked="0" layoutInCell="1" allowOverlap="1">
            <wp:simplePos x="0" y="0"/>
            <wp:positionH relativeFrom="column">
              <wp:posOffset>1650365</wp:posOffset>
            </wp:positionH>
            <wp:positionV relativeFrom="paragraph">
              <wp:posOffset>35560</wp:posOffset>
            </wp:positionV>
            <wp:extent cx="2221230" cy="2221230"/>
            <wp:effectExtent l="0" t="0" r="7620" b="7620"/>
            <wp:wrapSquare wrapText="bothSides"/>
            <wp:docPr id="116"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3" descr="IMG_256"/>
                    <pic:cNvPicPr>
                      <a:picLocks noChangeAspect="1"/>
                    </pic:cNvPicPr>
                  </pic:nvPicPr>
                  <pic:blipFill>
                    <a:blip r:embed="rId118"/>
                    <a:stretch>
                      <a:fillRect/>
                    </a:stretch>
                  </pic:blipFill>
                  <pic:spPr>
                    <a:xfrm>
                      <a:off x="0" y="0"/>
                      <a:ext cx="2221230" cy="222123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outlineLvl w:val="0"/>
        <w:rPr>
          <w:rFonts w:hint="eastAsia" w:ascii="仿宋" w:hAnsi="仿宋" w:eastAsia="仿宋" w:cs="仿宋"/>
          <w:color w:val="auto"/>
          <w:sz w:val="24"/>
          <w:szCs w:val="24"/>
          <w:highlight w:val="none"/>
        </w:rPr>
      </w:pPr>
    </w:p>
    <w:p>
      <w:pPr>
        <w:spacing w:line="600" w:lineRule="exact"/>
        <w:ind w:firstLine="480" w:firstLineChars="200"/>
        <w:outlineLvl w:val="0"/>
        <w:rPr>
          <w:rFonts w:hint="eastAsia" w:ascii="仿宋" w:hAnsi="仿宋" w:eastAsia="仿宋" w:cs="仿宋"/>
          <w:color w:val="auto"/>
          <w:sz w:val="24"/>
          <w:szCs w:val="24"/>
          <w:highlight w:val="none"/>
        </w:rPr>
      </w:pPr>
    </w:p>
    <w:p>
      <w:pPr>
        <w:spacing w:line="600" w:lineRule="exact"/>
        <w:ind w:firstLine="480" w:firstLineChars="200"/>
        <w:outlineLvl w:val="0"/>
        <w:rPr>
          <w:rFonts w:hint="eastAsia" w:ascii="仿宋" w:hAnsi="仿宋" w:eastAsia="仿宋" w:cs="仿宋"/>
          <w:color w:val="auto"/>
          <w:sz w:val="24"/>
          <w:szCs w:val="24"/>
          <w:highlight w:val="none"/>
        </w:rPr>
      </w:pPr>
    </w:p>
    <w:p>
      <w:pPr>
        <w:spacing w:line="600" w:lineRule="exact"/>
        <w:ind w:firstLine="480" w:firstLineChars="200"/>
        <w:outlineLvl w:val="0"/>
        <w:rPr>
          <w:rFonts w:hint="eastAsia" w:ascii="仿宋" w:hAnsi="仿宋" w:eastAsia="仿宋" w:cs="仿宋"/>
          <w:color w:val="auto"/>
          <w:sz w:val="24"/>
          <w:szCs w:val="24"/>
          <w:highlight w:val="none"/>
          <w:lang w:eastAsia="zh-CN"/>
        </w:rPr>
      </w:pPr>
    </w:p>
    <w:p>
      <w:pPr>
        <w:spacing w:line="600" w:lineRule="exact"/>
        <w:ind w:firstLine="480" w:firstLineChars="200"/>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、15㎡帐篷</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2、整体主要由：气柱框架、外披、内衬、底布四部分组成，主体结构框架采用高温热合焊接工艺，篷布采用双针拼合、拼缝处另贴合防水pu胶条。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3、占地面积≥15㎡，使用面积≥15㎡。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4、整体占地投影面积参考尺寸(长×宽×檐高×脊高)：≤3400×4400×2200×2800mm。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6、外篷布：单面涂覆PVC涤纶牛津布。经向断裂≥1270N/5cm，纬向断裂≥1330N/5cm，克重：450g/㎡，厚度：0.42mm，耐静水压9000-10000mm。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7、内衬：充气帐篷专用内衬布。克重：72g/㎡，厚度：0.12mm。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8、气柱：双面涂覆PVC刀刮工艺气密夹网布。经向断裂≥2400N/5cm，纬向断裂≥2000N/5cm，剥离130N，克重：760g/㎡，厚度：0.72mm。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9、底布：双面涂覆PVC刀刮工艺夹网布。经向断裂≥1800N/5cm，纬向断裂≥1600N/5cm±8，剥离85N。克重：600g/㎡，厚度：0.55mm。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10、门参考尺寸(高×宽)：≥2000×1000mm，按照采购方要求设计开门位置。</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11、窗户参考尺寸(高×宽)：≥600×800mm（6扇）。</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12、气阀：安全阀≥1个、快速充气阀≥3个、多功能充气阀≥1个。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13、充气搭建时间≤7min。</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14、帐篷使用压力：18-22kpa。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15、使用温度：-30℃—70℃。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16、帐篷通风口≥2个，预留长袖口，气阀口≥2个。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17、抗风等级≥9级，防雨要求≥18mm/h，抗雪要求≥新鲜积雪200mm，防地表水高度≥180mm。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18、附件：电动充排气泵≥2台、功率≥1800W，地钉≥10根、拉绳≥10根、4磅手锤≥1把、修补包1套。</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19、重量≤240kg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20、包装参考尺寸(长×宽×高)：≤800×800×800mm。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21、包装为有机硅帆布，外另套防水袋</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22、颜色标识：按照采购方要求提供；整体外观和队徽、名称等标识为彩色反光材料喷涂。</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23、永久性标签要求：标签包括如下内容:制造厂名称、地址和注册商标；产品名称及型号；生产日期和批号；产品执行标准的代号和RFID芯片（内容根据采购方需要填写）。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7808" behindDoc="0" locked="0" layoutInCell="1" allowOverlap="1">
            <wp:simplePos x="0" y="0"/>
            <wp:positionH relativeFrom="column">
              <wp:posOffset>729615</wp:posOffset>
            </wp:positionH>
            <wp:positionV relativeFrom="paragraph">
              <wp:posOffset>19050</wp:posOffset>
            </wp:positionV>
            <wp:extent cx="3804285" cy="2336165"/>
            <wp:effectExtent l="0" t="0" r="5715" b="6985"/>
            <wp:wrapNone/>
            <wp:docPr id="117" name="图片 3" descr="15立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 descr="15立方"/>
                    <pic:cNvPicPr>
                      <a:picLocks noChangeAspect="1"/>
                    </pic:cNvPicPr>
                  </pic:nvPicPr>
                  <pic:blipFill>
                    <a:blip r:embed="rId119"/>
                    <a:stretch>
                      <a:fillRect/>
                    </a:stretch>
                  </pic:blipFill>
                  <pic:spPr>
                    <a:xfrm>
                      <a:off x="0" y="0"/>
                      <a:ext cx="3804285" cy="233616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、60㎡帐篷</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2、整体主要由：气柱框架、外披、内衬、底布四部分组成，主体结构框架采用高温热合焊接工艺，篷布采用双针拼合、拼缝处另贴合防水pu胶条。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3、占地面积≥60㎡，使用面积≥60㎡。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4、整体占地投影面积参考尺寸(长×宽×檐高×脊高)：≤10000×6000×2300×3600mm。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5、外篷布：单面涂覆PVC涤纶牛津布。经向断裂≥1270N/5cm，纬向断裂≥1330N/5cm，克重：450g/㎡，厚度：0.42mm，耐静水压9000-10000mm。</w:t>
      </w:r>
    </w:p>
    <w:p>
      <w:pPr>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6、气柱：双面涂覆PVC刀刮工艺气密夹网布。经向断裂≥2400N/5cm，纬向断裂≥2000N/5cm，剥离130N，克重：760g/㎡，厚度：0.72mm。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7、内衬：充气帐篷专用内衬布。克重：72g/㎡，厚度：0.12mm。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8、底布：双面涂覆PVC刀刮工艺夹网布。经向断裂≥1800N/5cm，纬向断裂≥1600N/5cm±8，剥离85N。克重：600g/㎡，厚度：0.55mm。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9、门参考尺寸(高×宽)：≥1800×1500mm，按照采购方要求设计开门位置。</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10、气阀：安全阀≥1个、快速充气阀≥3个、多功能充气阀≥1个。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11、窗户参考尺寸(高×宽)：≥700×900mm（6扇）。</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12、充气搭建时间≤7min。</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13、帐篷使用压力：18-22kpa。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14、使用温度：-30℃—70℃。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15、帐篷通风口≥2个，预留长袖口，气阀口≥2个。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16、抗风等级≥9级，防雨要求≥18mm/h，抗雪要求≥新鲜积雪200mm，防地表水高度≥180mm。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17、附件：电动充排气泵≥2台、功率≥1800W，地钉≥10根、拉绳≥10根、4磅手锤≥1把、修补包1套。</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18、重量≤240kg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19、包装参考尺寸(长×宽×高)：≤1000×1000×1000mm。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20、包装为有机硅帆布，外另套防水袋</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21、颜色标识：按照采购方要求提供；整体外观和队徽、名称等标识为彩色反光材料喷涂。</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8832" behindDoc="0" locked="0" layoutInCell="1" allowOverlap="1">
            <wp:simplePos x="0" y="0"/>
            <wp:positionH relativeFrom="column">
              <wp:posOffset>438150</wp:posOffset>
            </wp:positionH>
            <wp:positionV relativeFrom="paragraph">
              <wp:posOffset>1465580</wp:posOffset>
            </wp:positionV>
            <wp:extent cx="4417695" cy="2722880"/>
            <wp:effectExtent l="0" t="0" r="1905" b="1270"/>
            <wp:wrapTopAndBottom/>
            <wp:docPr id="118" name="图片 1" descr="60平米帐篷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 descr="60平米帐篷图1"/>
                    <pic:cNvPicPr>
                      <a:picLocks noChangeAspect="1"/>
                    </pic:cNvPicPr>
                  </pic:nvPicPr>
                  <pic:blipFill>
                    <a:blip r:embed="rId120"/>
                    <a:stretch>
                      <a:fillRect/>
                    </a:stretch>
                  </pic:blipFill>
                  <pic:spPr>
                    <a:xfrm>
                      <a:off x="0" y="0"/>
                      <a:ext cx="4417695" cy="2722880"/>
                    </a:xfrm>
                    <a:prstGeom prst="rect">
                      <a:avLst/>
                    </a:prstGeom>
                    <a:noFill/>
                    <a:ln>
                      <a:noFill/>
                    </a:ln>
                  </pic:spPr>
                </pic:pic>
              </a:graphicData>
            </a:graphic>
          </wp:anchor>
        </w:drawing>
      </w:r>
      <w:r>
        <w:rPr>
          <w:rFonts w:hint="eastAsia" w:ascii="仿宋" w:hAnsi="仿宋" w:eastAsia="仿宋" w:cs="仿宋"/>
          <w:bCs/>
          <w:color w:val="auto"/>
          <w:sz w:val="24"/>
          <w:szCs w:val="24"/>
          <w:highlight w:val="none"/>
        </w:rPr>
        <w:t>22、永久性标签要求：标签包括如下内容:制造厂名称、地址和注册商标；产品名称及型号；生产日期和批号；产品执行标准的代号和RFID芯片（内容根据采购方需要填写）。</w:t>
      </w:r>
    </w:p>
    <w:p>
      <w:pPr>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、干粉灭火药剂</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每种灭火粒子都存在一上限临界粒径，小于临界粒径的粒子全部起灭火作用，大于临界粒径的粒子灭火效能急剧降低，但其动量大，通过空气对小粒子产生空气动力学拉力，迫使小粒子紧随其后，扑向火焰中心，而不是未到火焰就被热气流吹走，降低灭火效率。常用干粉灭火剂粒度在10~75 μm 之间，这种粒子弥散性较差，比表面积相对较小。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1、药剂成分：碳酸氢钠NaHCO2；</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2、使用场景：用于扑灭易燃液体与电器设备的火；</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3、使用温度范围：-20℃~+55℃；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4、喷射滞后时间：≤5s；</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5、电绝缘性:≥5s。</w:t>
      </w:r>
    </w:p>
    <w:p>
      <w:pPr>
        <w:pStyle w:val="44"/>
        <w:rPr>
          <w:rFonts w:hint="eastAsia" w:ascii="仿宋" w:hAnsi="仿宋" w:eastAsia="仿宋" w:cs="仿宋"/>
          <w:color w:val="auto"/>
          <w:sz w:val="24"/>
          <w:szCs w:val="24"/>
          <w:highlight w:val="none"/>
        </w:rPr>
      </w:pPr>
    </w:p>
    <w:p>
      <w:pPr>
        <w:pStyle w:val="44"/>
        <w:ind w:firstLine="64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五</w:t>
      </w:r>
      <w:r>
        <w:rPr>
          <w:rFonts w:hint="eastAsia" w:ascii="仿宋" w:hAnsi="仿宋" w:eastAsia="仿宋" w:cs="仿宋"/>
          <w:color w:val="auto"/>
          <w:sz w:val="24"/>
          <w:szCs w:val="24"/>
          <w:highlight w:val="none"/>
        </w:rPr>
        <w:t>、大流量移动消防炮</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符合国家GB 19156－2019《消防炮》规范，提供国家消防装备质量监督检验中心或其他国家权威机构出具的检测报告复印件或扫描件。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消防炮由炮座、炮体、炮头、遥控器、信号接收机等组成，具备防爆功能，用于扑救火灾的喷射水器具。</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3、防腐蚀铝合金材质。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4、流量：≥4800L/min。</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5、流量自动调节，水、泡沫两用炮头。</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6、射程：水≥75m。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7、泡沫混合液≥70m。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8、射流形式：直流、开花、喷雾。</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9、炮身可与底座快速分离，操作灵便。</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10、水炮控制形式：手动、电动，无线遥控；采用抗干扰技术。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11、无障碍遥控距离：≥150m。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12、水平转动角度90°，仰角范围：30°～70°。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13、具备自摆功能，自摆角度：20°～40°，可在自摆区间内任意设定。</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14、通过手轮进行水平俯仰回转手动操作的，操作力矩：≤15N·m；通过操作杆进行水平俯仰回转手动操作的，操作力矩：≤20N·m。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15、接收机锂电池组，连续工作（双电机）时间：≥3h。</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16、电器系统密封防护符合国家防爆电器产品质量监督检验中心检测要求，安全适用于石油化工企业环境。</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 使用环境温度：-35℃～+80℃。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18、进水接口及压力表：内扣式接口，配4个80mm转换接口；压力表为抗震压力表。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19、配备专用泡沫筒。</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20、</w:t>
      </w:r>
      <w:r>
        <w:rPr>
          <w:rFonts w:hint="eastAsia" w:ascii="仿宋" w:hAnsi="仿宋" w:eastAsia="仿宋" w:cs="仿宋"/>
          <w:color w:val="auto"/>
          <w:sz w:val="24"/>
          <w:szCs w:val="24"/>
          <w:highlight w:val="none"/>
        </w:rPr>
        <w:t>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21、</w:t>
      </w:r>
      <w:r>
        <w:rPr>
          <w:rFonts w:hint="eastAsia" w:ascii="仿宋" w:hAnsi="仿宋" w:eastAsia="仿宋" w:cs="仿宋"/>
          <w:bCs/>
          <w:color w:val="auto"/>
          <w:sz w:val="24"/>
          <w:szCs w:val="24"/>
          <w:highlight w:val="none"/>
        </w:rPr>
        <w:t>产品具有清晰耐久的永久性标签，标签包括制造厂名称、地址、联系方式和注册商标；产品名称及型号；生产日期和批号；产品执行标准的代号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69856" behindDoc="0" locked="0" layoutInCell="1" allowOverlap="1">
            <wp:simplePos x="0" y="0"/>
            <wp:positionH relativeFrom="column">
              <wp:posOffset>1474470</wp:posOffset>
            </wp:positionH>
            <wp:positionV relativeFrom="paragraph">
              <wp:posOffset>250190</wp:posOffset>
            </wp:positionV>
            <wp:extent cx="2606040" cy="2125980"/>
            <wp:effectExtent l="0" t="0" r="3810" b="7620"/>
            <wp:wrapSquare wrapText="bothSides"/>
            <wp:docPr id="119" name="图片 70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707666"/>
                    <pic:cNvPicPr>
                      <a:picLocks noChangeAspect="1"/>
                    </pic:cNvPicPr>
                  </pic:nvPicPr>
                  <pic:blipFill>
                    <a:blip r:embed="rId121"/>
                    <a:stretch>
                      <a:fillRect/>
                    </a:stretch>
                  </pic:blipFill>
                  <pic:spPr>
                    <a:xfrm>
                      <a:off x="0" y="0"/>
                      <a:ext cx="2606040" cy="2125980"/>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p>
    <w:p>
      <w:pPr>
        <w:pStyle w:val="44"/>
        <w:ind w:firstLine="640"/>
        <w:rPr>
          <w:rFonts w:hint="eastAsia" w:ascii="仿宋" w:hAnsi="仿宋" w:eastAsia="仿宋" w:cs="仿宋"/>
          <w:color w:val="auto"/>
          <w:sz w:val="24"/>
          <w:szCs w:val="24"/>
          <w:highlight w:val="none"/>
        </w:rPr>
      </w:pPr>
    </w:p>
    <w:p>
      <w:pPr>
        <w:pStyle w:val="13"/>
        <w:rPr>
          <w:rFonts w:hint="eastAsia" w:ascii="仿宋" w:hAnsi="仿宋" w:eastAsia="仿宋" w:cs="仿宋"/>
          <w:color w:val="auto"/>
          <w:sz w:val="24"/>
          <w:szCs w:val="24"/>
          <w:highlight w:val="none"/>
        </w:rPr>
      </w:pPr>
    </w:p>
    <w:p>
      <w:pPr>
        <w:ind w:firstLine="396"/>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ind w:firstLine="59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六</w:t>
      </w:r>
      <w:r>
        <w:rPr>
          <w:rFonts w:hint="eastAsia" w:ascii="仿宋" w:hAnsi="仿宋" w:eastAsia="仿宋" w:cs="仿宋"/>
          <w:color w:val="auto"/>
          <w:sz w:val="24"/>
          <w:szCs w:val="24"/>
          <w:highlight w:val="none"/>
        </w:rPr>
        <w:t>、手抬泵</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1、符合GB6245-2006《消防泵》标准要求，提供国家消防装备质量监督检验中心或其他国家权威机构出具的检测报告复印件或扫描件。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2、整套装备由汽油机、水泵组件、手（电）启动总成等组成，用于湖泊、河流等消防车不易到达或超过消防车吸深的地方，为消防车供水或直接灭火使用。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3、最大功率：≥20kW。</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4、启动方式:采用电启动与手拉绳启动两种方式。</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5、流量：≥15L/s。</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6、吸程：≥6m。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7、吸水管：≥6m。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8、引水时间≤30s。</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9、扬程≥50m。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10、重量≤60kg。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11、出水口为65mm卡式雌口。</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12、配件要求：转换接口1个、备用启动钥匙1把、简易维修工具1套、备用火花塞1个、漏斗1个（汽油/机油）。</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13、</w:t>
      </w:r>
      <w:r>
        <w:rPr>
          <w:rFonts w:hint="eastAsia" w:ascii="仿宋" w:hAnsi="仿宋" w:eastAsia="仿宋" w:cs="仿宋"/>
          <w:color w:val="auto"/>
          <w:sz w:val="24"/>
          <w:szCs w:val="24"/>
          <w:highlight w:val="none"/>
        </w:rPr>
        <w:t>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bCs/>
          <w:color w:val="auto"/>
          <w:sz w:val="24"/>
          <w:szCs w:val="24"/>
          <w:highlight w:val="none"/>
        </w:rPr>
        <w:t>永久性标签要求：标签包括如下内容:制造厂名称、地址和注册商标；产品名称及型号；生产日期和批号；产品执行标准的代号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bCs/>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79072" behindDoc="0" locked="0" layoutInCell="1" allowOverlap="1">
            <wp:simplePos x="0" y="0"/>
            <wp:positionH relativeFrom="column">
              <wp:posOffset>1824355</wp:posOffset>
            </wp:positionH>
            <wp:positionV relativeFrom="paragraph">
              <wp:posOffset>102235</wp:posOffset>
            </wp:positionV>
            <wp:extent cx="2317750" cy="2179320"/>
            <wp:effectExtent l="0" t="0" r="6350" b="11430"/>
            <wp:wrapSquare wrapText="bothSides"/>
            <wp:docPr id="120"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01"/>
                    <pic:cNvPicPr>
                      <a:picLocks noChangeAspect="1"/>
                    </pic:cNvPicPr>
                  </pic:nvPicPr>
                  <pic:blipFill>
                    <a:blip r:embed="rId122"/>
                    <a:stretch>
                      <a:fillRect/>
                    </a:stretch>
                  </pic:blipFill>
                  <pic:spPr>
                    <a:xfrm>
                      <a:off x="0" y="0"/>
                      <a:ext cx="2317750" cy="2179320"/>
                    </a:xfrm>
                    <a:prstGeom prst="rect">
                      <a:avLst/>
                    </a:prstGeom>
                    <a:noFill/>
                    <a:ln>
                      <a:noFill/>
                    </a:ln>
                  </pic:spPr>
                </pic:pic>
              </a:graphicData>
            </a:graphic>
          </wp:anchor>
        </w:drawing>
      </w:r>
    </w:p>
    <w:p>
      <w:pPr>
        <w:pStyle w:val="6"/>
        <w:spacing w:before="0" w:beforeAutospacing="0" w:after="0" w:afterAutospacing="0" w:line="600" w:lineRule="exact"/>
        <w:rPr>
          <w:rFonts w:hint="eastAsia" w:ascii="仿宋" w:hAnsi="仿宋" w:eastAsia="仿宋" w:cs="仿宋"/>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pStyle w:val="22"/>
        <w:spacing w:after="0" w:line="600" w:lineRule="exact"/>
        <w:ind w:firstLine="210"/>
        <w:rPr>
          <w:rFonts w:hint="eastAsia" w:ascii="仿宋" w:hAnsi="仿宋" w:eastAsia="仿宋" w:cs="仿宋"/>
          <w:color w:val="auto"/>
          <w:sz w:val="24"/>
          <w:szCs w:val="24"/>
          <w:highlight w:val="none"/>
        </w:rPr>
      </w:pPr>
    </w:p>
    <w:p>
      <w:pPr>
        <w:pStyle w:val="22"/>
        <w:spacing w:after="0" w:line="600" w:lineRule="exact"/>
        <w:ind w:firstLine="210"/>
        <w:rPr>
          <w:rFonts w:hint="eastAsia" w:ascii="仿宋" w:hAnsi="仿宋" w:eastAsia="仿宋" w:cs="仿宋"/>
          <w:color w:val="auto"/>
          <w:sz w:val="24"/>
          <w:szCs w:val="24"/>
          <w:highlight w:val="none"/>
        </w:rPr>
      </w:pPr>
    </w:p>
    <w:p>
      <w:pPr>
        <w:pStyle w:val="44"/>
        <w:rPr>
          <w:rFonts w:hint="eastAsia" w:ascii="仿宋" w:hAnsi="仿宋" w:eastAsia="仿宋" w:cs="仿宋"/>
          <w:color w:val="auto"/>
          <w:sz w:val="24"/>
          <w:szCs w:val="24"/>
          <w:highlight w:val="none"/>
        </w:rPr>
      </w:pPr>
    </w:p>
    <w:p>
      <w:pPr>
        <w:pStyle w:val="44"/>
        <w:ind w:firstLine="640"/>
        <w:rPr>
          <w:rFonts w:hint="eastAsia" w:ascii="仿宋" w:hAnsi="仿宋" w:eastAsia="仿宋" w:cs="仿宋"/>
          <w:color w:val="auto"/>
          <w:sz w:val="24"/>
          <w:szCs w:val="24"/>
          <w:highlight w:val="none"/>
        </w:rPr>
      </w:pPr>
    </w:p>
    <w:p>
      <w:pPr>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七</w:t>
      </w:r>
      <w:r>
        <w:rPr>
          <w:rFonts w:hint="eastAsia" w:ascii="仿宋" w:hAnsi="仿宋" w:eastAsia="仿宋" w:cs="仿宋"/>
          <w:color w:val="auto"/>
          <w:sz w:val="24"/>
          <w:szCs w:val="24"/>
          <w:highlight w:val="none"/>
        </w:rPr>
        <w:t>、无人机</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2、重量≤910g；</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3、对角线轴距≤360 mm；</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4、最大上升速度≥5 m/s；</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5、最大水平飞行速度≥70km/h；</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6、最长飞行时间≥25分钟；</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7、最大可抗风速≥5级风；</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8、工作环境温度≥-10°C 至 40°C；</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9、机载内存≥20GB；</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10、支持前方、后方、上方、下方、左右全向感知系统；</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11、遥控距离≥7km。</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12、可见光相机：感光原件：≥1/2.3英寸；有效像素≥1100万；视频分辨率支持4K。</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13、红外相机：传感器分辨率：≥160*110；照片尺寸：≥640*480；支持探照灯模块、夜航灯模块、喊话器模块；遥控器自带屏幕。</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每套需配备：电池*2块（容量不低于3800mAh）、充电管家*1个、飞行桨叶*1套、车载充电器*1个、充电宝转换器*1个、专用便携背包*4个、64G储存卡*1张、无人机换新服务*1年（第一次换新手续费不高于1699元，第二次换新手续费不高于2499元）；</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15、第三者险一年交4000元保100万；</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16、可协助甲方培训无人机飞手费用自理（9800元/人）。</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17、永久性标签内容包括:制造厂名称、地址和注册商标；产品名称及型号；生产日期和批号；产品执行标准的代号和RFID芯片（内容根据采购方需要填写）。</w:t>
      </w:r>
    </w:p>
    <w:p>
      <w:pPr>
        <w:pStyle w:val="44"/>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八</w:t>
      </w:r>
      <w:r>
        <w:rPr>
          <w:rFonts w:hint="eastAsia" w:ascii="仿宋" w:hAnsi="仿宋" w:eastAsia="仿宋" w:cs="仿宋"/>
          <w:color w:val="auto"/>
          <w:kern w:val="0"/>
          <w:sz w:val="24"/>
          <w:szCs w:val="24"/>
          <w:highlight w:val="none"/>
        </w:rPr>
        <w:t>、音视频布控球</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1、总体要求符合国家现行有关标准、规范，提供国家消防装备质量监督检验中心或其他国家级权威检验机构出具的检测报告复印件或扫描件。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3、采用一体化结构设计，防护等级≥IP66；</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4、支持360度全向云台，≥200万像素超星光级高清机芯，≥30倍光学变焦，≥100米激光夜视距离；</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5、支持GB28181协议标准，压缩标准支持H.265、H.264；支持双码流，图像分辨率支持1920*1080、1280*960、1280*720、720*576、704*576、3640*480、640*360、352*288、320*240，30帧/秒；</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6、支持G711A、ADPCM、G711U、AAC音频协议，支持双向语音对讲功能；</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7、支持GPS/北斗（模块内置）双模定位方式，天线内置；</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8、具备WIFI、蓝牙功能；支持4G（移动/电信/联通）全网通；</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9、支持双卡、远程无线视频传输；</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10、支持双扩展卡存储，单卡支持≥128G，支持循环覆盖；</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11、兼容性要求：可接入消防图像综合管理平台，通过指挥视频终端可调度设备图像、双向对讲、视频参数设置、操作云台等操作；</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12、含移动电源、支架、耳机、线材包等。</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14、永久性标签内容包括:制造厂名称、地址和注册商标；产品名称及型号；生产日期和批号；产品执行标准的代号和RFID芯片（内容根据采购方需要填写）。</w:t>
      </w:r>
    </w:p>
    <w:p>
      <w:pPr>
        <w:tabs>
          <w:tab w:val="left" w:pos="801"/>
        </w:tabs>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rPr>
        <w:t>九、</w:t>
      </w:r>
      <w:r>
        <w:rPr>
          <w:rFonts w:hint="eastAsia" w:ascii="仿宋" w:hAnsi="仿宋" w:eastAsia="仿宋" w:cs="仿宋"/>
          <w:color w:val="auto"/>
          <w:sz w:val="24"/>
          <w:szCs w:val="24"/>
          <w:highlight w:val="none"/>
        </w:rPr>
        <w:t>单兵图像传输设备</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1、总体要求符合国家现行有关标准、规范，提供国家消防装备质量监督检验中心或其他国家级权威检验机构出具的检测报告复印件或扫描件。</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2、设备应为专业的视频编码设备，非Android手机类产品；</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3、要求设备体积小、重量轻、功耗低、便携，尺寸≤150 mm x 90 mm x 50 mm（W×D×H）；重量≤1kg</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4、要求支持OLED状态显示屏，可显示系统工作状态、网络状态、定位信息、剩余电量、存储状态等；</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5、功能要求支持视频回传、双向对讲、定位信息上传、系统状态查看等；可无缝接入消防图像综合管理平台，指挥中心通过指挥视频终端可调度设备图像、双向对讲、修改视频参数等操作； </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6、视频接口要求至少提供1路HDMI高清输入接口、1路AV标清输入接口，接口需具备防脱离设计； </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7、要求支持PTT按键功能、旋钮开关按钮或其他防误操作按键；</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8、编码要求支持H.264、H.264 HP，支持1080P、720P、D1（4CIF）等分辨率；支持双码流；</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9、视频帧率范围为1～30fps，视频码率128Kbps～6Mbps可调整；</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10、音频协议支持G.711a、GSM等音频协议，并支持双向语音对讲；</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11、网络要求：内置4G全网通模块，支持APN和VPDN 专网；内置WiFi模块，传输距离≥10米；</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12、定位服务：支持GPS和北斗双模定位，可提供地理位置定位功能；</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13、电池要求：内置锂离子电池≥7.4V 6000mAh,连续工作时间不小于4小时；</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14、支持本地录像存储卡存储，存储容量≥32G，支持microSD卡；</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15、网络适应性支持智能的动态码率调整，能够在带宽不好的情况下自动调整图像帧率和码率，保证图像的流畅度；</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16、OSD功能要求，可提供中文、数字、字母等信息用于OSD叠加；</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17、环境要求：工作温度-10~60℃；工作湿度10~85%，无凝结；</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18、网络传输要求在1.5M带宽条件下实现1080P 30fps图像稳定传输，语音对讲延时小于1.5秒； </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19、外设接口要求采用航空接头，可提供不少于1路3.5音频输入输出接口、1路AV标清输入接口、1路摄像机供电接口；</w:t>
      </w:r>
    </w:p>
    <w:p>
      <w:pPr>
        <w:adjustRightInd w:val="0"/>
        <w:snapToGrid w:val="0"/>
        <w:spacing w:line="6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20、配件要求：1x安全箱、1x单兵背包、1x HDMI线、1x航空插口转接线、1x GPS天线、1x 4G天线、1x按键式PTT耳麦、1x充电器、1x 备电、1x高清摄像机（具有屏幕可本地显示，带电池，支持独立工作，可录像、拍照）。</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21、配备纸质版和电子版中文使用维护保养说明书。</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22、永久性标签内容包括:制造厂名称、地址和注册商标；产品名称及型号；生产日期和批号；产品执行标准的代号和RFID芯片（内容根据采购方需要填写）。</w:t>
      </w:r>
    </w:p>
    <w:p>
      <w:pPr>
        <w:tabs>
          <w:tab w:val="left" w:pos="606"/>
        </w:tabs>
        <w:jc w:val="lef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kern w:val="0"/>
          <w:sz w:val="24"/>
          <w:szCs w:val="24"/>
          <w:highlight w:val="none"/>
        </w:rPr>
        <w:t>十、</w:t>
      </w:r>
      <w:r>
        <w:rPr>
          <w:rFonts w:hint="eastAsia" w:ascii="仿宋" w:hAnsi="仿宋" w:eastAsia="仿宋" w:cs="仿宋"/>
          <w:color w:val="auto"/>
          <w:sz w:val="24"/>
          <w:szCs w:val="24"/>
          <w:highlight w:val="none"/>
        </w:rPr>
        <w:t>中压分水器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1、符合XF868-2010《分水器和集水器》标准要求，提供国家消防装备质量监督检验中心或其他国家权威机构出具的检测报告复印件或扫描件。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2、与中压消防车供水配套使用，将干线水带分成若干支线水带。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3、材质为合金或更优材质。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4、一个进水口和三个出水口，出水口上均有阀门装置，可以随时关闭，控制水流，便于增加和调换支线水带。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5、进水口：80mm 卡式雄接口，进水口数量：1个。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6、出水口：65 mm卡式雌接口，出水口数量：3 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7、阀门开启力：≤200N。</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8、强度试验压力：≥3.0Mpa；最小爆破压力6.0Mpa。</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9、工作压力：≥2.5Mpa，配备抗震压力表，量程为2.5Mpa，精密度为2.5级。</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配备纸质版和电子版中文使用维护保养说明书。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bCs/>
          <w:color w:val="auto"/>
          <w:sz w:val="24"/>
          <w:szCs w:val="24"/>
          <w:highlight w:val="none"/>
        </w:rPr>
        <w:t>永久性标签要求：标签包括如下内容:制造厂名称、地址和注册商标；产品名称及型号；生产日期和批号；产品执行标准的代号。</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70880" behindDoc="0" locked="0" layoutInCell="1" allowOverlap="1">
            <wp:simplePos x="0" y="0"/>
            <wp:positionH relativeFrom="column">
              <wp:posOffset>1475105</wp:posOffset>
            </wp:positionH>
            <wp:positionV relativeFrom="paragraph">
              <wp:posOffset>242570</wp:posOffset>
            </wp:positionV>
            <wp:extent cx="1856740" cy="1543050"/>
            <wp:effectExtent l="0" t="0" r="10160" b="0"/>
            <wp:wrapSquare wrapText="bothSides"/>
            <wp:docPr id="121"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93"/>
                    <pic:cNvPicPr>
                      <a:picLocks noChangeAspect="1"/>
                    </pic:cNvPicPr>
                  </pic:nvPicPr>
                  <pic:blipFill>
                    <a:blip r:embed="rId123"/>
                    <a:stretch>
                      <a:fillRect/>
                    </a:stretch>
                  </pic:blipFill>
                  <pic:spPr>
                    <a:xfrm>
                      <a:off x="0" y="0"/>
                      <a:ext cx="1856740" cy="1543050"/>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tabs>
          <w:tab w:val="left" w:pos="996"/>
        </w:tabs>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lang w:eastAsia="zh-CN"/>
        </w:rPr>
        <w:t>十一</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多功能消防水枪</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1、符合GB8181-2005《消防水枪》标准要求，提供国家消防装备质量监督检验中心或其他国家权威机构出具的检测报告复印件或扫描件。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2、由开关、流态调节器、流量调节器、转轴式方向套组成，用于扑救火灾的喷射水器具。</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3、可实现直流、开花水流等多种喷射方式，铝合金材质，阳离子外涂层，不锈钢快开球阀。</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4、具有直流喷雾无级转换，流量多档可调，可直接连接安装泡沫发生装置喷射泡沫。</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5、额定工作压力：≥0.6MPa。</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6、有效射程：≥27m。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7、接口为65mm卡式雄接口。</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8、重量：≤2.5kg。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9、永久性标签要求：标签包括如下内容:制造厂名称、地址和注册商标；产品名称及型号；生产日期和批号；产品执行标准的代号</w:t>
      </w:r>
      <w:r>
        <w:rPr>
          <w:rFonts w:hint="eastAsia" w:ascii="仿宋" w:hAnsi="仿宋" w:eastAsia="仿宋" w:cs="仿宋"/>
          <w:color w:val="auto"/>
          <w:sz w:val="24"/>
          <w:szCs w:val="24"/>
          <w:highlight w:val="none"/>
        </w:rPr>
        <w:t>和RFID芯片（内容根据采购方需要填写）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71904" behindDoc="0" locked="0" layoutInCell="1" allowOverlap="1">
            <wp:simplePos x="0" y="0"/>
            <wp:positionH relativeFrom="column">
              <wp:posOffset>1388110</wp:posOffset>
            </wp:positionH>
            <wp:positionV relativeFrom="paragraph">
              <wp:posOffset>247650</wp:posOffset>
            </wp:positionV>
            <wp:extent cx="2162175" cy="1448435"/>
            <wp:effectExtent l="0" t="0" r="9525" b="18415"/>
            <wp:wrapSquare wrapText="bothSides"/>
            <wp:docPr id="122"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77"/>
                    <pic:cNvPicPr>
                      <a:picLocks noChangeAspect="1"/>
                    </pic:cNvPicPr>
                  </pic:nvPicPr>
                  <pic:blipFill>
                    <a:blip r:embed="rId124"/>
                    <a:stretch>
                      <a:fillRect/>
                    </a:stretch>
                  </pic:blipFill>
                  <pic:spPr>
                    <a:xfrm>
                      <a:off x="0" y="0"/>
                      <a:ext cx="2162175" cy="1448435"/>
                    </a:xfrm>
                    <a:prstGeom prst="rect">
                      <a:avLst/>
                    </a:prstGeom>
                    <a:noFill/>
                    <a:ln>
                      <a:noFill/>
                    </a:ln>
                  </pic:spPr>
                </pic:pic>
              </a:graphicData>
            </a:graphic>
          </wp:anchor>
        </w:drawing>
      </w:r>
    </w:p>
    <w:p>
      <w:pPr>
        <w:spacing w:line="600" w:lineRule="exact"/>
        <w:rPr>
          <w:rFonts w:hint="eastAsia" w:ascii="仿宋" w:hAnsi="仿宋" w:eastAsia="仿宋" w:cs="仿宋"/>
          <w:color w:val="auto"/>
          <w:sz w:val="24"/>
          <w:szCs w:val="24"/>
          <w:highlight w:val="none"/>
        </w:rPr>
      </w:pPr>
    </w:p>
    <w:p>
      <w:pPr>
        <w:tabs>
          <w:tab w:val="left" w:pos="726"/>
        </w:tabs>
        <w:jc w:val="left"/>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kern w:val="0"/>
          <w:sz w:val="24"/>
          <w:szCs w:val="24"/>
          <w:highlight w:val="none"/>
          <w:lang w:eastAsia="zh-CN"/>
        </w:rPr>
        <w:t>十二</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6米拉梯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1、符合XF137-2007《消防梯》标准要求，提供国家消防装备质量监督检验中心出具的检测报告复印件或扫描件。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2、可供消防员登高、跨越高墙，救人时使用。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3、材料侧板、梯蹬材质为生长期四年以上的竹料并经防腐、防蛀、干燥处理。</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4、工作长度：6±0.2m，合并高度：3.75±0.2m。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5、最小梯宽：300±3mm。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6、梯蹬间距：280±2mm。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7、整梯质量：≤30kg。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8、水平弯曲残余变形比值：≤0.05%。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9、拉梯进行单撑脚载荷试验后，撑脚及联接件不出现松动、损伤及变形。</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10、抗冲击性能试验时，撑脚支撑功能始终正常，撑脚及梯蹬无明显变形和损坏。</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772928" behindDoc="0" locked="0" layoutInCell="1" allowOverlap="1">
            <wp:simplePos x="0" y="0"/>
            <wp:positionH relativeFrom="column">
              <wp:posOffset>1756410</wp:posOffset>
            </wp:positionH>
            <wp:positionV relativeFrom="paragraph">
              <wp:posOffset>1177925</wp:posOffset>
            </wp:positionV>
            <wp:extent cx="1866900" cy="1811020"/>
            <wp:effectExtent l="0" t="0" r="0" b="17780"/>
            <wp:wrapTopAndBottom/>
            <wp:docPr id="12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03"/>
                    <pic:cNvPicPr>
                      <a:picLocks noChangeAspect="1"/>
                    </pic:cNvPicPr>
                  </pic:nvPicPr>
                  <pic:blipFill>
                    <a:blip r:embed="rId125"/>
                    <a:stretch>
                      <a:fillRect/>
                    </a:stretch>
                  </pic:blipFill>
                  <pic:spPr>
                    <a:xfrm>
                      <a:off x="0" y="0"/>
                      <a:ext cx="1866900" cy="1811020"/>
                    </a:xfrm>
                    <a:prstGeom prst="rect">
                      <a:avLst/>
                    </a:prstGeom>
                    <a:noFill/>
                    <a:ln>
                      <a:noFill/>
                    </a:ln>
                  </pic:spPr>
                </pic:pic>
              </a:graphicData>
            </a:graphic>
          </wp:anchor>
        </w:drawing>
      </w:r>
      <w:r>
        <w:rPr>
          <w:rFonts w:hint="eastAsia" w:ascii="仿宋" w:hAnsi="仿宋" w:eastAsia="仿宋" w:cs="仿宋"/>
          <w:bCs/>
          <w:color w:val="auto"/>
          <w:sz w:val="24"/>
          <w:szCs w:val="24"/>
          <w:highlight w:val="none"/>
        </w:rPr>
        <w:t>11、永久性标签要求：标签包括如下内容:制造厂名称、地址和注册商标；产品名称及型号；生产日期和批号；产品执行标准的代号和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十三</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9米拉梯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1、符合XF137-2007《消防梯》标准要求，提供国家消防装备质量监督检验中心出具的检测报告复印件或扫描件。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2、可供消防员登高、跨越高墙，救人时使用。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3、材料侧板、梯蹬材质为生长期四年以上的竹料并经防腐、防蛀、干燥处理。</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4、工作长度：9±0.2m，合并高度：5.2±0.2m。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5、最小梯宽：300±3mm，梯蹬间距：340±2mm。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6、整梯质量：≤45kg。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7、水平弯曲残余变形比值：≤0.06%。</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8、梯蹬弯曲残余变形比值≤0.15%。</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9、梯蹬剪切强度：梯蹬与侧板的连接处和梯蹬本身无任何断裂迹象。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10、翘曲试验时，任一梯脚均不离地。</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11、梯节扭转角为：α顺：≤11°、α逆：≤11°。</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12、滑移试验时，各梯脚在整个试验表面不出现位移。</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13、单撑脚载荷试验后，撑脚及联接件不出现松动、损伤及变形。</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14、侧板悬臂弯曲最大变形值：内弯曲：≤1.5mm、外弯曲：≤1.5mm。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15、侧摇摆试验残余变形比值：≤0.10%。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16、粘牢合度试验时，通过浸泡、恒温、低温试验后均无脱胶现象。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17、抗冲击性能试验时，撑脚支撑功能始终正常，撑脚及梯蹬无明显变形和损坏。</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18、永久性标签要求：标签包括如下内容:制造厂名称、地址和注册商标；产品名称及型号；生产日期和批号；产品执行标准的代号和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73952" behindDoc="0" locked="0" layoutInCell="1" allowOverlap="1">
            <wp:simplePos x="0" y="0"/>
            <wp:positionH relativeFrom="column">
              <wp:posOffset>1790065</wp:posOffset>
            </wp:positionH>
            <wp:positionV relativeFrom="paragraph">
              <wp:posOffset>306070</wp:posOffset>
            </wp:positionV>
            <wp:extent cx="2222500" cy="2156460"/>
            <wp:effectExtent l="0" t="0" r="6350" b="15240"/>
            <wp:wrapTopAndBottom/>
            <wp:docPr id="12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04"/>
                    <pic:cNvPicPr>
                      <a:picLocks noChangeAspect="1"/>
                    </pic:cNvPicPr>
                  </pic:nvPicPr>
                  <pic:blipFill>
                    <a:blip r:embed="rId125"/>
                    <a:stretch>
                      <a:fillRect/>
                    </a:stretch>
                  </pic:blipFill>
                  <pic:spPr>
                    <a:xfrm>
                      <a:off x="0" y="0"/>
                      <a:ext cx="2222500" cy="215646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十四</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三节拉梯（15米金属拉梯）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1、符合XF137-2007《消防梯》标准要求，提供国家消防装备质量监督检验中心或其他国家权威机构出具的检测报告复印件或扫描件。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2、可供消防员登高、跨越高墙，救人时使用。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3、使用优质铝型材制作。</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4、工作长度：15±0.3m，合并高度：6±0.2m，最小梯宽：350±4mm。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5、梯蹬间距：300±2mm。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6、整梯质量：≤90kg。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7、水平弯曲残余变形比值：≤0.06%。</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8、梯蹬弯曲残余变形比值：≤0.09 %。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9、梯蹬剪切强度：梯蹬与侧板的连接处和梯蹬本身无任何断裂迹象。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10、翘曲试验时，任一梯脚均不离地。</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11、梯节扭转角为：α顺：≤8°、α逆：≤8°。</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12、滑移试验进，各梯脚在整个试验表面无位移现象。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13、单撑脚载荷试验后，撑脚及联接件不出现松动、损伤及变形。</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14、侧板悬臂弯曲最大变形值：内弯曲：≤0.8mm、外弯曲：≤0.9mm。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15、侧摇摆试验残余变形比值：≤0.05% 。</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16、三节拉梯的两侧撑脚能同时可靠地将第二、第三梯节支撑在工作高度及以下的任何一级梯蹬上。在撑脚安全性试验时，不出现向梯蹬外侧面移动的现象。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17、抗冲击性能试验时撑脚支撑功能始终正常，试验后撑脚及梯蹬无明显变形或损坏。</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18、永久性标签要求：标签包括如下内容:制造厂名称、地址和注册商标；产品名称及型号；生产日期和批号；产品执行标准的代号和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spacing w:line="600" w:lineRule="exact"/>
        <w:ind w:firstLine="480" w:firstLineChars="200"/>
        <w:rPr>
          <w:rFonts w:hint="eastAsia" w:ascii="仿宋" w:hAnsi="仿宋" w:eastAsia="仿宋" w:cs="仿宋"/>
          <w:bCs/>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774976" behindDoc="0" locked="0" layoutInCell="1" allowOverlap="1">
            <wp:simplePos x="0" y="0"/>
            <wp:positionH relativeFrom="column">
              <wp:posOffset>1784985</wp:posOffset>
            </wp:positionH>
            <wp:positionV relativeFrom="paragraph">
              <wp:posOffset>-48260</wp:posOffset>
            </wp:positionV>
            <wp:extent cx="1704975" cy="2680970"/>
            <wp:effectExtent l="0" t="0" r="9525" b="5080"/>
            <wp:wrapSquare wrapText="bothSides"/>
            <wp:docPr id="125" name="图片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85"/>
                    <pic:cNvPicPr>
                      <a:picLocks noChangeAspect="1"/>
                    </pic:cNvPicPr>
                  </pic:nvPicPr>
                  <pic:blipFill>
                    <a:blip r:embed="rId126"/>
                    <a:stretch>
                      <a:fillRect/>
                    </a:stretch>
                  </pic:blipFill>
                  <pic:spPr>
                    <a:xfrm>
                      <a:off x="0" y="0"/>
                      <a:ext cx="1704975" cy="2680970"/>
                    </a:xfrm>
                    <a:prstGeom prst="rect">
                      <a:avLst/>
                    </a:prstGeom>
                    <a:noFill/>
                    <a:ln>
                      <a:noFill/>
                    </a:ln>
                  </pic:spPr>
                </pic:pic>
              </a:graphicData>
            </a:graphic>
          </wp:anchor>
        </w:drawing>
      </w:r>
    </w:p>
    <w:p>
      <w:pPr>
        <w:spacing w:line="600" w:lineRule="exact"/>
        <w:ind w:firstLine="480" w:firstLineChars="200"/>
        <w:jc w:val="left"/>
        <w:outlineLvl w:val="0"/>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p>
    <w:p>
      <w:pPr>
        <w:spacing w:line="600" w:lineRule="exact"/>
        <w:ind w:firstLine="480" w:firstLineChars="200"/>
        <w:jc w:val="left"/>
        <w:outlineLvl w:val="0"/>
        <w:rPr>
          <w:rFonts w:hint="eastAsia" w:ascii="仿宋" w:hAnsi="仿宋" w:eastAsia="仿宋" w:cs="仿宋"/>
          <w:color w:val="auto"/>
          <w:sz w:val="24"/>
          <w:szCs w:val="24"/>
          <w:highlight w:val="none"/>
        </w:rPr>
      </w:pPr>
    </w:p>
    <w:p>
      <w:pPr>
        <w:tabs>
          <w:tab w:val="left" w:pos="621"/>
        </w:tabs>
        <w:jc w:val="left"/>
        <w:rPr>
          <w:rFonts w:hint="eastAsia" w:ascii="仿宋" w:hAnsi="仿宋" w:eastAsia="仿宋" w:cs="仿宋"/>
          <w:color w:val="auto"/>
          <w:sz w:val="24"/>
          <w:szCs w:val="24"/>
          <w:highlight w:val="none"/>
        </w:rPr>
      </w:pPr>
    </w:p>
    <w:p>
      <w:pPr>
        <w:ind w:firstLine="516"/>
        <w:jc w:val="left"/>
        <w:rPr>
          <w:rFonts w:hint="eastAsia" w:ascii="仿宋" w:hAnsi="仿宋" w:eastAsia="仿宋" w:cs="仿宋"/>
          <w:color w:val="auto"/>
          <w:sz w:val="24"/>
          <w:szCs w:val="24"/>
          <w:highlight w:val="none"/>
        </w:rPr>
      </w:pPr>
    </w:p>
    <w:p>
      <w:pPr>
        <w:spacing w:line="600" w:lineRule="exact"/>
        <w:jc w:val="left"/>
        <w:outlineLvl w:val="0"/>
        <w:rPr>
          <w:rFonts w:hint="eastAsia" w:ascii="仿宋" w:hAnsi="仿宋" w:eastAsia="仿宋" w:cs="仿宋"/>
          <w:color w:val="auto"/>
          <w:kern w:val="0"/>
          <w:sz w:val="24"/>
          <w:szCs w:val="24"/>
          <w:highlight w:val="none"/>
        </w:rPr>
      </w:pPr>
    </w:p>
    <w:p>
      <w:pPr>
        <w:spacing w:line="600" w:lineRule="exact"/>
        <w:jc w:val="left"/>
        <w:outlineLvl w:val="0"/>
        <w:rPr>
          <w:rFonts w:hint="eastAsia" w:ascii="仿宋" w:hAnsi="仿宋" w:eastAsia="仿宋" w:cs="仿宋"/>
          <w:color w:val="auto"/>
          <w:kern w:val="0"/>
          <w:sz w:val="24"/>
          <w:szCs w:val="24"/>
          <w:highlight w:val="none"/>
        </w:rPr>
      </w:pPr>
    </w:p>
    <w:p>
      <w:pPr>
        <w:spacing w:line="600" w:lineRule="exact"/>
        <w:jc w:val="left"/>
        <w:outlineLvl w:val="0"/>
        <w:rPr>
          <w:rFonts w:hint="eastAsia" w:ascii="仿宋" w:hAnsi="仿宋" w:eastAsia="仿宋" w:cs="仿宋"/>
          <w:color w:val="auto"/>
          <w:kern w:val="0"/>
          <w:sz w:val="24"/>
          <w:szCs w:val="24"/>
          <w:highlight w:val="none"/>
        </w:rPr>
      </w:pPr>
    </w:p>
    <w:p>
      <w:pPr>
        <w:spacing w:line="600" w:lineRule="exact"/>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十五</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挂钩梯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1、符合XF137-2007《消防梯》标准要求，提供国家消防装备质量监督检验中心的检测报告。</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2、消防队员扑救火灾时,登高灭火、救人或翻越障碍的工具,也用于日常训练。</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3、侧板、梯蹬材质为生长期五年以上的竹料或其他金属材质。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4、工作长度：4±0.1m。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5、最小梯宽：250±2mm。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6、梯蹬间距：340±2mm。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7、整梯质量：≤12kg。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8、水平弯曲残余变形比值：＜0.08%，单面侧板最大弯曲值：＜87mm，梯节扭转角：＜13°。</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9、梯蹬剪切强度：梯蹬与侧板的连接处和梯蹬本身无任何断裂迹象。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10、挂钩强度试验后，不出现任何损伤、变形和裂纹。</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11、梯节扭转角为：α顺：≤13°、α逆：≤13°。</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12、侧摇摆试验残余变形比值：≤0.10%。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13、粘牢合度试验时，通过浸泡、恒温、低温试验后无脱胶现象。</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14、永久性标签要求：消防梯右侧板上铭牌标有“执行标准、名称、规格型号、梯蹬间距、整梯质量；商标、厂名、厂址、生产日期或批号、使用须知”等规定和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pStyle w:val="6"/>
        <w:spacing w:before="0" w:beforeAutospacing="0" w:after="0" w:afterAutospacing="0"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76000" behindDoc="0" locked="0" layoutInCell="1" allowOverlap="1">
            <wp:simplePos x="0" y="0"/>
            <wp:positionH relativeFrom="column">
              <wp:posOffset>1581150</wp:posOffset>
            </wp:positionH>
            <wp:positionV relativeFrom="paragraph">
              <wp:posOffset>330200</wp:posOffset>
            </wp:positionV>
            <wp:extent cx="1898015" cy="1600200"/>
            <wp:effectExtent l="0" t="0" r="6985" b="0"/>
            <wp:wrapSquare wrapText="bothSides"/>
            <wp:docPr id="126"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05"/>
                    <pic:cNvPicPr>
                      <a:picLocks noChangeAspect="1"/>
                    </pic:cNvPicPr>
                  </pic:nvPicPr>
                  <pic:blipFill>
                    <a:blip r:embed="rId127"/>
                    <a:stretch>
                      <a:fillRect/>
                    </a:stretch>
                  </pic:blipFill>
                  <pic:spPr>
                    <a:xfrm>
                      <a:off x="0" y="0"/>
                      <a:ext cx="1898015" cy="1600200"/>
                    </a:xfrm>
                    <a:prstGeom prst="rect">
                      <a:avLst/>
                    </a:prstGeom>
                    <a:noFill/>
                    <a:ln>
                      <a:noFill/>
                    </a:ln>
                  </pic:spPr>
                </pic:pic>
              </a:graphicData>
            </a:graphic>
          </wp:anchor>
        </w:drawing>
      </w:r>
    </w:p>
    <w:p>
      <w:pPr>
        <w:pStyle w:val="6"/>
        <w:spacing w:before="0" w:beforeAutospacing="0" w:after="0" w:afterAutospacing="0"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十六</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单杠梯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1、符合XF137-2007《消防梯》标准要求，提供国家消防装备质量监督检验中心出具的检测报告。</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2、供消防员在训练和火场中使用，可利用单杠梯进行翻越障碍、登高作业，也可代替担架使用。</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3、竹制，工作长度：3±0.1m。最小梯宽：250±2mm。梯蹬间距：340±2mm。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4、水平弯曲残余变形比值：≤0.10%。梯蹬弯曲残余变形比值：≤0.20%。侧摇摆试验残余变形比值：≤0.10%。</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5、整梯质量：≤10kg。</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6、永久性标签要求：标签包括如下内容:制造厂名称、地址和注册商标；产品名称及型号；生产日期和批号；产品执行标准的代号和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777024" behindDoc="0" locked="0" layoutInCell="1" allowOverlap="1">
            <wp:simplePos x="0" y="0"/>
            <wp:positionH relativeFrom="column">
              <wp:posOffset>1177925</wp:posOffset>
            </wp:positionH>
            <wp:positionV relativeFrom="paragraph">
              <wp:posOffset>493395</wp:posOffset>
            </wp:positionV>
            <wp:extent cx="3474720" cy="784860"/>
            <wp:effectExtent l="0" t="0" r="11430" b="15240"/>
            <wp:wrapTopAndBottom/>
            <wp:docPr id="127" name="图片 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9231"/>
                    <pic:cNvPicPr>
                      <a:picLocks noChangeAspect="1"/>
                    </pic:cNvPicPr>
                  </pic:nvPicPr>
                  <pic:blipFill>
                    <a:blip r:embed="rId128"/>
                    <a:stretch>
                      <a:fillRect/>
                    </a:stretch>
                  </pic:blipFill>
                  <pic:spPr>
                    <a:xfrm>
                      <a:off x="0" y="0"/>
                      <a:ext cx="3474720" cy="784860"/>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十七</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折叠式救援梯</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1、符合GB/T27685-2011《便携式铝合金梯》标准要求，提供国家权威机构出具的检测报告复印件或扫描件。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2、供消防员在训练和火场中使用，可利用进行翻越障碍、登高作业。</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3、采用轻质材料制作。</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4、人字梯高度：≥2.5m，并可在此范围内随意调节高度。</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5、延伸梯高度：≥4.5m。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6、阶梯数：≥16级。</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7、触及高度：≥6m。</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8、重量：≤25kg。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9、承重能力：≥130kg。</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10、带有沟槽的防滑蹬阶。</w:t>
      </w:r>
    </w:p>
    <w:p>
      <w:pPr>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drawing>
          <wp:anchor distT="0" distB="0" distL="114300" distR="114300" simplePos="0" relativeHeight="251778048" behindDoc="0" locked="0" layoutInCell="1" allowOverlap="1">
            <wp:simplePos x="0" y="0"/>
            <wp:positionH relativeFrom="column">
              <wp:posOffset>1213485</wp:posOffset>
            </wp:positionH>
            <wp:positionV relativeFrom="paragraph">
              <wp:posOffset>1398905</wp:posOffset>
            </wp:positionV>
            <wp:extent cx="2962910" cy="2247900"/>
            <wp:effectExtent l="0" t="0" r="8890" b="0"/>
            <wp:wrapTopAndBottom/>
            <wp:docPr id="128" name="图片 59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59634"/>
                    <pic:cNvPicPr>
                      <a:picLocks noChangeAspect="1"/>
                    </pic:cNvPicPr>
                  </pic:nvPicPr>
                  <pic:blipFill>
                    <a:blip r:embed="rId129"/>
                    <a:stretch>
                      <a:fillRect/>
                    </a:stretch>
                  </pic:blipFill>
                  <pic:spPr>
                    <a:xfrm>
                      <a:off x="0" y="0"/>
                      <a:ext cx="2962910" cy="2247900"/>
                    </a:xfrm>
                    <a:prstGeom prst="rect">
                      <a:avLst/>
                    </a:prstGeom>
                    <a:noFill/>
                    <a:ln>
                      <a:noFill/>
                    </a:ln>
                  </pic:spPr>
                </pic:pic>
              </a:graphicData>
            </a:graphic>
          </wp:anchor>
        </w:drawing>
      </w:r>
      <w:r>
        <w:rPr>
          <w:rFonts w:hint="eastAsia" w:ascii="仿宋" w:hAnsi="仿宋" w:eastAsia="仿宋" w:cs="仿宋"/>
          <w:bCs/>
          <w:color w:val="auto"/>
          <w:sz w:val="24"/>
          <w:szCs w:val="24"/>
          <w:highlight w:val="none"/>
        </w:rPr>
        <w:t>11、永久性标签要求：标签包括如下内容:制造厂名称、地址和注册商标；产品名称及型号；生产日期和批号；产品执行标准的代号和</w:t>
      </w:r>
      <w:r>
        <w:rPr>
          <w:rFonts w:hint="eastAsia" w:ascii="仿宋" w:hAnsi="仿宋" w:eastAsia="仿宋" w:cs="仿宋"/>
          <w:color w:val="auto"/>
          <w:sz w:val="24"/>
          <w:szCs w:val="24"/>
          <w:highlight w:val="none"/>
        </w:rPr>
        <w:t>RFID芯片（内容根据采购方需要填写）</w:t>
      </w:r>
      <w:r>
        <w:rPr>
          <w:rFonts w:hint="eastAsia" w:ascii="仿宋" w:hAnsi="仿宋" w:eastAsia="仿宋" w:cs="仿宋"/>
          <w:bCs/>
          <w:color w:val="auto"/>
          <w:sz w:val="24"/>
          <w:szCs w:val="24"/>
          <w:highlight w:val="none"/>
        </w:rPr>
        <w:t>。</w:t>
      </w:r>
    </w:p>
    <w:p>
      <w:pPr>
        <w:pStyle w:val="44"/>
        <w:rPr>
          <w:rFonts w:hint="eastAsia" w:ascii="仿宋" w:hAnsi="仿宋" w:eastAsia="仿宋" w:cs="仿宋"/>
          <w:color w:val="auto"/>
          <w:sz w:val="24"/>
          <w:szCs w:val="24"/>
          <w:highlight w:val="none"/>
        </w:rPr>
      </w:pPr>
    </w:p>
    <w:p>
      <w:pPr>
        <w:spacing w:line="6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十八</w:t>
      </w:r>
      <w:r>
        <w:rPr>
          <w:rFonts w:hint="eastAsia" w:ascii="仿宋" w:hAnsi="仿宋" w:eastAsia="仿宋" w:cs="仿宋"/>
          <w:color w:val="auto"/>
          <w:kern w:val="0"/>
          <w:sz w:val="24"/>
          <w:szCs w:val="24"/>
          <w:highlight w:val="none"/>
        </w:rPr>
        <w:t>、防水防爆手持电台</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1、符合XF/T 1255-2015警用数字集群（PDT）通信系统射频设备技术要求和测试方法，具有中华人民共和国工业和信息化部颁发的无线电发射设备型号核准证，投标文件提供型号核准证复印件，提供国家消防装备质量监督检验中心或其他国家级权威检验机构出具的检测报告复印件或扫描件</w:t>
      </w:r>
      <w:r>
        <w:rPr>
          <w:rFonts w:hint="eastAsia" w:ascii="仿宋" w:hAnsi="仿宋" w:eastAsia="仿宋" w:cs="仿宋"/>
          <w:bCs/>
          <w:color w:val="auto"/>
          <w:sz w:val="24"/>
          <w:szCs w:val="24"/>
          <w:highlight w:val="none"/>
        </w:rPr>
        <w:t>。</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2、由外壳、主机、天线、电池及皮带夹组成，在石油、化工、钢铁、港口等易燃易爆气体场所使用。</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3、投标产品通过“中国国家强制性产品认证”（CCC），投标文件提供所投产品强制性认证证书和完整的“中国国家强制性产品认证型式试验报告”复印件。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4、通过国家防爆等级认证，其中防爆等级不低于气体防爆“Ex ib ⅡC T4 Gb”和粉尘防爆“Ex ibD 21 T130”要求, 提供所投产品的防爆合格证及检验报告复印件。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5、防护等级IP67，并提供权威机构出具的检测报告复印件。</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6、频率范围：350-400MHz，支持模拟常规、MPT集群、PDT数字常规和PDT集群多种工作模式。</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7、发射功率≤3.5W。</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8、信道容量≥1000个，采用无极信道旋钮，可以不通过切换区域就可以选择不小于16个组/信道，方便使用，需现场样机演示。</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9、电池容量≥2800mAH，显示电池用量状态，电池电量不足时有预警，电池满足低温环境正常使用的要求。配备同品牌、同规格型号备用电池1块。</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10、LCD 彩色显示屏≥1.8英寸，中文操作界面。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11、内置AMBE++和NVOC双声码器，通过手动菜单选择切换。</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12、内置GPS和北斗功能，支持GPS和北斗双模定位功能。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13、具有内置蓝牙功能，支持蓝牙PTT和蓝牙音频功能。</w:t>
      </w:r>
    </w:p>
    <w:p>
      <w:pPr>
        <w:adjustRightInd w:val="0"/>
        <w:snapToGrid w:val="0"/>
        <w:spacing w:line="6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14、配专用防爆耳机并提供权威机构出具的防爆合格证及检验报告复印件。</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bCs/>
          <w:color w:val="auto"/>
          <w:sz w:val="24"/>
          <w:szCs w:val="24"/>
          <w:highlight w:val="none"/>
        </w:rPr>
        <w:t>产品具有清晰耐久标志（执行标准、型号、规格；生产厂的名称或商标；生产厂的识别编号、制造时间）和RFID芯片（内容根据采购方需要填写）。</w:t>
      </w:r>
    </w:p>
    <w:p>
      <w:pPr>
        <w:adjustRightInd w:val="0"/>
        <w:snapToGrid w:val="0"/>
        <w:spacing w:line="600" w:lineRule="exact"/>
        <w:ind w:firstLine="480" w:firstLineChars="200"/>
        <w:rPr>
          <w:rFonts w:hint="eastAsia" w:ascii="仿宋" w:hAnsi="仿宋" w:eastAsia="仿宋" w:cs="仿宋"/>
          <w:bCs/>
          <w:color w:val="auto"/>
          <w:sz w:val="24"/>
          <w:szCs w:val="24"/>
          <w:highlight w:val="none"/>
        </w:rPr>
      </w:pPr>
    </w:p>
    <w:p>
      <w:pPr>
        <w:adjustRightInd w:val="0"/>
        <w:snapToGrid w:val="0"/>
        <w:spacing w:line="60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drawing>
          <wp:anchor distT="0" distB="0" distL="114300" distR="114300" simplePos="0" relativeHeight="251781120" behindDoc="0" locked="0" layoutInCell="1" allowOverlap="1">
            <wp:simplePos x="0" y="0"/>
            <wp:positionH relativeFrom="column">
              <wp:posOffset>3339465</wp:posOffset>
            </wp:positionH>
            <wp:positionV relativeFrom="paragraph">
              <wp:posOffset>335280</wp:posOffset>
            </wp:positionV>
            <wp:extent cx="1080770" cy="1066800"/>
            <wp:effectExtent l="0" t="0" r="5080" b="0"/>
            <wp:wrapSquare wrapText="bothSides"/>
            <wp:docPr id="129" name="图片 59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59601"/>
                    <pic:cNvPicPr>
                      <a:picLocks noChangeAspect="1"/>
                    </pic:cNvPicPr>
                  </pic:nvPicPr>
                  <pic:blipFill>
                    <a:blip r:embed="rId23"/>
                    <a:stretch>
                      <a:fillRect/>
                    </a:stretch>
                  </pic:blipFill>
                  <pic:spPr>
                    <a:xfrm>
                      <a:off x="0" y="0"/>
                      <a:ext cx="1080770" cy="1066800"/>
                    </a:xfrm>
                    <a:prstGeom prst="rect">
                      <a:avLst/>
                    </a:prstGeom>
                    <a:noFill/>
                    <a:ln>
                      <a:noFill/>
                    </a:ln>
                  </pic:spPr>
                </pic:pic>
              </a:graphicData>
            </a:graphic>
          </wp:anchor>
        </w:drawing>
      </w:r>
      <w:r>
        <w:rPr>
          <w:rFonts w:hint="eastAsia" w:ascii="仿宋" w:hAnsi="仿宋" w:eastAsia="仿宋" w:cs="仿宋"/>
          <w:color w:val="auto"/>
          <w:sz w:val="24"/>
          <w:szCs w:val="24"/>
          <w:highlight w:val="none"/>
        </w:rPr>
        <w:drawing>
          <wp:anchor distT="0" distB="0" distL="114300" distR="114300" simplePos="0" relativeHeight="251780096" behindDoc="0" locked="0" layoutInCell="1" allowOverlap="1">
            <wp:simplePos x="0" y="0"/>
            <wp:positionH relativeFrom="column">
              <wp:posOffset>1383665</wp:posOffset>
            </wp:positionH>
            <wp:positionV relativeFrom="paragraph">
              <wp:posOffset>266065</wp:posOffset>
            </wp:positionV>
            <wp:extent cx="725805" cy="1179195"/>
            <wp:effectExtent l="0" t="0" r="17145" b="1905"/>
            <wp:wrapSquare wrapText="bothSides"/>
            <wp:docPr id="130" name="图片 1" descr="17ca56579c318c1d34ab4b6d6d8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 descr="17ca56579c318c1d34ab4b6d6d81937"/>
                    <pic:cNvPicPr>
                      <a:picLocks noChangeAspect="1"/>
                    </pic:cNvPicPr>
                  </pic:nvPicPr>
                  <pic:blipFill>
                    <a:blip r:embed="rId24"/>
                    <a:stretch>
                      <a:fillRect/>
                    </a:stretch>
                  </pic:blipFill>
                  <pic:spPr>
                    <a:xfrm>
                      <a:off x="0" y="0"/>
                      <a:ext cx="725805" cy="1179195"/>
                    </a:xfrm>
                    <a:prstGeom prst="rect">
                      <a:avLst/>
                    </a:prstGeom>
                    <a:noFill/>
                    <a:ln>
                      <a:noFill/>
                    </a:ln>
                  </pic:spPr>
                </pic:pic>
              </a:graphicData>
            </a:graphic>
          </wp:anchor>
        </w:drawing>
      </w:r>
    </w:p>
    <w:p>
      <w:pPr>
        <w:spacing w:line="600" w:lineRule="exact"/>
        <w:ind w:firstLine="480" w:firstLineChars="200"/>
        <w:rPr>
          <w:rFonts w:hint="eastAsia" w:ascii="仿宋" w:hAnsi="仿宋" w:eastAsia="仿宋" w:cs="仿宋"/>
          <w:color w:val="auto"/>
          <w:kern w:val="0"/>
          <w:sz w:val="24"/>
          <w:szCs w:val="24"/>
          <w:highlight w:val="none"/>
        </w:rPr>
      </w:pPr>
    </w:p>
    <w:p>
      <w:pPr>
        <w:pStyle w:val="13"/>
        <w:rPr>
          <w:rFonts w:hint="eastAsia" w:ascii="仿宋" w:hAnsi="仿宋" w:eastAsia="仿宋" w:cs="仿宋"/>
          <w:color w:val="auto"/>
          <w:kern w:val="0"/>
          <w:sz w:val="24"/>
          <w:szCs w:val="24"/>
          <w:highlight w:val="none"/>
        </w:rPr>
      </w:pPr>
    </w:p>
    <w:p>
      <w:pPr>
        <w:pStyle w:val="13"/>
        <w:rPr>
          <w:rFonts w:hint="eastAsia" w:ascii="仿宋" w:hAnsi="仿宋" w:eastAsia="仿宋" w:cs="仿宋"/>
          <w:color w:val="auto"/>
          <w:kern w:val="0"/>
          <w:sz w:val="24"/>
          <w:szCs w:val="24"/>
          <w:highlight w:val="none"/>
        </w:rPr>
      </w:pPr>
    </w:p>
    <w:p>
      <w:pPr>
        <w:rPr>
          <w:rFonts w:hint="eastAsia" w:ascii="仿宋" w:hAnsi="仿宋" w:eastAsia="仿宋" w:cs="仿宋"/>
          <w:color w:val="auto"/>
          <w:sz w:val="24"/>
          <w:szCs w:val="24"/>
          <w:highlight w:val="none"/>
        </w:rPr>
      </w:pPr>
    </w:p>
    <w:p>
      <w:pPr>
        <w:pStyle w:val="2"/>
        <w:numPr>
          <w:ilvl w:val="0"/>
          <w:numId w:val="12"/>
        </w:numPr>
        <w:jc w:val="left"/>
        <w:rPr>
          <w:color w:val="auto"/>
          <w:highlight w:val="none"/>
        </w:rPr>
      </w:pPr>
      <w:r>
        <w:rPr>
          <w:rFonts w:hint="eastAsia" w:ascii="仿宋" w:hAnsi="仿宋" w:eastAsia="仿宋" w:cs="仿宋"/>
          <w:color w:val="auto"/>
          <w:highlight w:val="none"/>
        </w:rPr>
        <w:br w:type="page"/>
      </w:r>
    </w:p>
    <w:p>
      <w:pPr>
        <w:rPr>
          <w:rFonts w:ascii="仿宋" w:hAnsi="仿宋" w:eastAsia="仿宋" w:cs="仿宋"/>
          <w:color w:val="auto"/>
          <w:highlight w:val="none"/>
        </w:rPr>
      </w:pPr>
    </w:p>
    <w:p>
      <w:pPr>
        <w:pStyle w:val="4"/>
        <w:spacing w:before="120" w:after="120" w:line="360" w:lineRule="auto"/>
        <w:jc w:val="center"/>
        <w:rPr>
          <w:rFonts w:ascii="仿宋" w:hAnsi="仿宋" w:eastAsia="仿宋" w:cs="仿宋"/>
          <w:color w:val="auto"/>
          <w:kern w:val="2"/>
          <w:sz w:val="32"/>
          <w:highlight w:val="none"/>
        </w:rPr>
      </w:pPr>
      <w:bookmarkStart w:id="124" w:name="_Toc2364"/>
      <w:r>
        <w:rPr>
          <w:rFonts w:hint="eastAsia" w:ascii="仿宋" w:hAnsi="仿宋" w:eastAsia="仿宋" w:cs="仿宋"/>
          <w:color w:val="auto"/>
          <w:kern w:val="2"/>
          <w:sz w:val="32"/>
          <w:highlight w:val="none"/>
        </w:rPr>
        <w:t>第五章  合同格式</w:t>
      </w:r>
      <w:bookmarkEnd w:id="124"/>
    </w:p>
    <w:p>
      <w:pPr>
        <w:pStyle w:val="17"/>
        <w:pBdr>
          <w:bottom w:val="none" w:color="auto" w:sz="0" w:space="0"/>
        </w:pBdr>
        <w:tabs>
          <w:tab w:val="right" w:pos="8460"/>
          <w:tab w:val="clear" w:pos="8306"/>
        </w:tabs>
        <w:spacing w:line="360" w:lineRule="auto"/>
        <w:jc w:val="right"/>
        <w:rPr>
          <w:rFonts w:ascii="仿宋" w:hAnsi="仿宋" w:eastAsia="仿宋" w:cs="仿宋"/>
          <w:b/>
          <w:color w:val="auto"/>
          <w:sz w:val="30"/>
          <w:szCs w:val="30"/>
          <w:highlight w:val="none"/>
        </w:rPr>
      </w:pPr>
    </w:p>
    <w:p>
      <w:pPr>
        <w:spacing w:line="360" w:lineRule="auto"/>
        <w:jc w:val="center"/>
        <w:rPr>
          <w:rFonts w:ascii="仿宋" w:hAnsi="仿宋" w:eastAsia="仿宋" w:cs="仿宋"/>
          <w:color w:val="auto"/>
          <w:sz w:val="44"/>
          <w:highlight w:val="none"/>
        </w:rPr>
      </w:pPr>
    </w:p>
    <w:p>
      <w:pPr>
        <w:spacing w:line="360" w:lineRule="auto"/>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政府采购合同</w:t>
      </w:r>
    </w:p>
    <w:p>
      <w:pPr>
        <w:spacing w:line="360" w:lineRule="auto"/>
        <w:jc w:val="center"/>
        <w:rPr>
          <w:rFonts w:ascii="仿宋" w:hAnsi="仿宋" w:eastAsia="仿宋" w:cs="仿宋"/>
          <w:color w:val="auto"/>
          <w:sz w:val="72"/>
          <w:highlight w:val="none"/>
        </w:rPr>
      </w:pPr>
    </w:p>
    <w:p>
      <w:pPr>
        <w:widowControl/>
        <w:snapToGrid w:val="0"/>
        <w:spacing w:line="360" w:lineRule="auto"/>
        <w:rPr>
          <w:rFonts w:ascii="仿宋" w:hAnsi="仿宋" w:eastAsia="仿宋" w:cs="仿宋"/>
          <w:b/>
          <w:color w:val="auto"/>
          <w:kern w:val="0"/>
          <w:sz w:val="24"/>
          <w:highlight w:val="none"/>
        </w:rPr>
      </w:pPr>
    </w:p>
    <w:p>
      <w:pPr>
        <w:widowControl/>
        <w:snapToGrid w:val="0"/>
        <w:spacing w:line="360" w:lineRule="auto"/>
        <w:rPr>
          <w:rFonts w:ascii="仿宋" w:hAnsi="仿宋" w:eastAsia="仿宋" w:cs="仿宋"/>
          <w:b/>
          <w:color w:val="auto"/>
          <w:kern w:val="0"/>
          <w:sz w:val="32"/>
          <w:szCs w:val="32"/>
          <w:highlight w:val="none"/>
        </w:rPr>
      </w:pPr>
    </w:p>
    <w:p>
      <w:pPr>
        <w:widowControl/>
        <w:snapToGrid w:val="0"/>
        <w:spacing w:line="360" w:lineRule="auto"/>
        <w:ind w:left="2975" w:leftChars="638" w:hanging="1635" w:hangingChars="509"/>
        <w:jc w:val="left"/>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项目名称:</w:t>
      </w:r>
    </w:p>
    <w:p>
      <w:pPr>
        <w:pStyle w:val="17"/>
        <w:pBdr>
          <w:bottom w:val="none" w:color="auto" w:sz="0" w:space="0"/>
        </w:pBdr>
        <w:tabs>
          <w:tab w:val="right" w:pos="8460"/>
          <w:tab w:val="clear" w:pos="8306"/>
        </w:tabs>
        <w:spacing w:line="360" w:lineRule="auto"/>
        <w:ind w:left="2873" w:leftChars="638" w:right="600" w:hanging="1533" w:hangingChars="509"/>
        <w:jc w:val="both"/>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合同编号：</w:t>
      </w:r>
    </w:p>
    <w:p>
      <w:pPr>
        <w:widowControl/>
        <w:snapToGrid w:val="0"/>
        <w:spacing w:line="360" w:lineRule="auto"/>
        <w:ind w:left="2975" w:leftChars="638" w:hanging="1635" w:hangingChars="509"/>
        <w:jc w:val="left"/>
        <w:rPr>
          <w:rFonts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采购编号:</w:t>
      </w:r>
    </w:p>
    <w:p>
      <w:pPr>
        <w:widowControl/>
        <w:snapToGrid w:val="0"/>
        <w:spacing w:line="360" w:lineRule="auto"/>
        <w:rPr>
          <w:rFonts w:ascii="仿宋" w:hAnsi="仿宋" w:eastAsia="仿宋" w:cs="仿宋"/>
          <w:b/>
          <w:color w:val="auto"/>
          <w:kern w:val="0"/>
          <w:sz w:val="32"/>
          <w:szCs w:val="32"/>
          <w:highlight w:val="none"/>
        </w:rPr>
      </w:pPr>
    </w:p>
    <w:p>
      <w:pPr>
        <w:widowControl/>
        <w:snapToGrid w:val="0"/>
        <w:spacing w:line="360" w:lineRule="auto"/>
        <w:rPr>
          <w:rFonts w:ascii="仿宋" w:hAnsi="仿宋" w:eastAsia="仿宋" w:cs="仿宋"/>
          <w:b/>
          <w:color w:val="auto"/>
          <w:kern w:val="0"/>
          <w:sz w:val="32"/>
          <w:szCs w:val="32"/>
          <w:highlight w:val="none"/>
        </w:rPr>
      </w:pPr>
    </w:p>
    <w:p>
      <w:pPr>
        <w:pStyle w:val="31"/>
        <w:rPr>
          <w:rFonts w:ascii="仿宋" w:hAnsi="仿宋" w:eastAsia="仿宋" w:cs="仿宋"/>
          <w:b/>
          <w:color w:val="auto"/>
          <w:kern w:val="0"/>
          <w:sz w:val="32"/>
          <w:szCs w:val="32"/>
          <w:highlight w:val="none"/>
        </w:rPr>
      </w:pPr>
    </w:p>
    <w:p>
      <w:pPr>
        <w:widowControl/>
        <w:snapToGrid w:val="0"/>
        <w:spacing w:line="360" w:lineRule="auto"/>
        <w:rPr>
          <w:rFonts w:ascii="仿宋" w:hAnsi="仿宋" w:eastAsia="仿宋" w:cs="仿宋"/>
          <w:b/>
          <w:color w:val="auto"/>
          <w:kern w:val="0"/>
          <w:sz w:val="32"/>
          <w:szCs w:val="32"/>
          <w:highlight w:val="none"/>
        </w:rPr>
      </w:pPr>
    </w:p>
    <w:p>
      <w:pPr>
        <w:widowControl/>
        <w:snapToGrid w:val="0"/>
        <w:spacing w:line="360" w:lineRule="auto"/>
        <w:ind w:firstLine="1285" w:firstLineChars="400"/>
        <w:jc w:val="left"/>
        <w:rPr>
          <w:rFonts w:hint="default" w:ascii="仿宋" w:hAnsi="仿宋" w:eastAsia="仿宋" w:cs="仿宋"/>
          <w:b/>
          <w:color w:val="auto"/>
          <w:kern w:val="0"/>
          <w:sz w:val="32"/>
          <w:szCs w:val="32"/>
          <w:highlight w:val="none"/>
          <w:u w:val="single"/>
          <w:lang w:val="en-US" w:eastAsia="zh-CN"/>
        </w:rPr>
      </w:pPr>
      <w:r>
        <w:rPr>
          <w:rFonts w:hint="eastAsia" w:ascii="仿宋" w:hAnsi="仿宋" w:eastAsia="仿宋" w:cs="仿宋"/>
          <w:b/>
          <w:color w:val="auto"/>
          <w:kern w:val="0"/>
          <w:sz w:val="32"/>
          <w:szCs w:val="32"/>
          <w:highlight w:val="none"/>
        </w:rPr>
        <w:t>甲方:</w:t>
      </w:r>
      <w:r>
        <w:rPr>
          <w:rFonts w:hint="eastAsia" w:ascii="仿宋" w:hAnsi="仿宋" w:eastAsia="仿宋" w:cs="仿宋"/>
          <w:b/>
          <w:color w:val="auto"/>
          <w:kern w:val="0"/>
          <w:sz w:val="32"/>
          <w:szCs w:val="32"/>
          <w:highlight w:val="none"/>
          <w:u w:val="single"/>
          <w:lang w:val="en-US" w:eastAsia="zh-CN"/>
        </w:rPr>
        <w:t xml:space="preserve">                             </w:t>
      </w:r>
    </w:p>
    <w:p>
      <w:pPr>
        <w:widowControl/>
        <w:snapToGrid w:val="0"/>
        <w:spacing w:line="360" w:lineRule="auto"/>
        <w:ind w:left="420" w:leftChars="200" w:firstLine="855" w:firstLineChars="266"/>
        <w:jc w:val="left"/>
        <w:rPr>
          <w:rFonts w:hint="default" w:ascii="仿宋" w:hAnsi="仿宋" w:eastAsia="仿宋" w:cs="仿宋"/>
          <w:b/>
          <w:color w:val="auto"/>
          <w:kern w:val="0"/>
          <w:sz w:val="32"/>
          <w:szCs w:val="32"/>
          <w:highlight w:val="none"/>
          <w:u w:val="single"/>
          <w:lang w:val="en-US" w:eastAsia="zh-CN"/>
        </w:rPr>
      </w:pPr>
      <w:r>
        <w:rPr>
          <w:rFonts w:hint="eastAsia" w:ascii="仿宋" w:hAnsi="仿宋" w:eastAsia="仿宋" w:cs="仿宋"/>
          <w:b/>
          <w:color w:val="auto"/>
          <w:kern w:val="0"/>
          <w:sz w:val="32"/>
          <w:szCs w:val="32"/>
          <w:highlight w:val="none"/>
        </w:rPr>
        <w:t>乙方:</w:t>
      </w:r>
      <w:r>
        <w:rPr>
          <w:rFonts w:hint="eastAsia" w:ascii="仿宋" w:hAnsi="仿宋" w:eastAsia="仿宋" w:cs="仿宋"/>
          <w:b/>
          <w:color w:val="auto"/>
          <w:kern w:val="0"/>
          <w:sz w:val="32"/>
          <w:szCs w:val="32"/>
          <w:highlight w:val="none"/>
          <w:u w:val="single"/>
          <w:lang w:val="en-US" w:eastAsia="zh-CN"/>
        </w:rPr>
        <w:t xml:space="preserve">                             </w:t>
      </w:r>
    </w:p>
    <w:p>
      <w:pPr>
        <w:spacing w:line="360" w:lineRule="auto"/>
        <w:ind w:firstLine="480" w:firstLineChars="200"/>
        <w:jc w:val="center"/>
        <w:rPr>
          <w:rFonts w:ascii="仿宋" w:hAnsi="仿宋" w:eastAsia="仿宋" w:cs="仿宋"/>
          <w:color w:val="auto"/>
          <w:sz w:val="24"/>
          <w:highlight w:val="none"/>
          <w:u w:val="single"/>
        </w:rPr>
      </w:pPr>
    </w:p>
    <w:p>
      <w:pPr>
        <w:pStyle w:val="10"/>
        <w:tabs>
          <w:tab w:val="left" w:pos="1980"/>
          <w:tab w:val="left" w:pos="2160"/>
          <w:tab w:val="left" w:pos="2340"/>
          <w:tab w:val="left" w:pos="6400"/>
        </w:tabs>
        <w:spacing w:line="360" w:lineRule="auto"/>
        <w:ind w:left="0" w:leftChars="0" w:firstLine="0" w:firstLineChars="0"/>
        <w:jc w:val="center"/>
        <w:textAlignment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签署日期：     年   月   日</w:t>
      </w:r>
    </w:p>
    <w:p>
      <w:pPr>
        <w:spacing w:line="600" w:lineRule="exact"/>
        <w:jc w:val="center"/>
        <w:rPr>
          <w:rFonts w:hint="eastAsia" w:ascii="仿宋" w:hAnsi="仿宋" w:eastAsia="仿宋" w:cs="仿宋"/>
          <w:b/>
          <w:bCs/>
          <w:color w:val="auto"/>
          <w:sz w:val="36"/>
          <w:szCs w:val="36"/>
          <w:highlight w:val="none"/>
        </w:rPr>
      </w:pPr>
      <w:r>
        <w:rPr>
          <w:rFonts w:hint="eastAsia" w:ascii="仿宋" w:hAnsi="仿宋" w:eastAsia="仿宋" w:cs="仿宋"/>
          <w:color w:val="auto"/>
          <w:sz w:val="24"/>
          <w:highlight w:val="none"/>
          <w:u w:val="single"/>
        </w:rPr>
        <w:br w:type="page"/>
      </w:r>
      <w:r>
        <w:rPr>
          <w:rFonts w:hint="eastAsia" w:ascii="仿宋" w:hAnsi="仿宋" w:eastAsia="仿宋" w:cs="仿宋"/>
          <w:b/>
          <w:bCs/>
          <w:color w:val="auto"/>
          <w:sz w:val="36"/>
          <w:szCs w:val="36"/>
          <w:highlight w:val="none"/>
        </w:rPr>
        <w:t>合  同</w:t>
      </w:r>
    </w:p>
    <w:p>
      <w:pPr>
        <w:pStyle w:val="43"/>
        <w:spacing w:line="480" w:lineRule="exact"/>
        <w:ind w:firstLine="480"/>
        <w:rPr>
          <w:rFonts w:hint="eastAsia" w:ascii="仿宋" w:hAnsi="仿宋" w:eastAsia="仿宋" w:cs="仿宋"/>
          <w:color w:val="auto"/>
          <w:highlight w:val="none"/>
        </w:rPr>
      </w:pPr>
    </w:p>
    <w:p>
      <w:pPr>
        <w:spacing w:line="480" w:lineRule="exact"/>
        <w:ind w:firstLine="723" w:firstLineChars="300"/>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（甲方）所需(项目名称)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eastAsia="zh-CN"/>
        </w:rPr>
        <w:t>（</w:t>
      </w:r>
      <w:r>
        <w:rPr>
          <w:rFonts w:hint="eastAsia" w:ascii="仿宋" w:hAnsi="仿宋" w:eastAsia="仿宋" w:cs="仿宋"/>
          <w:b/>
          <w:bCs/>
          <w:color w:val="auto"/>
          <w:sz w:val="24"/>
          <w:highlight w:val="none"/>
          <w:u w:val="single"/>
          <w:lang w:val="en-US" w:eastAsia="zh-CN"/>
        </w:rPr>
        <w:t>项目编号）</w:t>
      </w:r>
      <w:r>
        <w:rPr>
          <w:rFonts w:hint="eastAsia" w:ascii="仿宋" w:hAnsi="仿宋" w:eastAsia="仿宋" w:cs="仿宋"/>
          <w:color w:val="auto"/>
          <w:sz w:val="24"/>
          <w:highlight w:val="none"/>
        </w:rPr>
        <w:t>经</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代理机构）</w:t>
      </w:r>
      <w:r>
        <w:rPr>
          <w:rFonts w:hint="eastAsia" w:ascii="仿宋" w:hAnsi="仿宋" w:eastAsia="仿宋" w:cs="仿宋"/>
          <w:color w:val="auto"/>
          <w:sz w:val="24"/>
          <w:highlight w:val="none"/>
        </w:rPr>
        <w:t>在国内以</w:t>
      </w:r>
      <w:r>
        <w:rPr>
          <w:rFonts w:hint="eastAsia" w:ascii="仿宋" w:hAnsi="仿宋" w:eastAsia="仿宋" w:cs="仿宋"/>
          <w:color w:val="auto"/>
          <w:sz w:val="24"/>
          <w:highlight w:val="none"/>
          <w:u w:val="single"/>
        </w:rPr>
        <w:t>公开招标方式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采购方式）</w:t>
      </w:r>
      <w:r>
        <w:rPr>
          <w:rFonts w:hint="eastAsia" w:ascii="仿宋" w:hAnsi="仿宋" w:eastAsia="仿宋" w:cs="仿宋"/>
          <w:color w:val="auto"/>
          <w:sz w:val="24"/>
          <w:highlight w:val="none"/>
        </w:rPr>
        <w:t>进行采购。经</w:t>
      </w:r>
      <w:r>
        <w:rPr>
          <w:rFonts w:hint="eastAsia" w:ascii="仿宋" w:hAnsi="仿宋" w:eastAsia="仿宋" w:cs="仿宋"/>
          <w:b/>
          <w:bCs/>
          <w:color w:val="auto"/>
          <w:sz w:val="24"/>
          <w:highlight w:val="none"/>
        </w:rPr>
        <w:t>评标委员会(或甲方)确定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（乙方）为</w:t>
      </w:r>
      <w:r>
        <w:rPr>
          <w:rFonts w:hint="eastAsia" w:ascii="仿宋" w:hAnsi="仿宋" w:eastAsia="仿宋" w:cs="仿宋"/>
          <w:b/>
          <w:bCs/>
          <w:color w:val="auto"/>
          <w:sz w:val="24"/>
          <w:highlight w:val="none"/>
        </w:rPr>
        <w:t xml:space="preserve"> </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包中标人。甲、乙双方根据《中华人民共和国政府采购法》、《中华人民共和国</w:t>
      </w:r>
      <w:r>
        <w:rPr>
          <w:rFonts w:hint="eastAsia" w:ascii="仿宋" w:hAnsi="仿宋" w:eastAsia="仿宋" w:cs="仿宋"/>
          <w:color w:val="auto"/>
          <w:sz w:val="24"/>
          <w:highlight w:val="none"/>
          <w:lang w:val="en-US" w:eastAsia="zh-CN"/>
        </w:rPr>
        <w:t>民法典</w:t>
      </w:r>
      <w:r>
        <w:rPr>
          <w:rFonts w:hint="eastAsia" w:ascii="仿宋" w:hAnsi="仿宋" w:eastAsia="仿宋" w:cs="仿宋"/>
          <w:color w:val="auto"/>
          <w:sz w:val="24"/>
          <w:highlight w:val="none"/>
        </w:rPr>
        <w:t>》等相关法律以及本项目招标文件的规定，经平等协商达成合同如下：</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一、合同文件</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本合同所附下列文件是构成本合同不可分割的部分：</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（一）本项目招标文件</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（二）中标人投标文件</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（三）合同格式、合同条款</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（四）中标人在评标过程中做出的有关澄清、说明或者补正文件</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（五）中标通知书</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（六）本合同附件</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二、合同的范围和条件</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本合同的范围和条件应与上述合同文件的规定相一致。</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三、货物内容</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本合同所提供的货物，详见合同</w:t>
      </w:r>
      <w:r>
        <w:rPr>
          <w:rFonts w:hint="eastAsia" w:ascii="仿宋" w:hAnsi="仿宋" w:eastAsia="仿宋" w:cs="仿宋"/>
          <w:color w:val="auto"/>
          <w:sz w:val="24"/>
          <w:highlight w:val="none"/>
          <w:lang w:val="en-US" w:eastAsia="zh-CN"/>
        </w:rPr>
        <w:t>附件</w:t>
      </w:r>
      <w:r>
        <w:rPr>
          <w:rFonts w:hint="eastAsia" w:ascii="仿宋" w:hAnsi="仿宋" w:eastAsia="仿宋" w:cs="仿宋"/>
          <w:color w:val="auto"/>
          <w:sz w:val="24"/>
          <w:highlight w:val="none"/>
        </w:rPr>
        <w:t>。</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附件一：同投标文件中货物清单及分项报价表</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四、合同金额</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合同金额为人民币</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元，大写：</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。（分项价格详见合同服务或货物清单）。</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乙方开户名称：</w:t>
      </w:r>
      <w:r>
        <w:rPr>
          <w:rFonts w:hint="eastAsia" w:ascii="仿宋" w:hAnsi="仿宋" w:eastAsia="仿宋" w:cs="仿宋"/>
          <w:b/>
          <w:bCs/>
          <w:color w:val="auto"/>
          <w:sz w:val="24"/>
          <w:highlight w:val="none"/>
          <w:u w:val="single"/>
        </w:rPr>
        <w:t xml:space="preserve">                   </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 xml:space="preserve"> </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银行账号：</w:t>
      </w:r>
      <w:r>
        <w:rPr>
          <w:rFonts w:hint="eastAsia" w:ascii="仿宋" w:hAnsi="仿宋" w:eastAsia="仿宋" w:cs="仿宋"/>
          <w:b/>
          <w:bCs/>
          <w:color w:val="auto"/>
          <w:sz w:val="24"/>
          <w:highlight w:val="none"/>
          <w:u w:val="single"/>
        </w:rPr>
        <w:t xml:space="preserve">                    </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五、付款途径</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□甲方根据乙方在本合同中所提供银行开户信息转账支付。</w:t>
      </w:r>
    </w:p>
    <w:p>
      <w:pPr>
        <w:numPr>
          <w:ilvl w:val="0"/>
          <w:numId w:val="13"/>
        </w:numPr>
        <w:spacing w:line="480" w:lineRule="exact"/>
        <w:ind w:left="-62" w:leftChars="0" w:firstLine="482" w:firstLineChars="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付款方式：</w:t>
      </w:r>
    </w:p>
    <w:p>
      <w:pPr>
        <w:pStyle w:val="2"/>
        <w:spacing w:line="360" w:lineRule="auto"/>
        <w:ind w:firstLine="480" w:firstLineChars="20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合同签订后预付合同金额的30％ 作为预付款，供货完成验收合格后付至合同金额的95％，剩余5％作为质保金，于质保期满两年后无质量问题一次性付清。</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七、交付日期和地点</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1、交付日期：</w:t>
      </w:r>
      <w:r>
        <w:rPr>
          <w:rFonts w:hint="eastAsia" w:ascii="仿宋" w:hAnsi="仿宋" w:eastAsia="仿宋" w:cs="仿宋"/>
          <w:b/>
          <w:bCs/>
          <w:color w:val="auto"/>
          <w:sz w:val="24"/>
          <w:highlight w:val="none"/>
        </w:rPr>
        <w:t xml:space="preserve">自合同生效之日起 </w:t>
      </w:r>
      <w:r>
        <w:rPr>
          <w:rFonts w:hint="eastAsia" w:ascii="仿宋" w:hAnsi="仿宋" w:eastAsia="仿宋" w:cs="仿宋"/>
          <w:b/>
          <w:bCs/>
          <w:color w:val="auto"/>
          <w:kern w:val="0"/>
          <w:sz w:val="24"/>
          <w:highlight w:val="none"/>
          <w:u w:val="single"/>
        </w:rPr>
        <w:t xml:space="preserve">       </w:t>
      </w:r>
      <w:r>
        <w:rPr>
          <w:rFonts w:hint="eastAsia" w:ascii="仿宋" w:hAnsi="仿宋" w:eastAsia="仿宋" w:cs="仿宋"/>
          <w:b/>
          <w:bCs/>
          <w:color w:val="auto"/>
          <w:sz w:val="24"/>
          <w:highlight w:val="none"/>
        </w:rPr>
        <w:t>日内交付</w:t>
      </w:r>
    </w:p>
    <w:p>
      <w:pPr>
        <w:spacing w:line="480" w:lineRule="exact"/>
        <w:ind w:firstLine="480" w:firstLineChars="200"/>
        <w:rPr>
          <w:rFonts w:hint="eastAsia" w:ascii="仿宋" w:hAnsi="仿宋" w:eastAsia="仿宋" w:cs="仿宋"/>
          <w:b/>
          <w:bCs/>
          <w:color w:val="auto"/>
          <w:kern w:val="0"/>
          <w:sz w:val="24"/>
          <w:highlight w:val="none"/>
          <w:u w:val="single"/>
        </w:rPr>
      </w:pPr>
      <w:r>
        <w:rPr>
          <w:rFonts w:hint="eastAsia" w:ascii="仿宋" w:hAnsi="仿宋" w:eastAsia="仿宋" w:cs="仿宋"/>
          <w:color w:val="auto"/>
          <w:kern w:val="0"/>
          <w:sz w:val="24"/>
          <w:highlight w:val="none"/>
        </w:rPr>
        <w:t>2、交付地点：</w:t>
      </w:r>
      <w:r>
        <w:rPr>
          <w:rFonts w:hint="eastAsia" w:ascii="仿宋" w:hAnsi="仿宋" w:eastAsia="仿宋" w:cs="仿宋"/>
          <w:b/>
          <w:bCs/>
          <w:color w:val="auto"/>
          <w:kern w:val="0"/>
          <w:sz w:val="24"/>
          <w:highlight w:val="none"/>
          <w:u w:val="single"/>
        </w:rPr>
        <w:t xml:space="preserve">                         </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3、风险负担：</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货物毁损、灭失的风险在该货物通过甲乙双方联合验收交付前由乙方承担，通过联合验收交付后由甲方承担；因质量问题甲方拒收的，风险由乙方承担。</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八、质量</w:t>
      </w:r>
    </w:p>
    <w:p>
      <w:pPr>
        <w:spacing w:line="480" w:lineRule="exact"/>
        <w:ind w:firstLine="480" w:firstLineChars="200"/>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货物的质量应符合招标文件、投标文件及乙方在投标过程中做出的书面澄清及承诺</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相关国家强制标准。</w:t>
      </w:r>
    </w:p>
    <w:p>
      <w:pPr>
        <w:tabs>
          <w:tab w:val="left" w:pos="382"/>
        </w:tabs>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九、包装</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货物的包装应按照国家或业务主管部门的技术规定执行，国家或业务主管部门无技术规定的，应当按双方约定采取足以保护货物安全、完好的包装方式。</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十、运输要求</w:t>
      </w:r>
    </w:p>
    <w:p>
      <w:pPr>
        <w:tabs>
          <w:tab w:val="left" w:pos="8786"/>
        </w:tabs>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1、运输方式及线路：</w:t>
      </w:r>
      <w:r>
        <w:rPr>
          <w:rFonts w:hint="eastAsia" w:ascii="仿宋" w:hAnsi="仿宋" w:eastAsia="仿宋" w:cs="仿宋"/>
          <w:b/>
          <w:bCs/>
          <w:color w:val="auto"/>
          <w:kern w:val="0"/>
          <w:sz w:val="24"/>
          <w:highlight w:val="none"/>
          <w:u w:val="single"/>
        </w:rPr>
        <w:t xml:space="preserve">                            </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2、运输及相关费用由乙方承担。</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十一、知识产权</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乙方应保证甲方在中国境内使用货物或货物的任何一部分时，免受第三方提出的侵犯其知识产权的诉讼。如因乙方提供货物存在知识产权瑕疵，产生的一切不利法律责任（包括但不限于甲方损失、第三方侵权等）均由乙方承担。</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十二、验收</w:t>
      </w:r>
    </w:p>
    <w:p>
      <w:pPr>
        <w:tabs>
          <w:tab w:val="left" w:pos="764"/>
        </w:tabs>
        <w:spacing w:line="480" w:lineRule="exact"/>
        <w:ind w:firstLine="480" w:firstLineChars="200"/>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1、验收程序：</w:t>
      </w:r>
    </w:p>
    <w:p>
      <w:pPr>
        <w:tabs>
          <w:tab w:val="left" w:pos="764"/>
        </w:tabs>
        <w:adjustRightInd w:val="0"/>
        <w:snapToGrid w:val="0"/>
        <w:spacing w:line="520" w:lineRule="atLeast"/>
        <w:ind w:firstLine="480" w:firstLineChars="200"/>
        <w:rPr>
          <w:rFonts w:hint="eastAsia" w:ascii="仿宋" w:hAnsi="仿宋" w:eastAsia="仿宋" w:cs="仿宋"/>
          <w:b/>
          <w:color w:val="auto"/>
          <w:kern w:val="0"/>
          <w:sz w:val="24"/>
          <w:highlight w:val="none"/>
          <w:lang w:eastAsia="zh-CN"/>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货物到达交货地点</w:t>
      </w:r>
      <w:r>
        <w:rPr>
          <w:rFonts w:hint="eastAsia" w:ascii="仿宋" w:hAnsi="仿宋" w:eastAsia="仿宋" w:cs="仿宋"/>
          <w:color w:val="auto"/>
          <w:kern w:val="0"/>
          <w:sz w:val="24"/>
          <w:highlight w:val="none"/>
          <w:lang w:val="en-US" w:eastAsia="zh-CN"/>
        </w:rPr>
        <w:t>后，</w:t>
      </w:r>
      <w:r>
        <w:rPr>
          <w:rFonts w:hint="eastAsia" w:ascii="仿宋" w:hAnsi="仿宋" w:eastAsia="仿宋" w:cs="仿宋"/>
          <w:color w:val="auto"/>
          <w:kern w:val="0"/>
          <w:sz w:val="24"/>
          <w:highlight w:val="none"/>
        </w:rPr>
        <w:t>甲方和乙方在30日内共同开箱检验货物的规格、质量和数量等状况，如货物需要安装、调试、培训由乙方负责，邀请第三方专业机构、专家实施所有验收活动由甲方提请并组织，以上产生的费用由乙方承担。安装调试后</w:t>
      </w:r>
      <w:r>
        <w:rPr>
          <w:rFonts w:hint="eastAsia" w:ascii="仿宋" w:hAnsi="仿宋" w:eastAsia="仿宋" w:cs="仿宋"/>
          <w:color w:val="auto"/>
          <w:kern w:val="0"/>
          <w:sz w:val="24"/>
          <w:highlight w:val="none"/>
          <w:u w:val="single"/>
        </w:rPr>
        <w:t xml:space="preserve"> 10 </w:t>
      </w:r>
      <w:r>
        <w:rPr>
          <w:rFonts w:hint="eastAsia" w:ascii="仿宋" w:hAnsi="仿宋" w:eastAsia="仿宋" w:cs="仿宋"/>
          <w:color w:val="auto"/>
          <w:kern w:val="0"/>
          <w:sz w:val="24"/>
          <w:highlight w:val="none"/>
        </w:rPr>
        <w:t>日内，甲、乙双方应按照合同要求验收，</w:t>
      </w:r>
      <w:r>
        <w:rPr>
          <w:rFonts w:hint="eastAsia" w:ascii="仿宋" w:hAnsi="仿宋" w:eastAsia="仿宋" w:cs="仿宋"/>
          <w:b w:val="0"/>
          <w:color w:val="auto"/>
          <w:kern w:val="0"/>
          <w:sz w:val="24"/>
          <w:highlight w:val="none"/>
          <w:lang w:val="en-US" w:eastAsia="zh-CN"/>
        </w:rPr>
        <w:t>验收合格后甲乙双方</w:t>
      </w:r>
      <w:r>
        <w:rPr>
          <w:rFonts w:hint="eastAsia" w:ascii="仿宋" w:hAnsi="仿宋" w:eastAsia="仿宋" w:cs="仿宋"/>
          <w:color w:val="auto"/>
          <w:kern w:val="0"/>
          <w:sz w:val="24"/>
          <w:highlight w:val="none"/>
        </w:rPr>
        <w:t>共同在《采购项目验收单》上签字确认</w:t>
      </w:r>
      <w:r>
        <w:rPr>
          <w:rFonts w:hint="eastAsia" w:ascii="仿宋" w:hAnsi="仿宋" w:eastAsia="仿宋" w:cs="仿宋"/>
          <w:color w:val="auto"/>
          <w:kern w:val="0"/>
          <w:sz w:val="24"/>
          <w:highlight w:val="none"/>
          <w:lang w:eastAsia="zh-CN"/>
        </w:rPr>
        <w:t>。</w:t>
      </w:r>
    </w:p>
    <w:p>
      <w:pPr>
        <w:tabs>
          <w:tab w:val="left" w:pos="955"/>
        </w:tabs>
        <w:adjustRightInd w:val="0"/>
        <w:snapToGrid w:val="0"/>
        <w:spacing w:line="520" w:lineRule="atLeas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验收结束后，对货物存在的质量问题，甲方</w:t>
      </w:r>
      <w:r>
        <w:rPr>
          <w:rFonts w:hint="eastAsia" w:ascii="仿宋" w:hAnsi="仿宋" w:eastAsia="仿宋" w:cs="仿宋"/>
          <w:color w:val="auto"/>
          <w:kern w:val="0"/>
          <w:sz w:val="24"/>
          <w:highlight w:val="none"/>
          <w:lang w:val="en-US" w:eastAsia="zh-CN"/>
        </w:rPr>
        <w:t>需</w:t>
      </w:r>
      <w:r>
        <w:rPr>
          <w:rFonts w:hint="eastAsia" w:ascii="仿宋" w:hAnsi="仿宋" w:eastAsia="仿宋" w:cs="仿宋"/>
          <w:color w:val="auto"/>
          <w:kern w:val="0"/>
          <w:sz w:val="24"/>
          <w:highlight w:val="none"/>
        </w:rPr>
        <w:t xml:space="preserve">在发现之日起 </w:t>
      </w:r>
      <w:r>
        <w:rPr>
          <w:rFonts w:hint="eastAsia" w:ascii="仿宋" w:hAnsi="仿宋" w:eastAsia="仿宋" w:cs="仿宋"/>
          <w:color w:val="auto"/>
          <w:kern w:val="0"/>
          <w:sz w:val="24"/>
          <w:highlight w:val="none"/>
          <w:u w:val="single"/>
        </w:rPr>
        <w:t>3</w:t>
      </w:r>
      <w:r>
        <w:rPr>
          <w:rFonts w:hint="eastAsia" w:ascii="仿宋" w:hAnsi="仿宋" w:eastAsia="仿宋" w:cs="仿宋"/>
          <w:color w:val="auto"/>
          <w:kern w:val="0"/>
          <w:sz w:val="24"/>
          <w:highlight w:val="none"/>
        </w:rPr>
        <w:t>日内向乙方提出书面异议，乙方在接到书面异议后，应当在</w:t>
      </w:r>
      <w:r>
        <w:rPr>
          <w:rFonts w:hint="eastAsia" w:ascii="仿宋" w:hAnsi="仿宋" w:eastAsia="仿宋" w:cs="仿宋"/>
          <w:color w:val="auto"/>
          <w:kern w:val="0"/>
          <w:sz w:val="24"/>
          <w:highlight w:val="none"/>
          <w:u w:val="single"/>
        </w:rPr>
        <w:t xml:space="preserve"> 2</w:t>
      </w:r>
      <w:r>
        <w:rPr>
          <w:rFonts w:hint="eastAsia" w:ascii="仿宋" w:hAnsi="仿宋" w:eastAsia="仿宋" w:cs="仿宋"/>
          <w:color w:val="auto"/>
          <w:kern w:val="0"/>
          <w:sz w:val="24"/>
          <w:highlight w:val="none"/>
        </w:rPr>
        <w:t>日内负责处理。如果乙方在投标文件及询标过程中做出的书面说明及承诺中，有明确质量保证期的，适用质量保证期；</w:t>
      </w:r>
    </w:p>
    <w:p>
      <w:pPr>
        <w:adjustRightInd w:val="0"/>
        <w:snapToGrid w:val="0"/>
        <w:spacing w:line="520" w:lineRule="atLeast"/>
        <w:ind w:firstLine="480" w:firstLineChars="200"/>
        <w:rPr>
          <w:rFonts w:hint="eastAsia" w:ascii="仿宋" w:hAnsi="仿宋" w:eastAsia="仿宋" w:cs="仿宋"/>
          <w:color w:val="auto"/>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本合同为甲方进行履约验收的主要依据。甲方应专门成立履约验收小组,于乙方交付项目时组织验收，验收应严格按照招标文件和采购合同进行，保证采购项目与招标文件和采购合同内容的一致。（本项目验收依据详见附件二：投标文件技术偏离表）</w:t>
      </w:r>
    </w:p>
    <w:p>
      <w:pPr>
        <w:adjustRightInd w:val="0"/>
        <w:snapToGrid w:val="0"/>
        <w:spacing w:line="520" w:lineRule="atLeast"/>
        <w:ind w:firstLine="480" w:firstLineChars="200"/>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2、验收方式：</w:t>
      </w:r>
    </w:p>
    <w:p>
      <w:pPr>
        <w:adjustRightInd w:val="0"/>
        <w:snapToGrid w:val="0"/>
        <w:spacing w:line="520" w:lineRule="atLeas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w:t>
      </w: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lang w:val="en-US" w:eastAsia="zh-CN"/>
        </w:rPr>
        <w:t>交付货物</w:t>
      </w:r>
      <w:r>
        <w:rPr>
          <w:rFonts w:hint="eastAsia" w:ascii="仿宋" w:hAnsi="仿宋" w:eastAsia="仿宋" w:cs="仿宋"/>
          <w:color w:val="auto"/>
          <w:kern w:val="0"/>
          <w:sz w:val="24"/>
          <w:highlight w:val="none"/>
        </w:rPr>
        <w:t>应符合相应的国家标准（无国家标准的按部标、行业标准）、合同要求。</w:t>
      </w:r>
    </w:p>
    <w:p>
      <w:pPr>
        <w:adjustRightInd w:val="0"/>
        <w:snapToGrid w:val="0"/>
        <w:spacing w:line="520" w:lineRule="atLeas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kern w:val="0"/>
          <w:sz w:val="24"/>
          <w:highlight w:val="none"/>
          <w:lang w:val="en-US" w:eastAsia="zh-CN"/>
        </w:rPr>
        <w:t>交付货物</w:t>
      </w:r>
      <w:r>
        <w:rPr>
          <w:rFonts w:hint="eastAsia" w:ascii="仿宋" w:hAnsi="仿宋" w:eastAsia="仿宋" w:cs="仿宋"/>
          <w:color w:val="auto"/>
          <w:kern w:val="0"/>
          <w:sz w:val="24"/>
          <w:highlight w:val="none"/>
        </w:rPr>
        <w:t>必须具备出厂合格证。</w:t>
      </w:r>
    </w:p>
    <w:p>
      <w:pPr>
        <w:adjustRightInd w:val="0"/>
        <w:snapToGrid w:val="0"/>
        <w:spacing w:line="520" w:lineRule="atLeast"/>
        <w:ind w:firstLine="480" w:firstLineChars="200"/>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交付</w:t>
      </w:r>
      <w:r>
        <w:rPr>
          <w:rFonts w:hint="eastAsia" w:ascii="仿宋" w:hAnsi="仿宋" w:eastAsia="仿宋" w:cs="仿宋"/>
          <w:color w:val="auto"/>
          <w:kern w:val="0"/>
          <w:sz w:val="24"/>
          <w:highlight w:val="none"/>
        </w:rPr>
        <w:t>验收时，</w:t>
      </w:r>
      <w:r>
        <w:rPr>
          <w:rFonts w:hint="eastAsia" w:ascii="仿宋" w:hAnsi="仿宋" w:eastAsia="仿宋" w:cs="仿宋"/>
          <w:color w:val="auto"/>
          <w:kern w:val="0"/>
          <w:sz w:val="24"/>
          <w:highlight w:val="none"/>
          <w:lang w:val="en-US" w:eastAsia="zh-CN"/>
        </w:rPr>
        <w:t>乙方应</w:t>
      </w:r>
      <w:r>
        <w:rPr>
          <w:rFonts w:hint="eastAsia" w:ascii="仿宋" w:hAnsi="仿宋" w:eastAsia="仿宋" w:cs="仿宋"/>
          <w:color w:val="auto"/>
          <w:kern w:val="0"/>
          <w:sz w:val="24"/>
          <w:highlight w:val="none"/>
        </w:rPr>
        <w:t>提交</w:t>
      </w:r>
      <w:r>
        <w:rPr>
          <w:rFonts w:hint="eastAsia" w:ascii="仿宋" w:hAnsi="仿宋" w:eastAsia="仿宋" w:cs="仿宋"/>
          <w:color w:val="auto"/>
          <w:kern w:val="0"/>
          <w:sz w:val="24"/>
          <w:highlight w:val="none"/>
          <w:lang w:val="en-US" w:eastAsia="zh-CN"/>
        </w:rPr>
        <w:t>货物</w:t>
      </w:r>
      <w:r>
        <w:rPr>
          <w:rFonts w:hint="eastAsia" w:ascii="仿宋" w:hAnsi="仿宋" w:eastAsia="仿宋" w:cs="仿宋"/>
          <w:color w:val="auto"/>
          <w:kern w:val="0"/>
          <w:sz w:val="24"/>
          <w:highlight w:val="none"/>
        </w:rPr>
        <w:t>装备技术文本、软件、视频</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配件、配套工具</w:t>
      </w:r>
      <w:r>
        <w:rPr>
          <w:rFonts w:hint="eastAsia" w:ascii="仿宋" w:hAnsi="仿宋" w:eastAsia="仿宋" w:cs="仿宋"/>
          <w:color w:val="auto"/>
          <w:kern w:val="0"/>
          <w:sz w:val="24"/>
          <w:highlight w:val="none"/>
        </w:rPr>
        <w:t>等</w:t>
      </w:r>
      <w:r>
        <w:rPr>
          <w:rFonts w:hint="eastAsia" w:ascii="仿宋" w:hAnsi="仿宋" w:eastAsia="仿宋" w:cs="仿宋"/>
          <w:color w:val="auto"/>
          <w:kern w:val="0"/>
          <w:sz w:val="24"/>
          <w:highlight w:val="none"/>
          <w:lang w:eastAsia="zh-CN"/>
        </w:rPr>
        <w:t>。</w:t>
      </w:r>
    </w:p>
    <w:p>
      <w:pPr>
        <w:adjustRightInd w:val="0"/>
        <w:snapToGrid w:val="0"/>
        <w:spacing w:line="520" w:lineRule="atLeast"/>
        <w:ind w:firstLine="480" w:firstLineChars="200"/>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4</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交付验收时，需提供</w:t>
      </w:r>
      <w:r>
        <w:rPr>
          <w:rFonts w:hint="eastAsia" w:ascii="仿宋" w:hAnsi="仿宋" w:eastAsia="仿宋" w:cs="仿宋"/>
          <w:color w:val="auto"/>
          <w:kern w:val="0"/>
          <w:sz w:val="24"/>
          <w:highlight w:val="none"/>
        </w:rPr>
        <w:t>国家消防装备质量检验中心出具的性能检测报告</w:t>
      </w:r>
      <w:r>
        <w:rPr>
          <w:rFonts w:hint="eastAsia" w:ascii="仿宋" w:hAnsi="仿宋" w:eastAsia="仿宋" w:cs="仿宋"/>
          <w:color w:val="auto"/>
          <w:kern w:val="0"/>
          <w:sz w:val="24"/>
          <w:highlight w:val="none"/>
          <w:lang w:val="en-US" w:eastAsia="zh-CN"/>
        </w:rPr>
        <w:t>原件</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否则甲方有权拒绝验收</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此项根据品目市场特性合理设置</w:t>
      </w:r>
      <w:r>
        <w:rPr>
          <w:rFonts w:hint="eastAsia" w:ascii="仿宋" w:hAnsi="仿宋" w:eastAsia="仿宋" w:cs="仿宋"/>
          <w:color w:val="auto"/>
          <w:kern w:val="0"/>
          <w:sz w:val="24"/>
          <w:highlight w:val="none"/>
          <w:lang w:eastAsia="zh-CN"/>
        </w:rPr>
        <w:t>）</w:t>
      </w:r>
    </w:p>
    <w:p>
      <w:pPr>
        <w:adjustRightInd w:val="0"/>
        <w:snapToGrid w:val="0"/>
        <w:spacing w:line="520" w:lineRule="atLeast"/>
        <w:ind w:firstLine="480" w:firstLineChars="200"/>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交付货物</w:t>
      </w:r>
      <w:r>
        <w:rPr>
          <w:rFonts w:hint="eastAsia" w:ascii="仿宋" w:hAnsi="仿宋" w:eastAsia="仿宋" w:cs="仿宋"/>
          <w:b w:val="0"/>
          <w:color w:val="auto"/>
          <w:kern w:val="0"/>
          <w:sz w:val="24"/>
          <w:highlight w:val="none"/>
        </w:rPr>
        <w:t>为全新</w:t>
      </w:r>
      <w:r>
        <w:rPr>
          <w:rFonts w:hint="eastAsia" w:ascii="仿宋" w:hAnsi="仿宋" w:eastAsia="仿宋" w:cs="仿宋"/>
          <w:b w:val="0"/>
          <w:color w:val="auto"/>
          <w:kern w:val="0"/>
          <w:sz w:val="24"/>
          <w:highlight w:val="none"/>
          <w:lang w:val="en-US" w:eastAsia="zh-CN"/>
        </w:rPr>
        <w:t>货物（</w:t>
      </w:r>
      <w:r>
        <w:rPr>
          <w:rFonts w:hint="eastAsia" w:ascii="仿宋" w:hAnsi="仿宋" w:eastAsia="仿宋" w:cs="仿宋"/>
          <w:b w:val="0"/>
          <w:color w:val="auto"/>
          <w:kern w:val="0"/>
          <w:sz w:val="24"/>
          <w:highlight w:val="none"/>
        </w:rPr>
        <w:t>含工具配件等），拒绝接受用于经过试验、检测、破坏性测试等程序的非全新</w:t>
      </w:r>
      <w:r>
        <w:rPr>
          <w:rFonts w:hint="eastAsia" w:ascii="仿宋" w:hAnsi="仿宋" w:eastAsia="仿宋" w:cs="仿宋"/>
          <w:b w:val="0"/>
          <w:color w:val="auto"/>
          <w:kern w:val="0"/>
          <w:sz w:val="24"/>
          <w:highlight w:val="none"/>
          <w:lang w:val="en-US" w:eastAsia="zh-CN"/>
        </w:rPr>
        <w:t>货物</w:t>
      </w:r>
      <w:r>
        <w:rPr>
          <w:rFonts w:hint="eastAsia" w:ascii="仿宋" w:hAnsi="仿宋" w:eastAsia="仿宋" w:cs="仿宋"/>
          <w:b w:val="0"/>
          <w:color w:val="auto"/>
          <w:kern w:val="0"/>
          <w:sz w:val="24"/>
          <w:highlight w:val="none"/>
        </w:rPr>
        <w:t>或样品。</w:t>
      </w:r>
    </w:p>
    <w:p>
      <w:pPr>
        <w:adjustRightInd w:val="0"/>
        <w:snapToGrid w:val="0"/>
        <w:spacing w:line="520" w:lineRule="atLeast"/>
        <w:ind w:firstLine="480" w:firstLineChars="200"/>
        <w:rPr>
          <w:rFonts w:hint="eastAsia" w:ascii="仿宋" w:hAnsi="仿宋" w:eastAsia="仿宋" w:cs="仿宋"/>
          <w:color w:val="auto"/>
          <w:kern w:val="0"/>
          <w:sz w:val="24"/>
          <w:highlight w:val="none"/>
          <w:lang w:eastAsia="zh-CN"/>
        </w:rPr>
      </w:pPr>
      <w:r>
        <w:rPr>
          <w:rFonts w:hint="eastAsia" w:ascii="仿宋" w:hAnsi="仿宋" w:eastAsia="仿宋" w:cs="仿宋"/>
          <w:b w:val="0"/>
          <w:color w:val="auto"/>
          <w:kern w:val="0"/>
          <w:sz w:val="24"/>
          <w:highlight w:val="none"/>
          <w:lang w:val="en-US" w:eastAsia="zh-CN"/>
        </w:rPr>
        <w:t>（6）货物</w:t>
      </w:r>
      <w:r>
        <w:rPr>
          <w:rFonts w:hint="eastAsia" w:ascii="仿宋" w:hAnsi="仿宋" w:eastAsia="仿宋" w:cs="仿宋"/>
          <w:color w:val="auto"/>
          <w:kern w:val="0"/>
          <w:sz w:val="24"/>
          <w:highlight w:val="none"/>
        </w:rPr>
        <w:t>质量、规格要求达不到本项目招标文件及投标文件约定条款的，乙方应该及时整改，再次验收不合格的，甲方可以拒收，并可以解除合同</w:t>
      </w:r>
      <w:r>
        <w:rPr>
          <w:rFonts w:hint="eastAsia" w:ascii="仿宋" w:hAnsi="仿宋" w:eastAsia="仿宋" w:cs="仿宋"/>
          <w:color w:val="auto"/>
          <w:kern w:val="0"/>
          <w:sz w:val="24"/>
          <w:highlight w:val="none"/>
          <w:lang w:eastAsia="zh-CN"/>
        </w:rPr>
        <w:t>。</w:t>
      </w:r>
    </w:p>
    <w:p>
      <w:pPr>
        <w:tabs>
          <w:tab w:val="left" w:pos="573"/>
        </w:tabs>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w:t>
      </w:r>
      <w:r>
        <w:rPr>
          <w:rFonts w:hint="eastAsia" w:ascii="仿宋" w:hAnsi="仿宋" w:eastAsia="仿宋" w:cs="仿宋"/>
          <w:b/>
          <w:bCs/>
          <w:color w:val="auto"/>
          <w:kern w:val="0"/>
          <w:sz w:val="24"/>
          <w:highlight w:val="none"/>
          <w:lang w:eastAsia="zh-CN"/>
        </w:rPr>
        <w:t>四</w:t>
      </w:r>
      <w:r>
        <w:rPr>
          <w:rFonts w:hint="eastAsia" w:ascii="仿宋" w:hAnsi="仿宋" w:eastAsia="仿宋" w:cs="仿宋"/>
          <w:b/>
          <w:bCs/>
          <w:color w:val="auto"/>
          <w:kern w:val="0"/>
          <w:sz w:val="24"/>
          <w:highlight w:val="none"/>
        </w:rPr>
        <w:t>、售后服务</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乙方应按公开招标文件、投标文件(响应文件)及乙方在投标过程中做出的书面说明或承诺提供及时、快速、优质的售后服务。</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见附件二：乙方投标文件售后服务承诺材料 </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w:t>
      </w:r>
      <w:r>
        <w:rPr>
          <w:rFonts w:hint="eastAsia" w:ascii="仿宋" w:hAnsi="仿宋" w:eastAsia="仿宋" w:cs="仿宋"/>
          <w:b/>
          <w:bCs/>
          <w:color w:val="auto"/>
          <w:kern w:val="0"/>
          <w:sz w:val="24"/>
          <w:highlight w:val="none"/>
          <w:lang w:eastAsia="zh-CN"/>
        </w:rPr>
        <w:t>五</w:t>
      </w:r>
      <w:r>
        <w:rPr>
          <w:rFonts w:hint="eastAsia" w:ascii="仿宋" w:hAnsi="仿宋" w:eastAsia="仿宋" w:cs="仿宋"/>
          <w:b/>
          <w:bCs/>
          <w:color w:val="auto"/>
          <w:kern w:val="0"/>
          <w:sz w:val="24"/>
          <w:highlight w:val="none"/>
        </w:rPr>
        <w:t>、违约责任</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1、除不可抗力外，如果乙方没有按照本合同约定的期限、地点和方式履行，甲方可要求乙方支付违约金，违约金按每迟延履行一日的应提供而未提供服务（或货物）本合同价格的</w:t>
      </w:r>
      <w:r>
        <w:rPr>
          <w:rFonts w:hint="eastAsia" w:ascii="仿宋" w:hAnsi="仿宋" w:eastAsia="仿宋" w:cs="仿宋"/>
          <w:color w:val="auto"/>
          <w:kern w:val="0"/>
          <w:sz w:val="24"/>
          <w:highlight w:val="none"/>
          <w:u w:val="single"/>
        </w:rPr>
        <w:t xml:space="preserve"> 0.1</w:t>
      </w:r>
      <w:r>
        <w:rPr>
          <w:rFonts w:hint="eastAsia" w:ascii="仿宋" w:hAnsi="仿宋" w:eastAsia="仿宋" w:cs="仿宋"/>
          <w:color w:val="auto"/>
          <w:kern w:val="0"/>
          <w:sz w:val="24"/>
          <w:highlight w:val="none"/>
        </w:rPr>
        <w:t xml:space="preserve"> %计算，最高限额为本合同总价的</w:t>
      </w:r>
      <w:r>
        <w:rPr>
          <w:rFonts w:hint="eastAsia" w:ascii="仿宋" w:hAnsi="仿宋" w:eastAsia="仿宋" w:cs="仿宋"/>
          <w:color w:val="auto"/>
          <w:kern w:val="0"/>
          <w:sz w:val="24"/>
          <w:highlight w:val="none"/>
          <w:u w:val="single"/>
        </w:rPr>
        <w:t xml:space="preserve"> 10</w:t>
      </w:r>
      <w:r>
        <w:rPr>
          <w:rFonts w:hint="eastAsia" w:ascii="仿宋" w:hAnsi="仿宋" w:eastAsia="仿宋" w:cs="仿宋"/>
          <w:color w:val="auto"/>
          <w:kern w:val="0"/>
          <w:sz w:val="24"/>
          <w:highlight w:val="none"/>
        </w:rPr>
        <w:t xml:space="preserve"> %；迟延履行的违约金计算数额达到前述最高限额之日起，甲方有权在要求乙方支付违约金的同时，书面通知乙方解除本合同；</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480" w:lineRule="exact"/>
        <w:ind w:firstLine="480" w:firstLineChars="200"/>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5、</w:t>
      </w:r>
      <w:r>
        <w:rPr>
          <w:rFonts w:hint="eastAsia" w:ascii="仿宋" w:hAnsi="仿宋" w:eastAsia="仿宋" w:cs="仿宋"/>
          <w:color w:val="auto"/>
          <w:kern w:val="0"/>
          <w:sz w:val="24"/>
          <w:highlight w:val="none"/>
          <w:lang w:val="en-US" w:eastAsia="zh-CN"/>
        </w:rPr>
        <w:t>如果出现政府采购监督管理部门在处理投诉事项期间，书面通知甲方暂停采购活动的情形，或质疑、投诉事项影响中标结果的，导致甲方中止履行合同的情形，均不视为甲方违约。</w:t>
      </w:r>
    </w:p>
    <w:p>
      <w:pPr>
        <w:spacing w:line="480" w:lineRule="exact"/>
        <w:ind w:firstLine="480" w:firstLineChars="200"/>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6、如遇国家政策或消防救援队伍政策、规定或其他具体情况发生变化时，对采购活动产生影响，终止采购活动的，甲方有权终止履约行合同，均不视为甲方违约。</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w:t>
      </w:r>
      <w:r>
        <w:rPr>
          <w:rFonts w:hint="eastAsia" w:ascii="仿宋" w:hAnsi="仿宋" w:eastAsia="仿宋" w:cs="仿宋"/>
          <w:b/>
          <w:bCs/>
          <w:color w:val="auto"/>
          <w:kern w:val="0"/>
          <w:sz w:val="24"/>
          <w:highlight w:val="none"/>
          <w:lang w:eastAsia="zh-CN"/>
        </w:rPr>
        <w:t>六</w:t>
      </w:r>
      <w:r>
        <w:rPr>
          <w:rFonts w:hint="eastAsia" w:ascii="仿宋" w:hAnsi="仿宋" w:eastAsia="仿宋" w:cs="仿宋"/>
          <w:b/>
          <w:bCs/>
          <w:color w:val="auto"/>
          <w:kern w:val="0"/>
          <w:sz w:val="24"/>
          <w:highlight w:val="none"/>
        </w:rPr>
        <w:t>、合同争议的解决</w:t>
      </w:r>
    </w:p>
    <w:p>
      <w:pPr>
        <w:spacing w:line="48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本合同履行过程中发生的任何争议，双方当事人均可通过和解或者调解解决；不愿和解、调解或者和解、调解不成的，向</w:t>
      </w:r>
      <w:r>
        <w:rPr>
          <w:rFonts w:hint="eastAsia" w:ascii="仿宋" w:hAnsi="仿宋" w:eastAsia="仿宋" w:cs="仿宋"/>
          <w:color w:val="auto"/>
          <w:kern w:val="0"/>
          <w:sz w:val="24"/>
          <w:highlight w:val="none"/>
          <w:lang w:val="en-US" w:eastAsia="zh-CN"/>
        </w:rPr>
        <w:t>甲方住所地</w:t>
      </w:r>
      <w:r>
        <w:rPr>
          <w:rFonts w:hint="eastAsia" w:ascii="仿宋" w:hAnsi="仿宋" w:eastAsia="仿宋" w:cs="仿宋"/>
          <w:color w:val="auto"/>
          <w:kern w:val="0"/>
          <w:sz w:val="24"/>
          <w:highlight w:val="none"/>
        </w:rPr>
        <w:t>民法院起诉。</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w:t>
      </w:r>
      <w:r>
        <w:rPr>
          <w:rFonts w:hint="eastAsia" w:ascii="仿宋" w:hAnsi="仿宋" w:eastAsia="仿宋" w:cs="仿宋"/>
          <w:b/>
          <w:bCs/>
          <w:color w:val="auto"/>
          <w:kern w:val="0"/>
          <w:sz w:val="24"/>
          <w:highlight w:val="none"/>
          <w:lang w:eastAsia="zh-CN"/>
        </w:rPr>
        <w:t>七</w:t>
      </w:r>
      <w:r>
        <w:rPr>
          <w:rFonts w:hint="eastAsia" w:ascii="仿宋" w:hAnsi="仿宋" w:eastAsia="仿宋" w:cs="仿宋"/>
          <w:b/>
          <w:bCs/>
          <w:color w:val="auto"/>
          <w:kern w:val="0"/>
          <w:sz w:val="24"/>
          <w:highlight w:val="none"/>
        </w:rPr>
        <w:t>、合同生效</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本合同经甲乙双方签字盖章之日起生效。</w:t>
      </w:r>
    </w:p>
    <w:p>
      <w:pPr>
        <w:spacing w:line="480" w:lineRule="exact"/>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十</w:t>
      </w:r>
      <w:r>
        <w:rPr>
          <w:rFonts w:hint="eastAsia" w:ascii="仿宋" w:hAnsi="仿宋" w:eastAsia="仿宋" w:cs="仿宋"/>
          <w:b/>
          <w:bCs/>
          <w:color w:val="auto"/>
          <w:kern w:val="0"/>
          <w:sz w:val="24"/>
          <w:highlight w:val="none"/>
          <w:lang w:eastAsia="zh-CN"/>
        </w:rPr>
        <w:t>八</w:t>
      </w:r>
      <w:r>
        <w:rPr>
          <w:rFonts w:hint="eastAsia" w:ascii="仿宋" w:hAnsi="仿宋" w:eastAsia="仿宋" w:cs="仿宋"/>
          <w:b/>
          <w:bCs/>
          <w:color w:val="auto"/>
          <w:kern w:val="0"/>
          <w:sz w:val="24"/>
          <w:highlight w:val="none"/>
        </w:rPr>
        <w:t>、合同保存</w:t>
      </w:r>
    </w:p>
    <w:p>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本合同一式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份，甲方</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u w:val="single"/>
          <w:lang w:val="en-US" w:eastAsia="zh-CN"/>
        </w:rPr>
        <w:t>四</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份，乙方</w:t>
      </w:r>
      <w:r>
        <w:rPr>
          <w:rFonts w:hint="eastAsia" w:ascii="仿宋" w:hAnsi="仿宋" w:eastAsia="仿宋" w:cs="仿宋"/>
          <w:color w:val="auto"/>
          <w:sz w:val="24"/>
          <w:highlight w:val="none"/>
          <w:u w:val="single"/>
        </w:rPr>
        <w:t xml:space="preserve"> 二 </w:t>
      </w:r>
      <w:r>
        <w:rPr>
          <w:rFonts w:hint="eastAsia" w:ascii="仿宋" w:hAnsi="仿宋" w:eastAsia="仿宋" w:cs="仿宋"/>
          <w:color w:val="auto"/>
          <w:sz w:val="24"/>
          <w:highlight w:val="none"/>
        </w:rPr>
        <w:t>份，招标代理机构</w:t>
      </w:r>
      <w:r>
        <w:rPr>
          <w:rFonts w:hint="eastAsia" w:ascii="仿宋" w:hAnsi="仿宋" w:eastAsia="仿宋" w:cs="仿宋"/>
          <w:color w:val="auto"/>
          <w:sz w:val="24"/>
          <w:highlight w:val="none"/>
          <w:u w:val="single"/>
        </w:rPr>
        <w:t xml:space="preserve"> 二</w:t>
      </w:r>
      <w:r>
        <w:rPr>
          <w:rFonts w:hint="eastAsia" w:ascii="仿宋" w:hAnsi="仿宋" w:eastAsia="仿宋" w:cs="仿宋"/>
          <w:color w:val="auto"/>
          <w:sz w:val="24"/>
          <w:highlight w:val="none"/>
        </w:rPr>
        <w:t>份。</w:t>
      </w:r>
    </w:p>
    <w:p>
      <w:pPr>
        <w:spacing w:line="480" w:lineRule="exact"/>
        <w:ind w:firstLine="480" w:firstLineChars="200"/>
        <w:rPr>
          <w:rFonts w:hint="eastAsia" w:ascii="仿宋" w:hAnsi="仿宋" w:eastAsia="仿宋" w:cs="仿宋"/>
          <w:color w:val="auto"/>
          <w:sz w:val="24"/>
          <w:highlight w:val="none"/>
        </w:rPr>
      </w:pP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附件一：同投标文件中货物清单及分项报价表</w:t>
      </w:r>
    </w:p>
    <w:p>
      <w:pPr>
        <w:spacing w:line="4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附件二：乙方投标文件售后服务承诺材料</w:t>
      </w:r>
    </w:p>
    <w:p>
      <w:pPr>
        <w:pStyle w:val="43"/>
        <w:spacing w:line="480" w:lineRule="exact"/>
        <w:ind w:firstLine="0" w:firstLineChars="0"/>
        <w:rPr>
          <w:rFonts w:hint="eastAsia" w:ascii="仿宋" w:hAnsi="仿宋" w:eastAsia="仿宋" w:cs="仿宋"/>
          <w:color w:val="auto"/>
          <w:sz w:val="28"/>
          <w:szCs w:val="28"/>
          <w:highlight w:val="none"/>
        </w:rPr>
      </w:pPr>
    </w:p>
    <w:tbl>
      <w:tblPr>
        <w:tblStyle w:val="23"/>
        <w:tblW w:w="0" w:type="auto"/>
        <w:jc w:val="center"/>
        <w:tblLayout w:type="fixed"/>
        <w:tblCellMar>
          <w:top w:w="0" w:type="dxa"/>
          <w:left w:w="108" w:type="dxa"/>
          <w:bottom w:w="0" w:type="dxa"/>
          <w:right w:w="108" w:type="dxa"/>
        </w:tblCellMar>
      </w:tblPr>
      <w:tblGrid>
        <w:gridCol w:w="4152"/>
        <w:gridCol w:w="4722"/>
      </w:tblGrid>
      <w:tr>
        <w:tblPrEx>
          <w:tblCellMar>
            <w:top w:w="0" w:type="dxa"/>
            <w:left w:w="108" w:type="dxa"/>
            <w:bottom w:w="0" w:type="dxa"/>
            <w:right w:w="108" w:type="dxa"/>
          </w:tblCellMar>
        </w:tblPrEx>
        <w:trPr>
          <w:trHeight w:val="2077" w:hRule="atLeast"/>
          <w:jc w:val="center"/>
        </w:trPr>
        <w:tc>
          <w:tcPr>
            <w:tcW w:w="4152" w:type="dxa"/>
            <w:noWrap w:val="0"/>
            <w:vAlign w:val="center"/>
          </w:tcPr>
          <w:p>
            <w:pPr>
              <w:spacing w:line="48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甲方（盖章）：</w:t>
            </w:r>
          </w:p>
          <w:p>
            <w:pPr>
              <w:pStyle w:val="22"/>
              <w:spacing w:line="480" w:lineRule="exact"/>
              <w:ind w:firstLine="241"/>
              <w:rPr>
                <w:rFonts w:hint="eastAsia" w:ascii="仿宋" w:hAnsi="仿宋" w:eastAsia="仿宋" w:cs="仿宋"/>
                <w:color w:val="auto"/>
                <w:highlight w:val="none"/>
              </w:rPr>
            </w:pPr>
          </w:p>
        </w:tc>
        <w:tc>
          <w:tcPr>
            <w:tcW w:w="4722" w:type="dxa"/>
            <w:noWrap w:val="0"/>
            <w:vAlign w:val="center"/>
          </w:tcPr>
          <w:p>
            <w:pPr>
              <w:spacing w:line="48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乙方（盖章）：</w:t>
            </w:r>
          </w:p>
          <w:p>
            <w:pPr>
              <w:spacing w:line="480" w:lineRule="exact"/>
              <w:jc w:val="left"/>
              <w:rPr>
                <w:rFonts w:hint="eastAsia" w:ascii="仿宋" w:hAnsi="仿宋" w:eastAsia="仿宋" w:cs="仿宋"/>
                <w:bCs/>
                <w:color w:val="auto"/>
                <w:sz w:val="24"/>
                <w:szCs w:val="24"/>
                <w:highlight w:val="none"/>
              </w:rPr>
            </w:pPr>
          </w:p>
        </w:tc>
      </w:tr>
      <w:tr>
        <w:tblPrEx>
          <w:tblCellMar>
            <w:top w:w="0" w:type="dxa"/>
            <w:left w:w="108" w:type="dxa"/>
            <w:bottom w:w="0" w:type="dxa"/>
            <w:right w:w="108" w:type="dxa"/>
          </w:tblCellMar>
        </w:tblPrEx>
        <w:trPr>
          <w:trHeight w:val="552" w:hRule="atLeast"/>
          <w:jc w:val="center"/>
        </w:trPr>
        <w:tc>
          <w:tcPr>
            <w:tcW w:w="4152" w:type="dxa"/>
            <w:noWrap w:val="0"/>
            <w:vAlign w:val="top"/>
          </w:tcPr>
          <w:p>
            <w:pPr>
              <w:spacing w:line="48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法人代表或授权代表（签字）：</w:t>
            </w:r>
          </w:p>
          <w:p>
            <w:pPr>
              <w:pStyle w:val="22"/>
              <w:spacing w:line="480" w:lineRule="exact"/>
              <w:ind w:firstLine="241"/>
              <w:rPr>
                <w:rFonts w:hint="eastAsia" w:ascii="仿宋" w:hAnsi="仿宋" w:eastAsia="仿宋" w:cs="仿宋"/>
                <w:color w:val="auto"/>
                <w:highlight w:val="none"/>
              </w:rPr>
            </w:pPr>
          </w:p>
        </w:tc>
        <w:tc>
          <w:tcPr>
            <w:tcW w:w="4722" w:type="dxa"/>
            <w:noWrap w:val="0"/>
            <w:vAlign w:val="top"/>
          </w:tcPr>
          <w:p>
            <w:pPr>
              <w:spacing w:line="48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法人代表或授权代表（签字）：</w:t>
            </w:r>
          </w:p>
          <w:p>
            <w:pPr>
              <w:pStyle w:val="22"/>
              <w:spacing w:line="480" w:lineRule="exact"/>
              <w:ind w:firstLine="241"/>
              <w:rPr>
                <w:rFonts w:hint="eastAsia" w:ascii="仿宋" w:hAnsi="仿宋" w:eastAsia="仿宋" w:cs="仿宋"/>
                <w:bCs/>
                <w:color w:val="auto"/>
                <w:highlight w:val="none"/>
              </w:rPr>
            </w:pPr>
          </w:p>
          <w:p>
            <w:pPr>
              <w:pStyle w:val="22"/>
              <w:spacing w:line="480" w:lineRule="exact"/>
              <w:ind w:firstLine="241"/>
              <w:rPr>
                <w:rFonts w:hint="eastAsia" w:ascii="仿宋" w:hAnsi="仿宋" w:eastAsia="仿宋" w:cs="仿宋"/>
                <w:bCs/>
                <w:color w:val="auto"/>
                <w:highlight w:val="none"/>
              </w:rPr>
            </w:pPr>
          </w:p>
        </w:tc>
      </w:tr>
      <w:tr>
        <w:tblPrEx>
          <w:tblCellMar>
            <w:top w:w="0" w:type="dxa"/>
            <w:left w:w="108" w:type="dxa"/>
            <w:bottom w:w="0" w:type="dxa"/>
            <w:right w:w="108" w:type="dxa"/>
          </w:tblCellMar>
        </w:tblPrEx>
        <w:trPr>
          <w:trHeight w:val="552" w:hRule="atLeast"/>
          <w:jc w:val="center"/>
        </w:trPr>
        <w:tc>
          <w:tcPr>
            <w:tcW w:w="4152" w:type="dxa"/>
            <w:noWrap w:val="0"/>
            <w:vAlign w:val="top"/>
          </w:tcPr>
          <w:p>
            <w:pPr>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tc>
        <w:tc>
          <w:tcPr>
            <w:tcW w:w="4722" w:type="dxa"/>
            <w:noWrap w:val="0"/>
            <w:vAlign w:val="top"/>
          </w:tcPr>
          <w:p>
            <w:pPr>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tc>
      </w:tr>
      <w:tr>
        <w:tblPrEx>
          <w:tblCellMar>
            <w:top w:w="0" w:type="dxa"/>
            <w:left w:w="108" w:type="dxa"/>
            <w:bottom w:w="0" w:type="dxa"/>
            <w:right w:w="108" w:type="dxa"/>
          </w:tblCellMar>
        </w:tblPrEx>
        <w:trPr>
          <w:trHeight w:val="552" w:hRule="atLeast"/>
          <w:jc w:val="center"/>
        </w:trPr>
        <w:tc>
          <w:tcPr>
            <w:tcW w:w="4152" w:type="dxa"/>
            <w:noWrap w:val="0"/>
            <w:vAlign w:val="top"/>
          </w:tcPr>
          <w:p>
            <w:pPr>
              <w:spacing w:line="600" w:lineRule="exact"/>
              <w:ind w:firstLine="240" w:firstLineChars="100"/>
              <w:jc w:val="righ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签订日期：    年   月   日 </w:t>
            </w:r>
          </w:p>
        </w:tc>
        <w:tc>
          <w:tcPr>
            <w:tcW w:w="4722" w:type="dxa"/>
            <w:noWrap w:val="0"/>
            <w:vAlign w:val="top"/>
          </w:tcPr>
          <w:p>
            <w:pPr>
              <w:spacing w:line="600" w:lineRule="exact"/>
              <w:ind w:firstLine="240" w:firstLineChars="100"/>
              <w:jc w:val="righ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签订日期：    年   月   日         </w:t>
            </w:r>
          </w:p>
        </w:tc>
      </w:tr>
    </w:tbl>
    <w:p>
      <w:pPr>
        <w:rPr>
          <w:rFonts w:hint="eastAsia" w:ascii="仿宋" w:hAnsi="仿宋" w:eastAsia="仿宋" w:cs="仿宋"/>
          <w:color w:val="auto"/>
          <w:highlight w:val="none"/>
        </w:rPr>
      </w:pPr>
    </w:p>
    <w:p>
      <w:pPr>
        <w:rPr>
          <w:rFonts w:hint="eastAsia" w:ascii="仿宋" w:hAnsi="仿宋" w:eastAsia="仿宋" w:cs="仿宋"/>
          <w:color w:val="auto"/>
          <w:kern w:val="2"/>
          <w:sz w:val="32"/>
          <w:highlight w:val="none"/>
        </w:rPr>
      </w:pPr>
      <w:bookmarkStart w:id="125" w:name="_Toc10925"/>
      <w:r>
        <w:rPr>
          <w:rFonts w:hint="eastAsia" w:ascii="仿宋" w:hAnsi="仿宋" w:eastAsia="仿宋" w:cs="仿宋"/>
          <w:color w:val="auto"/>
          <w:kern w:val="2"/>
          <w:sz w:val="32"/>
          <w:highlight w:val="none"/>
        </w:rPr>
        <w:br w:type="page"/>
      </w:r>
    </w:p>
    <w:p>
      <w:pPr>
        <w:pStyle w:val="4"/>
        <w:spacing w:before="120" w:after="120" w:line="360" w:lineRule="auto"/>
        <w:jc w:val="center"/>
        <w:rPr>
          <w:rFonts w:ascii="仿宋" w:hAnsi="仿宋" w:eastAsia="仿宋" w:cs="仿宋"/>
          <w:color w:val="auto"/>
          <w:kern w:val="2"/>
          <w:sz w:val="32"/>
          <w:highlight w:val="none"/>
        </w:rPr>
      </w:pPr>
      <w:r>
        <w:rPr>
          <w:rFonts w:hint="eastAsia" w:ascii="仿宋" w:hAnsi="仿宋" w:eastAsia="仿宋" w:cs="仿宋"/>
          <w:color w:val="auto"/>
          <w:kern w:val="2"/>
          <w:sz w:val="32"/>
          <w:highlight w:val="none"/>
        </w:rPr>
        <w:t>第六章  附件（投标文件格式）</w:t>
      </w:r>
      <w:bookmarkEnd w:id="125"/>
    </w:p>
    <w:p>
      <w:pPr>
        <w:spacing w:line="360" w:lineRule="auto"/>
        <w:jc w:val="center"/>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投标文件封面格式</w:t>
      </w:r>
    </w:p>
    <w:p>
      <w:pPr>
        <w:pBdr>
          <w:top w:val="single" w:color="auto" w:sz="4" w:space="1"/>
          <w:left w:val="single" w:color="auto" w:sz="4" w:space="4"/>
          <w:bottom w:val="single" w:color="auto" w:sz="4" w:space="31"/>
          <w:right w:val="single" w:color="auto" w:sz="4" w:space="4"/>
        </w:pBdr>
        <w:spacing w:line="360" w:lineRule="auto"/>
        <w:jc w:val="right"/>
        <w:rPr>
          <w:rFonts w:ascii="仿宋" w:hAnsi="仿宋" w:eastAsia="仿宋" w:cs="仿宋"/>
          <w:b/>
          <w:color w:val="auto"/>
          <w:sz w:val="32"/>
          <w:szCs w:val="30"/>
          <w:highlight w:val="none"/>
        </w:rPr>
      </w:pPr>
    </w:p>
    <w:p>
      <w:pPr>
        <w:pBdr>
          <w:top w:val="single" w:color="auto" w:sz="4" w:space="1"/>
          <w:left w:val="single" w:color="auto" w:sz="4" w:space="4"/>
          <w:bottom w:val="single" w:color="auto" w:sz="4" w:space="31"/>
          <w:right w:val="single" w:color="auto" w:sz="4" w:space="4"/>
        </w:pBdr>
        <w:spacing w:line="360" w:lineRule="auto"/>
        <w:jc w:val="right"/>
        <w:rPr>
          <w:rFonts w:ascii="仿宋" w:hAnsi="仿宋" w:eastAsia="仿宋" w:cs="仿宋"/>
          <w:b/>
          <w:color w:val="auto"/>
          <w:sz w:val="32"/>
          <w:szCs w:val="30"/>
          <w:highlight w:val="none"/>
        </w:rPr>
      </w:pPr>
      <w:r>
        <w:rPr>
          <w:rFonts w:hint="eastAsia" w:ascii="仿宋" w:hAnsi="仿宋" w:eastAsia="仿宋" w:cs="仿宋"/>
          <w:b/>
          <w:color w:val="auto"/>
          <w:sz w:val="32"/>
          <w:szCs w:val="30"/>
          <w:highlight w:val="none"/>
        </w:rPr>
        <w:t>（正/副本）</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b/>
          <w:color w:val="auto"/>
          <w:sz w:val="28"/>
          <w:szCs w:val="30"/>
          <w:highlight w:val="none"/>
        </w:rPr>
      </w:pPr>
    </w:p>
    <w:p>
      <w:pPr>
        <w:pBdr>
          <w:top w:val="single" w:color="auto" w:sz="4" w:space="1"/>
          <w:left w:val="single" w:color="auto" w:sz="4" w:space="4"/>
          <w:bottom w:val="single" w:color="auto" w:sz="4" w:space="31"/>
          <w:right w:val="single" w:color="auto" w:sz="4" w:space="4"/>
        </w:pBdr>
        <w:spacing w:line="360" w:lineRule="auto"/>
        <w:ind w:firstLine="1720" w:firstLineChars="612"/>
        <w:rPr>
          <w:rFonts w:ascii="仿宋" w:hAnsi="仿宋" w:eastAsia="仿宋" w:cs="仿宋"/>
          <w:b/>
          <w:color w:val="auto"/>
          <w:sz w:val="28"/>
          <w:szCs w:val="30"/>
          <w:highlight w:val="none"/>
          <w:u w:val="single"/>
        </w:rPr>
      </w:pPr>
      <w:r>
        <w:rPr>
          <w:rFonts w:hint="eastAsia" w:ascii="仿宋" w:hAnsi="仿宋" w:eastAsia="仿宋" w:cs="仿宋"/>
          <w:b/>
          <w:color w:val="auto"/>
          <w:sz w:val="28"/>
          <w:szCs w:val="30"/>
          <w:highlight w:val="none"/>
        </w:rPr>
        <w:t>项目编号：</w:t>
      </w:r>
    </w:p>
    <w:p>
      <w:pPr>
        <w:pBdr>
          <w:top w:val="single" w:color="auto" w:sz="4" w:space="1"/>
          <w:left w:val="single" w:color="auto" w:sz="4" w:space="4"/>
          <w:bottom w:val="single" w:color="auto" w:sz="4" w:space="31"/>
          <w:right w:val="single" w:color="auto" w:sz="4" w:space="4"/>
        </w:pBdr>
        <w:spacing w:line="360" w:lineRule="auto"/>
        <w:ind w:firstLine="1720" w:firstLineChars="612"/>
        <w:jc w:val="left"/>
        <w:rPr>
          <w:rFonts w:ascii="仿宋" w:hAnsi="仿宋" w:eastAsia="仿宋" w:cs="仿宋"/>
          <w:color w:val="auto"/>
          <w:sz w:val="28"/>
          <w:szCs w:val="30"/>
          <w:highlight w:val="none"/>
          <w:u w:val="single"/>
        </w:rPr>
      </w:pPr>
      <w:r>
        <w:rPr>
          <w:rFonts w:hint="eastAsia" w:ascii="仿宋" w:hAnsi="仿宋" w:eastAsia="仿宋" w:cs="仿宋"/>
          <w:b/>
          <w:color w:val="auto"/>
          <w:sz w:val="28"/>
          <w:szCs w:val="30"/>
          <w:highlight w:val="none"/>
        </w:rPr>
        <w:t>项目名称：</w:t>
      </w:r>
    </w:p>
    <w:p>
      <w:pPr>
        <w:pBdr>
          <w:top w:val="single" w:color="auto" w:sz="4" w:space="1"/>
          <w:left w:val="single" w:color="auto" w:sz="4" w:space="4"/>
          <w:bottom w:val="single" w:color="auto" w:sz="4" w:space="31"/>
          <w:right w:val="single" w:color="auto" w:sz="4" w:space="4"/>
        </w:pBdr>
        <w:spacing w:line="360" w:lineRule="auto"/>
        <w:ind w:firstLine="1720" w:firstLineChars="612"/>
        <w:jc w:val="left"/>
        <w:rPr>
          <w:rFonts w:ascii="仿宋" w:hAnsi="仿宋" w:eastAsia="仿宋" w:cs="仿宋"/>
          <w:b/>
          <w:color w:val="auto"/>
          <w:sz w:val="28"/>
          <w:szCs w:val="30"/>
          <w:highlight w:val="none"/>
        </w:rPr>
      </w:pPr>
      <w:r>
        <w:rPr>
          <w:rFonts w:hint="eastAsia" w:ascii="仿宋" w:hAnsi="仿宋" w:eastAsia="仿宋" w:cs="仿宋"/>
          <w:b/>
          <w:color w:val="auto"/>
          <w:sz w:val="28"/>
          <w:szCs w:val="30"/>
          <w:highlight w:val="none"/>
        </w:rPr>
        <w:t>包号：</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b/>
          <w:bCs/>
          <w:color w:val="auto"/>
          <w:sz w:val="72"/>
          <w:szCs w:val="52"/>
          <w:highlight w:val="none"/>
        </w:rPr>
      </w:pPr>
      <w:r>
        <w:rPr>
          <w:rFonts w:hint="eastAsia" w:ascii="仿宋" w:hAnsi="仿宋" w:eastAsia="仿宋" w:cs="仿宋"/>
          <w:b/>
          <w:bCs/>
          <w:color w:val="auto"/>
          <w:sz w:val="72"/>
          <w:szCs w:val="52"/>
          <w:highlight w:val="none"/>
        </w:rPr>
        <w:t>投标文件</w:t>
      </w: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color w:val="auto"/>
          <w:sz w:val="28"/>
          <w:szCs w:val="28"/>
          <w:highlight w:val="none"/>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color w:val="auto"/>
          <w:sz w:val="28"/>
          <w:szCs w:val="28"/>
          <w:highlight w:val="none"/>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color w:val="auto"/>
          <w:sz w:val="28"/>
          <w:szCs w:val="28"/>
          <w:highlight w:val="none"/>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color w:val="auto"/>
          <w:sz w:val="28"/>
          <w:szCs w:val="28"/>
          <w:highlight w:val="none"/>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color w:val="auto"/>
          <w:sz w:val="28"/>
          <w:szCs w:val="28"/>
          <w:highlight w:val="none"/>
        </w:rPr>
      </w:pPr>
    </w:p>
    <w:p>
      <w:pPr>
        <w:pBdr>
          <w:top w:val="single" w:color="auto" w:sz="4" w:space="1"/>
          <w:left w:val="single" w:color="auto" w:sz="4" w:space="4"/>
          <w:bottom w:val="single" w:color="auto" w:sz="4" w:space="31"/>
          <w:right w:val="single" w:color="auto" w:sz="4" w:space="4"/>
        </w:pBdr>
        <w:spacing w:line="360" w:lineRule="auto"/>
        <w:ind w:firstLine="1960" w:firstLineChars="7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：(盖单位章)</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年  月  日</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color w:val="auto"/>
          <w:sz w:val="28"/>
          <w:szCs w:val="28"/>
          <w:highlight w:val="none"/>
        </w:rPr>
      </w:pP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color w:val="auto"/>
          <w:highlight w:val="none"/>
        </w:rPr>
      </w:pPr>
    </w:p>
    <w:p>
      <w:pPr>
        <w:pStyle w:val="6"/>
        <w:spacing w:before="120" w:after="120" w:line="360" w:lineRule="auto"/>
        <w:rPr>
          <w:rFonts w:ascii="仿宋" w:hAnsi="仿宋" w:eastAsia="仿宋" w:cs="仿宋"/>
          <w:b w:val="0"/>
          <w:bCs/>
          <w:color w:val="auto"/>
          <w:sz w:val="24"/>
          <w:szCs w:val="21"/>
          <w:highlight w:val="none"/>
        </w:rPr>
      </w:pPr>
      <w:r>
        <w:rPr>
          <w:rFonts w:hint="eastAsia" w:ascii="仿宋" w:hAnsi="仿宋" w:eastAsia="仿宋" w:cs="仿宋"/>
          <w:b w:val="0"/>
          <w:color w:val="auto"/>
          <w:sz w:val="24"/>
          <w:szCs w:val="24"/>
          <w:highlight w:val="none"/>
        </w:rPr>
        <w:br w:type="page"/>
      </w:r>
      <w:bookmarkStart w:id="126" w:name="_Toc8652"/>
      <w:r>
        <w:rPr>
          <w:rFonts w:hint="eastAsia" w:ascii="仿宋" w:hAnsi="仿宋" w:eastAsia="仿宋" w:cs="仿宋"/>
          <w:b/>
          <w:bCs/>
          <w:color w:val="auto"/>
          <w:sz w:val="24"/>
          <w:szCs w:val="21"/>
          <w:highlight w:val="none"/>
        </w:rPr>
        <w:t>附件一：投标函</w:t>
      </w:r>
      <w:bookmarkEnd w:id="126"/>
    </w:p>
    <w:p>
      <w:pPr>
        <w:pStyle w:val="2"/>
        <w:spacing w:after="0" w:line="360" w:lineRule="auto"/>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投标函</w:t>
      </w:r>
    </w:p>
    <w:p>
      <w:pPr>
        <w:pStyle w:val="2"/>
        <w:spacing w:after="0" w:line="360" w:lineRule="auto"/>
        <w:rPr>
          <w:rFonts w:ascii="仿宋" w:hAnsi="仿宋" w:eastAsia="仿宋" w:cs="仿宋"/>
          <w:color w:val="auto"/>
          <w:highlight w:val="none"/>
        </w:rPr>
      </w:pPr>
      <w:r>
        <w:rPr>
          <w:rFonts w:hint="eastAsia" w:ascii="仿宋" w:hAnsi="仿宋" w:eastAsia="仿宋" w:cs="仿宋"/>
          <w:color w:val="auto"/>
          <w:highlight w:val="none"/>
        </w:rPr>
        <w:t>山东善誉招标咨询有限公司：</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经研究，我方决定参加项目编号为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的____________________采购（项目名称）项目（包</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）并投标。为此，我方郑重声明以下几点，并负法律责任：</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1、我方提交的投标文件，正本1份，副本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4</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份，USB接口设备存储的电子版</w:t>
      </w:r>
      <w:r>
        <w:rPr>
          <w:rFonts w:hint="eastAsia" w:ascii="仿宋" w:hAnsi="仿宋" w:eastAsia="仿宋" w:cs="仿宋"/>
          <w:color w:val="auto"/>
          <w:highlight w:val="none"/>
          <w:u w:val="single"/>
        </w:rPr>
        <w:t>1</w:t>
      </w:r>
      <w:r>
        <w:rPr>
          <w:rFonts w:hint="eastAsia" w:ascii="仿宋" w:hAnsi="仿宋" w:eastAsia="仿宋" w:cs="仿宋"/>
          <w:color w:val="auto"/>
          <w:highlight w:val="none"/>
        </w:rPr>
        <w:t>份，开标一览表一式</w:t>
      </w:r>
      <w:r>
        <w:rPr>
          <w:rFonts w:hint="eastAsia" w:ascii="仿宋" w:hAnsi="仿宋" w:eastAsia="仿宋" w:cs="仿宋"/>
          <w:color w:val="auto"/>
          <w:highlight w:val="none"/>
          <w:u w:val="single"/>
        </w:rPr>
        <w:t>3</w:t>
      </w:r>
      <w:r>
        <w:rPr>
          <w:rFonts w:hint="eastAsia" w:ascii="仿宋" w:hAnsi="仿宋" w:eastAsia="仿宋" w:cs="仿宋"/>
          <w:color w:val="auto"/>
          <w:highlight w:val="none"/>
        </w:rPr>
        <w:t>份。</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2、如果我方的投标文件被接受，我方将履行招标文件中规定的每一项要求，并按我方投标文件中的承诺按期、保质、保量提供服务。</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3、我方理解，最低报价不是中标的唯一条件，</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有选择中标人的权利。</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4、我方愿按《中华人民共和国</w:t>
      </w:r>
      <w:r>
        <w:rPr>
          <w:rFonts w:hint="eastAsia" w:ascii="仿宋" w:hAnsi="仿宋" w:eastAsia="仿宋" w:cs="仿宋"/>
          <w:color w:val="auto"/>
          <w:highlight w:val="none"/>
          <w:lang w:eastAsia="zh-CN"/>
        </w:rPr>
        <w:t>民法典</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相关内容</w:t>
      </w:r>
      <w:r>
        <w:rPr>
          <w:rFonts w:hint="eastAsia" w:ascii="仿宋" w:hAnsi="仿宋" w:eastAsia="仿宋" w:cs="仿宋"/>
          <w:color w:val="auto"/>
          <w:highlight w:val="none"/>
        </w:rPr>
        <w:t>履行自己的全部责任。</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5、我方同意按招标文件规定交纳投标保证金，遵守贵机构有关招标的各项规定。</w:t>
      </w:r>
    </w:p>
    <w:p>
      <w:pPr>
        <w:spacing w:line="360" w:lineRule="auto"/>
        <w:ind w:firstLine="480" w:firstLineChars="200"/>
        <w:rPr>
          <w:rFonts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rPr>
        <w:t>6、我方承诺的投标有效期为</w:t>
      </w:r>
      <w:r>
        <w:rPr>
          <w:rFonts w:hint="eastAsia" w:ascii="仿宋" w:hAnsi="仿宋" w:eastAsia="仿宋" w:cs="仿宋"/>
          <w:color w:val="auto"/>
          <w:sz w:val="24"/>
          <w:highlight w:val="none"/>
        </w:rPr>
        <w:t>自投标截止之日起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日历天</w:t>
      </w:r>
      <w:r>
        <w:rPr>
          <w:rFonts w:hint="eastAsia" w:ascii="仿宋" w:hAnsi="仿宋" w:eastAsia="仿宋" w:cs="仿宋"/>
          <w:color w:val="auto"/>
          <w:kern w:val="0"/>
          <w:sz w:val="24"/>
          <w:szCs w:val="20"/>
          <w:highlight w:val="none"/>
        </w:rPr>
        <w:t>。</w:t>
      </w:r>
    </w:p>
    <w:p>
      <w:pPr>
        <w:pStyle w:val="2"/>
        <w:spacing w:after="0" w:line="360" w:lineRule="auto"/>
        <w:ind w:left="-2" w:firstLine="480"/>
        <w:rPr>
          <w:rFonts w:ascii="仿宋" w:hAnsi="仿宋" w:eastAsia="仿宋" w:cs="仿宋"/>
          <w:color w:val="auto"/>
          <w:highlight w:val="none"/>
        </w:rPr>
      </w:pPr>
      <w:r>
        <w:rPr>
          <w:rFonts w:hint="eastAsia" w:ascii="仿宋" w:hAnsi="仿宋" w:eastAsia="仿宋" w:cs="仿宋"/>
          <w:color w:val="auto"/>
          <w:highlight w:val="none"/>
        </w:rPr>
        <w:t>7、与本投标有关的一切正式往来通讯请寄：</w:t>
      </w:r>
    </w:p>
    <w:p>
      <w:pPr>
        <w:pStyle w:val="2"/>
        <w:spacing w:after="0" w:line="360" w:lineRule="auto"/>
        <w:ind w:left="571" w:leftChars="272" w:firstLine="382"/>
        <w:rPr>
          <w:rFonts w:ascii="仿宋" w:hAnsi="仿宋" w:eastAsia="仿宋" w:cs="仿宋"/>
          <w:color w:val="auto"/>
          <w:highlight w:val="none"/>
        </w:rPr>
      </w:pP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代表姓名、职务（印刷体）：</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名称（公章）</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开户银行名称：</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开户银行账号：</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开户银行地址：</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法定代表人或授权代理人签署：</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地址：</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邮政编码：</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电话：</w:t>
      </w:r>
    </w:p>
    <w:p>
      <w:pPr>
        <w:pStyle w:val="2"/>
        <w:spacing w:after="0" w:line="360" w:lineRule="auto"/>
        <w:ind w:left="571" w:leftChars="272" w:firstLine="382"/>
        <w:rPr>
          <w:rFonts w:ascii="仿宋" w:hAnsi="仿宋" w:eastAsia="仿宋" w:cs="仿宋"/>
          <w:color w:val="auto"/>
          <w:highlight w:val="none"/>
        </w:rPr>
      </w:pPr>
      <w:r>
        <w:rPr>
          <w:rFonts w:hint="eastAsia" w:ascii="仿宋" w:hAnsi="仿宋" w:eastAsia="仿宋" w:cs="仿宋"/>
          <w:color w:val="auto"/>
          <w:highlight w:val="none"/>
        </w:rPr>
        <w:t>传真：</w:t>
      </w:r>
    </w:p>
    <w:p>
      <w:pPr>
        <w:pStyle w:val="2"/>
        <w:spacing w:after="0" w:line="360" w:lineRule="auto"/>
        <w:ind w:left="6660" w:firstLine="480"/>
        <w:rPr>
          <w:rFonts w:ascii="仿宋" w:hAnsi="仿宋" w:eastAsia="仿宋" w:cs="仿宋"/>
          <w:color w:val="auto"/>
          <w:highlight w:val="none"/>
        </w:rPr>
      </w:pPr>
      <w:r>
        <w:rPr>
          <w:rFonts w:hint="eastAsia" w:ascii="仿宋" w:hAnsi="仿宋" w:eastAsia="仿宋" w:cs="仿宋"/>
          <w:color w:val="auto"/>
          <w:highlight w:val="none"/>
        </w:rPr>
        <w:t>年  月  日</w:t>
      </w:r>
    </w:p>
    <w:p>
      <w:pPr>
        <w:pStyle w:val="6"/>
        <w:rPr>
          <w:rFonts w:ascii="仿宋" w:hAnsi="仿宋" w:eastAsia="仿宋" w:cs="仿宋"/>
          <w:b w:val="0"/>
          <w:bCs/>
          <w:color w:val="auto"/>
          <w:sz w:val="24"/>
          <w:szCs w:val="21"/>
          <w:highlight w:val="none"/>
        </w:rPr>
      </w:pPr>
      <w:r>
        <w:rPr>
          <w:rFonts w:hint="eastAsia" w:ascii="仿宋" w:hAnsi="仿宋" w:eastAsia="仿宋" w:cs="仿宋"/>
          <w:color w:val="auto"/>
          <w:sz w:val="24"/>
          <w:highlight w:val="none"/>
        </w:rPr>
        <w:br w:type="page"/>
      </w:r>
      <w:bookmarkStart w:id="127" w:name="_Toc31882"/>
      <w:r>
        <w:rPr>
          <w:rFonts w:hint="eastAsia" w:ascii="仿宋" w:hAnsi="仿宋" w:eastAsia="仿宋" w:cs="仿宋"/>
          <w:b/>
          <w:bCs/>
          <w:color w:val="auto"/>
          <w:sz w:val="24"/>
          <w:szCs w:val="21"/>
          <w:highlight w:val="none"/>
        </w:rPr>
        <w:t>附件二：法定代表人授权委托书</w:t>
      </w:r>
      <w:bookmarkEnd w:id="127"/>
    </w:p>
    <w:p>
      <w:pPr>
        <w:pStyle w:val="2"/>
        <w:spacing w:after="0" w:line="360" w:lineRule="auto"/>
        <w:rPr>
          <w:rFonts w:ascii="仿宋" w:hAnsi="仿宋" w:eastAsia="仿宋" w:cs="仿宋"/>
          <w:color w:val="auto"/>
          <w:highlight w:val="none"/>
        </w:rPr>
      </w:pPr>
    </w:p>
    <w:p>
      <w:pPr>
        <w:pStyle w:val="2"/>
        <w:spacing w:after="0" w:line="360" w:lineRule="auto"/>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法定代表人授权委托书</w:t>
      </w:r>
    </w:p>
    <w:p>
      <w:pPr>
        <w:pStyle w:val="2"/>
        <w:spacing w:after="0" w:line="360" w:lineRule="auto"/>
        <w:jc w:val="center"/>
        <w:rPr>
          <w:rFonts w:ascii="仿宋" w:hAnsi="仿宋" w:eastAsia="仿宋" w:cs="仿宋"/>
          <w:b/>
          <w:color w:val="auto"/>
          <w:sz w:val="32"/>
          <w:highlight w:val="none"/>
        </w:rPr>
      </w:pPr>
    </w:p>
    <w:p>
      <w:pPr>
        <w:pStyle w:val="2"/>
        <w:spacing w:after="0" w:line="360" w:lineRule="auto"/>
        <w:rPr>
          <w:rFonts w:ascii="仿宋" w:hAnsi="仿宋" w:eastAsia="仿宋" w:cs="仿宋"/>
          <w:color w:val="auto"/>
          <w:highlight w:val="none"/>
        </w:rPr>
      </w:pPr>
      <w:r>
        <w:rPr>
          <w:rFonts w:hint="eastAsia" w:ascii="仿宋" w:hAnsi="仿宋" w:eastAsia="仿宋" w:cs="仿宋"/>
          <w:color w:val="auto"/>
          <w:highlight w:val="none"/>
        </w:rPr>
        <w:t>山东善誉招标咨询有限公司：</w:t>
      </w:r>
    </w:p>
    <w:p>
      <w:pPr>
        <w:pStyle w:val="2"/>
        <w:spacing w:after="0" w:line="360" w:lineRule="auto"/>
        <w:rPr>
          <w:rFonts w:ascii="仿宋" w:hAnsi="仿宋" w:eastAsia="仿宋" w:cs="仿宋"/>
          <w:color w:val="auto"/>
          <w:highlight w:val="none"/>
        </w:rPr>
      </w:pPr>
    </w:p>
    <w:p>
      <w:pPr>
        <w:pStyle w:val="2"/>
        <w:spacing w:after="0" w:line="360" w:lineRule="auto"/>
        <w:ind w:firstLine="480"/>
        <w:rPr>
          <w:rFonts w:ascii="仿宋" w:hAnsi="仿宋" w:eastAsia="仿宋" w:cs="仿宋"/>
          <w:color w:val="auto"/>
          <w:highlight w:val="none"/>
        </w:rPr>
      </w:pPr>
      <w:r>
        <w:rPr>
          <w:rFonts w:hint="eastAsia" w:ascii="仿宋" w:hAnsi="仿宋" w:eastAsia="仿宋" w:cs="仿宋"/>
          <w:color w:val="auto"/>
          <w:highlight w:val="none"/>
          <w:u w:val="single"/>
        </w:rPr>
        <w:t>（</w:t>
      </w:r>
      <w:r>
        <w:rPr>
          <w:rFonts w:hint="eastAsia" w:ascii="仿宋" w:hAnsi="仿宋" w:eastAsia="仿宋" w:cs="仿宋"/>
          <w:color w:val="auto"/>
          <w:highlight w:val="none"/>
          <w:u w:val="single"/>
          <w:lang w:eastAsia="zh-CN"/>
        </w:rPr>
        <w:t>投标人</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法定代表人</w:t>
      </w:r>
      <w:r>
        <w:rPr>
          <w:rFonts w:hint="eastAsia" w:ascii="仿宋" w:hAnsi="仿宋" w:eastAsia="仿宋" w:cs="仿宋"/>
          <w:color w:val="auto"/>
          <w:highlight w:val="none"/>
          <w:u w:val="single"/>
        </w:rPr>
        <w:t xml:space="preserve">    （姓名</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授权 </w:t>
      </w:r>
      <w:r>
        <w:rPr>
          <w:rFonts w:hint="eastAsia" w:ascii="仿宋" w:hAnsi="仿宋" w:eastAsia="仿宋" w:cs="仿宋"/>
          <w:color w:val="auto"/>
          <w:highlight w:val="none"/>
          <w:u w:val="single"/>
        </w:rPr>
        <w:t>（职务或职称）（姓名）</w:t>
      </w:r>
      <w:r>
        <w:rPr>
          <w:rFonts w:hint="eastAsia" w:ascii="仿宋" w:hAnsi="仿宋" w:eastAsia="仿宋" w:cs="仿宋"/>
          <w:color w:val="auto"/>
          <w:highlight w:val="none"/>
        </w:rPr>
        <w:t>为我单位本次投标授权代理人，全权处理此次</w:t>
      </w:r>
      <w:r>
        <w:rPr>
          <w:rFonts w:hint="eastAsia" w:ascii="仿宋" w:hAnsi="仿宋" w:eastAsia="仿宋" w:cs="仿宋"/>
          <w:color w:val="auto"/>
          <w:szCs w:val="24"/>
          <w:highlight w:val="none"/>
          <w:u w:val="single"/>
        </w:rPr>
        <w:t xml:space="preserve">        （项目名称）</w:t>
      </w:r>
      <w:r>
        <w:rPr>
          <w:rFonts w:hint="eastAsia" w:ascii="仿宋" w:hAnsi="仿宋" w:eastAsia="仿宋" w:cs="仿宋"/>
          <w:color w:val="auto"/>
          <w:szCs w:val="24"/>
          <w:highlight w:val="none"/>
        </w:rPr>
        <w:t>（项目编号：</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u w:val="single"/>
          <w:lang w:val="en-US" w:eastAsia="zh-CN"/>
        </w:rPr>
        <w:t xml:space="preserve">    （包号）</w:t>
      </w:r>
      <w:r>
        <w:rPr>
          <w:rFonts w:hint="eastAsia" w:ascii="仿宋" w:hAnsi="仿宋" w:eastAsia="仿宋" w:cs="仿宋"/>
          <w:color w:val="auto"/>
          <w:szCs w:val="24"/>
          <w:highlight w:val="none"/>
        </w:rPr>
        <w:t>招标活动的一切事宜。授权代理人在投标、开标、评标过程中所签署的一切文件，我均予以承认。</w:t>
      </w:r>
    </w:p>
    <w:p>
      <w:pPr>
        <w:pStyle w:val="2"/>
        <w:spacing w:after="0" w:line="360" w:lineRule="auto"/>
        <w:rPr>
          <w:rFonts w:ascii="仿宋" w:hAnsi="仿宋" w:eastAsia="仿宋" w:cs="仿宋"/>
          <w:color w:val="auto"/>
          <w:highlight w:val="none"/>
        </w:rPr>
      </w:pPr>
    </w:p>
    <w:p>
      <w:pPr>
        <w:pStyle w:val="2"/>
        <w:spacing w:after="0" w:line="360" w:lineRule="auto"/>
        <w:ind w:firstLine="480"/>
        <w:rPr>
          <w:rFonts w:ascii="仿宋" w:hAnsi="仿宋" w:eastAsia="仿宋" w:cs="仿宋"/>
          <w:color w:val="auto"/>
          <w:highlight w:val="none"/>
        </w:rPr>
      </w:pPr>
      <w:r>
        <w:rPr>
          <w:rFonts w:hint="eastAsia" w:ascii="仿宋" w:hAnsi="仿宋" w:eastAsia="仿宋" w:cs="仿宋"/>
          <w:color w:val="auto"/>
          <w:highlight w:val="none"/>
        </w:rPr>
        <w:t>特此授权。</w:t>
      </w:r>
    </w:p>
    <w:p>
      <w:pPr>
        <w:pStyle w:val="2"/>
        <w:spacing w:after="0" w:line="360" w:lineRule="auto"/>
        <w:rPr>
          <w:rFonts w:ascii="仿宋" w:hAnsi="仿宋" w:eastAsia="仿宋" w:cs="仿宋"/>
          <w:color w:val="auto"/>
          <w:highlight w:val="none"/>
        </w:rPr>
      </w:pPr>
    </w:p>
    <w:p>
      <w:pPr>
        <w:pStyle w:val="2"/>
        <w:spacing w:after="0" w:line="360" w:lineRule="auto"/>
        <w:rPr>
          <w:rFonts w:ascii="仿宋" w:hAnsi="仿宋" w:eastAsia="仿宋" w:cs="仿宋"/>
          <w:color w:val="auto"/>
          <w:highlight w:val="none"/>
        </w:rPr>
      </w:pPr>
      <w:r>
        <w:rPr>
          <w:rFonts w:hint="eastAsia" w:ascii="仿宋" w:hAnsi="仿宋" w:eastAsia="仿宋" w:cs="仿宋"/>
          <w:color w:val="auto"/>
          <w:highlight w:val="none"/>
        </w:rPr>
        <w:t>（附法定代表人身份证明复印件）           （附授权代理人身份证明复印件）</w:t>
      </w:r>
    </w:p>
    <w:p>
      <w:pPr>
        <w:pStyle w:val="2"/>
        <w:spacing w:after="0" w:line="360" w:lineRule="auto"/>
        <w:rPr>
          <w:rFonts w:ascii="仿宋" w:hAnsi="仿宋" w:eastAsia="仿宋" w:cs="仿宋"/>
          <w:color w:val="auto"/>
          <w:highlight w:val="none"/>
        </w:rPr>
      </w:pPr>
    </w:p>
    <w:p>
      <w:pPr>
        <w:pStyle w:val="2"/>
        <w:spacing w:after="0" w:line="360" w:lineRule="auto"/>
        <w:rPr>
          <w:rFonts w:ascii="仿宋" w:hAnsi="仿宋" w:eastAsia="仿宋" w:cs="仿宋"/>
          <w:color w:val="auto"/>
          <w:highlight w:val="none"/>
        </w:rPr>
      </w:pPr>
    </w:p>
    <w:p>
      <w:pPr>
        <w:pStyle w:val="2"/>
        <w:spacing w:after="0" w:line="480" w:lineRule="auto"/>
        <w:rPr>
          <w:rFonts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名称（公章）：</w:t>
      </w:r>
    </w:p>
    <w:p>
      <w:pPr>
        <w:pStyle w:val="2"/>
        <w:spacing w:after="0" w:line="480" w:lineRule="auto"/>
        <w:rPr>
          <w:rFonts w:ascii="仿宋" w:hAnsi="仿宋" w:eastAsia="仿宋" w:cs="仿宋"/>
          <w:color w:val="auto"/>
          <w:highlight w:val="none"/>
        </w:rPr>
      </w:pPr>
      <w:r>
        <w:rPr>
          <w:rFonts w:hint="eastAsia" w:ascii="仿宋" w:hAnsi="仿宋" w:eastAsia="仿宋" w:cs="仿宋"/>
          <w:color w:val="auto"/>
          <w:highlight w:val="none"/>
        </w:rPr>
        <w:t>法定代表人签字</w:t>
      </w:r>
      <w:r>
        <w:rPr>
          <w:rFonts w:hint="eastAsia" w:ascii="仿宋" w:hAnsi="仿宋" w:eastAsia="仿宋" w:cs="仿宋"/>
          <w:color w:val="auto"/>
          <w:szCs w:val="24"/>
          <w:highlight w:val="none"/>
        </w:rPr>
        <w:t>及盖章</w:t>
      </w:r>
      <w:r>
        <w:rPr>
          <w:rFonts w:hint="eastAsia" w:ascii="仿宋" w:hAnsi="仿宋" w:eastAsia="仿宋" w:cs="仿宋"/>
          <w:color w:val="auto"/>
          <w:highlight w:val="none"/>
        </w:rPr>
        <w:t>：</w:t>
      </w:r>
    </w:p>
    <w:p>
      <w:pPr>
        <w:pStyle w:val="2"/>
        <w:spacing w:after="0" w:line="480" w:lineRule="auto"/>
        <w:rPr>
          <w:rFonts w:ascii="仿宋" w:hAnsi="仿宋" w:eastAsia="仿宋" w:cs="仿宋"/>
          <w:color w:val="auto"/>
          <w:highlight w:val="none"/>
        </w:rPr>
      </w:pPr>
      <w:r>
        <w:rPr>
          <w:rFonts w:hint="eastAsia" w:ascii="仿宋" w:hAnsi="仿宋" w:eastAsia="仿宋" w:cs="仿宋"/>
          <w:color w:val="auto"/>
          <w:highlight w:val="none"/>
        </w:rPr>
        <w:t>授权代理人签字：</w:t>
      </w:r>
    </w:p>
    <w:p>
      <w:pPr>
        <w:pStyle w:val="2"/>
        <w:spacing w:after="0" w:line="360" w:lineRule="auto"/>
        <w:rPr>
          <w:rFonts w:ascii="仿宋" w:hAnsi="仿宋" w:eastAsia="仿宋" w:cs="仿宋"/>
          <w:color w:val="auto"/>
          <w:highlight w:val="none"/>
        </w:rPr>
      </w:pPr>
    </w:p>
    <w:p>
      <w:pPr>
        <w:pStyle w:val="2"/>
        <w:spacing w:after="0" w:line="360" w:lineRule="auto"/>
        <w:rPr>
          <w:rFonts w:ascii="仿宋" w:hAnsi="仿宋" w:eastAsia="仿宋" w:cs="仿宋"/>
          <w:color w:val="auto"/>
          <w:highlight w:val="none"/>
        </w:rPr>
      </w:pPr>
    </w:p>
    <w:p>
      <w:pPr>
        <w:pStyle w:val="2"/>
        <w:spacing w:after="0" w:line="360" w:lineRule="auto"/>
        <w:rPr>
          <w:rFonts w:ascii="仿宋" w:hAnsi="仿宋" w:eastAsia="仿宋" w:cs="仿宋"/>
          <w:color w:val="auto"/>
          <w:highlight w:val="none"/>
        </w:rPr>
      </w:pPr>
    </w:p>
    <w:p>
      <w:pPr>
        <w:pStyle w:val="2"/>
        <w:spacing w:after="0" w:line="360" w:lineRule="auto"/>
        <w:jc w:val="right"/>
        <w:rPr>
          <w:rFonts w:ascii="仿宋" w:hAnsi="仿宋" w:eastAsia="仿宋" w:cs="仿宋"/>
          <w:color w:val="auto"/>
          <w:highlight w:val="none"/>
        </w:rPr>
        <w:sectPr>
          <w:headerReference r:id="rId4" w:type="first"/>
          <w:footerReference r:id="rId6" w:type="first"/>
          <w:headerReference r:id="rId3" w:type="default"/>
          <w:footerReference r:id="rId5" w:type="default"/>
          <w:pgSz w:w="11907" w:h="16840"/>
          <w:pgMar w:top="1304" w:right="1417" w:bottom="1247" w:left="1417" w:header="851" w:footer="822" w:gutter="0"/>
          <w:pgNumType w:fmt="decimal"/>
          <w:cols w:space="720" w:num="1"/>
          <w:titlePg/>
          <w:rtlGutter w:val="1"/>
          <w:docGrid w:linePitch="290" w:charSpace="-3931"/>
        </w:sectPr>
      </w:pPr>
      <w:r>
        <w:rPr>
          <w:rFonts w:hint="eastAsia" w:ascii="仿宋" w:hAnsi="仿宋" w:eastAsia="仿宋" w:cs="仿宋"/>
          <w:color w:val="auto"/>
          <w:highlight w:val="none"/>
        </w:rPr>
        <w:t>年  月  日</w:t>
      </w:r>
    </w:p>
    <w:p>
      <w:pPr>
        <w:pStyle w:val="6"/>
        <w:spacing w:before="120" w:after="120" w:line="360" w:lineRule="auto"/>
        <w:rPr>
          <w:rFonts w:ascii="仿宋" w:hAnsi="仿宋" w:eastAsia="仿宋" w:cs="仿宋"/>
          <w:b/>
          <w:bCs/>
          <w:color w:val="auto"/>
          <w:sz w:val="24"/>
          <w:szCs w:val="21"/>
          <w:highlight w:val="none"/>
        </w:rPr>
      </w:pPr>
      <w:bookmarkStart w:id="128" w:name="_Toc29871"/>
      <w:r>
        <w:rPr>
          <w:rFonts w:hint="eastAsia" w:ascii="仿宋" w:hAnsi="仿宋" w:eastAsia="仿宋" w:cs="仿宋"/>
          <w:b/>
          <w:bCs/>
          <w:color w:val="auto"/>
          <w:sz w:val="24"/>
          <w:szCs w:val="21"/>
          <w:highlight w:val="none"/>
        </w:rPr>
        <w:t>附件三：开标一览表</w:t>
      </w:r>
      <w:bookmarkEnd w:id="128"/>
    </w:p>
    <w:p>
      <w:pPr>
        <w:pStyle w:val="2"/>
        <w:spacing w:after="0" w:line="360" w:lineRule="auto"/>
        <w:jc w:val="center"/>
        <w:rPr>
          <w:rFonts w:ascii="仿宋" w:hAnsi="仿宋" w:eastAsia="仿宋" w:cs="仿宋"/>
          <w:bCs/>
          <w:color w:val="auto"/>
          <w:highlight w:val="none"/>
        </w:rPr>
      </w:pPr>
      <w:r>
        <w:rPr>
          <w:rFonts w:hint="eastAsia" w:ascii="仿宋" w:hAnsi="仿宋" w:eastAsia="仿宋" w:cs="仿宋"/>
          <w:b/>
          <w:color w:val="auto"/>
          <w:sz w:val="32"/>
          <w:highlight w:val="none"/>
          <w:u w:val="single"/>
          <w:lang w:val="en-US" w:eastAsia="zh-CN"/>
        </w:rPr>
        <w:t xml:space="preserve">    </w:t>
      </w:r>
      <w:r>
        <w:rPr>
          <w:rFonts w:hint="eastAsia" w:ascii="仿宋" w:hAnsi="仿宋" w:eastAsia="仿宋" w:cs="仿宋"/>
          <w:b/>
          <w:color w:val="auto"/>
          <w:sz w:val="32"/>
          <w:highlight w:val="none"/>
          <w:u w:val="none"/>
          <w:lang w:val="en-US" w:eastAsia="zh-CN"/>
        </w:rPr>
        <w:t>包</w:t>
      </w:r>
      <w:r>
        <w:rPr>
          <w:rFonts w:hint="eastAsia" w:ascii="仿宋" w:hAnsi="仿宋" w:eastAsia="仿宋" w:cs="仿宋"/>
          <w:b/>
          <w:color w:val="auto"/>
          <w:sz w:val="32"/>
          <w:highlight w:val="none"/>
        </w:rPr>
        <w:t>开标一览表</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bCs/>
          <w:color w:val="auto"/>
          <w:highlight w:val="none"/>
        </w:rPr>
      </w:pPr>
      <w:r>
        <w:rPr>
          <w:rFonts w:hint="eastAsia" w:ascii="仿宋" w:hAnsi="仿宋" w:eastAsia="仿宋" w:cs="仿宋"/>
          <w:color w:val="auto"/>
          <w:sz w:val="24"/>
          <w:highlight w:val="none"/>
        </w:rPr>
        <w:t xml:space="preserve">项目名称： </w:t>
      </w:r>
      <w:r>
        <w:rPr>
          <w:rFonts w:hint="eastAsia" w:ascii="仿宋" w:hAnsi="仿宋" w:eastAsia="仿宋" w:cs="仿宋"/>
          <w:color w:val="auto"/>
          <w:highlight w:val="none"/>
        </w:rPr>
        <w:t xml:space="preserve">                   </w:t>
      </w:r>
      <w:r>
        <w:rPr>
          <w:rFonts w:hint="eastAsia" w:ascii="仿宋" w:hAnsi="仿宋" w:eastAsia="仿宋" w:cs="仿宋"/>
          <w:bCs/>
          <w:color w:val="auto"/>
          <w:highlight w:val="none"/>
        </w:rPr>
        <w:t xml:space="preserve">                                   </w:t>
      </w:r>
    </w:p>
    <w:tbl>
      <w:tblPr>
        <w:tblStyle w:val="23"/>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9"/>
        <w:gridCol w:w="7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939" w:type="dxa"/>
            <w:vAlign w:val="center"/>
          </w:tcPr>
          <w:p>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投标人名称</w:t>
            </w:r>
          </w:p>
        </w:tc>
        <w:tc>
          <w:tcPr>
            <w:tcW w:w="7401" w:type="dxa"/>
            <w:vAlign w:val="center"/>
          </w:tcPr>
          <w:p>
            <w:pPr>
              <w:spacing w:line="360" w:lineRule="auto"/>
              <w:jc w:val="center"/>
              <w:rPr>
                <w:rFonts w:ascii="仿宋" w:hAnsi="仿宋" w:eastAsia="仿宋" w:cs="仿宋"/>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4" w:hRule="atLeast"/>
          <w:jc w:val="center"/>
        </w:trPr>
        <w:tc>
          <w:tcPr>
            <w:tcW w:w="1939" w:type="dxa"/>
            <w:vAlign w:val="center"/>
          </w:tcPr>
          <w:p>
            <w:pPr>
              <w:spacing w:line="360" w:lineRule="auto"/>
              <w:jc w:val="center"/>
              <w:rPr>
                <w:rFonts w:ascii="仿宋" w:hAnsi="仿宋" w:eastAsia="仿宋" w:cs="仿宋"/>
                <w:b/>
                <w:color w:val="auto"/>
                <w:sz w:val="24"/>
                <w:highlight w:val="none"/>
              </w:rPr>
            </w:pPr>
            <w:r>
              <w:rPr>
                <w:rFonts w:hint="eastAsia" w:ascii="仿宋" w:hAnsi="仿宋" w:eastAsia="仿宋" w:cs="仿宋"/>
                <w:color w:val="auto"/>
                <w:sz w:val="24"/>
                <w:highlight w:val="none"/>
              </w:rPr>
              <w:t>投标报价</w:t>
            </w:r>
          </w:p>
        </w:tc>
        <w:tc>
          <w:tcPr>
            <w:tcW w:w="7401" w:type="dxa"/>
            <w:vAlign w:val="center"/>
          </w:tcPr>
          <w:p>
            <w:pPr>
              <w:spacing w:line="360" w:lineRule="auto"/>
              <w:jc w:val="left"/>
              <w:rPr>
                <w:rFonts w:ascii="仿宋" w:hAnsi="仿宋" w:eastAsia="仿宋" w:cs="仿宋"/>
                <w:bCs/>
                <w:color w:val="auto"/>
                <w:kern w:val="0"/>
                <w:sz w:val="24"/>
                <w:szCs w:val="20"/>
                <w:highlight w:val="none"/>
              </w:rPr>
            </w:pPr>
            <w:r>
              <w:rPr>
                <w:rFonts w:hint="eastAsia" w:ascii="仿宋" w:hAnsi="仿宋" w:eastAsia="仿宋" w:cs="仿宋"/>
                <w:bCs/>
                <w:color w:val="auto"/>
                <w:kern w:val="0"/>
                <w:sz w:val="24"/>
                <w:szCs w:val="20"/>
                <w:highlight w:val="none"/>
              </w:rPr>
              <w:t>大写：</w:t>
            </w:r>
            <w:r>
              <w:rPr>
                <w:rFonts w:hint="eastAsia" w:ascii="仿宋" w:hAnsi="仿宋" w:eastAsia="仿宋" w:cs="仿宋"/>
                <w:bCs/>
                <w:color w:val="auto"/>
                <w:kern w:val="0"/>
                <w:sz w:val="24"/>
                <w:szCs w:val="20"/>
                <w:highlight w:val="none"/>
                <w:u w:val="single"/>
              </w:rPr>
              <w:t xml:space="preserve">              </w:t>
            </w:r>
            <w:r>
              <w:rPr>
                <w:rFonts w:hint="eastAsia" w:ascii="仿宋" w:hAnsi="仿宋" w:eastAsia="仿宋" w:cs="仿宋"/>
                <w:bCs/>
                <w:color w:val="auto"/>
                <w:kern w:val="0"/>
                <w:sz w:val="24"/>
                <w:szCs w:val="20"/>
                <w:highlight w:val="none"/>
                <w:u w:val="single"/>
                <w:lang w:eastAsia="zh-CN"/>
              </w:rPr>
              <w:t>；</w:t>
            </w:r>
            <w:r>
              <w:rPr>
                <w:rFonts w:hint="eastAsia" w:ascii="仿宋" w:hAnsi="仿宋" w:eastAsia="仿宋" w:cs="仿宋"/>
                <w:bCs/>
                <w:color w:val="auto"/>
                <w:kern w:val="0"/>
                <w:sz w:val="24"/>
                <w:szCs w:val="20"/>
                <w:highlight w:val="none"/>
              </w:rPr>
              <w:t xml:space="preserve"> </w:t>
            </w:r>
          </w:p>
          <w:p>
            <w:pPr>
              <w:pStyle w:val="22"/>
              <w:ind w:firstLine="0" w:firstLineChars="0"/>
              <w:rPr>
                <w:rFonts w:hint="eastAsia" w:ascii="仿宋" w:hAnsi="仿宋" w:eastAsia="仿宋" w:cs="仿宋"/>
                <w:b/>
                <w:color w:val="auto"/>
                <w:highlight w:val="none"/>
                <w:lang w:eastAsia="zh-CN"/>
              </w:rPr>
            </w:pPr>
            <w:r>
              <w:rPr>
                <w:rFonts w:hint="eastAsia" w:ascii="仿宋" w:hAnsi="仿宋" w:eastAsia="仿宋" w:cs="仿宋"/>
                <w:bCs/>
                <w:color w:val="auto"/>
                <w:highlight w:val="none"/>
              </w:rPr>
              <w:t>小写：</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4" w:hRule="atLeast"/>
          <w:jc w:val="center"/>
        </w:trPr>
        <w:tc>
          <w:tcPr>
            <w:tcW w:w="1939" w:type="dxa"/>
            <w:vAlign w:val="center"/>
          </w:tcPr>
          <w:p>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供货期</w:t>
            </w:r>
          </w:p>
        </w:tc>
        <w:tc>
          <w:tcPr>
            <w:tcW w:w="7401" w:type="dxa"/>
            <w:vAlign w:val="center"/>
          </w:tcPr>
          <w:p>
            <w:pPr>
              <w:pStyle w:val="22"/>
              <w:ind w:firstLine="0" w:firstLineChars="0"/>
              <w:rPr>
                <w:rFonts w:hint="eastAsia" w:ascii="仿宋" w:hAnsi="仿宋" w:eastAsia="仿宋" w:cs="仿宋"/>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2" w:hRule="atLeast"/>
          <w:jc w:val="center"/>
        </w:trPr>
        <w:tc>
          <w:tcPr>
            <w:tcW w:w="1939" w:type="dxa"/>
            <w:vAlign w:val="center"/>
          </w:tcPr>
          <w:p>
            <w:pPr>
              <w:tabs>
                <w:tab w:val="left" w:pos="1337"/>
              </w:tabs>
              <w:spacing w:line="360" w:lineRule="auto"/>
              <w:ind w:left="240" w:hanging="240" w:hangingChars="100"/>
              <w:jc w:val="center"/>
              <w:rPr>
                <w:rFonts w:ascii="仿宋" w:hAnsi="仿宋" w:eastAsia="仿宋" w:cs="仿宋"/>
                <w:color w:val="auto"/>
                <w:sz w:val="24"/>
                <w:highlight w:val="none"/>
              </w:rPr>
            </w:pPr>
            <w:r>
              <w:rPr>
                <w:rFonts w:hint="eastAsia" w:ascii="仿宋" w:hAnsi="仿宋" w:eastAsia="仿宋" w:cs="仿宋"/>
                <w:color w:val="auto"/>
                <w:sz w:val="24"/>
                <w:highlight w:val="none"/>
              </w:rPr>
              <w:t>择标顺序</w:t>
            </w:r>
          </w:p>
        </w:tc>
        <w:tc>
          <w:tcPr>
            <w:tcW w:w="7401" w:type="dxa"/>
            <w:vAlign w:val="center"/>
          </w:tcPr>
          <w:p>
            <w:pPr>
              <w:pStyle w:val="22"/>
              <w:ind w:firstLine="0" w:firstLineChars="0"/>
              <w:rPr>
                <w:rFonts w:ascii="仿宋" w:hAnsi="仿宋" w:eastAsia="仿宋" w:cs="仿宋"/>
                <w:color w:val="auto"/>
                <w:highlight w:val="none"/>
              </w:rPr>
            </w:pPr>
            <w:r>
              <w:rPr>
                <w:rFonts w:hint="eastAsia" w:ascii="仿宋" w:hAnsi="仿宋" w:eastAsia="仿宋" w:cs="仿宋"/>
                <w:color w:val="auto"/>
                <w:highlight w:val="none"/>
              </w:rPr>
              <w:t>若我单位在所投多个</w:t>
            </w:r>
            <w:r>
              <w:rPr>
                <w:rFonts w:hint="eastAsia" w:ascii="仿宋" w:hAnsi="仿宋" w:eastAsia="仿宋" w:cs="仿宋"/>
                <w:color w:val="auto"/>
                <w:highlight w:val="none"/>
                <w:lang w:eastAsia="zh-CN"/>
              </w:rPr>
              <w:t>包</w:t>
            </w:r>
            <w:r>
              <w:rPr>
                <w:rFonts w:hint="eastAsia" w:ascii="仿宋" w:hAnsi="仿宋" w:eastAsia="仿宋" w:cs="仿宋"/>
                <w:color w:val="auto"/>
                <w:highlight w:val="none"/>
              </w:rPr>
              <w:t>中同时排名第一，我单位优先选择的中标顺序为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包优于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包优于</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包</w:t>
            </w:r>
            <w:r>
              <w:rPr>
                <w:rFonts w:hint="eastAsia" w:ascii="仿宋" w:hAnsi="仿宋" w:eastAsia="仿宋" w:cs="仿宋"/>
                <w:color w:val="auto"/>
                <w:highlight w:val="none"/>
                <w:u w:val="none"/>
                <w:lang w:eastAsia="zh-CN"/>
              </w:rPr>
              <w:t>优于</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包。（下划线处应填写“1”、“2”、“3”、“4”）</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 w:hRule="atLeast"/>
          <w:jc w:val="center"/>
        </w:trPr>
        <w:tc>
          <w:tcPr>
            <w:tcW w:w="1939" w:type="dxa"/>
            <w:vAlign w:val="center"/>
          </w:tcPr>
          <w:p>
            <w:pPr>
              <w:tabs>
                <w:tab w:val="left" w:pos="1337"/>
              </w:tabs>
              <w:spacing w:line="360" w:lineRule="auto"/>
              <w:ind w:left="27" w:leftChars="13"/>
              <w:jc w:val="center"/>
              <w:rPr>
                <w:rFonts w:ascii="仿宋" w:hAnsi="仿宋" w:eastAsia="仿宋" w:cs="仿宋"/>
                <w:color w:val="auto"/>
                <w:sz w:val="24"/>
                <w:highlight w:val="none"/>
              </w:rPr>
            </w:pPr>
            <w:r>
              <w:rPr>
                <w:rFonts w:hint="eastAsia" w:ascii="仿宋" w:hAnsi="仿宋" w:eastAsia="仿宋" w:cs="仿宋"/>
                <w:color w:val="auto"/>
                <w:sz w:val="24"/>
                <w:highlight w:val="none"/>
              </w:rPr>
              <w:t>对招标文件的认同程度声明（是否完全认同）</w:t>
            </w:r>
          </w:p>
        </w:tc>
        <w:tc>
          <w:tcPr>
            <w:tcW w:w="7401" w:type="dxa"/>
            <w:vAlign w:val="center"/>
          </w:tcPr>
          <w:p>
            <w:pPr>
              <w:tabs>
                <w:tab w:val="left" w:pos="1337"/>
              </w:tabs>
              <w:spacing w:line="360" w:lineRule="auto"/>
              <w:ind w:left="191"/>
              <w:jc w:val="center"/>
              <w:rPr>
                <w:rFonts w:ascii="仿宋" w:hAnsi="仿宋" w:eastAsia="仿宋" w:cs="仿宋"/>
                <w:color w:val="auto"/>
                <w:sz w:val="24"/>
                <w:highlight w:val="none"/>
              </w:rPr>
            </w:pPr>
          </w:p>
        </w:tc>
      </w:tr>
    </w:tbl>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注：1、本表除需在投标文件中装订外，还需另外一式三份单独密封，以便于唱标。</w:t>
      </w:r>
    </w:p>
    <w:p>
      <w:pPr>
        <w:spacing w:line="360" w:lineRule="auto"/>
        <w:ind w:firstLine="504" w:firstLineChars="209"/>
        <w:rPr>
          <w:rFonts w:ascii="仿宋" w:hAnsi="仿宋" w:eastAsia="仿宋" w:cs="仿宋"/>
          <w:b/>
          <w:color w:val="auto"/>
          <w:sz w:val="24"/>
          <w:highlight w:val="none"/>
        </w:rPr>
      </w:pPr>
      <w:r>
        <w:rPr>
          <w:rFonts w:hint="eastAsia" w:ascii="仿宋" w:hAnsi="仿宋" w:eastAsia="仿宋" w:cs="仿宋"/>
          <w:b/>
          <w:color w:val="auto"/>
          <w:sz w:val="24"/>
          <w:highlight w:val="none"/>
        </w:rPr>
        <w:t>2、本表须按给定格式填写完整，不允许空白，如无相应内容，填“无”。</w:t>
      </w:r>
    </w:p>
    <w:p>
      <w:pPr>
        <w:spacing w:line="360" w:lineRule="auto"/>
        <w:ind w:right="187"/>
        <w:rPr>
          <w:rFonts w:hint="eastAsia" w:ascii="仿宋" w:hAnsi="仿宋" w:eastAsia="仿宋" w:cs="仿宋"/>
          <w:color w:val="auto"/>
          <w:sz w:val="24"/>
          <w:highlight w:val="none"/>
          <w:lang w:eastAsia="zh-CN"/>
        </w:rPr>
      </w:pPr>
    </w:p>
    <w:p>
      <w:pPr>
        <w:spacing w:line="360" w:lineRule="auto"/>
        <w:ind w:right="187"/>
        <w:rPr>
          <w:rFonts w:hint="eastAsia" w:ascii="仿宋" w:hAnsi="仿宋" w:eastAsia="仿宋" w:cs="仿宋"/>
          <w:color w:val="auto"/>
          <w:sz w:val="24"/>
          <w:highlight w:val="none"/>
          <w:lang w:eastAsia="zh-CN"/>
        </w:rPr>
      </w:pPr>
    </w:p>
    <w:p>
      <w:pPr>
        <w:spacing w:line="360" w:lineRule="auto"/>
        <w:ind w:right="187"/>
        <w:rPr>
          <w:rFonts w:ascii="仿宋" w:hAnsi="仿宋" w:eastAsia="仿宋" w:cs="仿宋"/>
          <w:bCs/>
          <w:color w:val="auto"/>
          <w:sz w:val="24"/>
          <w:highlight w:val="none"/>
          <w:u w:val="singl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bCs/>
          <w:color w:val="auto"/>
          <w:sz w:val="24"/>
          <w:highlight w:val="none"/>
        </w:rPr>
        <w:t>（公章）：</w:t>
      </w:r>
    </w:p>
    <w:p>
      <w:pPr>
        <w:spacing w:line="360" w:lineRule="auto"/>
        <w:ind w:right="187"/>
        <w:rPr>
          <w:rFonts w:ascii="仿宋" w:hAnsi="仿宋" w:eastAsia="仿宋" w:cs="仿宋"/>
          <w:bCs/>
          <w:color w:val="auto"/>
          <w:sz w:val="24"/>
          <w:highlight w:val="none"/>
        </w:rPr>
      </w:pPr>
      <w:r>
        <w:rPr>
          <w:rFonts w:hint="eastAsia" w:ascii="仿宋" w:hAnsi="仿宋" w:eastAsia="仿宋" w:cs="仿宋"/>
          <w:color w:val="auto"/>
          <w:sz w:val="24"/>
          <w:highlight w:val="none"/>
        </w:rPr>
        <w:t>法定代表人或授权代理人签字或盖章</w:t>
      </w:r>
      <w:r>
        <w:rPr>
          <w:rFonts w:hint="eastAsia" w:ascii="仿宋" w:hAnsi="仿宋" w:eastAsia="仿宋" w:cs="仿宋"/>
          <w:bCs/>
          <w:color w:val="auto"/>
          <w:sz w:val="24"/>
          <w:highlight w:val="none"/>
        </w:rPr>
        <w:t>：</w:t>
      </w:r>
    </w:p>
    <w:p>
      <w:pPr>
        <w:spacing w:line="360" w:lineRule="auto"/>
        <w:ind w:firstLine="720" w:firstLineChars="300"/>
        <w:jc w:val="righ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年  月  日</w:t>
      </w:r>
    </w:p>
    <w:p>
      <w:pPr>
        <w:pStyle w:val="2"/>
        <w:spacing w:line="460" w:lineRule="exact"/>
        <w:jc w:val="center"/>
        <w:rPr>
          <w:rFonts w:ascii="仿宋" w:hAnsi="仿宋" w:eastAsia="仿宋" w:cs="仿宋"/>
          <w:color w:val="auto"/>
          <w:szCs w:val="21"/>
          <w:highlight w:val="none"/>
        </w:rPr>
      </w:pPr>
      <w:bookmarkStart w:id="129" w:name="_Toc34679956"/>
      <w:r>
        <w:rPr>
          <w:rFonts w:hint="eastAsia" w:ascii="仿宋" w:hAnsi="仿宋" w:eastAsia="仿宋" w:cs="仿宋"/>
          <w:color w:val="auto"/>
          <w:szCs w:val="21"/>
          <w:highlight w:val="none"/>
        </w:rPr>
        <w:br w:type="page"/>
      </w:r>
    </w:p>
    <w:p>
      <w:pPr>
        <w:pStyle w:val="6"/>
        <w:spacing w:before="120" w:after="120" w:line="360" w:lineRule="auto"/>
        <w:rPr>
          <w:rFonts w:ascii="仿宋" w:hAnsi="仿宋" w:eastAsia="仿宋" w:cs="仿宋"/>
          <w:b/>
          <w:bCs/>
          <w:color w:val="auto"/>
          <w:sz w:val="24"/>
          <w:szCs w:val="21"/>
          <w:highlight w:val="none"/>
        </w:rPr>
      </w:pPr>
      <w:bookmarkStart w:id="130" w:name="_Toc22800"/>
      <w:r>
        <w:rPr>
          <w:rFonts w:hint="eastAsia" w:ascii="仿宋" w:hAnsi="仿宋" w:eastAsia="仿宋" w:cs="仿宋"/>
          <w:b/>
          <w:bCs/>
          <w:color w:val="auto"/>
          <w:sz w:val="24"/>
          <w:szCs w:val="21"/>
          <w:highlight w:val="none"/>
        </w:rPr>
        <w:t>附件四：分项报价表</w:t>
      </w:r>
      <w:bookmarkEnd w:id="130"/>
    </w:p>
    <w:p>
      <w:pPr>
        <w:pStyle w:val="2"/>
        <w:spacing w:line="460" w:lineRule="exact"/>
        <w:jc w:val="center"/>
        <w:rPr>
          <w:rFonts w:ascii="仿宋" w:hAnsi="仿宋" w:eastAsia="仿宋" w:cs="仿宋"/>
          <w:b/>
          <w:bCs/>
          <w:color w:val="auto"/>
          <w:sz w:val="28"/>
          <w:szCs w:val="32"/>
          <w:highlight w:val="none"/>
        </w:rPr>
      </w:pPr>
      <w:r>
        <w:rPr>
          <w:rFonts w:hint="eastAsia" w:ascii="仿宋" w:hAnsi="仿宋" w:eastAsia="仿宋" w:cs="仿宋"/>
          <w:b/>
          <w:color w:val="auto"/>
          <w:sz w:val="32"/>
          <w:highlight w:val="none"/>
          <w:u w:val="single"/>
          <w:lang w:val="en-US" w:eastAsia="zh-CN"/>
        </w:rPr>
        <w:t xml:space="preserve">    </w:t>
      </w:r>
      <w:r>
        <w:rPr>
          <w:rFonts w:hint="eastAsia" w:ascii="仿宋" w:hAnsi="仿宋" w:eastAsia="仿宋" w:cs="仿宋"/>
          <w:b/>
          <w:color w:val="auto"/>
          <w:sz w:val="32"/>
          <w:highlight w:val="none"/>
          <w:u w:val="none"/>
          <w:lang w:val="en-US" w:eastAsia="zh-CN"/>
        </w:rPr>
        <w:t>包</w:t>
      </w:r>
      <w:r>
        <w:rPr>
          <w:rFonts w:hint="eastAsia" w:ascii="仿宋" w:hAnsi="仿宋" w:eastAsia="仿宋" w:cs="仿宋"/>
          <w:b/>
          <w:bCs/>
          <w:color w:val="auto"/>
          <w:sz w:val="28"/>
          <w:szCs w:val="32"/>
          <w:highlight w:val="none"/>
        </w:rPr>
        <w:t>分项报价表</w:t>
      </w:r>
    </w:p>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                                  </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9"/>
        <w:gridCol w:w="931"/>
        <w:gridCol w:w="1273"/>
        <w:gridCol w:w="1264"/>
        <w:gridCol w:w="1001"/>
        <w:gridCol w:w="977"/>
        <w:gridCol w:w="863"/>
        <w:gridCol w:w="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jc w:val="center"/>
        </w:trPr>
        <w:tc>
          <w:tcPr>
            <w:tcW w:w="1799"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产品名称</w:t>
            </w:r>
          </w:p>
        </w:tc>
        <w:tc>
          <w:tcPr>
            <w:tcW w:w="931"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品牌</w:t>
            </w:r>
          </w:p>
        </w:tc>
        <w:tc>
          <w:tcPr>
            <w:tcW w:w="1273"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型  号</w:t>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（详细配置）</w:t>
            </w:r>
          </w:p>
        </w:tc>
        <w:tc>
          <w:tcPr>
            <w:tcW w:w="1264"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原产地及制造商</w:t>
            </w:r>
          </w:p>
        </w:tc>
        <w:tc>
          <w:tcPr>
            <w:tcW w:w="1001"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b/>
                <w:bCs/>
                <w:color w:val="auto"/>
                <w:sz w:val="24"/>
                <w:highlight w:val="none"/>
                <w:lang w:eastAsia="zh-CN"/>
              </w:rPr>
              <w:t>全费用综合</w:t>
            </w:r>
            <w:r>
              <w:rPr>
                <w:rFonts w:hint="eastAsia" w:ascii="仿宋" w:hAnsi="仿宋" w:eastAsia="仿宋" w:cs="仿宋"/>
                <w:b/>
                <w:bCs/>
                <w:color w:val="auto"/>
                <w:sz w:val="24"/>
                <w:highlight w:val="none"/>
              </w:rPr>
              <w:t>单价</w:t>
            </w:r>
          </w:p>
        </w:tc>
        <w:tc>
          <w:tcPr>
            <w:tcW w:w="977"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863" w:type="dxa"/>
            <w:tcBorders>
              <w:bottom w:val="single" w:color="auto" w:sz="4" w:space="0"/>
            </w:tcBorders>
            <w:vAlign w:val="center"/>
          </w:tcPr>
          <w:p>
            <w:pPr>
              <w:jc w:val="center"/>
              <w:rPr>
                <w:rFonts w:ascii="仿宋" w:hAnsi="仿宋" w:eastAsia="仿宋" w:cs="仿宋"/>
                <w:color w:val="auto"/>
                <w:sz w:val="24"/>
                <w:highlight w:val="none"/>
              </w:rPr>
            </w:pPr>
            <w:r>
              <w:rPr>
                <w:rFonts w:hint="eastAsia" w:ascii="仿宋" w:hAnsi="仿宋" w:eastAsia="仿宋" w:cs="仿宋"/>
                <w:b/>
                <w:bCs/>
                <w:color w:val="auto"/>
                <w:sz w:val="24"/>
                <w:highlight w:val="none"/>
                <w:lang w:eastAsia="zh-CN"/>
              </w:rPr>
              <w:t>全费用</w:t>
            </w:r>
            <w:r>
              <w:rPr>
                <w:rFonts w:hint="eastAsia" w:ascii="仿宋" w:hAnsi="仿宋" w:eastAsia="仿宋" w:cs="仿宋"/>
                <w:b/>
                <w:bCs/>
                <w:color w:val="auto"/>
                <w:sz w:val="24"/>
                <w:highlight w:val="none"/>
              </w:rPr>
              <w:t>总 价</w:t>
            </w:r>
          </w:p>
        </w:tc>
        <w:tc>
          <w:tcPr>
            <w:tcW w:w="972" w:type="dxa"/>
            <w:tcBorders>
              <w:bottom w:val="single" w:color="auto" w:sz="4" w:space="0"/>
            </w:tcBorders>
            <w:vAlign w:val="center"/>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1799" w:type="dxa"/>
            <w:vAlign w:val="center"/>
          </w:tcPr>
          <w:p>
            <w:pPr>
              <w:rPr>
                <w:rFonts w:ascii="仿宋" w:hAnsi="仿宋" w:eastAsia="仿宋" w:cs="仿宋"/>
                <w:color w:val="auto"/>
                <w:sz w:val="24"/>
                <w:highlight w:val="none"/>
              </w:rPr>
            </w:pPr>
          </w:p>
        </w:tc>
        <w:tc>
          <w:tcPr>
            <w:tcW w:w="931" w:type="dxa"/>
            <w:vAlign w:val="center"/>
          </w:tcPr>
          <w:p>
            <w:pPr>
              <w:rPr>
                <w:rFonts w:ascii="仿宋" w:hAnsi="仿宋" w:eastAsia="仿宋" w:cs="仿宋"/>
                <w:color w:val="auto"/>
                <w:sz w:val="24"/>
                <w:highlight w:val="none"/>
              </w:rPr>
            </w:pPr>
          </w:p>
        </w:tc>
        <w:tc>
          <w:tcPr>
            <w:tcW w:w="1273" w:type="dxa"/>
            <w:vAlign w:val="center"/>
          </w:tcPr>
          <w:p>
            <w:pPr>
              <w:rPr>
                <w:rFonts w:ascii="仿宋" w:hAnsi="仿宋" w:eastAsia="仿宋" w:cs="仿宋"/>
                <w:color w:val="auto"/>
                <w:sz w:val="24"/>
                <w:highlight w:val="none"/>
              </w:rPr>
            </w:pPr>
          </w:p>
        </w:tc>
        <w:tc>
          <w:tcPr>
            <w:tcW w:w="1264" w:type="dxa"/>
            <w:vAlign w:val="center"/>
          </w:tcPr>
          <w:p>
            <w:pPr>
              <w:rPr>
                <w:rFonts w:ascii="仿宋" w:hAnsi="仿宋" w:eastAsia="仿宋" w:cs="仿宋"/>
                <w:color w:val="auto"/>
                <w:sz w:val="24"/>
                <w:highlight w:val="none"/>
              </w:rPr>
            </w:pPr>
          </w:p>
        </w:tc>
        <w:tc>
          <w:tcPr>
            <w:tcW w:w="1001" w:type="dxa"/>
            <w:vAlign w:val="center"/>
          </w:tcPr>
          <w:p>
            <w:pPr>
              <w:rPr>
                <w:rFonts w:ascii="仿宋" w:hAnsi="仿宋" w:eastAsia="仿宋" w:cs="仿宋"/>
                <w:color w:val="auto"/>
                <w:sz w:val="24"/>
                <w:highlight w:val="none"/>
              </w:rPr>
            </w:pPr>
          </w:p>
        </w:tc>
        <w:tc>
          <w:tcPr>
            <w:tcW w:w="977" w:type="dxa"/>
            <w:vAlign w:val="center"/>
          </w:tcPr>
          <w:p>
            <w:pPr>
              <w:rPr>
                <w:rFonts w:ascii="仿宋" w:hAnsi="仿宋" w:eastAsia="仿宋" w:cs="仿宋"/>
                <w:color w:val="auto"/>
                <w:sz w:val="24"/>
                <w:highlight w:val="none"/>
              </w:rPr>
            </w:pPr>
          </w:p>
        </w:tc>
        <w:tc>
          <w:tcPr>
            <w:tcW w:w="863" w:type="dxa"/>
            <w:vAlign w:val="center"/>
          </w:tcPr>
          <w:p>
            <w:pPr>
              <w:rPr>
                <w:rFonts w:ascii="仿宋" w:hAnsi="仿宋" w:eastAsia="仿宋" w:cs="仿宋"/>
                <w:color w:val="auto"/>
                <w:sz w:val="24"/>
                <w:highlight w:val="none"/>
              </w:rPr>
            </w:pPr>
          </w:p>
        </w:tc>
        <w:tc>
          <w:tcPr>
            <w:tcW w:w="972" w:type="dxa"/>
            <w:vAlign w:val="center"/>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1799" w:type="dxa"/>
            <w:vAlign w:val="center"/>
          </w:tcPr>
          <w:p>
            <w:pPr>
              <w:rPr>
                <w:rFonts w:ascii="仿宋" w:hAnsi="仿宋" w:eastAsia="仿宋" w:cs="仿宋"/>
                <w:color w:val="auto"/>
                <w:sz w:val="24"/>
                <w:highlight w:val="none"/>
              </w:rPr>
            </w:pPr>
          </w:p>
        </w:tc>
        <w:tc>
          <w:tcPr>
            <w:tcW w:w="931" w:type="dxa"/>
            <w:vAlign w:val="center"/>
          </w:tcPr>
          <w:p>
            <w:pPr>
              <w:rPr>
                <w:rFonts w:ascii="仿宋" w:hAnsi="仿宋" w:eastAsia="仿宋" w:cs="仿宋"/>
                <w:color w:val="auto"/>
                <w:sz w:val="24"/>
                <w:highlight w:val="none"/>
              </w:rPr>
            </w:pPr>
          </w:p>
        </w:tc>
        <w:tc>
          <w:tcPr>
            <w:tcW w:w="1273" w:type="dxa"/>
            <w:vAlign w:val="center"/>
          </w:tcPr>
          <w:p>
            <w:pPr>
              <w:rPr>
                <w:rFonts w:ascii="仿宋" w:hAnsi="仿宋" w:eastAsia="仿宋" w:cs="仿宋"/>
                <w:color w:val="auto"/>
                <w:sz w:val="24"/>
                <w:highlight w:val="none"/>
              </w:rPr>
            </w:pPr>
          </w:p>
        </w:tc>
        <w:tc>
          <w:tcPr>
            <w:tcW w:w="1264" w:type="dxa"/>
            <w:vAlign w:val="center"/>
          </w:tcPr>
          <w:p>
            <w:pPr>
              <w:rPr>
                <w:rFonts w:ascii="仿宋" w:hAnsi="仿宋" w:eastAsia="仿宋" w:cs="仿宋"/>
                <w:color w:val="auto"/>
                <w:sz w:val="24"/>
                <w:highlight w:val="none"/>
              </w:rPr>
            </w:pPr>
          </w:p>
        </w:tc>
        <w:tc>
          <w:tcPr>
            <w:tcW w:w="1001" w:type="dxa"/>
            <w:vAlign w:val="center"/>
          </w:tcPr>
          <w:p>
            <w:pPr>
              <w:rPr>
                <w:rFonts w:ascii="仿宋" w:hAnsi="仿宋" w:eastAsia="仿宋" w:cs="仿宋"/>
                <w:color w:val="auto"/>
                <w:sz w:val="24"/>
                <w:highlight w:val="none"/>
              </w:rPr>
            </w:pPr>
          </w:p>
        </w:tc>
        <w:tc>
          <w:tcPr>
            <w:tcW w:w="977" w:type="dxa"/>
            <w:vAlign w:val="center"/>
          </w:tcPr>
          <w:p>
            <w:pPr>
              <w:rPr>
                <w:rFonts w:ascii="仿宋" w:hAnsi="仿宋" w:eastAsia="仿宋" w:cs="仿宋"/>
                <w:color w:val="auto"/>
                <w:sz w:val="24"/>
                <w:highlight w:val="none"/>
              </w:rPr>
            </w:pPr>
          </w:p>
        </w:tc>
        <w:tc>
          <w:tcPr>
            <w:tcW w:w="863" w:type="dxa"/>
            <w:vAlign w:val="center"/>
          </w:tcPr>
          <w:p>
            <w:pPr>
              <w:rPr>
                <w:rFonts w:ascii="仿宋" w:hAnsi="仿宋" w:eastAsia="仿宋" w:cs="仿宋"/>
                <w:color w:val="auto"/>
                <w:sz w:val="24"/>
                <w:highlight w:val="none"/>
              </w:rPr>
            </w:pPr>
          </w:p>
        </w:tc>
        <w:tc>
          <w:tcPr>
            <w:tcW w:w="972" w:type="dxa"/>
            <w:vAlign w:val="center"/>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1799" w:type="dxa"/>
            <w:vAlign w:val="center"/>
          </w:tcPr>
          <w:p>
            <w:pPr>
              <w:rPr>
                <w:rFonts w:ascii="仿宋" w:hAnsi="仿宋" w:eastAsia="仿宋" w:cs="仿宋"/>
                <w:color w:val="auto"/>
                <w:sz w:val="24"/>
                <w:highlight w:val="none"/>
              </w:rPr>
            </w:pPr>
            <w:r>
              <w:rPr>
                <w:rFonts w:hint="eastAsia" w:ascii="仿宋" w:hAnsi="仿宋" w:eastAsia="仿宋" w:cs="仿宋"/>
                <w:color w:val="auto"/>
                <w:sz w:val="24"/>
                <w:highlight w:val="none"/>
              </w:rPr>
              <w:t>……</w:t>
            </w:r>
          </w:p>
        </w:tc>
        <w:tc>
          <w:tcPr>
            <w:tcW w:w="931" w:type="dxa"/>
            <w:vAlign w:val="center"/>
          </w:tcPr>
          <w:p>
            <w:pPr>
              <w:rPr>
                <w:rFonts w:ascii="仿宋" w:hAnsi="仿宋" w:eastAsia="仿宋" w:cs="仿宋"/>
                <w:color w:val="auto"/>
                <w:sz w:val="24"/>
                <w:highlight w:val="none"/>
              </w:rPr>
            </w:pPr>
          </w:p>
        </w:tc>
        <w:tc>
          <w:tcPr>
            <w:tcW w:w="1273" w:type="dxa"/>
            <w:vAlign w:val="center"/>
          </w:tcPr>
          <w:p>
            <w:pPr>
              <w:rPr>
                <w:rFonts w:ascii="仿宋" w:hAnsi="仿宋" w:eastAsia="仿宋" w:cs="仿宋"/>
                <w:color w:val="auto"/>
                <w:sz w:val="24"/>
                <w:highlight w:val="none"/>
              </w:rPr>
            </w:pPr>
          </w:p>
        </w:tc>
        <w:tc>
          <w:tcPr>
            <w:tcW w:w="1264" w:type="dxa"/>
            <w:vAlign w:val="center"/>
          </w:tcPr>
          <w:p>
            <w:pPr>
              <w:rPr>
                <w:rFonts w:ascii="仿宋" w:hAnsi="仿宋" w:eastAsia="仿宋" w:cs="仿宋"/>
                <w:color w:val="auto"/>
                <w:sz w:val="24"/>
                <w:highlight w:val="none"/>
              </w:rPr>
            </w:pPr>
          </w:p>
        </w:tc>
        <w:tc>
          <w:tcPr>
            <w:tcW w:w="1001" w:type="dxa"/>
            <w:vAlign w:val="center"/>
          </w:tcPr>
          <w:p>
            <w:pPr>
              <w:rPr>
                <w:rFonts w:ascii="仿宋" w:hAnsi="仿宋" w:eastAsia="仿宋" w:cs="仿宋"/>
                <w:color w:val="auto"/>
                <w:sz w:val="24"/>
                <w:highlight w:val="none"/>
              </w:rPr>
            </w:pPr>
          </w:p>
        </w:tc>
        <w:tc>
          <w:tcPr>
            <w:tcW w:w="977" w:type="dxa"/>
            <w:vAlign w:val="center"/>
          </w:tcPr>
          <w:p>
            <w:pPr>
              <w:rPr>
                <w:rFonts w:ascii="仿宋" w:hAnsi="仿宋" w:eastAsia="仿宋" w:cs="仿宋"/>
                <w:color w:val="auto"/>
                <w:sz w:val="24"/>
                <w:highlight w:val="none"/>
              </w:rPr>
            </w:pPr>
          </w:p>
        </w:tc>
        <w:tc>
          <w:tcPr>
            <w:tcW w:w="863" w:type="dxa"/>
            <w:vAlign w:val="center"/>
          </w:tcPr>
          <w:p>
            <w:pPr>
              <w:rPr>
                <w:rFonts w:ascii="仿宋" w:hAnsi="仿宋" w:eastAsia="仿宋" w:cs="仿宋"/>
                <w:color w:val="auto"/>
                <w:sz w:val="24"/>
                <w:highlight w:val="none"/>
              </w:rPr>
            </w:pPr>
          </w:p>
        </w:tc>
        <w:tc>
          <w:tcPr>
            <w:tcW w:w="972" w:type="dxa"/>
            <w:vAlign w:val="center"/>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1799" w:type="dxa"/>
            <w:vMerge w:val="restart"/>
            <w:vAlign w:val="center"/>
          </w:tcPr>
          <w:p>
            <w:pPr>
              <w:rPr>
                <w:rFonts w:ascii="仿宋" w:hAnsi="仿宋" w:eastAsia="仿宋" w:cs="仿宋"/>
                <w:color w:val="auto"/>
                <w:sz w:val="24"/>
                <w:highlight w:val="none"/>
              </w:rPr>
            </w:pPr>
            <w:r>
              <w:rPr>
                <w:rFonts w:hint="eastAsia" w:ascii="仿宋" w:hAnsi="仿宋" w:eastAsia="仿宋" w:cs="仿宋"/>
                <w:color w:val="auto"/>
                <w:sz w:val="24"/>
                <w:highlight w:val="none"/>
              </w:rPr>
              <w:t>合  计</w:t>
            </w:r>
          </w:p>
        </w:tc>
        <w:tc>
          <w:tcPr>
            <w:tcW w:w="7281" w:type="dxa"/>
            <w:gridSpan w:val="7"/>
            <w:vAlign w:val="center"/>
          </w:tcPr>
          <w:p>
            <w:pP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大</w:t>
            </w:r>
            <w:r>
              <w:rPr>
                <w:rFonts w:hint="eastAsia" w:ascii="仿宋" w:hAnsi="仿宋" w:eastAsia="仿宋" w:cs="仿宋"/>
                <w:color w:val="auto"/>
                <w:sz w:val="24"/>
                <w:highlight w:val="none"/>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799" w:type="dxa"/>
            <w:vMerge w:val="continue"/>
            <w:vAlign w:val="center"/>
          </w:tcPr>
          <w:p>
            <w:pPr>
              <w:rPr>
                <w:rFonts w:ascii="仿宋" w:hAnsi="仿宋" w:eastAsia="仿宋" w:cs="仿宋"/>
                <w:color w:val="auto"/>
                <w:sz w:val="24"/>
                <w:highlight w:val="none"/>
              </w:rPr>
            </w:pPr>
          </w:p>
        </w:tc>
        <w:tc>
          <w:tcPr>
            <w:tcW w:w="7281" w:type="dxa"/>
            <w:gridSpan w:val="7"/>
            <w:vAlign w:val="center"/>
          </w:tcPr>
          <w:p>
            <w:pP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小</w:t>
            </w:r>
            <w:r>
              <w:rPr>
                <w:rFonts w:hint="eastAsia" w:ascii="仿宋" w:hAnsi="仿宋" w:eastAsia="仿宋" w:cs="仿宋"/>
                <w:color w:val="auto"/>
                <w:sz w:val="24"/>
                <w:highlight w:val="none"/>
              </w:rPr>
              <w:t>写：</w:t>
            </w:r>
          </w:p>
        </w:tc>
      </w:tr>
    </w:tbl>
    <w:p>
      <w:pPr>
        <w:pStyle w:val="2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color w:val="auto"/>
          <w:sz w:val="24"/>
          <w:highlight w:val="none"/>
        </w:rPr>
        <w:t>★</w:t>
      </w:r>
      <w:r>
        <w:rPr>
          <w:rFonts w:hint="eastAsia" w:ascii="仿宋" w:hAnsi="仿宋" w:eastAsia="仿宋" w:cs="仿宋"/>
          <w:b/>
          <w:bCs/>
          <w:color w:val="auto"/>
          <w:sz w:val="24"/>
          <w:highlight w:val="none"/>
          <w:lang w:val="en-US" w:eastAsia="zh-CN"/>
        </w:rPr>
        <w:t>1.投标的产品均须标明品牌、型号(详细配置)、原产地及制造商。未注明品牌、型号(详细配置)、原产地及制造商的报价单位将被拒绝，视为无效投标。</w:t>
      </w:r>
    </w:p>
    <w:p>
      <w:pPr>
        <w:pStyle w:val="22"/>
        <w:rPr>
          <w:rFonts w:hint="default" w:ascii="仿宋" w:hAnsi="仿宋" w:eastAsia="仿宋" w:cs="仿宋"/>
          <w:b/>
          <w:bCs/>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b/>
          <w:bCs/>
          <w:color w:val="auto"/>
          <w:sz w:val="24"/>
          <w:highlight w:val="none"/>
          <w:lang w:val="en-US" w:eastAsia="zh-CN"/>
        </w:rPr>
        <w:t>2.投标人须按产品种类逐项列明，不同产品不得合并、不得漏项，本表合计金额应与本包总报价一致，否则视为无效投标。</w:t>
      </w:r>
    </w:p>
    <w:p>
      <w:pPr>
        <w:pStyle w:val="22"/>
        <w:rPr>
          <w:rFonts w:hint="eastAsia" w:eastAsia="仿宋"/>
          <w:b/>
          <w:bCs/>
          <w:color w:val="auto"/>
          <w:highlight w:val="none"/>
          <w:lang w:val="en-US" w:eastAsia="zh-CN"/>
        </w:rPr>
      </w:pPr>
      <w:r>
        <w:rPr>
          <w:rFonts w:hint="eastAsia" w:ascii="仿宋" w:hAnsi="仿宋" w:eastAsia="仿宋" w:cs="仿宋"/>
          <w:b/>
          <w:bCs/>
          <w:color w:val="auto"/>
          <w:sz w:val="24"/>
          <w:highlight w:val="none"/>
          <w:lang w:val="en-US" w:eastAsia="zh-CN"/>
        </w:rPr>
        <w:t>3.投标人填报以上表格时必须按给定的表格进行填报，填报的单价为该产品的全费用单价，包含与该产品有关的设备费、材料费、运杂费、装卸费、保险费、安装费、专用工具费、辅材、调试、检测费、技术培训费、管理费、税金、利润等全部费用，同时包含保养费用、售后服务费用，并考虑合同的所有责任、义务和除不可抗力以外的一切风险因素,包含但不限于保证货物正常运转的所有备品备件清单等全部费用。若投标人不按以上要求填报，有权作出不利于投标人的认定。</w:t>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供货期</w:t>
      </w:r>
      <w:r>
        <w:rPr>
          <w:rFonts w:hint="eastAsia" w:ascii="仿宋" w:hAnsi="仿宋" w:eastAsia="仿宋" w:cs="仿宋"/>
          <w:color w:val="auto"/>
          <w:sz w:val="24"/>
          <w:highlight w:val="none"/>
        </w:rPr>
        <w:t>为合同签订之日起多少日。</w:t>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.此表可根据同格式扩展。</w:t>
      </w:r>
    </w:p>
    <w:p>
      <w:pPr>
        <w:spacing w:line="360" w:lineRule="auto"/>
        <w:ind w:firstLine="720" w:firstLineChars="300"/>
        <w:jc w:val="right"/>
        <w:rPr>
          <w:rFonts w:ascii="仿宋" w:hAnsi="仿宋" w:eastAsia="仿宋" w:cs="仿宋"/>
          <w:bCs/>
          <w:color w:val="auto"/>
          <w:sz w:val="24"/>
          <w:highlight w:val="none"/>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bCs/>
          <w:color w:val="auto"/>
          <w:sz w:val="24"/>
          <w:highlight w:val="none"/>
        </w:rPr>
        <w:t>公章</w:t>
      </w:r>
      <w:r>
        <w:rPr>
          <w:rFonts w:hint="eastAsia" w:ascii="仿宋" w:hAnsi="仿宋" w:eastAsia="仿宋" w:cs="仿宋"/>
          <w:color w:val="auto"/>
          <w:sz w:val="24"/>
          <w:highlight w:val="none"/>
        </w:rPr>
        <w:t xml:space="preserve">）：                                </w:t>
      </w:r>
    </w:p>
    <w:p>
      <w:pPr>
        <w:widowControl/>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                           </w:t>
      </w:r>
    </w:p>
    <w:p>
      <w:pPr>
        <w:spacing w:line="360" w:lineRule="auto"/>
        <w:ind w:firstLine="720" w:firstLineChars="300"/>
        <w:jc w:val="right"/>
        <w:rPr>
          <w:rFonts w:ascii="仿宋" w:hAnsi="仿宋" w:eastAsia="仿宋" w:cs="仿宋"/>
          <w:b/>
          <w:color w:val="auto"/>
          <w:sz w:val="24"/>
          <w:szCs w:val="21"/>
          <w:highlight w:val="none"/>
        </w:rPr>
      </w:pPr>
      <w:r>
        <w:rPr>
          <w:rFonts w:hint="eastAsia" w:ascii="仿宋" w:hAnsi="仿宋" w:eastAsia="仿宋" w:cs="仿宋"/>
          <w:bCs/>
          <w:color w:val="auto"/>
          <w:sz w:val="24"/>
          <w:highlight w:val="none"/>
        </w:rPr>
        <w:t xml:space="preserve">    年  月  日</w:t>
      </w:r>
      <w:r>
        <w:rPr>
          <w:rFonts w:ascii="仿宋" w:hAnsi="仿宋" w:eastAsia="仿宋" w:cs="仿宋"/>
          <w:b/>
          <w:color w:val="auto"/>
          <w:sz w:val="24"/>
          <w:szCs w:val="21"/>
          <w:highlight w:val="none"/>
        </w:rPr>
        <w:br w:type="page"/>
      </w:r>
    </w:p>
    <w:p>
      <w:pPr>
        <w:rPr>
          <w:rFonts w:hint="eastAsia" w:ascii="仿宋" w:hAnsi="仿宋" w:eastAsia="仿宋" w:cs="仿宋"/>
          <w:b/>
          <w:bCs w:val="0"/>
          <w:color w:val="auto"/>
          <w:sz w:val="24"/>
          <w:szCs w:val="21"/>
          <w:highlight w:val="none"/>
        </w:rPr>
      </w:pPr>
    </w:p>
    <w:bookmarkEnd w:id="129"/>
    <w:p>
      <w:pPr>
        <w:pStyle w:val="6"/>
        <w:spacing w:before="120" w:after="120" w:line="360" w:lineRule="auto"/>
        <w:rPr>
          <w:rFonts w:ascii="仿宋" w:hAnsi="仿宋" w:eastAsia="仿宋" w:cs="仿宋"/>
          <w:b/>
          <w:bCs/>
          <w:color w:val="auto"/>
          <w:sz w:val="24"/>
          <w:szCs w:val="21"/>
          <w:highlight w:val="none"/>
        </w:rPr>
      </w:pPr>
      <w:bookmarkStart w:id="131" w:name="_Toc22132"/>
      <w:r>
        <w:rPr>
          <w:rFonts w:hint="eastAsia" w:ascii="仿宋" w:hAnsi="仿宋" w:eastAsia="仿宋" w:cs="仿宋"/>
          <w:b/>
          <w:bCs/>
          <w:color w:val="auto"/>
          <w:sz w:val="24"/>
          <w:szCs w:val="21"/>
          <w:highlight w:val="none"/>
        </w:rPr>
        <w:t>附件</w:t>
      </w:r>
      <w:r>
        <w:rPr>
          <w:rFonts w:hint="eastAsia" w:ascii="仿宋" w:hAnsi="仿宋" w:eastAsia="仿宋" w:cs="仿宋"/>
          <w:b/>
          <w:bCs/>
          <w:color w:val="auto"/>
          <w:sz w:val="24"/>
          <w:szCs w:val="21"/>
          <w:highlight w:val="none"/>
          <w:lang w:eastAsia="zh-CN"/>
        </w:rPr>
        <w:t>五</w:t>
      </w:r>
      <w:r>
        <w:rPr>
          <w:rFonts w:hint="eastAsia" w:ascii="仿宋" w:hAnsi="仿宋" w:eastAsia="仿宋" w:cs="仿宋"/>
          <w:b/>
          <w:bCs/>
          <w:color w:val="auto"/>
          <w:sz w:val="24"/>
          <w:szCs w:val="21"/>
          <w:highlight w:val="none"/>
        </w:rPr>
        <w:t>：</w:t>
      </w:r>
      <w:r>
        <w:rPr>
          <w:rFonts w:hint="eastAsia" w:ascii="仿宋" w:hAnsi="仿宋" w:eastAsia="仿宋" w:cs="仿宋"/>
          <w:color w:val="auto"/>
          <w:sz w:val="24"/>
          <w:szCs w:val="24"/>
          <w:highlight w:val="none"/>
        </w:rPr>
        <w:t>备品备件、易损件、专用工具明细表</w:t>
      </w:r>
    </w:p>
    <w:p>
      <w:pPr>
        <w:pStyle w:val="5"/>
        <w:numPr>
          <w:ilvl w:val="0"/>
          <w:numId w:val="0"/>
        </w:numPr>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包总价内的备品备件、易损件、专用工具明细表</w:t>
      </w:r>
      <w:bookmarkEnd w:id="131"/>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bCs/>
          <w:color w:val="auto"/>
          <w:highlight w:val="none"/>
        </w:rPr>
      </w:pPr>
      <w:r>
        <w:rPr>
          <w:rFonts w:hint="eastAsia" w:ascii="仿宋" w:hAnsi="仿宋" w:eastAsia="仿宋" w:cs="仿宋"/>
          <w:color w:val="auto"/>
          <w:sz w:val="24"/>
          <w:highlight w:val="none"/>
        </w:rPr>
        <w:t xml:space="preserve">项目名称： </w:t>
      </w:r>
      <w:r>
        <w:rPr>
          <w:rFonts w:hint="eastAsia" w:ascii="仿宋" w:hAnsi="仿宋" w:eastAsia="仿宋" w:cs="仿宋"/>
          <w:color w:val="auto"/>
          <w:highlight w:val="none"/>
        </w:rPr>
        <w:t xml:space="preserve">                   </w:t>
      </w:r>
      <w:r>
        <w:rPr>
          <w:rFonts w:hint="eastAsia" w:ascii="仿宋" w:hAnsi="仿宋" w:eastAsia="仿宋" w:cs="仿宋"/>
          <w:bCs/>
          <w:color w:val="auto"/>
          <w:highlight w:val="none"/>
        </w:rPr>
        <w:t xml:space="preserve"> </w:t>
      </w:r>
    </w:p>
    <w:tbl>
      <w:tblPr>
        <w:tblStyle w:val="23"/>
        <w:tblW w:w="936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
        <w:gridCol w:w="2074"/>
        <w:gridCol w:w="854"/>
        <w:gridCol w:w="855"/>
        <w:gridCol w:w="855"/>
        <w:gridCol w:w="855"/>
        <w:gridCol w:w="854"/>
        <w:gridCol w:w="855"/>
        <w:gridCol w:w="855"/>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74"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备品备件/易损件/专用工具名称</w:t>
            </w:r>
          </w:p>
        </w:tc>
        <w:tc>
          <w:tcPr>
            <w:tcW w:w="854"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855"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w:t>
            </w:r>
          </w:p>
        </w:tc>
        <w:tc>
          <w:tcPr>
            <w:tcW w:w="855"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855"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w:t>
            </w:r>
          </w:p>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厂家</w:t>
            </w:r>
          </w:p>
        </w:tc>
        <w:tc>
          <w:tcPr>
            <w:tcW w:w="854"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855"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55"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855"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noWrap w:val="0"/>
            <w:vAlign w:val="top"/>
          </w:tcPr>
          <w:p>
            <w:pPr>
              <w:spacing w:line="280" w:lineRule="exact"/>
              <w:jc w:val="center"/>
              <w:rPr>
                <w:rFonts w:hint="eastAsia" w:ascii="仿宋" w:hAnsi="仿宋" w:eastAsia="仿宋" w:cs="仿宋"/>
                <w:b/>
                <w:color w:val="auto"/>
                <w:sz w:val="24"/>
                <w:szCs w:val="24"/>
                <w:highlight w:val="none"/>
              </w:rPr>
            </w:pPr>
          </w:p>
        </w:tc>
        <w:tc>
          <w:tcPr>
            <w:tcW w:w="207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4" w:type="dxa"/>
            <w:noWrap w:val="0"/>
            <w:vAlign w:val="center"/>
          </w:tcPr>
          <w:p>
            <w:pPr>
              <w:spacing w:line="280" w:lineRule="exact"/>
              <w:jc w:val="center"/>
              <w:rPr>
                <w:rFonts w:hint="eastAsia" w:ascii="仿宋" w:hAnsi="仿宋" w:eastAsia="仿宋" w:cs="仿宋"/>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noWrap w:val="0"/>
            <w:vAlign w:val="top"/>
          </w:tcPr>
          <w:p>
            <w:pPr>
              <w:spacing w:line="280" w:lineRule="exact"/>
              <w:jc w:val="center"/>
              <w:rPr>
                <w:rFonts w:hint="eastAsia" w:ascii="仿宋" w:hAnsi="仿宋" w:eastAsia="仿宋" w:cs="仿宋"/>
                <w:b/>
                <w:color w:val="auto"/>
                <w:sz w:val="24"/>
                <w:szCs w:val="24"/>
                <w:highlight w:val="none"/>
              </w:rPr>
            </w:pPr>
          </w:p>
        </w:tc>
        <w:tc>
          <w:tcPr>
            <w:tcW w:w="207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noWrap w:val="0"/>
            <w:vAlign w:val="top"/>
          </w:tcPr>
          <w:p>
            <w:pPr>
              <w:spacing w:line="280" w:lineRule="exact"/>
              <w:jc w:val="center"/>
              <w:rPr>
                <w:rFonts w:hint="eastAsia" w:ascii="仿宋" w:hAnsi="仿宋" w:eastAsia="仿宋" w:cs="仿宋"/>
                <w:b/>
                <w:color w:val="auto"/>
                <w:sz w:val="24"/>
                <w:szCs w:val="24"/>
                <w:highlight w:val="none"/>
              </w:rPr>
            </w:pPr>
          </w:p>
        </w:tc>
        <w:tc>
          <w:tcPr>
            <w:tcW w:w="207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4"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c>
          <w:tcPr>
            <w:tcW w:w="855" w:type="dxa"/>
            <w:noWrap w:val="0"/>
            <w:vAlign w:val="top"/>
          </w:tcPr>
          <w:p>
            <w:pPr>
              <w:spacing w:line="280" w:lineRule="exact"/>
              <w:jc w:val="center"/>
              <w:rPr>
                <w:rFonts w:hint="eastAsia" w:ascii="仿宋" w:hAnsi="仿宋" w:eastAsia="仿宋" w:cs="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2074"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总价（元）</w:t>
            </w:r>
          </w:p>
        </w:tc>
        <w:tc>
          <w:tcPr>
            <w:tcW w:w="854"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5"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5"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5"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4"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5"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5" w:type="dxa"/>
            <w:noWrap w:val="0"/>
            <w:vAlign w:val="center"/>
          </w:tcPr>
          <w:p>
            <w:pPr>
              <w:spacing w:line="280" w:lineRule="exact"/>
              <w:jc w:val="center"/>
              <w:rPr>
                <w:rFonts w:hint="eastAsia" w:ascii="仿宋" w:hAnsi="仿宋" w:eastAsia="仿宋" w:cs="仿宋"/>
                <w:b/>
                <w:color w:val="auto"/>
                <w:sz w:val="24"/>
                <w:szCs w:val="24"/>
                <w:highlight w:val="none"/>
              </w:rPr>
            </w:pPr>
          </w:p>
        </w:tc>
        <w:tc>
          <w:tcPr>
            <w:tcW w:w="855" w:type="dxa"/>
            <w:noWrap w:val="0"/>
            <w:vAlign w:val="center"/>
          </w:tcPr>
          <w:p>
            <w:pPr>
              <w:spacing w:line="280" w:lineRule="exact"/>
              <w:jc w:val="center"/>
              <w:rPr>
                <w:rFonts w:hint="eastAsia" w:ascii="仿宋" w:hAnsi="仿宋" w:eastAsia="仿宋" w:cs="仿宋"/>
                <w:b/>
                <w:color w:val="auto"/>
                <w:sz w:val="24"/>
                <w:szCs w:val="24"/>
                <w:highlight w:val="none"/>
              </w:rPr>
            </w:pPr>
          </w:p>
        </w:tc>
      </w:tr>
    </w:tbl>
    <w:p>
      <w:pPr>
        <w:pStyle w:val="13"/>
        <w:spacing w:line="440" w:lineRule="exact"/>
        <w:rPr>
          <w:rFonts w:hint="eastAsia" w:ascii="仿宋" w:hAnsi="仿宋" w:eastAsia="仿宋" w:cs="仿宋"/>
          <w:b/>
          <w:bCs/>
          <w:color w:val="auto"/>
          <w:sz w:val="24"/>
          <w:highlight w:val="none"/>
        </w:rPr>
      </w:pPr>
      <w:bookmarkStart w:id="132" w:name="_Toc30315966"/>
      <w:bookmarkStart w:id="133" w:name="_Toc20407"/>
      <w:bookmarkStart w:id="134" w:name="_Toc366513046"/>
      <w:bookmarkStart w:id="135" w:name="_Toc22600"/>
      <w:bookmarkStart w:id="136" w:name="_Toc175713787"/>
      <w:bookmarkStart w:id="137" w:name="_Toc22792"/>
      <w:r>
        <w:rPr>
          <w:rFonts w:hint="eastAsia" w:ascii="仿宋" w:hAnsi="仿宋" w:eastAsia="仿宋" w:cs="仿宋"/>
          <w:b/>
          <w:bCs/>
          <w:color w:val="auto"/>
          <w:sz w:val="24"/>
          <w:highlight w:val="none"/>
        </w:rPr>
        <w:t>注：本表总价已包含在投标总报价中。</w:t>
      </w:r>
    </w:p>
    <w:p>
      <w:pPr>
        <w:pStyle w:val="5"/>
        <w:numPr>
          <w:ilvl w:val="0"/>
          <w:numId w:val="0"/>
        </w:numPr>
        <w:spacing w:line="360" w:lineRule="auto"/>
        <w:ind w:left="1470" w:left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包总价外长期优惠供应的备品备件、易损件明细表</w:t>
      </w:r>
      <w:bookmarkEnd w:id="132"/>
      <w:bookmarkEnd w:id="133"/>
      <w:bookmarkEnd w:id="134"/>
      <w:bookmarkEnd w:id="135"/>
      <w:bookmarkEnd w:id="136"/>
      <w:bookmarkEnd w:id="137"/>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hint="eastAsia"/>
          <w:color w:val="auto"/>
          <w:highlight w:val="none"/>
        </w:rPr>
      </w:pPr>
      <w:r>
        <w:rPr>
          <w:rFonts w:hint="eastAsia" w:ascii="仿宋" w:hAnsi="仿宋" w:eastAsia="仿宋" w:cs="仿宋"/>
          <w:color w:val="auto"/>
          <w:sz w:val="24"/>
          <w:highlight w:val="none"/>
        </w:rPr>
        <w:t xml:space="preserve">项目名称： </w:t>
      </w:r>
      <w:r>
        <w:rPr>
          <w:rFonts w:hint="eastAsia" w:ascii="仿宋" w:hAnsi="仿宋" w:eastAsia="仿宋" w:cs="仿宋"/>
          <w:color w:val="auto"/>
          <w:highlight w:val="none"/>
        </w:rPr>
        <w:t xml:space="preserve">                   </w:t>
      </w:r>
      <w:r>
        <w:rPr>
          <w:rFonts w:hint="eastAsia" w:ascii="仿宋" w:hAnsi="仿宋" w:eastAsia="仿宋" w:cs="仿宋"/>
          <w:bCs/>
          <w:color w:val="auto"/>
          <w:highlight w:val="none"/>
        </w:rPr>
        <w:t xml:space="preserve"> </w:t>
      </w:r>
    </w:p>
    <w:tbl>
      <w:tblPr>
        <w:tblStyle w:val="23"/>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032"/>
        <w:gridCol w:w="918"/>
        <w:gridCol w:w="919"/>
        <w:gridCol w:w="919"/>
        <w:gridCol w:w="919"/>
        <w:gridCol w:w="918"/>
        <w:gridCol w:w="919"/>
        <w:gridCol w:w="1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32"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备品备件/易损件名称</w:t>
            </w:r>
          </w:p>
        </w:tc>
        <w:tc>
          <w:tcPr>
            <w:tcW w:w="918"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919"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w:t>
            </w:r>
          </w:p>
        </w:tc>
        <w:tc>
          <w:tcPr>
            <w:tcW w:w="919"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919"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w:t>
            </w:r>
          </w:p>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厂家</w:t>
            </w:r>
          </w:p>
        </w:tc>
        <w:tc>
          <w:tcPr>
            <w:tcW w:w="918"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919"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tc>
        <w:tc>
          <w:tcPr>
            <w:tcW w:w="1017" w:type="dxa"/>
            <w:noWrap w:val="0"/>
            <w:vAlign w:val="center"/>
          </w:tcPr>
          <w:p>
            <w:pPr>
              <w:spacing w:line="2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noWrap w:val="0"/>
            <w:vAlign w:val="top"/>
          </w:tcPr>
          <w:p>
            <w:pPr>
              <w:spacing w:line="280" w:lineRule="exact"/>
              <w:jc w:val="center"/>
              <w:rPr>
                <w:rFonts w:hint="eastAsia" w:ascii="仿宋" w:hAnsi="仿宋" w:eastAsia="仿宋" w:cs="仿宋"/>
                <w:b/>
                <w:color w:val="auto"/>
                <w:sz w:val="24"/>
                <w:szCs w:val="24"/>
                <w:highlight w:val="none"/>
              </w:rPr>
            </w:pPr>
          </w:p>
        </w:tc>
        <w:tc>
          <w:tcPr>
            <w:tcW w:w="2032"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8"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8" w:type="dxa"/>
            <w:noWrap w:val="0"/>
            <w:vAlign w:val="center"/>
          </w:tcPr>
          <w:p>
            <w:pPr>
              <w:spacing w:line="280" w:lineRule="exact"/>
              <w:jc w:val="center"/>
              <w:rPr>
                <w:rFonts w:hint="eastAsia" w:ascii="仿宋" w:hAnsi="仿宋" w:eastAsia="仿宋" w:cs="仿宋"/>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1017" w:type="dxa"/>
            <w:noWrap w:val="0"/>
            <w:vAlign w:val="top"/>
          </w:tcPr>
          <w:p>
            <w:pPr>
              <w:spacing w:line="280" w:lineRule="exact"/>
              <w:jc w:val="center"/>
              <w:rPr>
                <w:rFonts w:hint="eastAsia" w:ascii="仿宋" w:hAnsi="仿宋" w:eastAsia="仿宋" w:cs="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noWrap w:val="0"/>
            <w:vAlign w:val="top"/>
          </w:tcPr>
          <w:p>
            <w:pPr>
              <w:spacing w:line="280" w:lineRule="exact"/>
              <w:jc w:val="center"/>
              <w:rPr>
                <w:rFonts w:hint="eastAsia" w:ascii="仿宋" w:hAnsi="仿宋" w:eastAsia="仿宋" w:cs="仿宋"/>
                <w:b/>
                <w:color w:val="auto"/>
                <w:sz w:val="24"/>
                <w:szCs w:val="24"/>
                <w:highlight w:val="none"/>
              </w:rPr>
            </w:pPr>
          </w:p>
        </w:tc>
        <w:tc>
          <w:tcPr>
            <w:tcW w:w="2032"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8"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8"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1017" w:type="dxa"/>
            <w:noWrap w:val="0"/>
            <w:vAlign w:val="top"/>
          </w:tcPr>
          <w:p>
            <w:pPr>
              <w:spacing w:line="280" w:lineRule="exact"/>
              <w:jc w:val="center"/>
              <w:rPr>
                <w:rFonts w:hint="eastAsia" w:ascii="仿宋" w:hAnsi="仿宋" w:eastAsia="仿宋" w:cs="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noWrap w:val="0"/>
            <w:vAlign w:val="top"/>
          </w:tcPr>
          <w:p>
            <w:pPr>
              <w:spacing w:line="280" w:lineRule="exact"/>
              <w:jc w:val="center"/>
              <w:rPr>
                <w:rFonts w:hint="eastAsia" w:ascii="仿宋" w:hAnsi="仿宋" w:eastAsia="仿宋" w:cs="仿宋"/>
                <w:b/>
                <w:color w:val="auto"/>
                <w:sz w:val="24"/>
                <w:szCs w:val="24"/>
                <w:highlight w:val="none"/>
              </w:rPr>
            </w:pPr>
          </w:p>
        </w:tc>
        <w:tc>
          <w:tcPr>
            <w:tcW w:w="2032"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8"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8" w:type="dxa"/>
            <w:noWrap w:val="0"/>
            <w:vAlign w:val="top"/>
          </w:tcPr>
          <w:p>
            <w:pPr>
              <w:spacing w:line="280" w:lineRule="exact"/>
              <w:jc w:val="center"/>
              <w:rPr>
                <w:rFonts w:hint="eastAsia" w:ascii="仿宋" w:hAnsi="仿宋" w:eastAsia="仿宋" w:cs="仿宋"/>
                <w:b/>
                <w:color w:val="auto"/>
                <w:sz w:val="24"/>
                <w:szCs w:val="24"/>
                <w:highlight w:val="none"/>
              </w:rPr>
            </w:pPr>
          </w:p>
        </w:tc>
        <w:tc>
          <w:tcPr>
            <w:tcW w:w="919" w:type="dxa"/>
            <w:noWrap w:val="0"/>
            <w:vAlign w:val="top"/>
          </w:tcPr>
          <w:p>
            <w:pPr>
              <w:spacing w:line="280" w:lineRule="exact"/>
              <w:jc w:val="center"/>
              <w:rPr>
                <w:rFonts w:hint="eastAsia" w:ascii="仿宋" w:hAnsi="仿宋" w:eastAsia="仿宋" w:cs="仿宋"/>
                <w:b/>
                <w:color w:val="auto"/>
                <w:sz w:val="24"/>
                <w:szCs w:val="24"/>
                <w:highlight w:val="none"/>
              </w:rPr>
            </w:pPr>
          </w:p>
        </w:tc>
        <w:tc>
          <w:tcPr>
            <w:tcW w:w="1017" w:type="dxa"/>
            <w:noWrap w:val="0"/>
            <w:vAlign w:val="top"/>
          </w:tcPr>
          <w:p>
            <w:pPr>
              <w:spacing w:line="280" w:lineRule="exact"/>
              <w:jc w:val="center"/>
              <w:rPr>
                <w:rFonts w:hint="eastAsia" w:ascii="仿宋" w:hAnsi="仿宋" w:eastAsia="仿宋" w:cs="仿宋"/>
                <w:b/>
                <w:color w:val="auto"/>
                <w:sz w:val="24"/>
                <w:szCs w:val="24"/>
                <w:highlight w:val="none"/>
              </w:rPr>
            </w:pPr>
          </w:p>
        </w:tc>
      </w:tr>
    </w:tbl>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hint="eastAsia" w:ascii="仿宋" w:hAnsi="仿宋" w:eastAsia="仿宋" w:cs="仿宋"/>
          <w:color w:val="auto"/>
          <w:sz w:val="24"/>
          <w:highlight w:val="none"/>
          <w:lang w:eastAsia="zh-CN"/>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bCs/>
          <w:color w:val="auto"/>
          <w:sz w:val="24"/>
          <w:highlight w:val="none"/>
        </w:rPr>
        <w:t>公章</w:t>
      </w:r>
      <w:r>
        <w:rPr>
          <w:rFonts w:hint="eastAsia" w:ascii="仿宋" w:hAnsi="仿宋" w:eastAsia="仿宋" w:cs="仿宋"/>
          <w:color w:val="auto"/>
          <w:sz w:val="24"/>
          <w:highlight w:val="none"/>
        </w:rPr>
        <w:t xml:space="preserve">）：                                </w:t>
      </w:r>
    </w:p>
    <w:p>
      <w:pPr>
        <w:widowControl/>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                           </w:t>
      </w:r>
    </w:p>
    <w:p>
      <w:pPr>
        <w:spacing w:line="360" w:lineRule="auto"/>
        <w:ind w:firstLine="720" w:firstLineChars="300"/>
        <w:jc w:val="righ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年  月  日</w:t>
      </w:r>
    </w:p>
    <w:p>
      <w:pPr>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注：此表格单独编制，不包括在总报价内，供评标时参考。</w:t>
      </w:r>
    </w:p>
    <w:p>
      <w:pPr>
        <w:widowControl/>
        <w:spacing w:line="360" w:lineRule="auto"/>
        <w:jc w:val="left"/>
        <w:rPr>
          <w:rFonts w:ascii="仿宋" w:hAnsi="仿宋" w:eastAsia="仿宋" w:cs="仿宋"/>
          <w:b/>
          <w:color w:val="auto"/>
          <w:sz w:val="24"/>
          <w:szCs w:val="21"/>
          <w:highlight w:val="none"/>
        </w:rPr>
      </w:pPr>
      <w:r>
        <w:rPr>
          <w:rFonts w:ascii="仿宋" w:hAnsi="仿宋" w:eastAsia="仿宋" w:cs="仿宋"/>
          <w:b/>
          <w:color w:val="auto"/>
          <w:sz w:val="24"/>
          <w:szCs w:val="21"/>
          <w:highlight w:val="none"/>
        </w:rPr>
        <w:br w:type="page"/>
      </w:r>
    </w:p>
    <w:p>
      <w:pPr>
        <w:rPr>
          <w:rFonts w:ascii="仿宋" w:hAnsi="仿宋" w:eastAsia="仿宋" w:cs="仿宋"/>
          <w:b/>
          <w:bCs w:val="0"/>
          <w:color w:val="auto"/>
          <w:sz w:val="24"/>
          <w:szCs w:val="21"/>
          <w:highlight w:val="none"/>
        </w:rPr>
      </w:pPr>
      <w:r>
        <w:rPr>
          <w:rFonts w:hint="eastAsia" w:ascii="仿宋" w:hAnsi="仿宋" w:eastAsia="仿宋" w:cs="仿宋"/>
          <w:b/>
          <w:bCs w:val="0"/>
          <w:color w:val="auto"/>
          <w:sz w:val="24"/>
          <w:szCs w:val="21"/>
          <w:highlight w:val="none"/>
        </w:rPr>
        <w:t>附件</w:t>
      </w:r>
      <w:r>
        <w:rPr>
          <w:rFonts w:hint="eastAsia" w:ascii="仿宋" w:hAnsi="仿宋" w:eastAsia="仿宋" w:cs="仿宋"/>
          <w:b/>
          <w:bCs w:val="0"/>
          <w:color w:val="auto"/>
          <w:sz w:val="24"/>
          <w:szCs w:val="21"/>
          <w:highlight w:val="none"/>
          <w:lang w:eastAsia="zh-CN"/>
        </w:rPr>
        <w:t>六</w:t>
      </w:r>
      <w:r>
        <w:rPr>
          <w:rFonts w:hint="eastAsia" w:ascii="仿宋" w:hAnsi="仿宋" w:eastAsia="仿宋" w:cs="仿宋"/>
          <w:b/>
          <w:bCs w:val="0"/>
          <w:color w:val="auto"/>
          <w:sz w:val="24"/>
          <w:szCs w:val="21"/>
          <w:highlight w:val="none"/>
        </w:rPr>
        <w:t>：商务条款偏离表</w:t>
      </w:r>
    </w:p>
    <w:p>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包商务条款偏离表</w:t>
      </w:r>
    </w:p>
    <w:p>
      <w:pPr>
        <w:pStyle w:val="10"/>
        <w:spacing w:line="360" w:lineRule="auto"/>
        <w:ind w:left="0" w:leftChars="0" w:firstLine="0" w:firstLineChars="0"/>
        <w:rPr>
          <w:rFonts w:ascii="仿宋" w:hAnsi="仿宋" w:eastAsia="仿宋" w:cs="仿宋"/>
          <w:bCs/>
          <w:color w:val="auto"/>
          <w:highlight w:val="none"/>
        </w:rPr>
      </w:pPr>
      <w:r>
        <w:rPr>
          <w:rFonts w:hint="eastAsia" w:ascii="仿宋" w:hAnsi="仿宋" w:eastAsia="仿宋" w:cs="仿宋"/>
          <w:bCs/>
          <w:color w:val="auto"/>
          <w:highlight w:val="none"/>
          <w:lang w:eastAsia="zh-CN"/>
        </w:rPr>
        <w:t>项目</w:t>
      </w:r>
      <w:r>
        <w:rPr>
          <w:rFonts w:hint="eastAsia" w:ascii="仿宋" w:hAnsi="仿宋" w:eastAsia="仿宋" w:cs="仿宋"/>
          <w:bCs/>
          <w:color w:val="auto"/>
          <w:highlight w:val="none"/>
        </w:rPr>
        <w:t>编号</w:t>
      </w:r>
      <w:r>
        <w:rPr>
          <w:rFonts w:hint="eastAsia" w:ascii="仿宋" w:hAnsi="仿宋" w:eastAsia="仿宋" w:cs="仿宋"/>
          <w:b/>
          <w:bCs/>
          <w:color w:val="auto"/>
          <w:highlight w:val="none"/>
        </w:rPr>
        <w:t>：</w:t>
      </w:r>
      <w:r>
        <w:rPr>
          <w:rFonts w:hint="eastAsia" w:ascii="仿宋" w:hAnsi="仿宋" w:eastAsia="仿宋" w:cs="仿宋"/>
          <w:color w:val="auto"/>
          <w:highlight w:val="none"/>
        </w:rPr>
        <w:t>__</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___</w:t>
      </w:r>
    </w:p>
    <w:p>
      <w:pPr>
        <w:pStyle w:val="10"/>
        <w:spacing w:before="120" w:beforeLines="50" w:line="360" w:lineRule="auto"/>
        <w:ind w:left="0" w:leftChars="0" w:firstLine="0" w:firstLineChars="0"/>
        <w:rPr>
          <w:rFonts w:ascii="仿宋" w:hAnsi="仿宋" w:eastAsia="仿宋" w:cs="仿宋"/>
          <w:bCs/>
          <w:color w:val="auto"/>
          <w:highlight w:val="none"/>
        </w:rPr>
      </w:pPr>
      <w:r>
        <w:rPr>
          <w:rFonts w:hint="eastAsia" w:ascii="仿宋" w:hAnsi="仿宋" w:eastAsia="仿宋" w:cs="仿宋"/>
          <w:bCs/>
          <w:color w:val="auto"/>
          <w:highlight w:val="none"/>
        </w:rPr>
        <w:t>项目名称</w:t>
      </w:r>
      <w:r>
        <w:rPr>
          <w:rFonts w:hint="eastAsia" w:ascii="仿宋" w:hAnsi="仿宋" w:eastAsia="仿宋" w:cs="仿宋"/>
          <w:b/>
          <w:bCs/>
          <w:color w:val="auto"/>
          <w:highlight w:val="none"/>
        </w:rPr>
        <w:t>：</w:t>
      </w:r>
      <w:r>
        <w:rPr>
          <w:rFonts w:hint="eastAsia" w:ascii="仿宋" w:hAnsi="仿宋" w:eastAsia="仿宋" w:cs="仿宋"/>
          <w:bCs/>
          <w:color w:val="auto"/>
          <w:highlight w:val="none"/>
        </w:rPr>
        <w:t xml:space="preserve">____________________    </w:t>
      </w:r>
      <w:r>
        <w:rPr>
          <w:rFonts w:hint="eastAsia" w:ascii="仿宋" w:hAnsi="仿宋" w:eastAsia="仿宋" w:cs="仿宋"/>
          <w:b/>
          <w:bCs/>
          <w:color w:val="auto"/>
          <w:highlight w:val="none"/>
        </w:rPr>
        <w:t xml:space="preserve">         </w:t>
      </w:r>
      <w:r>
        <w:rPr>
          <w:rFonts w:hint="eastAsia" w:ascii="仿宋" w:hAnsi="仿宋" w:eastAsia="仿宋" w:cs="仿宋"/>
          <w:bCs/>
          <w:color w:val="auto"/>
          <w:highlight w:val="none"/>
        </w:rPr>
        <w:t xml:space="preserve">                                                         </w:t>
      </w:r>
    </w:p>
    <w:tbl>
      <w:tblPr>
        <w:tblStyle w:val="23"/>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469"/>
        <w:gridCol w:w="1594"/>
        <w:gridCol w:w="1592"/>
        <w:gridCol w:w="1460"/>
        <w:gridCol w:w="1462"/>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39"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序号</w:t>
            </w:r>
          </w:p>
        </w:tc>
        <w:tc>
          <w:tcPr>
            <w:tcW w:w="1469"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招标文件</w:t>
            </w:r>
          </w:p>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条目号</w:t>
            </w:r>
          </w:p>
        </w:tc>
        <w:tc>
          <w:tcPr>
            <w:tcW w:w="1594"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招标文件</w:t>
            </w:r>
          </w:p>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要求</w:t>
            </w:r>
          </w:p>
        </w:tc>
        <w:tc>
          <w:tcPr>
            <w:tcW w:w="1592"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投标文件</w:t>
            </w:r>
          </w:p>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实际情况</w:t>
            </w:r>
          </w:p>
        </w:tc>
        <w:tc>
          <w:tcPr>
            <w:tcW w:w="1460"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投标文件对应的页码及条目号</w:t>
            </w:r>
          </w:p>
        </w:tc>
        <w:tc>
          <w:tcPr>
            <w:tcW w:w="1462" w:type="dxa"/>
            <w:vAlign w:val="center"/>
          </w:tcPr>
          <w:p>
            <w:pPr>
              <w:tabs>
                <w:tab w:val="left" w:pos="1337"/>
              </w:tabs>
              <w:spacing w:line="360" w:lineRule="auto"/>
              <w:jc w:val="center"/>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偏差</w:t>
            </w:r>
            <w:r>
              <w:rPr>
                <w:rFonts w:hint="eastAsia" w:ascii="仿宋" w:hAnsi="仿宋" w:eastAsia="仿宋" w:cs="仿宋"/>
                <w:bCs/>
                <w:color w:val="auto"/>
                <w:sz w:val="24"/>
                <w:highlight w:val="none"/>
                <w:lang w:eastAsia="zh-CN"/>
              </w:rPr>
              <w:t>情况</w:t>
            </w:r>
          </w:p>
        </w:tc>
        <w:tc>
          <w:tcPr>
            <w:tcW w:w="1341"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bl>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说明：①请填写招标文件已列明并要求</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响应的如付款方式、</w:t>
      </w:r>
      <w:r>
        <w:rPr>
          <w:rFonts w:hint="eastAsia" w:ascii="仿宋" w:hAnsi="仿宋" w:eastAsia="仿宋" w:cs="仿宋"/>
          <w:color w:val="auto"/>
          <w:sz w:val="24"/>
          <w:highlight w:val="none"/>
          <w:lang w:eastAsia="zh-CN"/>
        </w:rPr>
        <w:t>供货</w:t>
      </w:r>
      <w:r>
        <w:rPr>
          <w:rFonts w:hint="eastAsia" w:ascii="仿宋" w:hAnsi="仿宋" w:eastAsia="仿宋" w:cs="仿宋"/>
          <w:color w:val="auto"/>
          <w:sz w:val="24"/>
          <w:highlight w:val="none"/>
        </w:rPr>
        <w:t>期、售后服务等商务条款，并逐一作出承诺。</w:t>
      </w:r>
    </w:p>
    <w:p>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②请</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在填写本表时，对应招标文件要求如实填写,并必须用具体数字或文字来表述，不能复制招标文件要求或仅填写“（不）偏离”或虚假应标。若</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自行承诺的售后服务承诺与此表不一致的，则评标委员会有权作出不利于</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的认定。</w:t>
      </w:r>
    </w:p>
    <w:p>
      <w:pPr>
        <w:spacing w:line="360" w:lineRule="auto"/>
        <w:ind w:right="187"/>
        <w:rPr>
          <w:rFonts w:hint="eastAsia" w:ascii="仿宋" w:hAnsi="仿宋" w:eastAsia="仿宋" w:cs="仿宋"/>
          <w:color w:val="auto"/>
          <w:sz w:val="24"/>
          <w:highlight w:val="none"/>
          <w:lang w:eastAsia="zh-CN"/>
        </w:rPr>
      </w:pPr>
    </w:p>
    <w:p>
      <w:pPr>
        <w:spacing w:line="360" w:lineRule="auto"/>
        <w:ind w:right="187"/>
        <w:rPr>
          <w:rFonts w:ascii="仿宋" w:hAnsi="仿宋" w:eastAsia="仿宋" w:cs="仿宋"/>
          <w:bCs/>
          <w:color w:val="auto"/>
          <w:sz w:val="24"/>
          <w:highlight w:val="none"/>
          <w:u w:val="single"/>
        </w:rPr>
      </w:pPr>
      <w:r>
        <w:rPr>
          <w:rFonts w:hint="eastAsia" w:ascii="仿宋" w:hAnsi="仿宋" w:eastAsia="仿宋" w:cs="仿宋"/>
          <w:color w:val="auto"/>
          <w:sz w:val="24"/>
          <w:highlight w:val="none"/>
          <w:lang w:eastAsia="zh-CN"/>
        </w:rPr>
        <w:t>投标人名</w:t>
      </w:r>
      <w:r>
        <w:rPr>
          <w:rFonts w:hint="eastAsia" w:ascii="仿宋" w:hAnsi="仿宋" w:eastAsia="仿宋" w:cs="仿宋"/>
          <w:color w:val="auto"/>
          <w:sz w:val="24"/>
          <w:highlight w:val="none"/>
        </w:rPr>
        <w:t>称</w:t>
      </w:r>
      <w:r>
        <w:rPr>
          <w:rFonts w:hint="eastAsia" w:ascii="仿宋" w:hAnsi="仿宋" w:eastAsia="仿宋" w:cs="仿宋"/>
          <w:bCs/>
          <w:color w:val="auto"/>
          <w:sz w:val="24"/>
          <w:highlight w:val="none"/>
        </w:rPr>
        <w:t>（公章）：</w:t>
      </w:r>
      <w:r>
        <w:rPr>
          <w:rFonts w:hint="eastAsia" w:ascii="仿宋" w:hAnsi="仿宋" w:eastAsia="仿宋" w:cs="仿宋"/>
          <w:bCs/>
          <w:color w:val="auto"/>
          <w:sz w:val="24"/>
          <w:highlight w:val="none"/>
          <w:u w:val="single"/>
        </w:rPr>
        <w:t xml:space="preserve">               </w:t>
      </w:r>
    </w:p>
    <w:p>
      <w:pPr>
        <w:spacing w:line="360" w:lineRule="auto"/>
        <w:ind w:right="187"/>
        <w:rPr>
          <w:rFonts w:ascii="仿宋" w:hAnsi="仿宋" w:eastAsia="仿宋" w:cs="仿宋"/>
          <w:b/>
          <w:bCs/>
          <w:color w:val="auto"/>
          <w:sz w:val="24"/>
          <w:highlight w:val="none"/>
        </w:rPr>
      </w:pPr>
      <w:r>
        <w:rPr>
          <w:rFonts w:hint="eastAsia" w:ascii="仿宋" w:hAnsi="仿宋" w:eastAsia="仿宋" w:cs="仿宋"/>
          <w:bCs/>
          <w:color w:val="auto"/>
          <w:sz w:val="24"/>
          <w:highlight w:val="none"/>
        </w:rPr>
        <w:t>法定代表人或授权代理人签字或盖章：</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p>
    <w:p>
      <w:pPr>
        <w:pStyle w:val="10"/>
        <w:spacing w:line="360" w:lineRule="auto"/>
        <w:ind w:left="0" w:leftChars="0" w:firstLine="0" w:firstLineChars="0"/>
        <w:jc w:val="right"/>
        <w:rPr>
          <w:rFonts w:ascii="仿宋" w:hAnsi="仿宋" w:eastAsia="仿宋" w:cs="仿宋"/>
          <w:b/>
          <w:color w:val="auto"/>
          <w:highlight w:val="none"/>
        </w:rPr>
      </w:pPr>
      <w:r>
        <w:rPr>
          <w:rFonts w:hint="eastAsia" w:ascii="仿宋" w:hAnsi="仿宋" w:eastAsia="仿宋" w:cs="仿宋"/>
          <w:color w:val="auto"/>
          <w:highlight w:val="none"/>
        </w:rPr>
        <w:t>年  月  日</w:t>
      </w:r>
    </w:p>
    <w:p>
      <w:pPr>
        <w:pStyle w:val="6"/>
        <w:spacing w:before="120" w:after="120" w:line="360" w:lineRule="auto"/>
        <w:rPr>
          <w:rFonts w:ascii="仿宋" w:hAnsi="仿宋" w:eastAsia="仿宋" w:cs="仿宋"/>
          <w:b w:val="0"/>
          <w:color w:val="auto"/>
          <w:sz w:val="24"/>
          <w:szCs w:val="21"/>
          <w:highlight w:val="none"/>
        </w:rPr>
      </w:pPr>
      <w:bookmarkStart w:id="138" w:name="_Toc21428"/>
      <w:r>
        <w:rPr>
          <w:rFonts w:hint="eastAsia" w:ascii="仿宋" w:hAnsi="仿宋" w:eastAsia="仿宋" w:cs="仿宋"/>
          <w:b/>
          <w:bCs/>
          <w:color w:val="auto"/>
          <w:sz w:val="24"/>
          <w:szCs w:val="21"/>
          <w:highlight w:val="none"/>
        </w:rPr>
        <w:t>附件</w:t>
      </w:r>
      <w:r>
        <w:rPr>
          <w:rFonts w:hint="eastAsia" w:ascii="仿宋" w:hAnsi="仿宋" w:eastAsia="仿宋" w:cs="仿宋"/>
          <w:b/>
          <w:bCs/>
          <w:color w:val="auto"/>
          <w:sz w:val="24"/>
          <w:szCs w:val="21"/>
          <w:highlight w:val="none"/>
          <w:lang w:eastAsia="zh-CN"/>
        </w:rPr>
        <w:t>七</w:t>
      </w:r>
      <w:r>
        <w:rPr>
          <w:rFonts w:hint="eastAsia" w:ascii="仿宋" w:hAnsi="仿宋" w:eastAsia="仿宋" w:cs="仿宋"/>
          <w:b/>
          <w:bCs/>
          <w:color w:val="auto"/>
          <w:sz w:val="24"/>
          <w:szCs w:val="21"/>
          <w:highlight w:val="none"/>
        </w:rPr>
        <w:t>：技术条款偏离表</w:t>
      </w:r>
      <w:bookmarkEnd w:id="138"/>
    </w:p>
    <w:p>
      <w:pPr>
        <w:pStyle w:val="10"/>
        <w:spacing w:line="360" w:lineRule="auto"/>
        <w:ind w:left="0" w:leftChars="0" w:firstLine="0" w:firstLineChars="0"/>
        <w:jc w:val="center"/>
        <w:rPr>
          <w:rFonts w:ascii="仿宋" w:hAnsi="仿宋" w:eastAsia="仿宋" w:cs="仿宋"/>
          <w:b/>
          <w:color w:val="auto"/>
          <w:kern w:val="2"/>
          <w:szCs w:val="24"/>
          <w:highlight w:val="none"/>
        </w:rPr>
      </w:pP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包</w:t>
      </w:r>
      <w:r>
        <w:rPr>
          <w:rFonts w:hint="eastAsia" w:ascii="仿宋" w:hAnsi="仿宋" w:eastAsia="仿宋" w:cs="仿宋"/>
          <w:b/>
          <w:color w:val="auto"/>
          <w:kern w:val="2"/>
          <w:szCs w:val="24"/>
          <w:highlight w:val="none"/>
        </w:rPr>
        <w:t>技术条款偏离</w:t>
      </w:r>
    </w:p>
    <w:p>
      <w:pPr>
        <w:pStyle w:val="10"/>
        <w:spacing w:line="360" w:lineRule="auto"/>
        <w:ind w:left="0" w:leftChars="0" w:firstLine="0" w:firstLineChars="0"/>
        <w:rPr>
          <w:rFonts w:ascii="仿宋" w:hAnsi="仿宋" w:eastAsia="仿宋" w:cs="仿宋"/>
          <w:bCs/>
          <w:color w:val="auto"/>
          <w:highlight w:val="none"/>
        </w:rPr>
      </w:pPr>
      <w:r>
        <w:rPr>
          <w:rFonts w:hint="eastAsia" w:ascii="仿宋" w:hAnsi="仿宋" w:eastAsia="仿宋" w:cs="仿宋"/>
          <w:bCs/>
          <w:color w:val="auto"/>
          <w:highlight w:val="none"/>
        </w:rPr>
        <w:t>采购编号</w:t>
      </w:r>
      <w:r>
        <w:rPr>
          <w:rFonts w:hint="eastAsia" w:ascii="仿宋" w:hAnsi="仿宋" w:eastAsia="仿宋" w:cs="仿宋"/>
          <w:b/>
          <w:bCs/>
          <w:color w:val="auto"/>
          <w:highlight w:val="none"/>
        </w:rPr>
        <w:t>：</w:t>
      </w:r>
      <w:r>
        <w:rPr>
          <w:rFonts w:hint="eastAsia" w:ascii="仿宋" w:hAnsi="仿宋" w:eastAsia="仿宋" w:cs="仿宋"/>
          <w:color w:val="auto"/>
          <w:highlight w:val="none"/>
        </w:rPr>
        <w:t>__</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___</w:t>
      </w:r>
    </w:p>
    <w:p>
      <w:pPr>
        <w:pStyle w:val="10"/>
        <w:spacing w:line="360" w:lineRule="auto"/>
        <w:ind w:left="0" w:leftChars="0" w:firstLine="0" w:firstLineChars="0"/>
        <w:rPr>
          <w:rFonts w:ascii="仿宋" w:hAnsi="仿宋" w:eastAsia="仿宋" w:cs="仿宋"/>
          <w:bCs/>
          <w:color w:val="auto"/>
          <w:highlight w:val="none"/>
        </w:rPr>
      </w:pPr>
      <w:r>
        <w:rPr>
          <w:rFonts w:hint="eastAsia" w:ascii="仿宋" w:hAnsi="仿宋" w:eastAsia="仿宋" w:cs="仿宋"/>
          <w:bCs/>
          <w:color w:val="auto"/>
          <w:highlight w:val="none"/>
        </w:rPr>
        <w:t>项目名称</w:t>
      </w:r>
      <w:r>
        <w:rPr>
          <w:rFonts w:hint="eastAsia" w:ascii="仿宋" w:hAnsi="仿宋" w:eastAsia="仿宋" w:cs="仿宋"/>
          <w:b/>
          <w:bCs/>
          <w:color w:val="auto"/>
          <w:highlight w:val="none"/>
        </w:rPr>
        <w:t>：</w:t>
      </w:r>
      <w:r>
        <w:rPr>
          <w:rFonts w:hint="eastAsia" w:ascii="仿宋" w:hAnsi="仿宋" w:eastAsia="仿宋" w:cs="仿宋"/>
          <w:bCs/>
          <w:color w:val="auto"/>
          <w:highlight w:val="none"/>
        </w:rPr>
        <w:t xml:space="preserve">____________________    </w:t>
      </w:r>
      <w:r>
        <w:rPr>
          <w:rFonts w:hint="eastAsia" w:ascii="仿宋" w:hAnsi="仿宋" w:eastAsia="仿宋" w:cs="仿宋"/>
          <w:b/>
          <w:bCs/>
          <w:color w:val="auto"/>
          <w:highlight w:val="none"/>
        </w:rPr>
        <w:t xml:space="preserve">         </w:t>
      </w:r>
      <w:r>
        <w:rPr>
          <w:rFonts w:hint="eastAsia" w:ascii="仿宋" w:hAnsi="仿宋" w:eastAsia="仿宋" w:cs="仿宋"/>
          <w:bCs/>
          <w:color w:val="auto"/>
          <w:highlight w:val="none"/>
        </w:rPr>
        <w:t xml:space="preserve">                                                       </w:t>
      </w:r>
    </w:p>
    <w:tbl>
      <w:tblPr>
        <w:tblStyle w:val="23"/>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469"/>
        <w:gridCol w:w="1594"/>
        <w:gridCol w:w="1592"/>
        <w:gridCol w:w="1460"/>
        <w:gridCol w:w="1462"/>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39"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序号</w:t>
            </w:r>
          </w:p>
        </w:tc>
        <w:tc>
          <w:tcPr>
            <w:tcW w:w="1469"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招标文件</w:t>
            </w:r>
          </w:p>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条目号</w:t>
            </w:r>
          </w:p>
        </w:tc>
        <w:tc>
          <w:tcPr>
            <w:tcW w:w="1594"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招标文件</w:t>
            </w:r>
          </w:p>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技术要求</w:t>
            </w:r>
          </w:p>
        </w:tc>
        <w:tc>
          <w:tcPr>
            <w:tcW w:w="1592"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投标文件</w:t>
            </w:r>
          </w:p>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实际情况</w:t>
            </w:r>
          </w:p>
        </w:tc>
        <w:tc>
          <w:tcPr>
            <w:tcW w:w="1460"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投标文件对应的页码及条目号</w:t>
            </w:r>
          </w:p>
        </w:tc>
        <w:tc>
          <w:tcPr>
            <w:tcW w:w="1462"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偏差情况</w:t>
            </w:r>
          </w:p>
        </w:tc>
        <w:tc>
          <w:tcPr>
            <w:tcW w:w="1341" w:type="dxa"/>
            <w:vAlign w:val="center"/>
          </w:tcPr>
          <w:p>
            <w:pPr>
              <w:tabs>
                <w:tab w:val="left" w:pos="1337"/>
              </w:tabs>
              <w:spacing w:line="360" w:lineRule="auto"/>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佐证证明材料页码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color w:val="auto"/>
                <w:sz w:val="24"/>
                <w:highlight w:val="none"/>
              </w:rPr>
            </w:pPr>
          </w:p>
        </w:tc>
        <w:tc>
          <w:tcPr>
            <w:tcW w:w="1469" w:type="dxa"/>
            <w:vAlign w:val="center"/>
          </w:tcPr>
          <w:p>
            <w:pPr>
              <w:tabs>
                <w:tab w:val="left" w:pos="1337"/>
              </w:tabs>
              <w:spacing w:line="360" w:lineRule="auto"/>
              <w:jc w:val="center"/>
              <w:rPr>
                <w:rFonts w:ascii="仿宋" w:hAnsi="仿宋" w:eastAsia="仿宋" w:cs="仿宋"/>
                <w:color w:val="auto"/>
                <w:sz w:val="24"/>
                <w:highlight w:val="none"/>
              </w:rPr>
            </w:pPr>
          </w:p>
        </w:tc>
        <w:tc>
          <w:tcPr>
            <w:tcW w:w="1594" w:type="dxa"/>
            <w:vAlign w:val="center"/>
          </w:tcPr>
          <w:p>
            <w:pPr>
              <w:tabs>
                <w:tab w:val="left" w:pos="1337"/>
              </w:tabs>
              <w:spacing w:line="360" w:lineRule="auto"/>
              <w:jc w:val="center"/>
              <w:rPr>
                <w:rFonts w:ascii="仿宋" w:hAnsi="仿宋" w:eastAsia="仿宋" w:cs="仿宋"/>
                <w:color w:val="auto"/>
                <w:sz w:val="24"/>
                <w:highlight w:val="none"/>
              </w:rPr>
            </w:pPr>
          </w:p>
        </w:tc>
        <w:tc>
          <w:tcPr>
            <w:tcW w:w="1592" w:type="dxa"/>
            <w:vAlign w:val="center"/>
          </w:tcPr>
          <w:p>
            <w:pPr>
              <w:tabs>
                <w:tab w:val="left" w:pos="1337"/>
              </w:tabs>
              <w:spacing w:line="360" w:lineRule="auto"/>
              <w:jc w:val="center"/>
              <w:rPr>
                <w:rFonts w:ascii="仿宋" w:hAnsi="仿宋" w:eastAsia="仿宋" w:cs="仿宋"/>
                <w:color w:val="auto"/>
                <w:sz w:val="24"/>
                <w:highlight w:val="none"/>
              </w:rPr>
            </w:pPr>
          </w:p>
        </w:tc>
        <w:tc>
          <w:tcPr>
            <w:tcW w:w="1460" w:type="dxa"/>
            <w:vAlign w:val="center"/>
          </w:tcPr>
          <w:p>
            <w:pPr>
              <w:tabs>
                <w:tab w:val="left" w:pos="1337"/>
              </w:tabs>
              <w:spacing w:line="360" w:lineRule="auto"/>
              <w:jc w:val="center"/>
              <w:rPr>
                <w:rFonts w:ascii="仿宋" w:hAnsi="仿宋" w:eastAsia="仿宋" w:cs="仿宋"/>
                <w:color w:val="auto"/>
                <w:sz w:val="24"/>
                <w:highlight w:val="none"/>
              </w:rPr>
            </w:pPr>
          </w:p>
        </w:tc>
        <w:tc>
          <w:tcPr>
            <w:tcW w:w="1462" w:type="dxa"/>
            <w:vAlign w:val="center"/>
          </w:tcPr>
          <w:p>
            <w:pPr>
              <w:tabs>
                <w:tab w:val="left" w:pos="1337"/>
              </w:tabs>
              <w:spacing w:line="360" w:lineRule="auto"/>
              <w:jc w:val="center"/>
              <w:rPr>
                <w:rFonts w:ascii="仿宋" w:hAnsi="仿宋" w:eastAsia="仿宋" w:cs="仿宋"/>
                <w:color w:val="auto"/>
                <w:sz w:val="24"/>
                <w:highlight w:val="none"/>
              </w:rPr>
            </w:pPr>
          </w:p>
        </w:tc>
        <w:tc>
          <w:tcPr>
            <w:tcW w:w="1341" w:type="dxa"/>
            <w:vAlign w:val="center"/>
          </w:tcPr>
          <w:p>
            <w:pPr>
              <w:tabs>
                <w:tab w:val="left" w:pos="1337"/>
              </w:tabs>
              <w:spacing w:line="360" w:lineRule="auto"/>
              <w:jc w:val="center"/>
              <w:rPr>
                <w:rFonts w:ascii="仿宋" w:hAnsi="仿宋" w:eastAsia="仿宋" w:cs="仿宋"/>
                <w:color w:val="auto"/>
                <w:sz w:val="24"/>
                <w:highlight w:val="none"/>
              </w:rPr>
            </w:pPr>
          </w:p>
        </w:tc>
      </w:tr>
    </w:tbl>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说明：</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请按招标文件第四章的要求逐一填写，</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不得自行增减或删除、修改任何指标，也不能直接复制粘贴招标文件中的要求，必须填写真实数据，否则评标委员会将作出不利于</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的认定。</w:t>
      </w:r>
    </w:p>
    <w:p>
      <w:pPr>
        <w:spacing w:line="360" w:lineRule="auto"/>
        <w:ind w:right="187"/>
        <w:rPr>
          <w:rFonts w:ascii="仿宋" w:hAnsi="仿宋" w:eastAsia="仿宋" w:cs="仿宋"/>
          <w:bCs/>
          <w:color w:val="auto"/>
          <w:sz w:val="24"/>
          <w:highlight w:val="none"/>
          <w:u w:val="single"/>
        </w:rPr>
      </w:pPr>
    </w:p>
    <w:p>
      <w:pPr>
        <w:spacing w:line="360" w:lineRule="auto"/>
        <w:ind w:right="187"/>
        <w:rPr>
          <w:rFonts w:ascii="仿宋" w:hAnsi="仿宋" w:eastAsia="仿宋" w:cs="仿宋"/>
          <w:bCs/>
          <w:color w:val="auto"/>
          <w:sz w:val="24"/>
          <w:highlight w:val="none"/>
          <w:u w:val="single"/>
        </w:rPr>
      </w:pPr>
      <w:r>
        <w:rPr>
          <w:rFonts w:hint="eastAsia" w:ascii="仿宋" w:hAnsi="仿宋" w:eastAsia="仿宋" w:cs="仿宋"/>
          <w:color w:val="auto"/>
          <w:sz w:val="24"/>
          <w:highlight w:val="none"/>
          <w:lang w:eastAsia="zh-CN"/>
        </w:rPr>
        <w:t>投标人名</w:t>
      </w:r>
      <w:r>
        <w:rPr>
          <w:rFonts w:hint="eastAsia" w:ascii="仿宋" w:hAnsi="仿宋" w:eastAsia="仿宋" w:cs="仿宋"/>
          <w:color w:val="auto"/>
          <w:sz w:val="24"/>
          <w:highlight w:val="none"/>
        </w:rPr>
        <w:t>称</w:t>
      </w:r>
      <w:r>
        <w:rPr>
          <w:rFonts w:hint="eastAsia" w:ascii="仿宋" w:hAnsi="仿宋" w:eastAsia="仿宋" w:cs="仿宋"/>
          <w:bCs/>
          <w:color w:val="auto"/>
          <w:sz w:val="24"/>
          <w:highlight w:val="none"/>
        </w:rPr>
        <w:t>（公章）：</w:t>
      </w:r>
      <w:r>
        <w:rPr>
          <w:rFonts w:hint="eastAsia" w:ascii="仿宋" w:hAnsi="仿宋" w:eastAsia="仿宋" w:cs="仿宋"/>
          <w:bCs/>
          <w:color w:val="auto"/>
          <w:sz w:val="24"/>
          <w:highlight w:val="none"/>
          <w:u w:val="single"/>
        </w:rPr>
        <w:t xml:space="preserve">               </w:t>
      </w:r>
    </w:p>
    <w:p>
      <w:pPr>
        <w:spacing w:line="360" w:lineRule="auto"/>
        <w:ind w:right="187"/>
        <w:rPr>
          <w:rFonts w:ascii="仿宋" w:hAnsi="仿宋" w:eastAsia="仿宋" w:cs="仿宋"/>
          <w:bCs/>
          <w:color w:val="auto"/>
          <w:sz w:val="24"/>
          <w:highlight w:val="none"/>
          <w:u w:val="single"/>
        </w:rPr>
      </w:pPr>
    </w:p>
    <w:p>
      <w:pPr>
        <w:spacing w:line="360" w:lineRule="auto"/>
        <w:ind w:right="187"/>
        <w:rPr>
          <w:rFonts w:ascii="仿宋" w:hAnsi="仿宋" w:eastAsia="仿宋" w:cs="仿宋"/>
          <w:b/>
          <w:bCs/>
          <w:color w:val="auto"/>
          <w:sz w:val="24"/>
          <w:highlight w:val="none"/>
        </w:rPr>
      </w:pPr>
      <w:r>
        <w:rPr>
          <w:rFonts w:hint="eastAsia" w:ascii="仿宋" w:hAnsi="仿宋" w:eastAsia="仿宋" w:cs="仿宋"/>
          <w:bCs/>
          <w:color w:val="auto"/>
          <w:sz w:val="24"/>
          <w:highlight w:val="none"/>
        </w:rPr>
        <w:t>法定代表人或授权代理人签字或盖章：</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p>
    <w:p>
      <w:pPr>
        <w:pStyle w:val="10"/>
        <w:spacing w:line="360" w:lineRule="auto"/>
        <w:ind w:left="0" w:leftChars="0" w:firstLine="0" w:firstLineChars="0"/>
        <w:jc w:val="right"/>
        <w:rPr>
          <w:rFonts w:ascii="仿宋" w:hAnsi="仿宋" w:eastAsia="仿宋" w:cs="仿宋"/>
          <w:b/>
          <w:color w:val="auto"/>
          <w:sz w:val="20"/>
          <w:highlight w:val="none"/>
        </w:rPr>
      </w:pPr>
      <w:r>
        <w:rPr>
          <w:rFonts w:hint="eastAsia" w:ascii="仿宋" w:hAnsi="仿宋" w:eastAsia="仿宋" w:cs="仿宋"/>
          <w:color w:val="auto"/>
          <w:highlight w:val="none"/>
        </w:rPr>
        <w:t>年  月  日</w:t>
      </w:r>
      <w:r>
        <w:rPr>
          <w:rFonts w:hint="eastAsia" w:ascii="仿宋" w:hAnsi="仿宋" w:eastAsia="仿宋" w:cs="仿宋"/>
          <w:b/>
          <w:color w:val="auto"/>
          <w:highlight w:val="none"/>
        </w:rPr>
        <w:br w:type="page"/>
      </w:r>
    </w:p>
    <w:p>
      <w:pPr>
        <w:pStyle w:val="6"/>
        <w:spacing w:before="120" w:after="120" w:line="360" w:lineRule="auto"/>
        <w:rPr>
          <w:rFonts w:hint="eastAsia" w:ascii="仿宋" w:hAnsi="仿宋" w:eastAsia="仿宋" w:cs="仿宋"/>
          <w:b/>
          <w:bCs/>
          <w:color w:val="auto"/>
          <w:sz w:val="24"/>
          <w:szCs w:val="21"/>
          <w:highlight w:val="none"/>
        </w:rPr>
      </w:pPr>
      <w:bookmarkStart w:id="139" w:name="_Toc482"/>
      <w:r>
        <w:rPr>
          <w:rFonts w:hint="eastAsia" w:ascii="仿宋" w:hAnsi="仿宋" w:eastAsia="仿宋" w:cs="仿宋"/>
          <w:b/>
          <w:bCs/>
          <w:color w:val="auto"/>
          <w:sz w:val="24"/>
          <w:szCs w:val="21"/>
          <w:highlight w:val="none"/>
        </w:rPr>
        <w:t>附件</w:t>
      </w:r>
      <w:r>
        <w:rPr>
          <w:rFonts w:hint="eastAsia" w:ascii="仿宋" w:hAnsi="仿宋" w:eastAsia="仿宋" w:cs="仿宋"/>
          <w:b/>
          <w:bCs/>
          <w:color w:val="auto"/>
          <w:sz w:val="24"/>
          <w:szCs w:val="21"/>
          <w:highlight w:val="none"/>
          <w:lang w:eastAsia="zh-CN"/>
        </w:rPr>
        <w:t>八</w:t>
      </w:r>
      <w:r>
        <w:rPr>
          <w:rFonts w:hint="eastAsia" w:ascii="仿宋" w:hAnsi="仿宋" w:eastAsia="仿宋" w:cs="仿宋"/>
          <w:b/>
          <w:bCs/>
          <w:color w:val="auto"/>
          <w:sz w:val="24"/>
          <w:szCs w:val="21"/>
          <w:highlight w:val="none"/>
        </w:rPr>
        <w:t>：项目拟投入人员情况一览表</w:t>
      </w:r>
      <w:bookmarkEnd w:id="139"/>
    </w:p>
    <w:p>
      <w:pPr>
        <w:jc w:val="center"/>
        <w:rPr>
          <w:rFonts w:hint="eastAsia"/>
          <w:b/>
          <w:bCs/>
          <w:color w:val="auto"/>
          <w:sz w:val="22"/>
          <w:szCs w:val="28"/>
          <w:highlight w:val="none"/>
        </w:rPr>
      </w:pP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bCs/>
          <w:color w:val="auto"/>
          <w:sz w:val="28"/>
          <w:szCs w:val="22"/>
          <w:highlight w:val="none"/>
        </w:rPr>
        <w:t>包项目拟投入人员情况一览表</w:t>
      </w:r>
    </w:p>
    <w:p>
      <w:pPr>
        <w:pStyle w:val="10"/>
        <w:spacing w:line="360" w:lineRule="auto"/>
        <w:ind w:left="0" w:leftChars="0" w:firstLine="0" w:firstLineChars="0"/>
        <w:rPr>
          <w:rFonts w:ascii="仿宋" w:hAnsi="仿宋" w:eastAsia="仿宋" w:cs="仿宋"/>
          <w:bCs/>
          <w:color w:val="auto"/>
          <w:highlight w:val="none"/>
        </w:rPr>
      </w:pPr>
      <w:r>
        <w:rPr>
          <w:rFonts w:hint="eastAsia" w:ascii="仿宋" w:hAnsi="仿宋" w:eastAsia="仿宋" w:cs="仿宋"/>
          <w:bCs/>
          <w:color w:val="auto"/>
          <w:highlight w:val="none"/>
          <w:lang w:eastAsia="zh-CN"/>
        </w:rPr>
        <w:t>项目编号</w:t>
      </w:r>
      <w:r>
        <w:rPr>
          <w:rFonts w:hint="eastAsia" w:ascii="仿宋" w:hAnsi="仿宋" w:eastAsia="仿宋" w:cs="仿宋"/>
          <w:b/>
          <w:bCs/>
          <w:color w:val="auto"/>
          <w:highlight w:val="none"/>
        </w:rPr>
        <w:t>：</w:t>
      </w:r>
      <w:r>
        <w:rPr>
          <w:rFonts w:hint="eastAsia" w:ascii="仿宋" w:hAnsi="仿宋" w:eastAsia="仿宋" w:cs="仿宋"/>
          <w:color w:val="auto"/>
          <w:highlight w:val="none"/>
        </w:rPr>
        <w:t>__</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___</w:t>
      </w:r>
    </w:p>
    <w:p>
      <w:pPr>
        <w:pStyle w:val="10"/>
        <w:spacing w:line="360" w:lineRule="auto"/>
        <w:ind w:left="0" w:leftChars="0" w:firstLine="0" w:firstLineChars="0"/>
        <w:rPr>
          <w:rFonts w:hint="eastAsia" w:ascii="仿宋" w:hAnsi="仿宋" w:eastAsia="仿宋" w:cs="仿宋"/>
          <w:bCs/>
          <w:color w:val="auto"/>
          <w:highlight w:val="none"/>
        </w:rPr>
      </w:pPr>
      <w:r>
        <w:rPr>
          <w:rFonts w:hint="eastAsia" w:ascii="仿宋" w:hAnsi="仿宋" w:eastAsia="仿宋" w:cs="仿宋"/>
          <w:bCs/>
          <w:color w:val="auto"/>
          <w:highlight w:val="none"/>
        </w:rPr>
        <w:t>项目名称</w:t>
      </w:r>
      <w:r>
        <w:rPr>
          <w:rFonts w:hint="eastAsia" w:ascii="仿宋" w:hAnsi="仿宋" w:eastAsia="仿宋" w:cs="仿宋"/>
          <w:b/>
          <w:bCs/>
          <w:color w:val="auto"/>
          <w:highlight w:val="none"/>
        </w:rPr>
        <w:t>：</w:t>
      </w:r>
      <w:r>
        <w:rPr>
          <w:rFonts w:hint="eastAsia" w:ascii="仿宋" w:hAnsi="仿宋" w:eastAsia="仿宋" w:cs="仿宋"/>
          <w:bCs/>
          <w:color w:val="auto"/>
          <w:highlight w:val="none"/>
        </w:rPr>
        <w:t xml:space="preserve">____________________    </w:t>
      </w:r>
      <w:r>
        <w:rPr>
          <w:rFonts w:hint="eastAsia" w:ascii="仿宋" w:hAnsi="仿宋" w:eastAsia="仿宋" w:cs="仿宋"/>
          <w:b/>
          <w:bCs/>
          <w:color w:val="auto"/>
          <w:highlight w:val="none"/>
        </w:rPr>
        <w:t xml:space="preserve">         </w:t>
      </w:r>
      <w:r>
        <w:rPr>
          <w:rFonts w:hint="eastAsia" w:ascii="仿宋" w:hAnsi="仿宋" w:eastAsia="仿宋" w:cs="仿宋"/>
          <w:bCs/>
          <w:color w:val="auto"/>
          <w:highlight w:val="none"/>
        </w:rPr>
        <w:t xml:space="preserve">                     </w:t>
      </w:r>
    </w:p>
    <w:tbl>
      <w:tblPr>
        <w:tblStyle w:val="23"/>
        <w:tblW w:w="9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348"/>
        <w:gridCol w:w="1130"/>
        <w:gridCol w:w="786"/>
        <w:gridCol w:w="816"/>
        <w:gridCol w:w="1086"/>
        <w:gridCol w:w="1113"/>
        <w:gridCol w:w="2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75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color w:val="auto"/>
                <w:highlight w:val="none"/>
              </w:rPr>
            </w:pPr>
            <w:r>
              <w:rPr>
                <w:rFonts w:hint="eastAsia" w:ascii="仿宋" w:hAnsi="仿宋" w:eastAsia="仿宋" w:cs="仿宋"/>
                <w:color w:val="auto"/>
                <w:szCs w:val="21"/>
                <w:highlight w:val="none"/>
              </w:rPr>
              <w:t>序号</w:t>
            </w:r>
          </w:p>
        </w:tc>
        <w:tc>
          <w:tcPr>
            <w:tcW w:w="13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分工</w:t>
            </w:r>
          </w:p>
        </w:tc>
        <w:tc>
          <w:tcPr>
            <w:tcW w:w="11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姓名</w:t>
            </w:r>
          </w:p>
        </w:tc>
        <w:tc>
          <w:tcPr>
            <w:tcW w:w="7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年龄</w:t>
            </w:r>
          </w:p>
        </w:tc>
        <w:tc>
          <w:tcPr>
            <w:tcW w:w="8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学历</w:t>
            </w:r>
          </w:p>
        </w:tc>
        <w:tc>
          <w:tcPr>
            <w:tcW w:w="10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所学专业</w:t>
            </w:r>
          </w:p>
        </w:tc>
        <w:tc>
          <w:tcPr>
            <w:tcW w:w="11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职称</w:t>
            </w:r>
          </w:p>
        </w:tc>
        <w:tc>
          <w:tcPr>
            <w:tcW w:w="25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color w:val="auto"/>
                <w:highlight w:val="none"/>
              </w:rPr>
            </w:pPr>
            <w:r>
              <w:rPr>
                <w:rFonts w:hint="eastAsia" w:ascii="仿宋" w:hAnsi="仿宋" w:eastAsia="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color w:val="auto"/>
                <w:highlight w:val="none"/>
              </w:rPr>
            </w:pPr>
          </w:p>
        </w:tc>
      </w:tr>
    </w:tbl>
    <w:p>
      <w:pPr>
        <w:pStyle w:val="31"/>
        <w:rPr>
          <w:color w:val="auto"/>
          <w:highlight w:val="none"/>
        </w:rPr>
      </w:pPr>
    </w:p>
    <w:p>
      <w:pPr>
        <w:spacing w:line="360" w:lineRule="auto"/>
        <w:ind w:right="187"/>
        <w:rPr>
          <w:rFonts w:ascii="仿宋" w:hAnsi="仿宋" w:eastAsia="仿宋" w:cs="仿宋"/>
          <w:bCs/>
          <w:color w:val="auto"/>
          <w:sz w:val="24"/>
          <w:highlight w:val="none"/>
          <w:u w:val="single"/>
        </w:rPr>
      </w:pPr>
      <w:r>
        <w:rPr>
          <w:rFonts w:hint="eastAsia" w:ascii="仿宋" w:hAnsi="仿宋" w:eastAsia="仿宋" w:cs="仿宋"/>
          <w:color w:val="auto"/>
          <w:sz w:val="24"/>
          <w:highlight w:val="none"/>
          <w:lang w:eastAsia="zh-CN"/>
        </w:rPr>
        <w:t>投标人名</w:t>
      </w:r>
      <w:r>
        <w:rPr>
          <w:rFonts w:hint="eastAsia" w:ascii="仿宋" w:hAnsi="仿宋" w:eastAsia="仿宋" w:cs="仿宋"/>
          <w:color w:val="auto"/>
          <w:sz w:val="24"/>
          <w:highlight w:val="none"/>
        </w:rPr>
        <w:t>称</w:t>
      </w:r>
      <w:r>
        <w:rPr>
          <w:rFonts w:hint="eastAsia" w:ascii="仿宋" w:hAnsi="仿宋" w:eastAsia="仿宋" w:cs="仿宋"/>
          <w:bCs/>
          <w:color w:val="auto"/>
          <w:sz w:val="24"/>
          <w:highlight w:val="none"/>
        </w:rPr>
        <w:t>（公章）：</w:t>
      </w:r>
      <w:r>
        <w:rPr>
          <w:rFonts w:hint="eastAsia" w:ascii="仿宋" w:hAnsi="仿宋" w:eastAsia="仿宋" w:cs="仿宋"/>
          <w:bCs/>
          <w:color w:val="auto"/>
          <w:sz w:val="24"/>
          <w:highlight w:val="none"/>
          <w:u w:val="single"/>
        </w:rPr>
        <w:t xml:space="preserve">               </w:t>
      </w:r>
    </w:p>
    <w:p>
      <w:pPr>
        <w:spacing w:line="360" w:lineRule="auto"/>
        <w:ind w:right="187"/>
        <w:rPr>
          <w:rFonts w:ascii="仿宋" w:hAnsi="仿宋" w:eastAsia="仿宋" w:cs="仿宋"/>
          <w:bCs/>
          <w:color w:val="auto"/>
          <w:sz w:val="24"/>
          <w:highlight w:val="none"/>
          <w:u w:val="single"/>
        </w:rPr>
      </w:pPr>
    </w:p>
    <w:p>
      <w:pPr>
        <w:spacing w:line="360" w:lineRule="auto"/>
        <w:ind w:right="187"/>
        <w:rPr>
          <w:rFonts w:ascii="仿宋" w:hAnsi="仿宋" w:eastAsia="仿宋" w:cs="仿宋"/>
          <w:b/>
          <w:bCs/>
          <w:color w:val="auto"/>
          <w:sz w:val="24"/>
          <w:highlight w:val="none"/>
        </w:rPr>
      </w:pPr>
      <w:r>
        <w:rPr>
          <w:rFonts w:hint="eastAsia" w:ascii="仿宋" w:hAnsi="仿宋" w:eastAsia="仿宋" w:cs="仿宋"/>
          <w:bCs/>
          <w:color w:val="auto"/>
          <w:sz w:val="24"/>
          <w:highlight w:val="none"/>
        </w:rPr>
        <w:t>法定代表人或授权代理人签字或盖章：</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p>
    <w:p>
      <w:pPr>
        <w:pStyle w:val="10"/>
        <w:spacing w:line="360" w:lineRule="auto"/>
        <w:ind w:left="0" w:leftChars="0" w:firstLine="0" w:firstLineChars="0"/>
        <w:jc w:val="right"/>
        <w:rPr>
          <w:rFonts w:ascii="仿宋" w:hAnsi="仿宋" w:eastAsia="仿宋" w:cs="仿宋"/>
          <w:b/>
          <w:color w:val="auto"/>
          <w:sz w:val="20"/>
          <w:highlight w:val="none"/>
        </w:rPr>
      </w:pPr>
      <w:r>
        <w:rPr>
          <w:rFonts w:hint="eastAsia" w:ascii="仿宋" w:hAnsi="仿宋" w:eastAsia="仿宋" w:cs="仿宋"/>
          <w:color w:val="auto"/>
          <w:highlight w:val="none"/>
        </w:rPr>
        <w:t>年  月  日</w:t>
      </w:r>
      <w:r>
        <w:rPr>
          <w:rFonts w:hint="eastAsia" w:ascii="仿宋" w:hAnsi="仿宋" w:eastAsia="仿宋" w:cs="仿宋"/>
          <w:b/>
          <w:color w:val="auto"/>
          <w:highlight w:val="none"/>
        </w:rPr>
        <w:br w:type="page"/>
      </w:r>
    </w:p>
    <w:p>
      <w:pPr>
        <w:pStyle w:val="6"/>
        <w:spacing w:before="120" w:after="120" w:line="360" w:lineRule="auto"/>
        <w:rPr>
          <w:rFonts w:ascii="仿宋" w:hAnsi="仿宋" w:eastAsia="仿宋" w:cs="仿宋"/>
          <w:b/>
          <w:bCs/>
          <w:color w:val="auto"/>
          <w:sz w:val="24"/>
          <w:szCs w:val="21"/>
          <w:highlight w:val="none"/>
        </w:rPr>
      </w:pPr>
      <w:bookmarkStart w:id="140" w:name="_Toc7347"/>
      <w:r>
        <w:rPr>
          <w:rFonts w:hint="eastAsia" w:ascii="仿宋" w:hAnsi="仿宋" w:eastAsia="仿宋" w:cs="仿宋"/>
          <w:b/>
          <w:bCs/>
          <w:color w:val="auto"/>
          <w:sz w:val="24"/>
          <w:szCs w:val="21"/>
          <w:highlight w:val="none"/>
        </w:rPr>
        <w:t>附件</w:t>
      </w:r>
      <w:r>
        <w:rPr>
          <w:rFonts w:hint="eastAsia" w:ascii="仿宋" w:hAnsi="仿宋" w:eastAsia="仿宋" w:cs="仿宋"/>
          <w:b/>
          <w:bCs/>
          <w:color w:val="auto"/>
          <w:sz w:val="24"/>
          <w:szCs w:val="21"/>
          <w:highlight w:val="none"/>
          <w:lang w:eastAsia="zh-CN"/>
        </w:rPr>
        <w:t>九</w:t>
      </w:r>
      <w:r>
        <w:rPr>
          <w:rFonts w:hint="eastAsia" w:ascii="仿宋" w:hAnsi="仿宋" w:eastAsia="仿宋" w:cs="仿宋"/>
          <w:b/>
          <w:bCs/>
          <w:color w:val="auto"/>
          <w:sz w:val="24"/>
          <w:szCs w:val="21"/>
          <w:highlight w:val="none"/>
        </w:rPr>
        <w:t>：近年类似业绩一览表</w:t>
      </w:r>
      <w:bookmarkEnd w:id="140"/>
    </w:p>
    <w:p>
      <w:pPr>
        <w:pStyle w:val="9"/>
        <w:spacing w:before="0" w:after="0" w:line="360" w:lineRule="auto"/>
        <w:rPr>
          <w:rFonts w:ascii="仿宋" w:hAnsi="仿宋" w:eastAsia="仿宋" w:cs="仿宋"/>
          <w:color w:val="auto"/>
          <w:highlight w:val="none"/>
        </w:rPr>
      </w:pPr>
    </w:p>
    <w:p>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包近年类似业绩一览表</w:t>
      </w:r>
    </w:p>
    <w:p>
      <w:pPr>
        <w:pStyle w:val="10"/>
        <w:spacing w:line="360" w:lineRule="auto"/>
        <w:ind w:left="0" w:leftChars="0" w:firstLine="0" w:firstLineChars="0"/>
        <w:rPr>
          <w:rFonts w:ascii="仿宋" w:hAnsi="仿宋" w:eastAsia="仿宋" w:cs="仿宋"/>
          <w:bCs/>
          <w:color w:val="auto"/>
          <w:highlight w:val="none"/>
        </w:rPr>
      </w:pPr>
      <w:r>
        <w:rPr>
          <w:rFonts w:hint="eastAsia" w:ascii="仿宋" w:hAnsi="仿宋" w:eastAsia="仿宋" w:cs="仿宋"/>
          <w:bCs/>
          <w:color w:val="auto"/>
          <w:highlight w:val="none"/>
          <w:lang w:eastAsia="zh-CN"/>
        </w:rPr>
        <w:t>项目</w:t>
      </w:r>
      <w:r>
        <w:rPr>
          <w:rFonts w:hint="eastAsia" w:ascii="仿宋" w:hAnsi="仿宋" w:eastAsia="仿宋" w:cs="仿宋"/>
          <w:bCs/>
          <w:color w:val="auto"/>
          <w:highlight w:val="none"/>
        </w:rPr>
        <w:t>编号</w:t>
      </w:r>
      <w:r>
        <w:rPr>
          <w:rFonts w:hint="eastAsia" w:ascii="仿宋" w:hAnsi="仿宋" w:eastAsia="仿宋" w:cs="仿宋"/>
          <w:b/>
          <w:bCs/>
          <w:color w:val="auto"/>
          <w:highlight w:val="none"/>
        </w:rPr>
        <w:t>：</w:t>
      </w:r>
      <w:r>
        <w:rPr>
          <w:rFonts w:hint="eastAsia" w:ascii="仿宋" w:hAnsi="仿宋" w:eastAsia="仿宋" w:cs="仿宋"/>
          <w:color w:val="auto"/>
          <w:highlight w:val="none"/>
        </w:rPr>
        <w:t xml:space="preserve"> </w:t>
      </w:r>
      <w:r>
        <w:rPr>
          <w:rFonts w:hint="eastAsia" w:ascii="仿宋" w:hAnsi="仿宋" w:eastAsia="仿宋" w:cs="仿宋"/>
          <w:bCs/>
          <w:color w:val="auto"/>
          <w:highlight w:val="none"/>
        </w:rPr>
        <w:t>____________________</w:t>
      </w:r>
    </w:p>
    <w:p>
      <w:pPr>
        <w:pStyle w:val="10"/>
        <w:spacing w:line="360" w:lineRule="auto"/>
        <w:ind w:left="0" w:leftChars="0" w:firstLine="0" w:firstLineChars="0"/>
        <w:rPr>
          <w:rFonts w:ascii="仿宋" w:hAnsi="仿宋" w:eastAsia="仿宋" w:cs="仿宋"/>
          <w:b/>
          <w:color w:val="auto"/>
          <w:highlight w:val="none"/>
        </w:rPr>
      </w:pPr>
      <w:r>
        <w:rPr>
          <w:rFonts w:hint="eastAsia" w:ascii="仿宋" w:hAnsi="仿宋" w:eastAsia="仿宋" w:cs="仿宋"/>
          <w:bCs/>
          <w:color w:val="auto"/>
          <w:highlight w:val="none"/>
        </w:rPr>
        <w:t>项目名称</w:t>
      </w:r>
      <w:r>
        <w:rPr>
          <w:rFonts w:hint="eastAsia" w:ascii="仿宋" w:hAnsi="仿宋" w:eastAsia="仿宋" w:cs="仿宋"/>
          <w:b/>
          <w:bCs/>
          <w:color w:val="auto"/>
          <w:highlight w:val="none"/>
        </w:rPr>
        <w:t>：</w:t>
      </w:r>
      <w:r>
        <w:rPr>
          <w:rFonts w:hint="eastAsia" w:ascii="仿宋" w:hAnsi="仿宋" w:eastAsia="仿宋" w:cs="仿宋"/>
          <w:bCs/>
          <w:color w:val="auto"/>
          <w:highlight w:val="none"/>
        </w:rPr>
        <w:t xml:space="preserve">____________________                                                                  </w:t>
      </w:r>
    </w:p>
    <w:tbl>
      <w:tblPr>
        <w:tblStyle w:val="2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0"/>
        <w:gridCol w:w="1587"/>
        <w:gridCol w:w="1495"/>
        <w:gridCol w:w="1101"/>
        <w:gridCol w:w="1046"/>
        <w:gridCol w:w="1137"/>
        <w:gridCol w:w="1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680" w:type="dxa"/>
            <w:vAlign w:val="center"/>
          </w:tcPr>
          <w:p>
            <w:pPr>
              <w:tabs>
                <w:tab w:val="left" w:pos="720"/>
                <w:tab w:val="left" w:pos="1440"/>
                <w:tab w:val="left" w:pos="1620"/>
              </w:tabs>
              <w:spacing w:line="360" w:lineRule="auto"/>
              <w:ind w:left="-97" w:leftChars="-46"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项目名称</w:t>
            </w:r>
          </w:p>
        </w:tc>
        <w:tc>
          <w:tcPr>
            <w:tcW w:w="1587" w:type="dxa"/>
            <w:vAlign w:val="center"/>
          </w:tcPr>
          <w:p>
            <w:pPr>
              <w:tabs>
                <w:tab w:val="left" w:pos="720"/>
                <w:tab w:val="left" w:pos="1440"/>
                <w:tab w:val="left" w:pos="1620"/>
              </w:tabs>
              <w:spacing w:line="360" w:lineRule="auto"/>
              <w:ind w:left="-97" w:leftChars="-46"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项目单位</w:t>
            </w:r>
          </w:p>
        </w:tc>
        <w:tc>
          <w:tcPr>
            <w:tcW w:w="1495" w:type="dxa"/>
            <w:vAlign w:val="center"/>
          </w:tcPr>
          <w:p>
            <w:pPr>
              <w:tabs>
                <w:tab w:val="left" w:pos="720"/>
                <w:tab w:val="left" w:pos="1440"/>
                <w:tab w:val="left" w:pos="1620"/>
              </w:tabs>
              <w:spacing w:line="360" w:lineRule="auto"/>
              <w:ind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合同内容</w:t>
            </w:r>
          </w:p>
        </w:tc>
        <w:tc>
          <w:tcPr>
            <w:tcW w:w="1101" w:type="dxa"/>
            <w:vAlign w:val="center"/>
          </w:tcPr>
          <w:p>
            <w:pPr>
              <w:tabs>
                <w:tab w:val="left" w:pos="720"/>
                <w:tab w:val="left" w:pos="1440"/>
                <w:tab w:val="left" w:pos="1620"/>
              </w:tabs>
              <w:spacing w:line="360" w:lineRule="auto"/>
              <w:ind w:left="-97" w:leftChars="-46"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合同额</w:t>
            </w:r>
          </w:p>
        </w:tc>
        <w:tc>
          <w:tcPr>
            <w:tcW w:w="1046" w:type="dxa"/>
            <w:vAlign w:val="center"/>
          </w:tcPr>
          <w:p>
            <w:pPr>
              <w:tabs>
                <w:tab w:val="left" w:pos="720"/>
                <w:tab w:val="left" w:pos="1440"/>
                <w:tab w:val="left" w:pos="1620"/>
              </w:tabs>
              <w:spacing w:line="360" w:lineRule="auto"/>
              <w:ind w:left="-97" w:leftChars="-46"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合同签订时间</w:t>
            </w:r>
          </w:p>
        </w:tc>
        <w:tc>
          <w:tcPr>
            <w:tcW w:w="1137" w:type="dxa"/>
            <w:vAlign w:val="center"/>
          </w:tcPr>
          <w:p>
            <w:pPr>
              <w:tabs>
                <w:tab w:val="left" w:pos="720"/>
                <w:tab w:val="left" w:pos="1440"/>
                <w:tab w:val="left" w:pos="1620"/>
              </w:tabs>
              <w:spacing w:line="360" w:lineRule="auto"/>
              <w:ind w:left="-97" w:leftChars="-46"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项目单位联系人</w:t>
            </w:r>
          </w:p>
        </w:tc>
        <w:tc>
          <w:tcPr>
            <w:tcW w:w="1241" w:type="dxa"/>
            <w:vAlign w:val="center"/>
          </w:tcPr>
          <w:p>
            <w:pPr>
              <w:tabs>
                <w:tab w:val="left" w:pos="720"/>
                <w:tab w:val="left" w:pos="1440"/>
                <w:tab w:val="left" w:pos="1620"/>
              </w:tabs>
              <w:spacing w:line="360" w:lineRule="auto"/>
              <w:ind w:left="-97" w:leftChars="-46" w:right="-68"/>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58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495"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0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046"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137"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c>
          <w:tcPr>
            <w:tcW w:w="1241" w:type="dxa"/>
          </w:tcPr>
          <w:p>
            <w:pPr>
              <w:tabs>
                <w:tab w:val="left" w:pos="720"/>
                <w:tab w:val="left" w:pos="1440"/>
                <w:tab w:val="left" w:pos="1620"/>
              </w:tabs>
              <w:spacing w:line="360" w:lineRule="auto"/>
              <w:ind w:right="187"/>
              <w:rPr>
                <w:rFonts w:ascii="仿宋" w:hAnsi="仿宋" w:eastAsia="仿宋" w:cs="仿宋"/>
                <w:color w:val="auto"/>
                <w:sz w:val="24"/>
                <w:highlight w:val="none"/>
              </w:rPr>
            </w:pPr>
          </w:p>
        </w:tc>
      </w:tr>
    </w:tbl>
    <w:p>
      <w:pPr>
        <w:pStyle w:val="10"/>
        <w:spacing w:line="360" w:lineRule="auto"/>
        <w:ind w:left="0" w:leftChars="0" w:firstLine="0" w:firstLineChars="0"/>
        <w:rPr>
          <w:rFonts w:ascii="仿宋" w:hAnsi="仿宋" w:eastAsia="仿宋" w:cs="仿宋"/>
          <w:b/>
          <w:bCs/>
          <w:color w:val="auto"/>
          <w:sz w:val="21"/>
          <w:highlight w:val="none"/>
        </w:rPr>
      </w:pPr>
      <w:r>
        <w:rPr>
          <w:rFonts w:hint="eastAsia" w:ascii="仿宋" w:hAnsi="仿宋" w:eastAsia="仿宋" w:cs="仿宋"/>
          <w:b/>
          <w:bCs/>
          <w:color w:val="auto"/>
          <w:sz w:val="21"/>
          <w:highlight w:val="none"/>
        </w:rPr>
        <w:t>请在此表后附合同或其他相关证明材料。具体要求详见评标办法。近年年份要求详见须知前附表。</w:t>
      </w:r>
    </w:p>
    <w:p>
      <w:pPr>
        <w:spacing w:line="360" w:lineRule="auto"/>
        <w:ind w:right="187"/>
        <w:rPr>
          <w:rFonts w:ascii="仿宋" w:hAnsi="仿宋" w:eastAsia="仿宋" w:cs="仿宋"/>
          <w:bCs/>
          <w:color w:val="auto"/>
          <w:sz w:val="24"/>
          <w:highlight w:val="none"/>
          <w:u w:val="single"/>
        </w:rPr>
      </w:pPr>
      <w:r>
        <w:rPr>
          <w:rFonts w:hint="eastAsia" w:ascii="仿宋" w:hAnsi="仿宋" w:eastAsia="仿宋" w:cs="仿宋"/>
          <w:color w:val="auto"/>
          <w:sz w:val="24"/>
          <w:highlight w:val="none"/>
          <w:lang w:eastAsia="zh-CN"/>
        </w:rPr>
        <w:t>投标人名</w:t>
      </w:r>
      <w:r>
        <w:rPr>
          <w:rFonts w:hint="eastAsia" w:ascii="仿宋" w:hAnsi="仿宋" w:eastAsia="仿宋" w:cs="仿宋"/>
          <w:color w:val="auto"/>
          <w:sz w:val="24"/>
          <w:highlight w:val="none"/>
        </w:rPr>
        <w:t>称</w:t>
      </w:r>
      <w:r>
        <w:rPr>
          <w:rFonts w:hint="eastAsia" w:ascii="仿宋" w:hAnsi="仿宋" w:eastAsia="仿宋" w:cs="仿宋"/>
          <w:bCs/>
          <w:color w:val="auto"/>
          <w:sz w:val="24"/>
          <w:highlight w:val="none"/>
        </w:rPr>
        <w:t>（公章）：</w:t>
      </w:r>
      <w:r>
        <w:rPr>
          <w:rFonts w:hint="eastAsia" w:ascii="仿宋" w:hAnsi="仿宋" w:eastAsia="仿宋" w:cs="仿宋"/>
          <w:bCs/>
          <w:color w:val="auto"/>
          <w:sz w:val="24"/>
          <w:highlight w:val="none"/>
          <w:u w:val="single"/>
        </w:rPr>
        <w:t xml:space="preserve">               </w:t>
      </w:r>
    </w:p>
    <w:p>
      <w:pPr>
        <w:spacing w:line="360" w:lineRule="auto"/>
        <w:ind w:right="187"/>
        <w:rPr>
          <w:rFonts w:ascii="仿宋" w:hAnsi="仿宋" w:eastAsia="仿宋" w:cs="仿宋"/>
          <w:b/>
          <w:bCs/>
          <w:color w:val="auto"/>
          <w:sz w:val="24"/>
          <w:highlight w:val="none"/>
        </w:rPr>
      </w:pPr>
      <w:r>
        <w:rPr>
          <w:rFonts w:hint="eastAsia" w:ascii="仿宋" w:hAnsi="仿宋" w:eastAsia="仿宋" w:cs="仿宋"/>
          <w:bCs/>
          <w:color w:val="auto"/>
          <w:sz w:val="24"/>
          <w:highlight w:val="none"/>
        </w:rPr>
        <w:t>法定代表人或授权代理人签字或盖章：</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p>
    <w:p>
      <w:pPr>
        <w:pStyle w:val="10"/>
        <w:spacing w:line="360" w:lineRule="auto"/>
        <w:ind w:left="0" w:leftChars="0" w:firstLine="0" w:firstLineChars="0"/>
        <w:jc w:val="right"/>
        <w:rPr>
          <w:rFonts w:ascii="仿宋" w:hAnsi="仿宋" w:eastAsia="仿宋" w:cs="仿宋"/>
          <w:bCs/>
          <w:color w:val="auto"/>
          <w:highlight w:val="none"/>
        </w:rPr>
        <w:sectPr>
          <w:headerReference r:id="rId7" w:type="default"/>
          <w:footerReference r:id="rId8" w:type="default"/>
          <w:pgSz w:w="11907" w:h="16840"/>
          <w:pgMar w:top="1418" w:right="1418" w:bottom="1418" w:left="1418" w:header="851" w:footer="851" w:gutter="0"/>
          <w:pgNumType w:fmt="decimal"/>
          <w:cols w:space="720" w:num="1"/>
          <w:docGrid w:linePitch="290" w:charSpace="-3931"/>
        </w:sectPr>
      </w:pPr>
      <w:r>
        <w:rPr>
          <w:rFonts w:hint="eastAsia" w:ascii="仿宋" w:hAnsi="仿宋" w:eastAsia="仿宋" w:cs="仿宋"/>
          <w:bCs/>
          <w:color w:val="auto"/>
          <w:highlight w:val="none"/>
        </w:rPr>
        <w:t>年  月  日</w:t>
      </w:r>
    </w:p>
    <w:p>
      <w:pPr>
        <w:pStyle w:val="6"/>
        <w:spacing w:before="120" w:after="120" w:line="360" w:lineRule="auto"/>
        <w:rPr>
          <w:rFonts w:ascii="仿宋" w:hAnsi="仿宋" w:eastAsia="仿宋" w:cs="仿宋"/>
          <w:b/>
          <w:bCs/>
          <w:color w:val="auto"/>
          <w:sz w:val="24"/>
          <w:szCs w:val="21"/>
          <w:highlight w:val="none"/>
        </w:rPr>
      </w:pPr>
      <w:bookmarkStart w:id="141" w:name="_Toc7455"/>
      <w:r>
        <w:rPr>
          <w:rFonts w:hint="eastAsia" w:ascii="仿宋" w:hAnsi="仿宋" w:eastAsia="仿宋" w:cs="仿宋"/>
          <w:b/>
          <w:bCs/>
          <w:color w:val="auto"/>
          <w:sz w:val="24"/>
          <w:szCs w:val="21"/>
          <w:highlight w:val="none"/>
        </w:rPr>
        <w:t>附件</w:t>
      </w:r>
      <w:r>
        <w:rPr>
          <w:rFonts w:hint="eastAsia" w:ascii="仿宋" w:hAnsi="仿宋" w:eastAsia="仿宋" w:cs="仿宋"/>
          <w:b/>
          <w:bCs/>
          <w:color w:val="auto"/>
          <w:sz w:val="24"/>
          <w:szCs w:val="21"/>
          <w:highlight w:val="none"/>
          <w:lang w:eastAsia="zh-CN"/>
        </w:rPr>
        <w:t>十</w:t>
      </w:r>
      <w:r>
        <w:rPr>
          <w:rFonts w:hint="eastAsia" w:ascii="仿宋" w:hAnsi="仿宋" w:eastAsia="仿宋" w:cs="仿宋"/>
          <w:b/>
          <w:bCs/>
          <w:color w:val="auto"/>
          <w:sz w:val="24"/>
          <w:szCs w:val="21"/>
          <w:highlight w:val="none"/>
        </w:rPr>
        <w:t>：近三年无重大违法记录的声明</w:t>
      </w:r>
      <w:bookmarkEnd w:id="141"/>
    </w:p>
    <w:p>
      <w:pPr>
        <w:spacing w:line="360" w:lineRule="auto"/>
        <w:ind w:right="187"/>
        <w:rPr>
          <w:rFonts w:ascii="仿宋" w:hAnsi="仿宋" w:eastAsia="仿宋" w:cs="仿宋"/>
          <w:bCs/>
          <w:color w:val="auto"/>
          <w:sz w:val="24"/>
          <w:highlight w:val="none"/>
        </w:rPr>
      </w:pPr>
    </w:p>
    <w:p>
      <w:pPr>
        <w:spacing w:line="360" w:lineRule="auto"/>
        <w:ind w:right="187"/>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参加政府采购活动前三年内，在经营活动中没有重大违法记录的声明</w:t>
      </w:r>
    </w:p>
    <w:p>
      <w:pPr>
        <w:spacing w:line="360" w:lineRule="auto"/>
        <w:jc w:val="left"/>
        <w:rPr>
          <w:rFonts w:ascii="仿宋" w:hAnsi="仿宋" w:eastAsia="仿宋" w:cs="仿宋"/>
          <w:color w:val="auto"/>
          <w:sz w:val="24"/>
          <w:highlight w:val="none"/>
          <w:u w:val="single"/>
        </w:rPr>
      </w:pPr>
    </w:p>
    <w:p>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名称）：</w:t>
      </w:r>
    </w:p>
    <w:p>
      <w:pPr>
        <w:spacing w:line="360" w:lineRule="auto"/>
        <w:ind w:firstLine="480" w:firstLineChars="200"/>
        <w:jc w:val="left"/>
        <w:rPr>
          <w:rFonts w:ascii="仿宋" w:hAnsi="仿宋" w:eastAsia="仿宋" w:cs="仿宋"/>
          <w:color w:val="auto"/>
          <w:sz w:val="24"/>
          <w:highlight w:val="none"/>
        </w:rPr>
      </w:pPr>
    </w:p>
    <w:p>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我单位郑重声明：自本项目公开报价之日起向前追溯三年，我单位没有以下重大违法记录：因违法经营受到刑事处罚或者责令停产停业、吊销许可证或者执照、较大数额罚款等行政处罚。</w:t>
      </w:r>
    </w:p>
    <w:p>
      <w:pPr>
        <w:spacing w:line="360" w:lineRule="auto"/>
        <w:ind w:firstLine="480" w:firstLineChars="200"/>
        <w:jc w:val="left"/>
        <w:rPr>
          <w:rFonts w:ascii="仿宋" w:hAnsi="仿宋" w:eastAsia="仿宋" w:cs="仿宋"/>
          <w:color w:val="auto"/>
          <w:sz w:val="24"/>
          <w:highlight w:val="none"/>
        </w:rPr>
      </w:pPr>
    </w:p>
    <w:p>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p>
    <w:p>
      <w:pP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1.如不提供本声明函，将作无效投标处理。</w:t>
      </w:r>
    </w:p>
    <w:p>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snapToGrid w:val="0"/>
          <w:color w:val="auto"/>
          <w:kern w:val="0"/>
          <w:sz w:val="24"/>
          <w:highlight w:val="none"/>
        </w:rPr>
        <w:t>2.投标</w:t>
      </w:r>
      <w:r>
        <w:rPr>
          <w:rFonts w:hint="eastAsia" w:ascii="仿宋" w:hAnsi="仿宋" w:eastAsia="仿宋" w:cs="仿宋"/>
          <w:snapToGrid w:val="0"/>
          <w:color w:val="auto"/>
          <w:kern w:val="0"/>
          <w:sz w:val="24"/>
          <w:highlight w:val="none"/>
          <w:lang w:eastAsia="zh-CN"/>
        </w:rPr>
        <w:t>人</w:t>
      </w:r>
      <w:r>
        <w:rPr>
          <w:rFonts w:hint="eastAsia" w:ascii="仿宋" w:hAnsi="仿宋" w:eastAsia="仿宋" w:cs="仿宋"/>
          <w:snapToGrid w:val="0"/>
          <w:color w:val="auto"/>
          <w:kern w:val="0"/>
          <w:sz w:val="24"/>
          <w:highlight w:val="none"/>
        </w:rPr>
        <w:t>对其所声明内容的真实性负责。如投标</w:t>
      </w:r>
      <w:r>
        <w:rPr>
          <w:rFonts w:hint="eastAsia" w:ascii="仿宋" w:hAnsi="仿宋" w:eastAsia="仿宋" w:cs="仿宋"/>
          <w:snapToGrid w:val="0"/>
          <w:color w:val="auto"/>
          <w:kern w:val="0"/>
          <w:sz w:val="24"/>
          <w:highlight w:val="none"/>
          <w:lang w:eastAsia="zh-CN"/>
        </w:rPr>
        <w:t>人</w:t>
      </w:r>
      <w:r>
        <w:rPr>
          <w:rFonts w:hint="eastAsia" w:ascii="仿宋" w:hAnsi="仿宋" w:eastAsia="仿宋" w:cs="仿宋"/>
          <w:snapToGrid w:val="0"/>
          <w:color w:val="auto"/>
          <w:kern w:val="0"/>
          <w:sz w:val="24"/>
          <w:highlight w:val="none"/>
        </w:rPr>
        <w:t>所声明内容不真实，则应承担相应的法律责任。</w:t>
      </w:r>
    </w:p>
    <w:p>
      <w:pPr>
        <w:spacing w:line="360" w:lineRule="auto"/>
        <w:rPr>
          <w:rFonts w:ascii="仿宋" w:hAnsi="仿宋" w:eastAsia="仿宋" w:cs="仿宋"/>
          <w:color w:val="auto"/>
          <w:sz w:val="24"/>
          <w:highlight w:val="none"/>
        </w:rPr>
      </w:pPr>
    </w:p>
    <w:p>
      <w:pPr>
        <w:spacing w:line="360" w:lineRule="auto"/>
        <w:rPr>
          <w:rFonts w:ascii="仿宋" w:hAnsi="仿宋" w:eastAsia="仿宋" w:cs="仿宋"/>
          <w:color w:val="auto"/>
          <w:sz w:val="24"/>
          <w:highlight w:val="none"/>
        </w:rPr>
      </w:pPr>
    </w:p>
    <w:p>
      <w:pPr>
        <w:spacing w:line="360" w:lineRule="auto"/>
        <w:rPr>
          <w:rFonts w:ascii="仿宋" w:hAnsi="仿宋" w:eastAsia="仿宋" w:cs="仿宋"/>
          <w:color w:val="auto"/>
          <w:sz w:val="24"/>
          <w:highlight w:val="none"/>
        </w:rPr>
      </w:pPr>
    </w:p>
    <w:p>
      <w:pPr>
        <w:tabs>
          <w:tab w:val="left" w:pos="2977"/>
          <w:tab w:val="left" w:pos="3261"/>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18"/>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投标人名</w:t>
      </w:r>
      <w:r>
        <w:rPr>
          <w:rFonts w:hint="eastAsia" w:ascii="仿宋" w:hAnsi="仿宋" w:eastAsia="仿宋" w:cs="仿宋"/>
          <w:color w:val="auto"/>
          <w:sz w:val="24"/>
          <w:highlight w:val="none"/>
        </w:rPr>
        <w:t>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p>
    <w:p>
      <w:pPr>
        <w:spacing w:line="360" w:lineRule="auto"/>
        <w:jc w:val="left"/>
        <w:rPr>
          <w:rFonts w:ascii="仿宋" w:hAnsi="仿宋" w:eastAsia="仿宋" w:cs="仿宋"/>
          <w:color w:val="auto"/>
          <w:sz w:val="24"/>
          <w:highlight w:val="none"/>
        </w:rPr>
      </w:pPr>
    </w:p>
    <w:p>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5"/>
        <w:spacing w:line="360" w:lineRule="auto"/>
        <w:jc w:val="left"/>
        <w:rPr>
          <w:rFonts w:hint="eastAsia" w:ascii="仿宋" w:hAnsi="仿宋" w:eastAsia="仿宋" w:cs="仿宋"/>
          <w:color w:val="auto"/>
          <w:sz w:val="24"/>
          <w:szCs w:val="22"/>
          <w:highlight w:val="none"/>
        </w:rPr>
      </w:pPr>
      <w:bookmarkStart w:id="142" w:name="_Toc13522"/>
      <w:bookmarkStart w:id="143" w:name="_Toc9843"/>
      <w:r>
        <w:rPr>
          <w:rFonts w:hint="eastAsia" w:ascii="仿宋" w:hAnsi="仿宋" w:eastAsia="仿宋" w:cs="仿宋"/>
          <w:color w:val="auto"/>
          <w:sz w:val="24"/>
          <w:szCs w:val="22"/>
          <w:highlight w:val="none"/>
        </w:rPr>
        <w:t>附件</w:t>
      </w:r>
      <w:r>
        <w:rPr>
          <w:rFonts w:hint="eastAsia" w:ascii="仿宋" w:hAnsi="仿宋" w:eastAsia="仿宋" w:cs="仿宋"/>
          <w:color w:val="auto"/>
          <w:sz w:val="24"/>
          <w:szCs w:val="22"/>
          <w:highlight w:val="none"/>
          <w:lang w:eastAsia="zh-CN"/>
        </w:rPr>
        <w:t>十一</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zh-CN"/>
        </w:rPr>
        <w:t>政府采购诚信承诺</w:t>
      </w:r>
      <w:bookmarkEnd w:id="142"/>
      <w:bookmarkEnd w:id="143"/>
    </w:p>
    <w:p>
      <w:pPr>
        <w:autoSpaceDE w:val="0"/>
        <w:autoSpaceDN w:val="0"/>
        <w:spacing w:before="120" w:after="120" w:line="360" w:lineRule="auto"/>
        <w:jc w:val="center"/>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政府采购诚信承诺</w:t>
      </w:r>
    </w:p>
    <w:p>
      <w:pPr>
        <w:autoSpaceDE w:val="0"/>
        <w:autoSpaceDN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u w:val="single"/>
          <w:lang w:val="zh-CN"/>
        </w:rPr>
        <w:t xml:space="preserve">（采购人） </w:t>
      </w:r>
      <w:r>
        <w:rPr>
          <w:rFonts w:hint="eastAsia" w:ascii="仿宋" w:hAnsi="仿宋" w:eastAsia="仿宋" w:cs="仿宋"/>
          <w:color w:val="auto"/>
          <w:sz w:val="24"/>
          <w:highlight w:val="none"/>
          <w:lang w:val="zh-CN"/>
        </w:rPr>
        <w:t>：</w:t>
      </w:r>
    </w:p>
    <w:p>
      <w:pPr>
        <w:autoSpaceDE w:val="0"/>
        <w:autoSpaceDN w:val="0"/>
        <w:spacing w:line="360" w:lineRule="auto"/>
        <w:ind w:firstLine="48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我公司</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（投标人名称）已详细阅读了</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项目（项目编号：</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包</w:t>
      </w:r>
      <w:r>
        <w:rPr>
          <w:rFonts w:hint="eastAsia" w:ascii="仿宋" w:hAnsi="仿宋" w:eastAsia="仿宋" w:cs="仿宋"/>
          <w:color w:val="auto"/>
          <w:sz w:val="24"/>
          <w:highlight w:val="none"/>
          <w:lang w:val="zh-CN"/>
        </w:rPr>
        <w:t>招标文件，自愿参加本次投标，现就有关事项郑重承诺如下：</w:t>
      </w:r>
    </w:p>
    <w:p>
      <w:pPr>
        <w:autoSpaceDE w:val="0"/>
        <w:autoSpaceDN w:val="0"/>
        <w:spacing w:line="360" w:lineRule="auto"/>
        <w:ind w:firstLine="482"/>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一、诚信投标，材料真实。我公司保证所提供的全部材料、投标内容均真实、合法、有效，保证不出借或者借用其他企业资质，不以他人名义投标，不弄虚作假；未列入失信被执行人、重大税收违法案件当事人名单、政府采购严重违法失信行为记录名单及其他不符合《中华人民共和国政府采购法》第二十二条规定条件。</w:t>
      </w:r>
    </w:p>
    <w:p>
      <w:pPr>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二、遵纪守法，公平竞争。不与其他投标人相互串通、</w:t>
      </w:r>
      <w:r>
        <w:rPr>
          <w:rFonts w:hint="eastAsia" w:ascii="仿宋" w:hAnsi="仿宋" w:eastAsia="仿宋" w:cs="仿宋"/>
          <w:color w:val="auto"/>
          <w:kern w:val="0"/>
          <w:sz w:val="24"/>
          <w:highlight w:val="none"/>
        </w:rPr>
        <w:t>哄抬价格，</w:t>
      </w:r>
      <w:r>
        <w:rPr>
          <w:rFonts w:hint="eastAsia" w:ascii="仿宋" w:hAnsi="仿宋" w:eastAsia="仿宋" w:cs="仿宋"/>
          <w:color w:val="auto"/>
          <w:sz w:val="24"/>
          <w:highlight w:val="none"/>
          <w:lang w:val="zh-CN"/>
        </w:rPr>
        <w:t>不排挤其他投标人，不损害采购人的合法权益；不向采购人、采购代理机构、评标委员会成员</w:t>
      </w:r>
      <w:r>
        <w:rPr>
          <w:rFonts w:hint="eastAsia" w:ascii="仿宋" w:hAnsi="仿宋" w:eastAsia="仿宋" w:cs="仿宋"/>
          <w:color w:val="auto"/>
          <w:sz w:val="24"/>
          <w:highlight w:val="none"/>
        </w:rPr>
        <w:t>等及其他参与招标活动的人员行贿或采用其他不正当手段谋取中标。</w:t>
      </w:r>
    </w:p>
    <w:p>
      <w:pPr>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三</w:t>
      </w:r>
      <w:r>
        <w:rPr>
          <w:rFonts w:hint="eastAsia" w:ascii="仿宋" w:hAnsi="仿宋" w:eastAsia="仿宋" w:cs="仿宋"/>
          <w:color w:val="auto"/>
          <w:sz w:val="24"/>
          <w:highlight w:val="none"/>
        </w:rPr>
        <w:t>、不捏造事实或借用他人名义进行虚假、恶意质疑和投诉，不以质疑或投诉为名排挤竞争对手，干扰政府采购秩序。</w:t>
      </w:r>
    </w:p>
    <w:p>
      <w:pPr>
        <w:autoSpaceDE w:val="0"/>
        <w:autoSpaceDN w:val="0"/>
        <w:spacing w:line="360" w:lineRule="auto"/>
        <w:ind w:firstLine="482"/>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四、若中标后，将按照规定及时与</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签订政府采购合同，不与</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订立有悖于招标结果的合同或协议；严格履行政府采购合同，不降低合同约定的产品质量及相关服务，不擅自变更、中止、终止合同，或者拒绝履行合同义务。</w:t>
      </w:r>
    </w:p>
    <w:p>
      <w:pPr>
        <w:autoSpaceDE w:val="0"/>
        <w:autoSpaceDN w:val="0"/>
        <w:spacing w:line="360" w:lineRule="auto"/>
        <w:ind w:firstLine="482"/>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若有违反以上承诺内容的行为，我公司自愿接受取消投标资格、记入信用档案、没收投标保证金、媒体通报、1～3年内禁止参与政府采购活动等处罚；</w:t>
      </w:r>
      <w:r>
        <w:rPr>
          <w:rFonts w:hint="eastAsia" w:ascii="仿宋" w:hAnsi="仿宋" w:eastAsia="仿宋" w:cs="仿宋"/>
          <w:color w:val="auto"/>
          <w:sz w:val="24"/>
          <w:highlight w:val="none"/>
        </w:rPr>
        <w:t>如已中标的，自动放弃中标资格，</w:t>
      </w:r>
      <w:r>
        <w:rPr>
          <w:rFonts w:hint="eastAsia" w:ascii="仿宋" w:hAnsi="仿宋" w:eastAsia="仿宋" w:cs="仿宋"/>
          <w:color w:val="auto"/>
          <w:sz w:val="24"/>
          <w:highlight w:val="none"/>
          <w:lang w:val="zh-CN"/>
        </w:rPr>
        <w:t>并承担全部法律责任</w:t>
      </w:r>
      <w:r>
        <w:rPr>
          <w:rFonts w:hint="eastAsia" w:ascii="仿宋" w:hAnsi="仿宋" w:eastAsia="仿宋" w:cs="仿宋"/>
          <w:color w:val="auto"/>
          <w:sz w:val="24"/>
          <w:highlight w:val="none"/>
        </w:rPr>
        <w:t>；给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造成损失的，依法承担赔偿责任</w:t>
      </w:r>
      <w:r>
        <w:rPr>
          <w:rFonts w:hint="eastAsia" w:ascii="仿宋" w:hAnsi="仿宋" w:eastAsia="仿宋" w:cs="仿宋"/>
          <w:color w:val="auto"/>
          <w:sz w:val="24"/>
          <w:highlight w:val="none"/>
          <w:lang w:val="zh-CN"/>
        </w:rPr>
        <w:t>。</w:t>
      </w:r>
    </w:p>
    <w:p>
      <w:pPr>
        <w:autoSpaceDE w:val="0"/>
        <w:autoSpaceDN w:val="0"/>
        <w:spacing w:line="360"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投标人名称(公章)：</w:t>
      </w:r>
    </w:p>
    <w:p>
      <w:pPr>
        <w:autoSpaceDE w:val="0"/>
        <w:autoSpaceDN w:val="0"/>
        <w:spacing w:line="360"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法定代表人签字或盖章：</w:t>
      </w:r>
    </w:p>
    <w:p>
      <w:pPr>
        <w:autoSpaceDE w:val="0"/>
        <w:autoSpaceDN w:val="0"/>
        <w:spacing w:line="360" w:lineRule="auto"/>
        <w:ind w:firstLine="720"/>
        <w:jc w:val="center"/>
        <w:rPr>
          <w:rFonts w:ascii="仿宋" w:hAnsi="仿宋" w:eastAsia="仿宋" w:cs="仿宋"/>
          <w:b/>
          <w:bCs/>
          <w:color w:val="auto"/>
          <w:sz w:val="24"/>
          <w:highlight w:val="none"/>
        </w:rPr>
      </w:pPr>
      <w:r>
        <w:rPr>
          <w:rFonts w:hint="eastAsia" w:ascii="仿宋" w:hAnsi="仿宋" w:eastAsia="仿宋" w:cs="仿宋"/>
          <w:color w:val="auto"/>
          <w:sz w:val="24"/>
          <w:highlight w:val="none"/>
          <w:lang w:val="zh-CN"/>
        </w:rPr>
        <w:t xml:space="preserve">                      日期：   年   月   日</w:t>
      </w:r>
    </w:p>
    <w:p>
      <w:pPr>
        <w:spacing w:line="360" w:lineRule="auto"/>
        <w:ind w:right="187"/>
        <w:rPr>
          <w:rFonts w:ascii="仿宋" w:hAnsi="仿宋" w:eastAsia="仿宋" w:cs="仿宋"/>
          <w:b/>
          <w:bCs/>
          <w:color w:val="auto"/>
          <w:sz w:val="24"/>
          <w:highlight w:val="none"/>
        </w:rPr>
      </w:pPr>
    </w:p>
    <w:p>
      <w:pPr>
        <w:spacing w:line="360" w:lineRule="auto"/>
        <w:ind w:right="187"/>
        <w:rPr>
          <w:rFonts w:ascii="仿宋" w:hAnsi="仿宋" w:eastAsia="仿宋" w:cs="仿宋"/>
          <w:b/>
          <w:bCs/>
          <w:color w:val="auto"/>
          <w:sz w:val="24"/>
          <w:highlight w:val="none"/>
        </w:rPr>
      </w:pPr>
    </w:p>
    <w:p>
      <w:pPr>
        <w:spacing w:line="360" w:lineRule="auto"/>
        <w:ind w:right="187"/>
        <w:rPr>
          <w:rFonts w:ascii="仿宋" w:hAnsi="仿宋" w:eastAsia="仿宋" w:cs="仿宋"/>
          <w:b/>
          <w:bCs/>
          <w:color w:val="auto"/>
          <w:sz w:val="24"/>
          <w:highlight w:val="none"/>
        </w:rPr>
      </w:pPr>
    </w:p>
    <w:p>
      <w:pPr>
        <w:rPr>
          <w:rFonts w:hint="eastAsia" w:ascii="仿宋" w:hAnsi="仿宋" w:eastAsia="仿宋" w:cs="仿宋"/>
          <w:b w:val="0"/>
          <w:color w:val="auto"/>
          <w:sz w:val="24"/>
          <w:szCs w:val="21"/>
          <w:highlight w:val="none"/>
        </w:rPr>
      </w:pPr>
      <w:bookmarkStart w:id="144" w:name="_Toc475472023"/>
      <w:bookmarkStart w:id="145" w:name="_Toc13088"/>
      <w:r>
        <w:rPr>
          <w:rFonts w:hint="eastAsia" w:ascii="仿宋" w:hAnsi="仿宋" w:eastAsia="仿宋" w:cs="仿宋"/>
          <w:b w:val="0"/>
          <w:color w:val="auto"/>
          <w:sz w:val="24"/>
          <w:szCs w:val="21"/>
          <w:highlight w:val="none"/>
        </w:rPr>
        <w:br w:type="page"/>
      </w:r>
    </w:p>
    <w:p>
      <w:pPr>
        <w:pStyle w:val="6"/>
        <w:spacing w:before="120" w:after="120" w:line="360" w:lineRule="auto"/>
        <w:rPr>
          <w:rFonts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附件</w:t>
      </w:r>
      <w:r>
        <w:rPr>
          <w:rFonts w:hint="eastAsia" w:ascii="仿宋" w:hAnsi="仿宋" w:eastAsia="仿宋" w:cs="仿宋"/>
          <w:b/>
          <w:bCs/>
          <w:color w:val="auto"/>
          <w:sz w:val="24"/>
          <w:szCs w:val="21"/>
          <w:highlight w:val="none"/>
          <w:lang w:eastAsia="zh-CN"/>
        </w:rPr>
        <w:t>十二</w:t>
      </w:r>
      <w:r>
        <w:rPr>
          <w:rFonts w:hint="eastAsia" w:ascii="仿宋" w:hAnsi="仿宋" w:eastAsia="仿宋" w:cs="仿宋"/>
          <w:b/>
          <w:bCs/>
          <w:color w:val="auto"/>
          <w:sz w:val="24"/>
          <w:szCs w:val="21"/>
          <w:highlight w:val="none"/>
        </w:rPr>
        <w:t>：中小企业声明函</w:t>
      </w:r>
      <w:bookmarkEnd w:id="144"/>
      <w:r>
        <w:rPr>
          <w:rFonts w:hint="eastAsia" w:ascii="仿宋" w:hAnsi="仿宋" w:eastAsia="仿宋" w:cs="仿宋"/>
          <w:b/>
          <w:bCs/>
          <w:color w:val="auto"/>
          <w:sz w:val="24"/>
          <w:szCs w:val="21"/>
          <w:highlight w:val="none"/>
        </w:rPr>
        <w:t>（如有）</w:t>
      </w:r>
      <w:bookmarkEnd w:id="145"/>
    </w:p>
    <w:p>
      <w:pPr>
        <w:spacing w:line="360" w:lineRule="auto"/>
        <w:jc w:val="center"/>
        <w:rPr>
          <w:rFonts w:hint="eastAsia" w:ascii="仿宋" w:hAnsi="仿宋" w:eastAsia="仿宋" w:cs="仿宋"/>
          <w:b/>
          <w:color w:val="auto"/>
          <w:sz w:val="24"/>
          <w:szCs w:val="24"/>
          <w:highlight w:val="none"/>
        </w:rPr>
      </w:pPr>
    </w:p>
    <w:p>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中小企业声明函</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项目编号：</w:t>
      </w:r>
    </w:p>
    <w:p>
      <w:pPr>
        <w:pStyle w:val="2"/>
        <w:spacing w:before="55" w:line="302" w:lineRule="auto"/>
        <w:ind w:right="415" w:firstLine="64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本公司</w:t>
      </w:r>
      <w:r>
        <w:rPr>
          <w:rFonts w:hint="eastAsia" w:ascii="仿宋" w:hAnsi="仿宋" w:eastAsia="仿宋" w:cs="仿宋"/>
          <w:color w:val="auto"/>
          <w:sz w:val="24"/>
          <w:szCs w:val="24"/>
          <w:highlight w:val="none"/>
        </w:rPr>
        <w:t>（联合体</w:t>
      </w:r>
      <w:r>
        <w:rPr>
          <w:rFonts w:hint="eastAsia" w:ascii="仿宋" w:hAnsi="仿宋" w:eastAsia="仿宋" w:cs="仿宋"/>
          <w:color w:val="auto"/>
          <w:spacing w:val="-5"/>
          <w:sz w:val="24"/>
          <w:szCs w:val="24"/>
          <w:highlight w:val="none"/>
        </w:rPr>
        <w:t>）</w:t>
      </w:r>
      <w:r>
        <w:rPr>
          <w:rFonts w:hint="eastAsia" w:ascii="仿宋" w:hAnsi="仿宋" w:eastAsia="仿宋" w:cs="仿宋"/>
          <w:color w:val="auto"/>
          <w:spacing w:val="-2"/>
          <w:sz w:val="24"/>
          <w:szCs w:val="24"/>
          <w:highlight w:val="none"/>
        </w:rPr>
        <w:t>郑重声明，根据《政府采购促进中小</w:t>
      </w:r>
      <w:r>
        <w:rPr>
          <w:rFonts w:hint="eastAsia" w:ascii="仿宋" w:hAnsi="仿宋" w:eastAsia="仿宋" w:cs="仿宋"/>
          <w:color w:val="auto"/>
          <w:spacing w:val="-18"/>
          <w:sz w:val="24"/>
          <w:szCs w:val="24"/>
          <w:highlight w:val="none"/>
        </w:rPr>
        <w:t>企业发展管理办法》</w:t>
      </w:r>
      <w:r>
        <w:rPr>
          <w:rFonts w:hint="eastAsia" w:ascii="仿宋" w:hAnsi="仿宋" w:eastAsia="仿宋" w:cs="仿宋"/>
          <w:color w:val="auto"/>
          <w:sz w:val="24"/>
          <w:szCs w:val="24"/>
          <w:highlight w:val="none"/>
        </w:rPr>
        <w:t>（</w:t>
      </w:r>
      <w:r>
        <w:rPr>
          <w:rFonts w:hint="eastAsia" w:ascii="仿宋" w:hAnsi="仿宋" w:eastAsia="仿宋" w:cs="仿宋"/>
          <w:color w:val="auto"/>
          <w:spacing w:val="5"/>
          <w:sz w:val="24"/>
          <w:szCs w:val="24"/>
          <w:highlight w:val="none"/>
        </w:rPr>
        <w:t>财库</w:t>
      </w:r>
      <w:r>
        <w:rPr>
          <w:rFonts w:hint="eastAsia" w:ascii="仿宋" w:hAnsi="仿宋" w:eastAsia="仿宋" w:cs="仿宋"/>
          <w:color w:val="auto"/>
          <w:sz w:val="24"/>
          <w:szCs w:val="24"/>
          <w:highlight w:val="none"/>
        </w:rPr>
        <w:t>﹝2020﹞46</w:t>
      </w:r>
      <w:r>
        <w:rPr>
          <w:rFonts w:hint="eastAsia" w:ascii="仿宋" w:hAnsi="仿宋" w:eastAsia="仿宋" w:cs="仿宋"/>
          <w:color w:val="auto"/>
          <w:spacing w:val="-38"/>
          <w:sz w:val="24"/>
          <w:szCs w:val="24"/>
          <w:highlight w:val="none"/>
        </w:rPr>
        <w:t xml:space="preserve"> 号</w:t>
      </w:r>
      <w:r>
        <w:rPr>
          <w:rFonts w:hint="eastAsia" w:ascii="仿宋" w:hAnsi="仿宋" w:eastAsia="仿宋" w:cs="仿宋"/>
          <w:color w:val="auto"/>
          <w:spacing w:val="5"/>
          <w:sz w:val="24"/>
          <w:szCs w:val="24"/>
          <w:highlight w:val="none"/>
        </w:rPr>
        <w:t>）</w:t>
      </w:r>
      <w:r>
        <w:rPr>
          <w:rFonts w:hint="eastAsia" w:ascii="仿宋" w:hAnsi="仿宋" w:eastAsia="仿宋" w:cs="仿宋"/>
          <w:color w:val="auto"/>
          <w:sz w:val="24"/>
          <w:szCs w:val="24"/>
          <w:highlight w:val="none"/>
        </w:rPr>
        <w:t>的规定，本公司</w:t>
      </w:r>
    </w:p>
    <w:p>
      <w:pPr>
        <w:keepNext w:val="0"/>
        <w:keepLines w:val="0"/>
        <w:pageBreakBefore w:val="0"/>
        <w:widowControl w:val="0"/>
        <w:kinsoku/>
        <w:wordWrap/>
        <w:overflowPunct/>
        <w:topLinePunct w:val="0"/>
        <w:autoSpaceDE/>
        <w:autoSpaceDN/>
        <w:bidi w:val="0"/>
        <w:adjustRightInd/>
        <w:snapToGrid/>
        <w:spacing w:before="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（联合</w:t>
      </w:r>
      <w:r>
        <w:rPr>
          <w:rFonts w:hint="eastAsia" w:ascii="仿宋" w:hAnsi="仿宋" w:eastAsia="仿宋" w:cs="仿宋"/>
          <w:color w:val="auto"/>
          <w:spacing w:val="-2"/>
          <w:sz w:val="24"/>
          <w:szCs w:val="24"/>
          <w:highlight w:val="none"/>
          <w:u w:val="single"/>
        </w:rPr>
        <w:t>体）</w:t>
      </w:r>
      <w:r>
        <w:rPr>
          <w:rFonts w:hint="eastAsia" w:ascii="仿宋" w:hAnsi="仿宋" w:eastAsia="仿宋" w:cs="仿宋"/>
          <w:color w:val="auto"/>
          <w:spacing w:val="-2"/>
          <w:sz w:val="24"/>
          <w:szCs w:val="24"/>
          <w:highlight w:val="none"/>
        </w:rPr>
        <w:t>参加</w:t>
      </w:r>
      <w:r>
        <w:rPr>
          <w:rFonts w:hint="eastAsia" w:ascii="仿宋" w:hAnsi="仿宋" w:eastAsia="仿宋" w:cs="仿宋"/>
          <w:color w:val="auto"/>
          <w:spacing w:val="-2"/>
          <w:sz w:val="24"/>
          <w:szCs w:val="24"/>
          <w:highlight w:val="none"/>
          <w:u w:val="single"/>
        </w:rPr>
        <w:t>（单位名称）</w:t>
      </w:r>
      <w:r>
        <w:rPr>
          <w:rFonts w:hint="eastAsia" w:ascii="仿宋" w:hAnsi="仿宋" w:eastAsia="仿宋" w:cs="仿宋"/>
          <w:color w:val="auto"/>
          <w:spacing w:val="-2"/>
          <w:sz w:val="24"/>
          <w:szCs w:val="24"/>
          <w:highlight w:val="none"/>
        </w:rPr>
        <w:t>的</w:t>
      </w:r>
      <w:r>
        <w:rPr>
          <w:rFonts w:hint="eastAsia" w:ascii="仿宋" w:hAnsi="仿宋" w:eastAsia="仿宋" w:cs="仿宋"/>
          <w:color w:val="auto"/>
          <w:spacing w:val="-2"/>
          <w:sz w:val="24"/>
          <w:szCs w:val="24"/>
          <w:highlight w:val="none"/>
          <w:u w:val="single"/>
        </w:rPr>
        <w:t>（项目名称）</w:t>
      </w:r>
      <w:r>
        <w:rPr>
          <w:rFonts w:hint="eastAsia" w:ascii="仿宋" w:hAnsi="仿宋" w:eastAsia="仿宋" w:cs="仿宋"/>
          <w:color w:val="auto"/>
          <w:spacing w:val="-2"/>
          <w:sz w:val="24"/>
          <w:szCs w:val="24"/>
          <w:highlight w:val="none"/>
        </w:rPr>
        <w:t>采购活动</w:t>
      </w:r>
      <w:r>
        <w:rPr>
          <w:rFonts w:hint="eastAsia" w:ascii="仿宋" w:hAnsi="仿宋" w:eastAsia="仿宋" w:cs="仿宋"/>
          <w:color w:val="auto"/>
          <w:spacing w:val="-2"/>
          <w:kern w:val="0"/>
          <w:sz w:val="24"/>
          <w:szCs w:val="24"/>
          <w:highlight w:val="none"/>
          <w:lang w:val="en-US" w:eastAsia="zh-CN" w:bidi="ar-SA"/>
        </w:rPr>
        <w:t>，提</w:t>
      </w:r>
      <w:r>
        <w:rPr>
          <w:rFonts w:hint="eastAsia" w:ascii="仿宋" w:hAnsi="仿宋" w:eastAsia="仿宋" w:cs="仿宋"/>
          <w:color w:val="auto"/>
          <w:spacing w:val="11"/>
          <w:w w:val="95"/>
          <w:sz w:val="24"/>
          <w:szCs w:val="24"/>
          <w:highlight w:val="none"/>
        </w:rPr>
        <w:t>供的货物全部由符合政策要求的中小企业制造。相关企业</w:t>
      </w:r>
      <w:r>
        <w:rPr>
          <w:rFonts w:hint="eastAsia" w:ascii="仿宋" w:hAnsi="仿宋" w:eastAsia="仿宋" w:cs="仿宋"/>
          <w:color w:val="auto"/>
          <w:sz w:val="24"/>
          <w:szCs w:val="24"/>
          <w:highlight w:val="none"/>
          <w:u w:val="single"/>
        </w:rPr>
        <w:t xml:space="preserve">（含联合体中的中小企业、签订分包意向协议的中小企业） </w:t>
      </w:r>
      <w:r>
        <w:rPr>
          <w:rFonts w:hint="eastAsia" w:ascii="仿宋" w:hAnsi="仿宋" w:eastAsia="仿宋" w:cs="仿宋"/>
          <w:color w:val="auto"/>
          <w:sz w:val="24"/>
          <w:szCs w:val="24"/>
          <w:highlight w:val="none"/>
        </w:rPr>
        <w:t>的具体情况如下：</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right="0" w:firstLine="276" w:firstLineChars="200"/>
        <w:textAlignment w:val="auto"/>
        <w:rPr>
          <w:rFonts w:hint="eastAsia" w:ascii="仿宋" w:hAnsi="仿宋" w:eastAsia="仿宋" w:cs="仿宋"/>
          <w:color w:val="auto"/>
          <w:sz w:val="24"/>
          <w:szCs w:val="24"/>
          <w:highlight w:val="none"/>
        </w:rPr>
      </w:pPr>
      <w:r>
        <w:rPr>
          <w:rFonts w:hint="eastAsia" w:ascii="仿宋" w:hAnsi="仿宋" w:eastAsia="仿宋" w:cs="仿宋"/>
          <w:i/>
          <w:color w:val="auto"/>
          <w:spacing w:val="-46"/>
          <w:w w:val="96"/>
          <w:sz w:val="24"/>
          <w:szCs w:val="24"/>
          <w:highlight w:val="none"/>
          <w:u w:val="single"/>
        </w:rPr>
        <w:t xml:space="preserve"> </w:t>
      </w:r>
      <w:r>
        <w:rPr>
          <w:rFonts w:hint="eastAsia" w:ascii="仿宋" w:hAnsi="仿宋" w:eastAsia="仿宋" w:cs="仿宋"/>
          <w:color w:val="auto"/>
          <w:sz w:val="24"/>
          <w:szCs w:val="24"/>
          <w:highlight w:val="none"/>
          <w:u w:val="single"/>
        </w:rPr>
        <w:t xml:space="preserve">（ 标 的 名 称 ） </w:t>
      </w:r>
      <w:r>
        <w:rPr>
          <w:rFonts w:hint="eastAsia" w:ascii="仿宋" w:hAnsi="仿宋" w:eastAsia="仿宋" w:cs="仿宋"/>
          <w:color w:val="auto"/>
          <w:sz w:val="24"/>
          <w:szCs w:val="24"/>
          <w:highlight w:val="none"/>
        </w:rPr>
        <w:t>， 属 于</w:t>
      </w:r>
      <w:r>
        <w:rPr>
          <w:rFonts w:hint="eastAsia" w:ascii="仿宋" w:hAnsi="仿宋" w:eastAsia="仿宋" w:cs="仿宋"/>
          <w:color w:val="auto"/>
          <w:sz w:val="24"/>
          <w:szCs w:val="24"/>
          <w:highlight w:val="none"/>
          <w:u w:val="single"/>
        </w:rPr>
        <w:t xml:space="preserve"> （ 采 购 文 件 中 明 确 的 所 属 行 业 ）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万元，资产总额为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（中型企业、小型企业、微型企业）；</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en-US" w:eastAsia="zh-CN"/>
        </w:rPr>
        <w:t>（ 标 的 名 称 ）</w:t>
      </w:r>
      <w:r>
        <w:rPr>
          <w:rFonts w:hint="eastAsia" w:ascii="仿宋" w:hAnsi="仿宋" w:eastAsia="仿宋" w:cs="仿宋"/>
          <w:color w:val="auto"/>
          <w:sz w:val="24"/>
          <w:szCs w:val="24"/>
          <w:highlight w:val="none"/>
        </w:rPr>
        <w:t xml:space="preserve"> ， 属 于</w:t>
      </w:r>
      <w:r>
        <w:rPr>
          <w:rFonts w:hint="eastAsia" w:ascii="仿宋" w:hAnsi="仿宋" w:eastAsia="仿宋" w:cs="仿宋"/>
          <w:color w:val="auto"/>
          <w:sz w:val="24"/>
          <w:szCs w:val="24"/>
          <w:highlight w:val="none"/>
          <w:u w:val="single"/>
          <w:lang w:val="en-US" w:eastAsia="zh-CN"/>
        </w:rPr>
        <w:t xml:space="preserve"> （ 采 购 文 件 中 明 确 的 所 属 行 业 ）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lang w:val="en-US" w:eastAsia="zh-CN"/>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ab/>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ab/>
      </w:r>
      <w:r>
        <w:rPr>
          <w:rFonts w:hint="eastAsia" w:ascii="仿宋" w:hAnsi="仿宋" w:eastAsia="仿宋" w:cs="仿宋"/>
          <w:color w:val="auto"/>
          <w:sz w:val="24"/>
          <w:szCs w:val="24"/>
          <w:highlight w:val="none"/>
        </w:rPr>
        <w:t xml:space="preserve">万元，资产总额为 </w:t>
      </w:r>
      <w:r>
        <w:rPr>
          <w:rFonts w:hint="eastAsia" w:ascii="仿宋" w:hAnsi="仿宋" w:eastAsia="仿宋" w:cs="仿宋"/>
          <w:color w:val="auto"/>
          <w:sz w:val="24"/>
          <w:szCs w:val="24"/>
          <w:highlight w:val="none"/>
          <w:u w:val="single"/>
          <w:lang w:val="en-US" w:eastAsia="zh-CN"/>
        </w:rPr>
        <w:tab/>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（中型企业、小型企业、微型企业）；</w:t>
      </w:r>
    </w:p>
    <w:p>
      <w:pPr>
        <w:pStyle w:val="2"/>
        <w:ind w:left="8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pPr>
        <w:pStyle w:val="2"/>
        <w:spacing w:before="105" w:line="304" w:lineRule="auto"/>
        <w:ind w:right="417" w:firstLine="645"/>
        <w:jc w:val="both"/>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以上企业，不属于大企业的分支机构，不存在控股股东</w:t>
      </w:r>
      <w:r>
        <w:rPr>
          <w:rFonts w:hint="eastAsia" w:ascii="仿宋" w:hAnsi="仿宋" w:eastAsia="仿宋" w:cs="仿宋"/>
          <w:color w:val="auto"/>
          <w:spacing w:val="-5"/>
          <w:sz w:val="24"/>
          <w:szCs w:val="24"/>
          <w:highlight w:val="none"/>
        </w:rPr>
        <w:t>为大企业的情形，也不存在与大企业的负责人为同一人的情形。</w:t>
      </w:r>
    </w:p>
    <w:p>
      <w:pPr>
        <w:pStyle w:val="2"/>
        <w:spacing w:line="302" w:lineRule="auto"/>
        <w:ind w:right="372" w:firstLine="6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pPr>
        <w:pStyle w:val="2"/>
        <w:spacing w:before="35" w:line="316" w:lineRule="auto"/>
        <w:ind w:left="4060" w:right="2166"/>
        <w:rPr>
          <w:rFonts w:hint="eastAsia" w:ascii="仿宋" w:hAnsi="仿宋" w:eastAsia="仿宋" w:cs="仿宋"/>
          <w:color w:val="auto"/>
          <w:w w:val="99"/>
          <w:sz w:val="24"/>
          <w:szCs w:val="24"/>
          <w:highlight w:val="none"/>
        </w:rPr>
      </w:pPr>
    </w:p>
    <w:p>
      <w:pPr>
        <w:pStyle w:val="2"/>
        <w:spacing w:before="35" w:line="316" w:lineRule="auto"/>
        <w:ind w:left="4060" w:right="2166"/>
        <w:rPr>
          <w:rFonts w:hint="eastAsia" w:ascii="仿宋" w:hAnsi="仿宋" w:eastAsia="仿宋" w:cs="仿宋"/>
          <w:color w:val="auto"/>
          <w:w w:val="99"/>
          <w:sz w:val="24"/>
          <w:szCs w:val="24"/>
          <w:highlight w:val="none"/>
        </w:rPr>
      </w:pPr>
    </w:p>
    <w:p>
      <w:pPr>
        <w:spacing w:line="360" w:lineRule="auto"/>
        <w:ind w:right="187"/>
        <w:rPr>
          <w:rFonts w:ascii="仿宋" w:hAnsi="仿宋" w:eastAsia="仿宋" w:cs="仿宋"/>
          <w:bCs/>
          <w:color w:val="auto"/>
          <w:sz w:val="24"/>
          <w:highlight w:val="none"/>
          <w:u w:val="single"/>
        </w:rPr>
      </w:pPr>
      <w:r>
        <w:rPr>
          <w:rFonts w:hint="eastAsia" w:ascii="仿宋" w:hAnsi="仿宋" w:eastAsia="仿宋" w:cs="仿宋"/>
          <w:color w:val="auto"/>
          <w:sz w:val="24"/>
          <w:highlight w:val="none"/>
          <w:lang w:eastAsia="zh-CN"/>
        </w:rPr>
        <w:t>投标人名</w:t>
      </w:r>
      <w:r>
        <w:rPr>
          <w:rFonts w:hint="eastAsia" w:ascii="仿宋" w:hAnsi="仿宋" w:eastAsia="仿宋" w:cs="仿宋"/>
          <w:color w:val="auto"/>
          <w:sz w:val="24"/>
          <w:highlight w:val="none"/>
        </w:rPr>
        <w:t>称</w:t>
      </w:r>
      <w:r>
        <w:rPr>
          <w:rFonts w:hint="eastAsia" w:ascii="仿宋" w:hAnsi="仿宋" w:eastAsia="仿宋" w:cs="仿宋"/>
          <w:bCs/>
          <w:color w:val="auto"/>
          <w:sz w:val="24"/>
          <w:highlight w:val="none"/>
        </w:rPr>
        <w:t>（公章）：</w:t>
      </w:r>
      <w:r>
        <w:rPr>
          <w:rFonts w:hint="eastAsia" w:ascii="仿宋" w:hAnsi="仿宋" w:eastAsia="仿宋" w:cs="仿宋"/>
          <w:bCs/>
          <w:color w:val="auto"/>
          <w:sz w:val="24"/>
          <w:highlight w:val="none"/>
          <w:u w:val="single"/>
        </w:rPr>
        <w:t xml:space="preserve">               </w:t>
      </w:r>
    </w:p>
    <w:p>
      <w:pPr>
        <w:spacing w:line="360" w:lineRule="auto"/>
        <w:ind w:right="187"/>
        <w:rPr>
          <w:rFonts w:ascii="仿宋" w:hAnsi="仿宋" w:eastAsia="仿宋" w:cs="仿宋"/>
          <w:bCs/>
          <w:color w:val="auto"/>
          <w:sz w:val="24"/>
          <w:highlight w:val="none"/>
          <w:u w:val="single"/>
        </w:rPr>
      </w:pPr>
    </w:p>
    <w:p>
      <w:pPr>
        <w:spacing w:after="0" w:line="316" w:lineRule="auto"/>
        <w:rPr>
          <w:rFonts w:ascii="仿宋" w:hAnsi="仿宋" w:eastAsia="仿宋" w:cs="仿宋"/>
          <w:color w:val="auto"/>
          <w:sz w:val="24"/>
          <w:highlight w:val="none"/>
        </w:rPr>
      </w:pPr>
      <w:r>
        <w:rPr>
          <w:rFonts w:hint="eastAsia" w:ascii="仿宋" w:hAnsi="仿宋" w:eastAsia="仿宋" w:cs="仿宋"/>
          <w:bCs/>
          <w:color w:val="auto"/>
          <w:sz w:val="24"/>
          <w:highlight w:val="none"/>
        </w:rPr>
        <w:t>法定代表人或授权代理人签字或盖章：</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bookmarkStart w:id="146" w:name="_bookmark1"/>
      <w:bookmarkEnd w:id="146"/>
    </w:p>
    <w:p>
      <w:pPr>
        <w:spacing w:line="360" w:lineRule="auto"/>
        <w:rPr>
          <w:rFonts w:ascii="仿宋" w:hAnsi="仿宋" w:eastAsia="仿宋" w:cs="仿宋"/>
          <w:color w:val="auto"/>
          <w:sz w:val="24"/>
          <w:highlight w:val="none"/>
        </w:rPr>
      </w:pPr>
    </w:p>
    <w:p>
      <w:pP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注：不符合相应条件的</w:t>
      </w:r>
      <w:r>
        <w:rPr>
          <w:rFonts w:hint="eastAsia" w:ascii="仿宋" w:hAnsi="仿宋" w:eastAsia="仿宋" w:cs="仿宋"/>
          <w:b/>
          <w:bCs/>
          <w:color w:val="auto"/>
          <w:sz w:val="24"/>
          <w:highlight w:val="none"/>
          <w:lang w:eastAsia="zh-CN"/>
        </w:rPr>
        <w:t>投标人</w:t>
      </w:r>
      <w:r>
        <w:rPr>
          <w:rFonts w:hint="eastAsia" w:ascii="仿宋" w:hAnsi="仿宋" w:eastAsia="仿宋" w:cs="仿宋"/>
          <w:b/>
          <w:bCs/>
          <w:color w:val="auto"/>
          <w:sz w:val="24"/>
          <w:highlight w:val="none"/>
        </w:rPr>
        <w:t>无需提供。</w:t>
      </w:r>
      <w:r>
        <w:rPr>
          <w:rFonts w:hint="eastAsia" w:ascii="仿宋" w:hAnsi="仿宋" w:eastAsia="仿宋" w:cs="仿宋"/>
          <w:color w:val="auto"/>
          <w:sz w:val="24"/>
          <w:highlight w:val="none"/>
        </w:rPr>
        <w:br w:type="page"/>
      </w:r>
    </w:p>
    <w:p>
      <w:pPr>
        <w:bidi w:val="0"/>
        <w:jc w:val="left"/>
        <w:rPr>
          <w:rFonts w:ascii="Times New Roman" w:hAnsi="Times New Roman" w:eastAsia="宋体" w:cs="Times New Roman"/>
          <w:kern w:val="2"/>
          <w:sz w:val="21"/>
          <w:szCs w:val="24"/>
          <w:lang w:val="en-US" w:eastAsia="zh-CN" w:bidi="ar-SA"/>
        </w:rPr>
      </w:pPr>
    </w:p>
    <w:p>
      <w:pPr>
        <w:pStyle w:val="6"/>
        <w:spacing w:before="120" w:after="120" w:line="360" w:lineRule="auto"/>
        <w:rPr>
          <w:rFonts w:ascii="仿宋" w:hAnsi="仿宋" w:eastAsia="仿宋" w:cs="仿宋"/>
          <w:b w:val="0"/>
          <w:color w:val="auto"/>
          <w:sz w:val="24"/>
          <w:szCs w:val="21"/>
          <w:highlight w:val="none"/>
        </w:rPr>
      </w:pPr>
      <w:bookmarkStart w:id="147" w:name="_Toc470090775"/>
      <w:bookmarkStart w:id="148" w:name="_Toc444769214"/>
      <w:bookmarkStart w:id="149" w:name="_Toc19348"/>
      <w:bookmarkStart w:id="150" w:name="_Toc31180"/>
      <w:r>
        <w:rPr>
          <w:rFonts w:hint="eastAsia" w:ascii="仿宋" w:hAnsi="仿宋" w:eastAsia="仿宋" w:cs="仿宋"/>
          <w:b w:val="0"/>
          <w:color w:val="auto"/>
          <w:sz w:val="24"/>
          <w:szCs w:val="21"/>
          <w:highlight w:val="none"/>
        </w:rPr>
        <w:t>附件十</w:t>
      </w:r>
      <w:bookmarkEnd w:id="147"/>
      <w:bookmarkEnd w:id="148"/>
      <w:bookmarkEnd w:id="149"/>
      <w:r>
        <w:rPr>
          <w:rFonts w:hint="eastAsia" w:ascii="仿宋" w:hAnsi="仿宋" w:eastAsia="仿宋" w:cs="仿宋"/>
          <w:b w:val="0"/>
          <w:color w:val="auto"/>
          <w:sz w:val="24"/>
          <w:szCs w:val="21"/>
          <w:highlight w:val="none"/>
          <w:lang w:eastAsia="zh-CN"/>
        </w:rPr>
        <w:t>三：</w:t>
      </w:r>
      <w:r>
        <w:rPr>
          <w:rFonts w:hint="eastAsia" w:ascii="仿宋" w:hAnsi="仿宋" w:eastAsia="仿宋" w:cs="仿宋"/>
          <w:b w:val="0"/>
          <w:color w:val="auto"/>
          <w:sz w:val="24"/>
          <w:szCs w:val="21"/>
          <w:highlight w:val="none"/>
        </w:rPr>
        <w:t>残疾人福利性单位声明函（如有）</w:t>
      </w:r>
      <w:bookmarkEnd w:id="150"/>
    </w:p>
    <w:p>
      <w:pPr>
        <w:spacing w:line="360" w:lineRule="auto"/>
        <w:jc w:val="center"/>
        <w:rPr>
          <w:rFonts w:ascii="仿宋" w:hAnsi="仿宋" w:eastAsia="仿宋" w:cs="仿宋"/>
          <w:b/>
          <w:color w:val="auto"/>
          <w:spacing w:val="6"/>
          <w:sz w:val="30"/>
          <w:szCs w:val="30"/>
          <w:highlight w:val="none"/>
        </w:rPr>
      </w:pPr>
    </w:p>
    <w:p>
      <w:pPr>
        <w:spacing w:line="360" w:lineRule="auto"/>
        <w:jc w:val="center"/>
        <w:rPr>
          <w:rFonts w:ascii="仿宋" w:hAnsi="仿宋" w:eastAsia="仿宋" w:cs="仿宋"/>
          <w:b/>
          <w:color w:val="auto"/>
          <w:spacing w:val="6"/>
          <w:sz w:val="30"/>
          <w:szCs w:val="30"/>
          <w:highlight w:val="none"/>
        </w:rPr>
      </w:pPr>
      <w:r>
        <w:rPr>
          <w:rFonts w:hint="eastAsia" w:ascii="仿宋" w:hAnsi="仿宋" w:eastAsia="仿宋" w:cs="仿宋"/>
          <w:b/>
          <w:color w:val="auto"/>
          <w:spacing w:val="6"/>
          <w:sz w:val="30"/>
          <w:szCs w:val="30"/>
          <w:highlight w:val="none"/>
        </w:rPr>
        <w:t>残疾人福利性单位声明函</w:t>
      </w:r>
    </w:p>
    <w:p>
      <w:pPr>
        <w:spacing w:line="360" w:lineRule="auto"/>
        <w:rPr>
          <w:rFonts w:ascii="仿宋" w:hAnsi="仿宋" w:eastAsia="仿宋" w:cs="仿宋"/>
          <w:b/>
          <w:color w:val="auto"/>
          <w:spacing w:val="6"/>
          <w:sz w:val="30"/>
          <w:szCs w:val="30"/>
          <w:highlight w:val="none"/>
        </w:rPr>
      </w:pPr>
    </w:p>
    <w:p>
      <w:pPr>
        <w:spacing w:line="360" w:lineRule="auto"/>
        <w:ind w:firstLine="504" w:firstLineChars="200"/>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 141</w:t>
      </w:r>
      <w:r>
        <w:rPr>
          <w:rFonts w:hint="eastAsia" w:ascii="仿宋" w:hAnsi="仿宋" w:eastAsia="仿宋" w:cs="仿宋"/>
          <w:color w:val="auto"/>
          <w:spacing w:val="6"/>
          <w:sz w:val="24"/>
          <w:highlight w:val="none"/>
        </w:rPr>
        <w:t>号）的规定，本单位为符合条件的残疾人福利性单位，且本单位参加______单位的______项目采购活动提供本单位提供的服务），或者提供其他残疾人福利性单位提供的服务。</w:t>
      </w:r>
    </w:p>
    <w:p>
      <w:pPr>
        <w:spacing w:line="360" w:lineRule="auto"/>
        <w:ind w:firstLine="504" w:firstLineChars="200"/>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pPr>
        <w:pStyle w:val="2"/>
        <w:spacing w:line="360" w:lineRule="auto"/>
        <w:rPr>
          <w:rFonts w:ascii="仿宋" w:hAnsi="仿宋" w:eastAsia="仿宋" w:cs="仿宋"/>
          <w:color w:val="auto"/>
          <w:highlight w:val="none"/>
        </w:rPr>
      </w:pPr>
    </w:p>
    <w:p>
      <w:pPr>
        <w:pStyle w:val="2"/>
        <w:spacing w:line="360" w:lineRule="auto"/>
        <w:rPr>
          <w:rFonts w:ascii="仿宋" w:hAnsi="仿宋" w:eastAsia="仿宋" w:cs="仿宋"/>
          <w:color w:val="auto"/>
          <w:highlight w:val="none"/>
        </w:rPr>
      </w:pPr>
    </w:p>
    <w:p>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bCs/>
          <w:color w:val="auto"/>
          <w:sz w:val="24"/>
          <w:highlight w:val="none"/>
        </w:rPr>
        <w:t>公章</w:t>
      </w:r>
      <w:r>
        <w:rPr>
          <w:rFonts w:hint="eastAsia" w:ascii="仿宋" w:hAnsi="仿宋" w:eastAsia="仿宋" w:cs="仿宋"/>
          <w:color w:val="auto"/>
          <w:sz w:val="24"/>
          <w:highlight w:val="none"/>
        </w:rPr>
        <w:t>）：</w:t>
      </w:r>
    </w:p>
    <w:p>
      <w:pPr>
        <w:pStyle w:val="2"/>
        <w:spacing w:line="360" w:lineRule="auto"/>
        <w:rPr>
          <w:rFonts w:ascii="仿宋" w:hAnsi="仿宋" w:eastAsia="仿宋" w:cs="仿宋"/>
          <w:color w:val="auto"/>
          <w:highlight w:val="none"/>
        </w:rPr>
      </w:pPr>
    </w:p>
    <w:p>
      <w:pPr>
        <w:tabs>
          <w:tab w:val="left" w:pos="1490"/>
          <w:tab w:val="right" w:pos="9191"/>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法定代表人或授权代理人签字或盖章：</w:t>
      </w:r>
      <w:r>
        <w:rPr>
          <w:rFonts w:hint="eastAsia" w:ascii="仿宋" w:hAnsi="仿宋" w:eastAsia="仿宋" w:cs="仿宋"/>
          <w:color w:val="auto"/>
          <w:sz w:val="24"/>
          <w:highlight w:val="none"/>
        </w:rPr>
        <w:tab/>
      </w:r>
    </w:p>
    <w:p>
      <w:pPr>
        <w:tabs>
          <w:tab w:val="left" w:pos="1490"/>
          <w:tab w:val="right" w:pos="9191"/>
        </w:tabs>
        <w:spacing w:line="360" w:lineRule="auto"/>
        <w:ind w:firstLine="6360" w:firstLineChars="2650"/>
        <w:jc w:val="left"/>
        <w:rPr>
          <w:rFonts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w:t>
      </w:r>
    </w:p>
    <w:p>
      <w:pPr>
        <w:rPr>
          <w:rFonts w:ascii="仿宋" w:hAnsi="仿宋" w:eastAsia="仿宋" w:cs="仿宋"/>
          <w:color w:val="auto"/>
          <w:highlight w:val="none"/>
        </w:rPr>
      </w:pPr>
    </w:p>
    <w:p>
      <w:pPr>
        <w:rPr>
          <w:rFonts w:ascii="仿宋" w:hAnsi="仿宋" w:eastAsia="仿宋" w:cs="仿宋"/>
          <w:color w:val="auto"/>
          <w:highlight w:val="none"/>
        </w:rPr>
      </w:pPr>
    </w:p>
    <w:p>
      <w:pPr>
        <w:pStyle w:val="10"/>
        <w:spacing w:line="360" w:lineRule="auto"/>
        <w:ind w:left="0" w:leftChars="0" w:firstLine="0" w:firstLineChars="0"/>
        <w:jc w:val="left"/>
        <w:rPr>
          <w:rFonts w:ascii="仿宋" w:hAnsi="仿宋" w:eastAsia="仿宋" w:cs="仿宋"/>
          <w:color w:val="auto"/>
          <w:szCs w:val="24"/>
          <w:highlight w:val="none"/>
        </w:rPr>
        <w:sectPr>
          <w:footerReference r:id="rId9" w:type="default"/>
          <w:pgSz w:w="11907" w:h="16840"/>
          <w:pgMar w:top="1105" w:right="1080" w:bottom="1440" w:left="1080" w:header="851" w:footer="851" w:gutter="0"/>
          <w:pgNumType w:fmt="decimal"/>
          <w:cols w:space="720" w:num="1"/>
          <w:docGrid w:linePitch="290" w:charSpace="-3931"/>
        </w:sectPr>
      </w:pPr>
      <w:r>
        <w:rPr>
          <w:rFonts w:hint="eastAsia" w:ascii="仿宋" w:hAnsi="仿宋" w:eastAsia="仿宋" w:cs="仿宋"/>
          <w:b/>
          <w:bCs/>
          <w:color w:val="auto"/>
          <w:szCs w:val="24"/>
          <w:highlight w:val="none"/>
        </w:rPr>
        <w:t>注：不符合相应条件的</w:t>
      </w:r>
      <w:r>
        <w:rPr>
          <w:rFonts w:hint="eastAsia" w:ascii="仿宋" w:hAnsi="仿宋" w:eastAsia="仿宋" w:cs="仿宋"/>
          <w:b/>
          <w:bCs/>
          <w:color w:val="auto"/>
          <w:szCs w:val="24"/>
          <w:highlight w:val="none"/>
          <w:lang w:eastAsia="zh-CN"/>
        </w:rPr>
        <w:t>投标人</w:t>
      </w:r>
      <w:r>
        <w:rPr>
          <w:rFonts w:hint="eastAsia" w:ascii="仿宋" w:hAnsi="仿宋" w:eastAsia="仿宋" w:cs="仿宋"/>
          <w:b/>
          <w:bCs/>
          <w:color w:val="auto"/>
          <w:szCs w:val="24"/>
          <w:highlight w:val="none"/>
        </w:rPr>
        <w:t>无需提供。</w:t>
      </w:r>
      <w:r>
        <w:rPr>
          <w:rFonts w:hint="eastAsia" w:ascii="仿宋" w:hAnsi="仿宋" w:eastAsia="仿宋" w:cs="仿宋"/>
          <w:color w:val="auto"/>
          <w:highlight w:val="none"/>
        </w:rPr>
        <w:br w:type="page"/>
      </w:r>
    </w:p>
    <w:p>
      <w:pPr>
        <w:pStyle w:val="6"/>
        <w:spacing w:before="120" w:after="120" w:line="360" w:lineRule="auto"/>
        <w:rPr>
          <w:rFonts w:ascii="仿宋" w:hAnsi="仿宋" w:eastAsia="仿宋" w:cs="仿宋"/>
          <w:b w:val="0"/>
          <w:color w:val="auto"/>
          <w:sz w:val="24"/>
          <w:szCs w:val="21"/>
          <w:highlight w:val="none"/>
        </w:rPr>
      </w:pPr>
      <w:bookmarkStart w:id="151" w:name="_Toc27553"/>
      <w:bookmarkStart w:id="152" w:name="_Toc4933"/>
      <w:r>
        <w:rPr>
          <w:rFonts w:hint="eastAsia" w:ascii="仿宋" w:hAnsi="仿宋" w:eastAsia="仿宋" w:cs="仿宋"/>
          <w:b w:val="0"/>
          <w:color w:val="auto"/>
          <w:sz w:val="24"/>
          <w:szCs w:val="21"/>
          <w:highlight w:val="none"/>
        </w:rPr>
        <w:t>附件十</w:t>
      </w:r>
      <w:r>
        <w:rPr>
          <w:rFonts w:hint="eastAsia" w:ascii="仿宋" w:hAnsi="仿宋" w:eastAsia="仿宋" w:cs="仿宋"/>
          <w:b w:val="0"/>
          <w:color w:val="auto"/>
          <w:sz w:val="24"/>
          <w:szCs w:val="21"/>
          <w:highlight w:val="none"/>
          <w:lang w:eastAsia="zh-CN"/>
        </w:rPr>
        <w:t>四</w:t>
      </w:r>
      <w:r>
        <w:rPr>
          <w:rFonts w:hint="eastAsia" w:ascii="仿宋" w:hAnsi="仿宋" w:eastAsia="仿宋" w:cs="仿宋"/>
          <w:b w:val="0"/>
          <w:color w:val="auto"/>
          <w:sz w:val="24"/>
          <w:szCs w:val="21"/>
          <w:highlight w:val="none"/>
        </w:rPr>
        <w:t>：投标文件密封封套标记格式</w:t>
      </w:r>
      <w:bookmarkEnd w:id="151"/>
      <w:bookmarkEnd w:id="152"/>
    </w:p>
    <w:tbl>
      <w:tblPr>
        <w:tblStyle w:val="23"/>
        <w:tblW w:w="90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5"/>
        <w:gridCol w:w="4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0" w:hRule="atLeast"/>
        </w:trPr>
        <w:tc>
          <w:tcPr>
            <w:tcW w:w="4285" w:type="dxa"/>
          </w:tcPr>
          <w:p>
            <w:pPr>
              <w:pStyle w:val="10"/>
              <w:spacing w:line="360" w:lineRule="auto"/>
              <w:ind w:left="0" w:leftChars="0" w:firstLine="0" w:firstLineChars="0"/>
              <w:jc w:val="center"/>
              <w:rPr>
                <w:rFonts w:ascii="仿宋" w:hAnsi="仿宋" w:eastAsia="仿宋" w:cs="仿宋"/>
                <w:b/>
                <w:color w:val="auto"/>
                <w:kern w:val="2"/>
                <w:sz w:val="30"/>
                <w:szCs w:val="24"/>
                <w:highlight w:val="none"/>
              </w:rPr>
            </w:pPr>
            <w:r>
              <w:rPr>
                <w:rFonts w:hint="eastAsia" w:ascii="仿宋" w:hAnsi="仿宋" w:eastAsia="仿宋" w:cs="仿宋"/>
                <w:b/>
                <w:color w:val="auto"/>
                <w:kern w:val="2"/>
                <w:sz w:val="30"/>
                <w:szCs w:val="24"/>
                <w:highlight w:val="none"/>
              </w:rPr>
              <w:t>投标文件</w:t>
            </w:r>
          </w:p>
          <w:p>
            <w:pPr>
              <w:pStyle w:val="10"/>
              <w:spacing w:line="360" w:lineRule="auto"/>
              <w:ind w:left="0" w:leftChars="0" w:firstLine="0" w:firstLineChars="0"/>
              <w:jc w:val="left"/>
              <w:rPr>
                <w:rFonts w:ascii="仿宋" w:hAnsi="仿宋" w:eastAsia="仿宋" w:cs="仿宋"/>
                <w:color w:val="auto"/>
                <w:kern w:val="2"/>
                <w:sz w:val="30"/>
                <w:szCs w:val="24"/>
                <w:highlight w:val="none"/>
              </w:rPr>
            </w:pPr>
            <w:r>
              <w:rPr>
                <w:rFonts w:hint="eastAsia" w:ascii="仿宋" w:hAnsi="仿宋" w:eastAsia="仿宋" w:cs="仿宋"/>
                <w:b/>
                <w:color w:val="auto"/>
                <w:kern w:val="2"/>
                <w:sz w:val="30"/>
                <w:szCs w:val="24"/>
                <w:highlight w:val="none"/>
              </w:rPr>
              <w:t>（正本）</w:t>
            </w:r>
          </w:p>
          <w:p>
            <w:pPr>
              <w:pStyle w:val="10"/>
              <w:spacing w:line="360" w:lineRule="auto"/>
              <w:ind w:left="1747" w:firstLine="353"/>
              <w:jc w:val="left"/>
              <w:rPr>
                <w:rFonts w:ascii="仿宋" w:hAnsi="仿宋" w:eastAsia="仿宋" w:cs="仿宋"/>
                <w:color w:val="auto"/>
                <w:kern w:val="2"/>
                <w:sz w:val="18"/>
                <w:szCs w:val="24"/>
                <w:highlight w:val="none"/>
              </w:rPr>
            </w:pP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项目编号：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项目名称：</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包号：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lang w:eastAsia="zh-CN"/>
              </w:rPr>
              <w:t>投标人</w:t>
            </w:r>
            <w:r>
              <w:rPr>
                <w:rFonts w:hint="eastAsia" w:ascii="仿宋" w:hAnsi="仿宋" w:eastAsia="仿宋" w:cs="仿宋"/>
                <w:color w:val="auto"/>
                <w:kern w:val="2"/>
                <w:szCs w:val="24"/>
                <w:highlight w:val="none"/>
              </w:rPr>
              <w:t>名称（公章）：</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地址：</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电话：</w:t>
            </w:r>
          </w:p>
        </w:tc>
        <w:tc>
          <w:tcPr>
            <w:tcW w:w="4775" w:type="dxa"/>
          </w:tcPr>
          <w:p>
            <w:pPr>
              <w:pStyle w:val="10"/>
              <w:spacing w:line="360" w:lineRule="auto"/>
              <w:ind w:left="0" w:leftChars="0" w:firstLine="0" w:firstLineChars="0"/>
              <w:jc w:val="center"/>
              <w:rPr>
                <w:rFonts w:ascii="仿宋" w:hAnsi="仿宋" w:eastAsia="仿宋" w:cs="仿宋"/>
                <w:b/>
                <w:color w:val="auto"/>
                <w:kern w:val="2"/>
                <w:sz w:val="30"/>
                <w:szCs w:val="24"/>
                <w:highlight w:val="none"/>
              </w:rPr>
            </w:pPr>
            <w:r>
              <w:rPr>
                <w:rFonts w:hint="eastAsia" w:ascii="仿宋" w:hAnsi="仿宋" w:eastAsia="仿宋" w:cs="仿宋"/>
                <w:b/>
                <w:color w:val="auto"/>
                <w:kern w:val="2"/>
                <w:sz w:val="30"/>
                <w:szCs w:val="24"/>
                <w:highlight w:val="none"/>
              </w:rPr>
              <w:t>投标文件</w:t>
            </w:r>
          </w:p>
          <w:p>
            <w:pPr>
              <w:pStyle w:val="10"/>
              <w:spacing w:line="360" w:lineRule="auto"/>
              <w:ind w:left="0" w:leftChars="0" w:firstLine="0" w:firstLineChars="0"/>
              <w:jc w:val="left"/>
              <w:rPr>
                <w:rFonts w:ascii="仿宋" w:hAnsi="仿宋" w:eastAsia="仿宋" w:cs="仿宋"/>
                <w:color w:val="auto"/>
                <w:kern w:val="2"/>
                <w:sz w:val="30"/>
                <w:szCs w:val="24"/>
                <w:highlight w:val="none"/>
              </w:rPr>
            </w:pPr>
            <w:r>
              <w:rPr>
                <w:rFonts w:hint="eastAsia" w:ascii="仿宋" w:hAnsi="仿宋" w:eastAsia="仿宋" w:cs="仿宋"/>
                <w:b/>
                <w:color w:val="auto"/>
                <w:kern w:val="2"/>
                <w:sz w:val="30"/>
                <w:szCs w:val="24"/>
                <w:highlight w:val="none"/>
              </w:rPr>
              <w:t>（副本）</w:t>
            </w:r>
          </w:p>
          <w:p>
            <w:pPr>
              <w:pStyle w:val="10"/>
              <w:spacing w:line="360" w:lineRule="auto"/>
              <w:ind w:left="1747" w:firstLine="353"/>
              <w:jc w:val="left"/>
              <w:rPr>
                <w:rFonts w:ascii="仿宋" w:hAnsi="仿宋" w:eastAsia="仿宋" w:cs="仿宋"/>
                <w:color w:val="auto"/>
                <w:kern w:val="2"/>
                <w:sz w:val="18"/>
                <w:szCs w:val="24"/>
                <w:highlight w:val="none"/>
              </w:rPr>
            </w:pP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项目编号：</w:t>
            </w:r>
          </w:p>
          <w:p>
            <w:pPr>
              <w:pStyle w:val="10"/>
              <w:spacing w:line="360" w:lineRule="auto"/>
              <w:ind w:left="0" w:leftChars="0" w:firstLine="0" w:firstLineChars="0"/>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项目名称：</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包号：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lang w:eastAsia="zh-CN"/>
              </w:rPr>
              <w:t>投标人</w:t>
            </w:r>
            <w:r>
              <w:rPr>
                <w:rFonts w:hint="eastAsia" w:ascii="仿宋" w:hAnsi="仿宋" w:eastAsia="仿宋" w:cs="仿宋"/>
                <w:color w:val="auto"/>
                <w:kern w:val="2"/>
                <w:szCs w:val="24"/>
                <w:highlight w:val="none"/>
              </w:rPr>
              <w:t>名称（公章）：</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地址：</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电话：</w:t>
            </w:r>
          </w:p>
        </w:tc>
      </w:tr>
    </w:tbl>
    <w:p>
      <w:pPr>
        <w:pStyle w:val="10"/>
        <w:spacing w:line="360" w:lineRule="auto"/>
        <w:ind w:left="1747" w:firstLine="470"/>
        <w:rPr>
          <w:rFonts w:ascii="仿宋" w:hAnsi="仿宋" w:eastAsia="仿宋" w:cs="仿宋"/>
          <w:color w:val="auto"/>
          <w:highlight w:val="none"/>
        </w:rPr>
      </w:pPr>
    </w:p>
    <w:tbl>
      <w:tblPr>
        <w:tblStyle w:val="23"/>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7"/>
        <w:gridCol w:w="4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4277" w:type="dxa"/>
          </w:tcPr>
          <w:p>
            <w:pPr>
              <w:pStyle w:val="10"/>
              <w:spacing w:line="360" w:lineRule="auto"/>
              <w:ind w:left="0" w:leftChars="0" w:firstLine="0" w:firstLineChars="0"/>
              <w:jc w:val="center"/>
              <w:rPr>
                <w:rFonts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开标一览表</w:t>
            </w:r>
          </w:p>
          <w:p>
            <w:pPr>
              <w:pStyle w:val="10"/>
              <w:spacing w:line="360" w:lineRule="auto"/>
              <w:ind w:left="0" w:leftChars="0" w:firstLine="0" w:firstLineChars="0"/>
              <w:jc w:val="left"/>
              <w:rPr>
                <w:rFonts w:ascii="仿宋" w:hAnsi="仿宋" w:eastAsia="仿宋" w:cs="仿宋"/>
                <w:color w:val="auto"/>
                <w:kern w:val="2"/>
                <w:szCs w:val="24"/>
                <w:highlight w:val="none"/>
              </w:rPr>
            </w:pP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项目编号：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项目名称：</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包号：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lang w:eastAsia="zh-CN"/>
              </w:rPr>
              <w:t>投标人</w:t>
            </w:r>
            <w:r>
              <w:rPr>
                <w:rFonts w:hint="eastAsia" w:ascii="仿宋" w:hAnsi="仿宋" w:eastAsia="仿宋" w:cs="仿宋"/>
                <w:color w:val="auto"/>
                <w:kern w:val="2"/>
                <w:szCs w:val="24"/>
                <w:highlight w:val="none"/>
              </w:rPr>
              <w:t>名称（公章）：</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地址：</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电话：</w:t>
            </w:r>
          </w:p>
        </w:tc>
        <w:tc>
          <w:tcPr>
            <w:tcW w:w="4766" w:type="dxa"/>
          </w:tcPr>
          <w:p>
            <w:pPr>
              <w:pStyle w:val="10"/>
              <w:spacing w:line="360" w:lineRule="auto"/>
              <w:ind w:left="0" w:leftChars="0" w:firstLine="0" w:firstLineChars="0"/>
              <w:jc w:val="center"/>
              <w:rPr>
                <w:rFonts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电子文档</w:t>
            </w:r>
          </w:p>
          <w:p>
            <w:pPr>
              <w:pStyle w:val="10"/>
              <w:spacing w:line="360" w:lineRule="auto"/>
              <w:ind w:left="0" w:leftChars="0" w:firstLine="0" w:firstLineChars="0"/>
              <w:jc w:val="left"/>
              <w:rPr>
                <w:rFonts w:ascii="仿宋" w:hAnsi="仿宋" w:eastAsia="仿宋" w:cs="仿宋"/>
                <w:color w:val="auto"/>
                <w:kern w:val="2"/>
                <w:szCs w:val="24"/>
                <w:highlight w:val="none"/>
              </w:rPr>
            </w:pP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项目编号：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 xml:space="preserve">项目名称： </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包号：</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lang w:eastAsia="zh-CN"/>
              </w:rPr>
              <w:t>投标人</w:t>
            </w:r>
            <w:r>
              <w:rPr>
                <w:rFonts w:hint="eastAsia" w:ascii="仿宋" w:hAnsi="仿宋" w:eastAsia="仿宋" w:cs="仿宋"/>
                <w:color w:val="auto"/>
                <w:kern w:val="2"/>
                <w:szCs w:val="24"/>
                <w:highlight w:val="none"/>
              </w:rPr>
              <w:t>名称（公章）：</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地址：</w:t>
            </w:r>
          </w:p>
          <w:p>
            <w:pPr>
              <w:pStyle w:val="10"/>
              <w:spacing w:line="360" w:lineRule="auto"/>
              <w:ind w:left="0" w:leftChars="0" w:firstLine="0" w:firstLineChars="0"/>
              <w:jc w:val="left"/>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电话：</w:t>
            </w:r>
          </w:p>
        </w:tc>
      </w:tr>
    </w:tbl>
    <w:p>
      <w:pPr>
        <w:pStyle w:val="10"/>
        <w:spacing w:line="360" w:lineRule="auto"/>
        <w:ind w:left="1747" w:firstLine="470"/>
        <w:rPr>
          <w:rFonts w:ascii="仿宋" w:hAnsi="仿宋" w:eastAsia="仿宋" w:cs="仿宋"/>
          <w:color w:val="auto"/>
          <w:highlight w:val="none"/>
        </w:rPr>
      </w:pPr>
    </w:p>
    <w:p>
      <w:pPr>
        <w:pStyle w:val="10"/>
        <w:spacing w:line="360" w:lineRule="auto"/>
        <w:ind w:left="0" w:leftChars="0" w:firstLine="0" w:firstLineChars="0"/>
        <w:rPr>
          <w:rFonts w:ascii="仿宋" w:hAnsi="仿宋" w:eastAsia="仿宋" w:cs="仿宋"/>
          <w:b/>
          <w:bCs/>
          <w:color w:val="auto"/>
          <w:sz w:val="32"/>
          <w:highlight w:val="none"/>
        </w:rPr>
      </w:pPr>
      <w:r>
        <w:rPr>
          <w:rFonts w:hint="eastAsia" w:ascii="仿宋" w:hAnsi="仿宋" w:eastAsia="仿宋" w:cs="仿宋"/>
          <w:b/>
          <w:bCs/>
          <w:color w:val="auto"/>
          <w:sz w:val="32"/>
          <w:highlight w:val="none"/>
        </w:rPr>
        <w:t>封口格式：</w:t>
      </w:r>
    </w:p>
    <w:tbl>
      <w:tblPr>
        <w:tblStyle w:val="23"/>
        <w:tblW w:w="91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168" w:type="dxa"/>
            <w:vAlign w:val="center"/>
          </w:tcPr>
          <w:p>
            <w:pPr>
              <w:pStyle w:val="10"/>
              <w:spacing w:line="360" w:lineRule="auto"/>
              <w:ind w:left="0" w:leftChars="0" w:firstLine="0" w:firstLineChars="0"/>
              <w:rPr>
                <w:rFonts w:ascii="仿宋" w:hAnsi="仿宋" w:eastAsia="仿宋" w:cs="仿宋"/>
                <w:color w:val="auto"/>
                <w:kern w:val="2"/>
                <w:szCs w:val="24"/>
                <w:highlight w:val="none"/>
              </w:rPr>
            </w:pPr>
            <w:r>
              <w:rPr>
                <w:rFonts w:hint="eastAsia" w:ascii="仿宋" w:hAnsi="仿宋" w:eastAsia="仿宋" w:cs="仿宋"/>
                <w:color w:val="auto"/>
                <w:kern w:val="2"/>
                <w:szCs w:val="24"/>
                <w:highlight w:val="none"/>
              </w:rPr>
              <w:t>……………………于  年  月   日   时之前不准启封（公章）…………………</w:t>
            </w:r>
          </w:p>
        </w:tc>
      </w:tr>
    </w:tbl>
    <w:p>
      <w:pPr>
        <w:tabs>
          <w:tab w:val="left" w:pos="1637"/>
        </w:tabs>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ab/>
      </w:r>
    </w:p>
    <w:p>
      <w:pPr>
        <w:tabs>
          <w:tab w:val="left" w:pos="1660"/>
        </w:tabs>
        <w:rPr>
          <w:rFonts w:hint="eastAsia" w:ascii="仿宋" w:hAnsi="仿宋" w:eastAsia="仿宋" w:cs="仿宋"/>
          <w:color w:val="auto"/>
          <w:highlight w:val="none"/>
          <w:lang w:eastAsia="zh-CN"/>
        </w:rPr>
      </w:pPr>
    </w:p>
    <w:sectPr>
      <w:headerReference r:id="rId10" w:type="default"/>
      <w:footerReference r:id="rId11" w:type="default"/>
      <w:pgSz w:w="11907" w:h="16840"/>
      <w:pgMar w:top="1418" w:right="1418" w:bottom="1418" w:left="1418" w:header="851" w:footer="822" w:gutter="0"/>
      <w:pgNumType w:fmt="decimal"/>
      <w:cols w:space="720" w:num="1"/>
      <w:docGrid w:type="lines" w:linePitch="290" w:charSpace="-39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Style w:val="26"/>
                            </w:rPr>
                          </w:pPr>
                          <w:r>
                            <w:fldChar w:fldCharType="begin"/>
                          </w:r>
                          <w:r>
                            <w:rPr>
                              <w:rStyle w:val="26"/>
                            </w:rPr>
                            <w:instrText xml:space="preserve">PAGE  </w:instrText>
                          </w:r>
                          <w:r>
                            <w:fldChar w:fldCharType="separate"/>
                          </w:r>
                          <w:r>
                            <w:rPr>
                              <w:rStyle w:val="26"/>
                            </w:rP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6"/>
                      <w:rPr>
                        <w:rStyle w:val="26"/>
                      </w:rPr>
                    </w:pPr>
                    <w:r>
                      <w:fldChar w:fldCharType="begin"/>
                    </w:r>
                    <w:r>
                      <w:rPr>
                        <w:rStyle w:val="26"/>
                      </w:rPr>
                      <w:instrText xml:space="preserve">PAGE  </w:instrText>
                    </w:r>
                    <w:r>
                      <w:fldChar w:fldCharType="separate"/>
                    </w:r>
                    <w:r>
                      <w:rPr>
                        <w:rStyle w:val="26"/>
                      </w:rPr>
                      <w:t>30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Style w:val="26"/>
                            </w:rPr>
                          </w:pPr>
                          <w:r>
                            <w:fldChar w:fldCharType="begin"/>
                          </w:r>
                          <w:r>
                            <w:rPr>
                              <w:rStyle w:val="26"/>
                            </w:rPr>
                            <w:instrText xml:space="preserve">PAGE  </w:instrText>
                          </w:r>
                          <w:r>
                            <w:fldChar w:fldCharType="separate"/>
                          </w:r>
                          <w:r>
                            <w:rPr>
                              <w:rStyle w:val="26"/>
                            </w:rP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6"/>
                      <w:rPr>
                        <w:rStyle w:val="26"/>
                      </w:rPr>
                    </w:pPr>
                    <w:r>
                      <w:fldChar w:fldCharType="begin"/>
                    </w:r>
                    <w:r>
                      <w:rPr>
                        <w:rStyle w:val="26"/>
                      </w:rPr>
                      <w:instrText xml:space="preserve">PAGE  </w:instrText>
                    </w:r>
                    <w:r>
                      <w:fldChar w:fldCharType="separate"/>
                    </w:r>
                    <w:r>
                      <w:rPr>
                        <w:rStyle w:val="26"/>
                      </w:rP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174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178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rFonts w:hint="eastAsia" w:ascii="宋体" w:eastAsia="宋体"/>
        <w:sz w:val="21"/>
        <w:szCs w:val="21"/>
        <w:lang w:eastAsia="zh-CN"/>
      </w:rPr>
    </w:pPr>
    <w:r>
      <w:rPr>
        <w:rFonts w:hint="eastAsia" w:ascii="仿宋" w:hAnsi="仿宋" w:eastAsia="仿宋" w:cs="仿宋"/>
        <w:bCs/>
        <w:sz w:val="21"/>
        <w:szCs w:val="21"/>
        <w:lang w:eastAsia="zh-CN"/>
      </w:rPr>
      <w:t>德州市消防救援支队消防装备采购项目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rFonts w:hint="eastAsia" w:ascii="仿宋" w:hAnsi="仿宋" w:eastAsia="仿宋" w:cs="仿宋"/>
        <w:bCs/>
        <w:sz w:val="21"/>
        <w:szCs w:val="21"/>
        <w:lang w:eastAsia="zh-CN"/>
      </w:rPr>
    </w:pPr>
  </w:p>
  <w:p>
    <w:pPr>
      <w:pStyle w:val="17"/>
      <w:jc w:val="right"/>
      <w:rPr>
        <w:rFonts w:hint="eastAsia" w:ascii="仿宋" w:hAnsi="仿宋" w:eastAsia="仿宋" w:cs="仿宋"/>
        <w:bCs/>
        <w:sz w:val="21"/>
        <w:szCs w:val="21"/>
        <w:lang w:eastAsia="zh-CN"/>
      </w:rPr>
    </w:pPr>
  </w:p>
  <w:p>
    <w:pPr>
      <w:pStyle w:val="17"/>
      <w:jc w:val="right"/>
      <w:rPr>
        <w:rFonts w:hint="eastAsia"/>
        <w:lang w:eastAsia="zh-CN"/>
      </w:rPr>
    </w:pPr>
    <w:r>
      <w:rPr>
        <w:rFonts w:hint="eastAsia" w:ascii="仿宋" w:hAnsi="仿宋" w:eastAsia="仿宋" w:cs="仿宋"/>
        <w:bCs/>
        <w:sz w:val="21"/>
        <w:szCs w:val="21"/>
        <w:lang w:eastAsia="zh-CN"/>
      </w:rPr>
      <w:t>德州市消防救援支队消防车采购项目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7B369B"/>
    <w:multiLevelType w:val="singleLevel"/>
    <w:tmpl w:val="A07B369B"/>
    <w:lvl w:ilvl="0" w:tentative="0">
      <w:start w:val="1"/>
      <w:numFmt w:val="decimal"/>
      <w:suff w:val="nothing"/>
      <w:lvlText w:val="%1、"/>
      <w:lvlJc w:val="left"/>
    </w:lvl>
  </w:abstractNum>
  <w:abstractNum w:abstractNumId="1">
    <w:nsid w:val="A62329DD"/>
    <w:multiLevelType w:val="singleLevel"/>
    <w:tmpl w:val="A62329DD"/>
    <w:lvl w:ilvl="0" w:tentative="0">
      <w:start w:val="3"/>
      <w:numFmt w:val="decimal"/>
      <w:suff w:val="nothing"/>
      <w:lvlText w:val="（%1）"/>
      <w:lvlJc w:val="left"/>
      <w:pPr>
        <w:ind w:left="-100"/>
      </w:pPr>
    </w:lvl>
  </w:abstractNum>
  <w:abstractNum w:abstractNumId="2">
    <w:nsid w:val="C5A16CF8"/>
    <w:multiLevelType w:val="singleLevel"/>
    <w:tmpl w:val="C5A16CF8"/>
    <w:lvl w:ilvl="0" w:tentative="0">
      <w:start w:val="2"/>
      <w:numFmt w:val="chineseCounting"/>
      <w:suff w:val="nothing"/>
      <w:lvlText w:val="（%1）"/>
      <w:lvlJc w:val="left"/>
      <w:rPr>
        <w:rFonts w:hint="eastAsia"/>
      </w:rPr>
    </w:lvl>
  </w:abstractNum>
  <w:abstractNum w:abstractNumId="3">
    <w:nsid w:val="D7B56865"/>
    <w:multiLevelType w:val="singleLevel"/>
    <w:tmpl w:val="D7B56865"/>
    <w:lvl w:ilvl="0" w:tentative="0">
      <w:start w:val="2"/>
      <w:numFmt w:val="chineseCounting"/>
      <w:suff w:val="nothing"/>
      <w:lvlText w:val="%1、"/>
      <w:lvlJc w:val="left"/>
      <w:rPr>
        <w:rFonts w:hint="eastAsia"/>
      </w:rPr>
    </w:lvl>
  </w:abstractNum>
  <w:abstractNum w:abstractNumId="4">
    <w:nsid w:val="DBDF0D06"/>
    <w:multiLevelType w:val="singleLevel"/>
    <w:tmpl w:val="DBDF0D06"/>
    <w:lvl w:ilvl="0" w:tentative="0">
      <w:start w:val="3"/>
      <w:numFmt w:val="decimal"/>
      <w:suff w:val="nothing"/>
      <w:lvlText w:val="%1、"/>
      <w:lvlJc w:val="left"/>
    </w:lvl>
  </w:abstractNum>
  <w:abstractNum w:abstractNumId="5">
    <w:nsid w:val="F7AE8CFA"/>
    <w:multiLevelType w:val="singleLevel"/>
    <w:tmpl w:val="F7AE8CFA"/>
    <w:lvl w:ilvl="0" w:tentative="0">
      <w:start w:val="6"/>
      <w:numFmt w:val="chineseCounting"/>
      <w:suff w:val="nothing"/>
      <w:lvlText w:val="%1、"/>
      <w:lvlJc w:val="left"/>
      <w:pPr>
        <w:ind w:left="-62"/>
      </w:pPr>
      <w:rPr>
        <w:rFonts w:hint="eastAsia"/>
      </w:rPr>
    </w:lvl>
  </w:abstractNum>
  <w:abstractNum w:abstractNumId="6">
    <w:nsid w:val="FD3C5391"/>
    <w:multiLevelType w:val="singleLevel"/>
    <w:tmpl w:val="FD3C5391"/>
    <w:lvl w:ilvl="0" w:tentative="0">
      <w:start w:val="1"/>
      <w:numFmt w:val="chineseCounting"/>
      <w:suff w:val="nothing"/>
      <w:lvlText w:val="（%1）"/>
      <w:lvlJc w:val="left"/>
      <w:rPr>
        <w:rFonts w:hint="eastAsia"/>
      </w:rPr>
    </w:lvl>
  </w:abstractNum>
  <w:abstractNum w:abstractNumId="7">
    <w:nsid w:val="1FF070F0"/>
    <w:multiLevelType w:val="multilevel"/>
    <w:tmpl w:val="1FF070F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FC095A8"/>
    <w:multiLevelType w:val="singleLevel"/>
    <w:tmpl w:val="2FC095A8"/>
    <w:lvl w:ilvl="0" w:tentative="0">
      <w:start w:val="5"/>
      <w:numFmt w:val="chineseCounting"/>
      <w:suff w:val="nothing"/>
      <w:lvlText w:val="%1、"/>
      <w:lvlJc w:val="left"/>
      <w:rPr>
        <w:rFonts w:hint="eastAsia"/>
      </w:rPr>
    </w:lvl>
  </w:abstractNum>
  <w:abstractNum w:abstractNumId="9">
    <w:nsid w:val="5E453FF2"/>
    <w:multiLevelType w:val="singleLevel"/>
    <w:tmpl w:val="5E453FF2"/>
    <w:lvl w:ilvl="0" w:tentative="0">
      <w:start w:val="1"/>
      <w:numFmt w:val="decimal"/>
      <w:suff w:val="nothing"/>
      <w:lvlText w:val="%1、"/>
      <w:lvlJc w:val="left"/>
    </w:lvl>
  </w:abstractNum>
  <w:abstractNum w:abstractNumId="10">
    <w:nsid w:val="608A9F08"/>
    <w:multiLevelType w:val="singleLevel"/>
    <w:tmpl w:val="608A9F08"/>
    <w:lvl w:ilvl="0" w:tentative="0">
      <w:start w:val="1"/>
      <w:numFmt w:val="decimal"/>
      <w:suff w:val="nothing"/>
      <w:lvlText w:val="（%1）"/>
      <w:lvlJc w:val="left"/>
    </w:lvl>
  </w:abstractNum>
  <w:abstractNum w:abstractNumId="11">
    <w:nsid w:val="68F17FC0"/>
    <w:multiLevelType w:val="singleLevel"/>
    <w:tmpl w:val="68F17FC0"/>
    <w:lvl w:ilvl="0" w:tentative="0">
      <w:start w:val="1"/>
      <w:numFmt w:val="decimal"/>
      <w:suff w:val="nothing"/>
      <w:lvlText w:val="%1、"/>
      <w:lvlJc w:val="left"/>
    </w:lvl>
  </w:abstractNum>
  <w:abstractNum w:abstractNumId="12">
    <w:nsid w:val="7A8F0316"/>
    <w:multiLevelType w:val="singleLevel"/>
    <w:tmpl w:val="7A8F0316"/>
    <w:lvl w:ilvl="0" w:tentative="0">
      <w:start w:val="1"/>
      <w:numFmt w:val="chineseCounting"/>
      <w:suff w:val="nothing"/>
      <w:lvlText w:val="（%1）"/>
      <w:lvlJc w:val="left"/>
      <w:rPr>
        <w:rFonts w:hint="eastAsia"/>
      </w:rPr>
    </w:lvl>
  </w:abstractNum>
  <w:num w:numId="1">
    <w:abstractNumId w:val="8"/>
  </w:num>
  <w:num w:numId="2">
    <w:abstractNumId w:val="10"/>
  </w:num>
  <w:num w:numId="3">
    <w:abstractNumId w:val="1"/>
  </w:num>
  <w:num w:numId="4">
    <w:abstractNumId w:val="3"/>
  </w:num>
  <w:num w:numId="5">
    <w:abstractNumId w:val="2"/>
  </w:num>
  <w:num w:numId="6">
    <w:abstractNumId w:val="4"/>
  </w:num>
  <w:num w:numId="7">
    <w:abstractNumId w:val="9"/>
  </w:num>
  <w:num w:numId="8">
    <w:abstractNumId w:val="0"/>
  </w:num>
  <w:num w:numId="9">
    <w:abstractNumId w:val="7"/>
  </w:num>
  <w:num w:numId="10">
    <w:abstractNumId w:val="11"/>
  </w:num>
  <w:num w:numId="11">
    <w:abstractNumId w:val="12"/>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D279FC"/>
    <w:rsid w:val="000716C6"/>
    <w:rsid w:val="000936D5"/>
    <w:rsid w:val="000E751E"/>
    <w:rsid w:val="00100CEE"/>
    <w:rsid w:val="00104E4B"/>
    <w:rsid w:val="00194B0A"/>
    <w:rsid w:val="001D5E7E"/>
    <w:rsid w:val="002644BD"/>
    <w:rsid w:val="00283F3D"/>
    <w:rsid w:val="002A6949"/>
    <w:rsid w:val="002D01CA"/>
    <w:rsid w:val="002F6BCB"/>
    <w:rsid w:val="00411B47"/>
    <w:rsid w:val="00476426"/>
    <w:rsid w:val="00481EFA"/>
    <w:rsid w:val="006031C9"/>
    <w:rsid w:val="00616464"/>
    <w:rsid w:val="00632B50"/>
    <w:rsid w:val="0069748F"/>
    <w:rsid w:val="006A60D7"/>
    <w:rsid w:val="006C08EE"/>
    <w:rsid w:val="006E6AA5"/>
    <w:rsid w:val="00786AC8"/>
    <w:rsid w:val="00846F72"/>
    <w:rsid w:val="008A1B26"/>
    <w:rsid w:val="008A1FD3"/>
    <w:rsid w:val="008D565A"/>
    <w:rsid w:val="0095709B"/>
    <w:rsid w:val="00967EFB"/>
    <w:rsid w:val="009A09A1"/>
    <w:rsid w:val="00B50AE0"/>
    <w:rsid w:val="00BB2147"/>
    <w:rsid w:val="00C017D2"/>
    <w:rsid w:val="00C32FA1"/>
    <w:rsid w:val="00CF3B39"/>
    <w:rsid w:val="00D23A05"/>
    <w:rsid w:val="00D83A69"/>
    <w:rsid w:val="00D91192"/>
    <w:rsid w:val="00F2244D"/>
    <w:rsid w:val="00FB0377"/>
    <w:rsid w:val="00FB2474"/>
    <w:rsid w:val="013E18DE"/>
    <w:rsid w:val="01635610"/>
    <w:rsid w:val="017A150B"/>
    <w:rsid w:val="017C66F7"/>
    <w:rsid w:val="0185470C"/>
    <w:rsid w:val="01864BA3"/>
    <w:rsid w:val="019D1F66"/>
    <w:rsid w:val="01A37226"/>
    <w:rsid w:val="01D35639"/>
    <w:rsid w:val="01FC2BD6"/>
    <w:rsid w:val="022B3B8C"/>
    <w:rsid w:val="02626E7D"/>
    <w:rsid w:val="029B2231"/>
    <w:rsid w:val="02A73F3B"/>
    <w:rsid w:val="02FB77D2"/>
    <w:rsid w:val="031E5362"/>
    <w:rsid w:val="033462A8"/>
    <w:rsid w:val="033E6237"/>
    <w:rsid w:val="03616DB6"/>
    <w:rsid w:val="03621166"/>
    <w:rsid w:val="036B1A41"/>
    <w:rsid w:val="03862C8E"/>
    <w:rsid w:val="038874A1"/>
    <w:rsid w:val="038D5209"/>
    <w:rsid w:val="03A60DAD"/>
    <w:rsid w:val="03B419B8"/>
    <w:rsid w:val="03C42AED"/>
    <w:rsid w:val="03DA2A14"/>
    <w:rsid w:val="03DA3330"/>
    <w:rsid w:val="03ED4EF7"/>
    <w:rsid w:val="04335416"/>
    <w:rsid w:val="043643C4"/>
    <w:rsid w:val="045844F8"/>
    <w:rsid w:val="04625FD9"/>
    <w:rsid w:val="04675823"/>
    <w:rsid w:val="048D545C"/>
    <w:rsid w:val="04C51E5B"/>
    <w:rsid w:val="04D8601C"/>
    <w:rsid w:val="050A537C"/>
    <w:rsid w:val="050F3A4E"/>
    <w:rsid w:val="05431796"/>
    <w:rsid w:val="05795373"/>
    <w:rsid w:val="05846902"/>
    <w:rsid w:val="058A41E1"/>
    <w:rsid w:val="0598705C"/>
    <w:rsid w:val="059B6A23"/>
    <w:rsid w:val="05B81783"/>
    <w:rsid w:val="05BA22D4"/>
    <w:rsid w:val="060B5F74"/>
    <w:rsid w:val="065031D3"/>
    <w:rsid w:val="066A4E2F"/>
    <w:rsid w:val="06872C74"/>
    <w:rsid w:val="06944604"/>
    <w:rsid w:val="06AA7C65"/>
    <w:rsid w:val="06C61400"/>
    <w:rsid w:val="06DD5FCC"/>
    <w:rsid w:val="07083C43"/>
    <w:rsid w:val="07084379"/>
    <w:rsid w:val="0720780D"/>
    <w:rsid w:val="07542F52"/>
    <w:rsid w:val="078828A9"/>
    <w:rsid w:val="07A46794"/>
    <w:rsid w:val="07D42FD2"/>
    <w:rsid w:val="07FD52FD"/>
    <w:rsid w:val="080043DB"/>
    <w:rsid w:val="082915D5"/>
    <w:rsid w:val="0854212B"/>
    <w:rsid w:val="08947AD9"/>
    <w:rsid w:val="08D16FF5"/>
    <w:rsid w:val="09031D6C"/>
    <w:rsid w:val="091E5AB3"/>
    <w:rsid w:val="092D094C"/>
    <w:rsid w:val="095D54C9"/>
    <w:rsid w:val="09A43B0E"/>
    <w:rsid w:val="09C37474"/>
    <w:rsid w:val="09F654F4"/>
    <w:rsid w:val="0A307F5E"/>
    <w:rsid w:val="0A4F11DD"/>
    <w:rsid w:val="0A5A2D88"/>
    <w:rsid w:val="0A5E149C"/>
    <w:rsid w:val="0A6728E4"/>
    <w:rsid w:val="0AA5268E"/>
    <w:rsid w:val="0AA72F0D"/>
    <w:rsid w:val="0AA77E69"/>
    <w:rsid w:val="0AC16A6E"/>
    <w:rsid w:val="0ACB3CF1"/>
    <w:rsid w:val="0B003918"/>
    <w:rsid w:val="0B243761"/>
    <w:rsid w:val="0B3872A6"/>
    <w:rsid w:val="0B4E213A"/>
    <w:rsid w:val="0B533E5D"/>
    <w:rsid w:val="0B594706"/>
    <w:rsid w:val="0B9779F9"/>
    <w:rsid w:val="0B9A5569"/>
    <w:rsid w:val="0BE730C7"/>
    <w:rsid w:val="0BF235EE"/>
    <w:rsid w:val="0BFE564D"/>
    <w:rsid w:val="0C0A15BD"/>
    <w:rsid w:val="0C136166"/>
    <w:rsid w:val="0C372E3D"/>
    <w:rsid w:val="0C747C17"/>
    <w:rsid w:val="0CA60578"/>
    <w:rsid w:val="0CAA2FC0"/>
    <w:rsid w:val="0CB57AD9"/>
    <w:rsid w:val="0CC1731E"/>
    <w:rsid w:val="0CC509AE"/>
    <w:rsid w:val="0CC91F46"/>
    <w:rsid w:val="0CDE411B"/>
    <w:rsid w:val="0CE0729C"/>
    <w:rsid w:val="0D0B10E8"/>
    <w:rsid w:val="0D231237"/>
    <w:rsid w:val="0D2C56EC"/>
    <w:rsid w:val="0D3064A9"/>
    <w:rsid w:val="0D452175"/>
    <w:rsid w:val="0D5A4697"/>
    <w:rsid w:val="0D7D7FE4"/>
    <w:rsid w:val="0D8771A0"/>
    <w:rsid w:val="0DA51153"/>
    <w:rsid w:val="0DDB09FA"/>
    <w:rsid w:val="0DFC1ED0"/>
    <w:rsid w:val="0E35530A"/>
    <w:rsid w:val="0E62653D"/>
    <w:rsid w:val="0E920011"/>
    <w:rsid w:val="0EA009DA"/>
    <w:rsid w:val="0EA64FB8"/>
    <w:rsid w:val="0EF3725C"/>
    <w:rsid w:val="0EFE4459"/>
    <w:rsid w:val="0F173AB5"/>
    <w:rsid w:val="0F92195D"/>
    <w:rsid w:val="0FA1478A"/>
    <w:rsid w:val="0FB47688"/>
    <w:rsid w:val="0FD22DD8"/>
    <w:rsid w:val="0FDC3305"/>
    <w:rsid w:val="0FF248A3"/>
    <w:rsid w:val="10081CB0"/>
    <w:rsid w:val="101E3C3F"/>
    <w:rsid w:val="105207C8"/>
    <w:rsid w:val="10556AAE"/>
    <w:rsid w:val="106037E9"/>
    <w:rsid w:val="106C2993"/>
    <w:rsid w:val="106E4CE4"/>
    <w:rsid w:val="108A403D"/>
    <w:rsid w:val="10A035C2"/>
    <w:rsid w:val="10B543ED"/>
    <w:rsid w:val="11126386"/>
    <w:rsid w:val="11154D2B"/>
    <w:rsid w:val="113211D9"/>
    <w:rsid w:val="11A772D6"/>
    <w:rsid w:val="11D049E1"/>
    <w:rsid w:val="11E103CC"/>
    <w:rsid w:val="11E33B8D"/>
    <w:rsid w:val="12377C01"/>
    <w:rsid w:val="12631CAC"/>
    <w:rsid w:val="12677E1A"/>
    <w:rsid w:val="128B1DDD"/>
    <w:rsid w:val="1297738B"/>
    <w:rsid w:val="129E6BCC"/>
    <w:rsid w:val="12E462DD"/>
    <w:rsid w:val="12F623C5"/>
    <w:rsid w:val="13281AF1"/>
    <w:rsid w:val="133A1907"/>
    <w:rsid w:val="137A1EF4"/>
    <w:rsid w:val="141151D7"/>
    <w:rsid w:val="141D4E13"/>
    <w:rsid w:val="14256AD0"/>
    <w:rsid w:val="145B0EAE"/>
    <w:rsid w:val="145B5D3E"/>
    <w:rsid w:val="14F140BC"/>
    <w:rsid w:val="14F66FF8"/>
    <w:rsid w:val="15075ADD"/>
    <w:rsid w:val="150839E2"/>
    <w:rsid w:val="15392DCD"/>
    <w:rsid w:val="156C3BE3"/>
    <w:rsid w:val="15841A38"/>
    <w:rsid w:val="159459C9"/>
    <w:rsid w:val="15AF5FFE"/>
    <w:rsid w:val="15D43D5D"/>
    <w:rsid w:val="15FB17ED"/>
    <w:rsid w:val="161F246C"/>
    <w:rsid w:val="162F0227"/>
    <w:rsid w:val="16612906"/>
    <w:rsid w:val="16662872"/>
    <w:rsid w:val="166839DF"/>
    <w:rsid w:val="16951651"/>
    <w:rsid w:val="16FD06E3"/>
    <w:rsid w:val="17581950"/>
    <w:rsid w:val="17687EA3"/>
    <w:rsid w:val="176A1FAC"/>
    <w:rsid w:val="17743925"/>
    <w:rsid w:val="17756E14"/>
    <w:rsid w:val="1778145B"/>
    <w:rsid w:val="178A7855"/>
    <w:rsid w:val="178F0D6F"/>
    <w:rsid w:val="17AD4AFA"/>
    <w:rsid w:val="17B0537F"/>
    <w:rsid w:val="17D14690"/>
    <w:rsid w:val="17F27AF8"/>
    <w:rsid w:val="17FA0F28"/>
    <w:rsid w:val="182203AC"/>
    <w:rsid w:val="182D6B64"/>
    <w:rsid w:val="18415A83"/>
    <w:rsid w:val="185C5FE2"/>
    <w:rsid w:val="188829AB"/>
    <w:rsid w:val="189A1EAB"/>
    <w:rsid w:val="18A10810"/>
    <w:rsid w:val="18CC2A28"/>
    <w:rsid w:val="18E927D0"/>
    <w:rsid w:val="18EA599D"/>
    <w:rsid w:val="18EE7FF0"/>
    <w:rsid w:val="18F13EBA"/>
    <w:rsid w:val="197D2B7B"/>
    <w:rsid w:val="19DF2D39"/>
    <w:rsid w:val="19EC764C"/>
    <w:rsid w:val="19F20811"/>
    <w:rsid w:val="1A147E1A"/>
    <w:rsid w:val="1A2518B4"/>
    <w:rsid w:val="1A432808"/>
    <w:rsid w:val="1A5C25C0"/>
    <w:rsid w:val="1A5E28F2"/>
    <w:rsid w:val="1A61301E"/>
    <w:rsid w:val="1A7B56D5"/>
    <w:rsid w:val="1A9734BA"/>
    <w:rsid w:val="1AB17F1A"/>
    <w:rsid w:val="1ABC27C2"/>
    <w:rsid w:val="1AD36DEB"/>
    <w:rsid w:val="1AE36487"/>
    <w:rsid w:val="1B040BA7"/>
    <w:rsid w:val="1B344269"/>
    <w:rsid w:val="1B4B08E1"/>
    <w:rsid w:val="1B795206"/>
    <w:rsid w:val="1B9E6B09"/>
    <w:rsid w:val="1B9F3820"/>
    <w:rsid w:val="1BB20406"/>
    <w:rsid w:val="1BC7460E"/>
    <w:rsid w:val="1BCD0EB5"/>
    <w:rsid w:val="1C18714C"/>
    <w:rsid w:val="1C2B0BE1"/>
    <w:rsid w:val="1C2F59CC"/>
    <w:rsid w:val="1C455036"/>
    <w:rsid w:val="1C5F4A03"/>
    <w:rsid w:val="1C901D7C"/>
    <w:rsid w:val="1CB06F21"/>
    <w:rsid w:val="1CBB5720"/>
    <w:rsid w:val="1CC22219"/>
    <w:rsid w:val="1CFF1B51"/>
    <w:rsid w:val="1D11126C"/>
    <w:rsid w:val="1D1D3C98"/>
    <w:rsid w:val="1D2259A4"/>
    <w:rsid w:val="1D236F7D"/>
    <w:rsid w:val="1D32499F"/>
    <w:rsid w:val="1D370011"/>
    <w:rsid w:val="1D576317"/>
    <w:rsid w:val="1D833792"/>
    <w:rsid w:val="1D944551"/>
    <w:rsid w:val="1D95412F"/>
    <w:rsid w:val="1DA11AE1"/>
    <w:rsid w:val="1DA33DE0"/>
    <w:rsid w:val="1DB35AA2"/>
    <w:rsid w:val="1DBC3F65"/>
    <w:rsid w:val="1DC01F54"/>
    <w:rsid w:val="1DC42A82"/>
    <w:rsid w:val="1DCF7C37"/>
    <w:rsid w:val="1DD93457"/>
    <w:rsid w:val="1DE16236"/>
    <w:rsid w:val="1E265ADA"/>
    <w:rsid w:val="1E4942BA"/>
    <w:rsid w:val="1E676F84"/>
    <w:rsid w:val="1E7042BC"/>
    <w:rsid w:val="1E8D39F0"/>
    <w:rsid w:val="1E924DA6"/>
    <w:rsid w:val="1EA67B32"/>
    <w:rsid w:val="1EA96334"/>
    <w:rsid w:val="1ED039D4"/>
    <w:rsid w:val="1F5107A4"/>
    <w:rsid w:val="1F577E67"/>
    <w:rsid w:val="1F750F8D"/>
    <w:rsid w:val="1FCD4C0F"/>
    <w:rsid w:val="1FE006F6"/>
    <w:rsid w:val="1FF53A52"/>
    <w:rsid w:val="1FFC1DCF"/>
    <w:rsid w:val="206E2CF6"/>
    <w:rsid w:val="20A50681"/>
    <w:rsid w:val="20A62047"/>
    <w:rsid w:val="20B47755"/>
    <w:rsid w:val="20BB7250"/>
    <w:rsid w:val="20C51275"/>
    <w:rsid w:val="20E84DC7"/>
    <w:rsid w:val="20EB01EA"/>
    <w:rsid w:val="210059C8"/>
    <w:rsid w:val="210B4B14"/>
    <w:rsid w:val="211B12DC"/>
    <w:rsid w:val="217652F6"/>
    <w:rsid w:val="21846DED"/>
    <w:rsid w:val="218C2860"/>
    <w:rsid w:val="219202E8"/>
    <w:rsid w:val="21DA5C47"/>
    <w:rsid w:val="21E625BD"/>
    <w:rsid w:val="22080ABD"/>
    <w:rsid w:val="22136E31"/>
    <w:rsid w:val="222E504B"/>
    <w:rsid w:val="222F0D83"/>
    <w:rsid w:val="22344F29"/>
    <w:rsid w:val="225F0C68"/>
    <w:rsid w:val="227D62C0"/>
    <w:rsid w:val="22957B0E"/>
    <w:rsid w:val="22D2040C"/>
    <w:rsid w:val="22E1373E"/>
    <w:rsid w:val="231017D9"/>
    <w:rsid w:val="23170FD3"/>
    <w:rsid w:val="231C7074"/>
    <w:rsid w:val="23246B23"/>
    <w:rsid w:val="23333307"/>
    <w:rsid w:val="237A4597"/>
    <w:rsid w:val="2384361C"/>
    <w:rsid w:val="23896333"/>
    <w:rsid w:val="23AA45F1"/>
    <w:rsid w:val="23B27ADE"/>
    <w:rsid w:val="23B92CDD"/>
    <w:rsid w:val="24553851"/>
    <w:rsid w:val="2460472A"/>
    <w:rsid w:val="247E2BAE"/>
    <w:rsid w:val="249B4C2B"/>
    <w:rsid w:val="24F478E7"/>
    <w:rsid w:val="25002C5A"/>
    <w:rsid w:val="251B3DAA"/>
    <w:rsid w:val="25312F03"/>
    <w:rsid w:val="25462741"/>
    <w:rsid w:val="254A3D57"/>
    <w:rsid w:val="257E3A43"/>
    <w:rsid w:val="25B45513"/>
    <w:rsid w:val="25DA5B21"/>
    <w:rsid w:val="263A1511"/>
    <w:rsid w:val="2667785C"/>
    <w:rsid w:val="26844B14"/>
    <w:rsid w:val="26AE3713"/>
    <w:rsid w:val="26EA5B41"/>
    <w:rsid w:val="2706554B"/>
    <w:rsid w:val="27177F47"/>
    <w:rsid w:val="27295B1B"/>
    <w:rsid w:val="27574413"/>
    <w:rsid w:val="276D2EBB"/>
    <w:rsid w:val="2786308F"/>
    <w:rsid w:val="27993DE1"/>
    <w:rsid w:val="27B67035"/>
    <w:rsid w:val="27D54ED6"/>
    <w:rsid w:val="2817352A"/>
    <w:rsid w:val="28530927"/>
    <w:rsid w:val="286631EF"/>
    <w:rsid w:val="286D58ED"/>
    <w:rsid w:val="289370C8"/>
    <w:rsid w:val="28D24A43"/>
    <w:rsid w:val="290B4436"/>
    <w:rsid w:val="290E0EAE"/>
    <w:rsid w:val="291835CA"/>
    <w:rsid w:val="292E48AF"/>
    <w:rsid w:val="2960452E"/>
    <w:rsid w:val="298832E8"/>
    <w:rsid w:val="298B0346"/>
    <w:rsid w:val="299F264F"/>
    <w:rsid w:val="29E54F6D"/>
    <w:rsid w:val="2A1F4CED"/>
    <w:rsid w:val="2A4C64C1"/>
    <w:rsid w:val="2A505632"/>
    <w:rsid w:val="2A561C5A"/>
    <w:rsid w:val="2A8751A1"/>
    <w:rsid w:val="2ACC53E3"/>
    <w:rsid w:val="2B5148A7"/>
    <w:rsid w:val="2B5A14C7"/>
    <w:rsid w:val="2B5E66DD"/>
    <w:rsid w:val="2B6E288A"/>
    <w:rsid w:val="2B7A4C66"/>
    <w:rsid w:val="2BB3380D"/>
    <w:rsid w:val="2BB76B20"/>
    <w:rsid w:val="2BD44057"/>
    <w:rsid w:val="2BD82A91"/>
    <w:rsid w:val="2BE25C36"/>
    <w:rsid w:val="2BE82B1C"/>
    <w:rsid w:val="2C2C7B62"/>
    <w:rsid w:val="2C6E15F8"/>
    <w:rsid w:val="2C7260E1"/>
    <w:rsid w:val="2C8141C1"/>
    <w:rsid w:val="2CA9161E"/>
    <w:rsid w:val="2CAD1B64"/>
    <w:rsid w:val="2CBE10C2"/>
    <w:rsid w:val="2CC447DE"/>
    <w:rsid w:val="2CD7460E"/>
    <w:rsid w:val="2CE413F1"/>
    <w:rsid w:val="2CEE0F97"/>
    <w:rsid w:val="2D013B12"/>
    <w:rsid w:val="2D0366C3"/>
    <w:rsid w:val="2D0B1FDD"/>
    <w:rsid w:val="2D365A53"/>
    <w:rsid w:val="2D4444AF"/>
    <w:rsid w:val="2D44771E"/>
    <w:rsid w:val="2D517754"/>
    <w:rsid w:val="2D602CCA"/>
    <w:rsid w:val="2D6C0B26"/>
    <w:rsid w:val="2D7E5B91"/>
    <w:rsid w:val="2D9B6D5E"/>
    <w:rsid w:val="2DC35A65"/>
    <w:rsid w:val="2DDB72C5"/>
    <w:rsid w:val="2DDD3C0E"/>
    <w:rsid w:val="2DE73F93"/>
    <w:rsid w:val="2E0053C0"/>
    <w:rsid w:val="2E21183C"/>
    <w:rsid w:val="2E360778"/>
    <w:rsid w:val="2E434133"/>
    <w:rsid w:val="2E5F2707"/>
    <w:rsid w:val="2E7D2DC9"/>
    <w:rsid w:val="2EA83DCD"/>
    <w:rsid w:val="2EAB7F82"/>
    <w:rsid w:val="2EBA52F1"/>
    <w:rsid w:val="2ECE283C"/>
    <w:rsid w:val="2EE2452D"/>
    <w:rsid w:val="2F170ACB"/>
    <w:rsid w:val="2F23042D"/>
    <w:rsid w:val="2F347727"/>
    <w:rsid w:val="2F5C0584"/>
    <w:rsid w:val="2F6B4485"/>
    <w:rsid w:val="2F851705"/>
    <w:rsid w:val="2F8864E4"/>
    <w:rsid w:val="2F8F60D2"/>
    <w:rsid w:val="2FC877F2"/>
    <w:rsid w:val="2FCF0E30"/>
    <w:rsid w:val="2FD53EB1"/>
    <w:rsid w:val="2FD90C34"/>
    <w:rsid w:val="2FDC468A"/>
    <w:rsid w:val="3046359F"/>
    <w:rsid w:val="3048509E"/>
    <w:rsid w:val="30721B1F"/>
    <w:rsid w:val="30845B8C"/>
    <w:rsid w:val="309E2F11"/>
    <w:rsid w:val="30E75094"/>
    <w:rsid w:val="30EE4101"/>
    <w:rsid w:val="31062FF2"/>
    <w:rsid w:val="311D3671"/>
    <w:rsid w:val="31223539"/>
    <w:rsid w:val="31400E55"/>
    <w:rsid w:val="3178409A"/>
    <w:rsid w:val="31BA411E"/>
    <w:rsid w:val="31C70A2A"/>
    <w:rsid w:val="31CA65A6"/>
    <w:rsid w:val="321B6CAE"/>
    <w:rsid w:val="322533C3"/>
    <w:rsid w:val="32430F41"/>
    <w:rsid w:val="3255768E"/>
    <w:rsid w:val="32563456"/>
    <w:rsid w:val="32794FA9"/>
    <w:rsid w:val="32964195"/>
    <w:rsid w:val="32CE48BA"/>
    <w:rsid w:val="32DD309A"/>
    <w:rsid w:val="32F10166"/>
    <w:rsid w:val="330A50F3"/>
    <w:rsid w:val="33126590"/>
    <w:rsid w:val="33326D4C"/>
    <w:rsid w:val="3352748E"/>
    <w:rsid w:val="3356185E"/>
    <w:rsid w:val="33726276"/>
    <w:rsid w:val="337A221A"/>
    <w:rsid w:val="3394452F"/>
    <w:rsid w:val="33A50076"/>
    <w:rsid w:val="33C81ED8"/>
    <w:rsid w:val="33C83095"/>
    <w:rsid w:val="34032235"/>
    <w:rsid w:val="34135CA4"/>
    <w:rsid w:val="34332C31"/>
    <w:rsid w:val="34522498"/>
    <w:rsid w:val="34657BBE"/>
    <w:rsid w:val="34912470"/>
    <w:rsid w:val="34C01EDF"/>
    <w:rsid w:val="34D14A82"/>
    <w:rsid w:val="34FD4FA9"/>
    <w:rsid w:val="350A124D"/>
    <w:rsid w:val="351010E1"/>
    <w:rsid w:val="35171A54"/>
    <w:rsid w:val="351B040B"/>
    <w:rsid w:val="351B57C8"/>
    <w:rsid w:val="351C17C8"/>
    <w:rsid w:val="353D28B6"/>
    <w:rsid w:val="355A72FD"/>
    <w:rsid w:val="357155A7"/>
    <w:rsid w:val="35C67E65"/>
    <w:rsid w:val="35DB098C"/>
    <w:rsid w:val="35E06C7A"/>
    <w:rsid w:val="35EE5431"/>
    <w:rsid w:val="35EF6830"/>
    <w:rsid w:val="360E30D6"/>
    <w:rsid w:val="364C01AD"/>
    <w:rsid w:val="367C0CE6"/>
    <w:rsid w:val="368775A1"/>
    <w:rsid w:val="36B440A9"/>
    <w:rsid w:val="36DA12B0"/>
    <w:rsid w:val="36DE7A45"/>
    <w:rsid w:val="370030CF"/>
    <w:rsid w:val="37010F3D"/>
    <w:rsid w:val="370207AC"/>
    <w:rsid w:val="371371D9"/>
    <w:rsid w:val="371D006C"/>
    <w:rsid w:val="372271CB"/>
    <w:rsid w:val="374813E5"/>
    <w:rsid w:val="374A77E8"/>
    <w:rsid w:val="37543077"/>
    <w:rsid w:val="37627FAA"/>
    <w:rsid w:val="37703741"/>
    <w:rsid w:val="377439CF"/>
    <w:rsid w:val="37DB2D6D"/>
    <w:rsid w:val="37F16E56"/>
    <w:rsid w:val="387519EB"/>
    <w:rsid w:val="38752D47"/>
    <w:rsid w:val="38C23E87"/>
    <w:rsid w:val="38F14C84"/>
    <w:rsid w:val="38FB4C9C"/>
    <w:rsid w:val="391770BC"/>
    <w:rsid w:val="39520CFC"/>
    <w:rsid w:val="395E045F"/>
    <w:rsid w:val="396461F2"/>
    <w:rsid w:val="39A36969"/>
    <w:rsid w:val="39A53B4D"/>
    <w:rsid w:val="39AA7276"/>
    <w:rsid w:val="39B54A9B"/>
    <w:rsid w:val="39BA0338"/>
    <w:rsid w:val="39D41550"/>
    <w:rsid w:val="39E42F50"/>
    <w:rsid w:val="39F44B40"/>
    <w:rsid w:val="39FD79A4"/>
    <w:rsid w:val="3A1763D5"/>
    <w:rsid w:val="3A181E55"/>
    <w:rsid w:val="3A4926A8"/>
    <w:rsid w:val="3A4C3E8D"/>
    <w:rsid w:val="3A826DC9"/>
    <w:rsid w:val="3ABA2FE2"/>
    <w:rsid w:val="3ABC76E4"/>
    <w:rsid w:val="3AC26F7C"/>
    <w:rsid w:val="3ACE4413"/>
    <w:rsid w:val="3B0E3D87"/>
    <w:rsid w:val="3B5315EB"/>
    <w:rsid w:val="3B690F8F"/>
    <w:rsid w:val="3B86463A"/>
    <w:rsid w:val="3C2E5F4B"/>
    <w:rsid w:val="3C3B6D63"/>
    <w:rsid w:val="3C4F04F7"/>
    <w:rsid w:val="3CC51BA6"/>
    <w:rsid w:val="3CCE7836"/>
    <w:rsid w:val="3CE40B6C"/>
    <w:rsid w:val="3CE65621"/>
    <w:rsid w:val="3D39411E"/>
    <w:rsid w:val="3D3F7E6A"/>
    <w:rsid w:val="3D600921"/>
    <w:rsid w:val="3D674A84"/>
    <w:rsid w:val="3D6D65A8"/>
    <w:rsid w:val="3D9600B9"/>
    <w:rsid w:val="3DA10A8E"/>
    <w:rsid w:val="3DB03453"/>
    <w:rsid w:val="3E025847"/>
    <w:rsid w:val="3E1E4346"/>
    <w:rsid w:val="3E334D4F"/>
    <w:rsid w:val="3E461C81"/>
    <w:rsid w:val="3E597E40"/>
    <w:rsid w:val="3E8954BC"/>
    <w:rsid w:val="3EA43038"/>
    <w:rsid w:val="3EBE0858"/>
    <w:rsid w:val="3EC12068"/>
    <w:rsid w:val="3ECD1745"/>
    <w:rsid w:val="3ED37BEB"/>
    <w:rsid w:val="3ED73763"/>
    <w:rsid w:val="3EE817FA"/>
    <w:rsid w:val="3F1F30EF"/>
    <w:rsid w:val="3F251AF7"/>
    <w:rsid w:val="3F3D6D12"/>
    <w:rsid w:val="3F3E54B1"/>
    <w:rsid w:val="3F413BB2"/>
    <w:rsid w:val="3F43152B"/>
    <w:rsid w:val="3F997F67"/>
    <w:rsid w:val="3FA3786F"/>
    <w:rsid w:val="3FB850D9"/>
    <w:rsid w:val="40097E4A"/>
    <w:rsid w:val="400F4A3D"/>
    <w:rsid w:val="404C7F1D"/>
    <w:rsid w:val="405D6D72"/>
    <w:rsid w:val="40651483"/>
    <w:rsid w:val="408C1123"/>
    <w:rsid w:val="40CB356B"/>
    <w:rsid w:val="40E64B84"/>
    <w:rsid w:val="41477BB0"/>
    <w:rsid w:val="415F0F0A"/>
    <w:rsid w:val="41765BBB"/>
    <w:rsid w:val="417D2AB7"/>
    <w:rsid w:val="41944CCF"/>
    <w:rsid w:val="41B245E2"/>
    <w:rsid w:val="41D31659"/>
    <w:rsid w:val="4203089A"/>
    <w:rsid w:val="420C0B61"/>
    <w:rsid w:val="420F736B"/>
    <w:rsid w:val="42126F3E"/>
    <w:rsid w:val="42385E10"/>
    <w:rsid w:val="42604E53"/>
    <w:rsid w:val="42B971BD"/>
    <w:rsid w:val="42BB5C4E"/>
    <w:rsid w:val="42BB7059"/>
    <w:rsid w:val="433522B7"/>
    <w:rsid w:val="43476A41"/>
    <w:rsid w:val="434E7E01"/>
    <w:rsid w:val="435021BA"/>
    <w:rsid w:val="43801231"/>
    <w:rsid w:val="43A775F6"/>
    <w:rsid w:val="43A9367A"/>
    <w:rsid w:val="43B16438"/>
    <w:rsid w:val="440819BA"/>
    <w:rsid w:val="44096CDE"/>
    <w:rsid w:val="442A63AB"/>
    <w:rsid w:val="445B141B"/>
    <w:rsid w:val="44A007F5"/>
    <w:rsid w:val="44CB4F47"/>
    <w:rsid w:val="44D8007F"/>
    <w:rsid w:val="44E06D07"/>
    <w:rsid w:val="45221108"/>
    <w:rsid w:val="456D295D"/>
    <w:rsid w:val="458B041A"/>
    <w:rsid w:val="45A35850"/>
    <w:rsid w:val="45B918E5"/>
    <w:rsid w:val="45D062B4"/>
    <w:rsid w:val="45F62F00"/>
    <w:rsid w:val="46147EE5"/>
    <w:rsid w:val="46207F59"/>
    <w:rsid w:val="46395450"/>
    <w:rsid w:val="4640724A"/>
    <w:rsid w:val="466B37D3"/>
    <w:rsid w:val="4722776B"/>
    <w:rsid w:val="473F6008"/>
    <w:rsid w:val="47486CE3"/>
    <w:rsid w:val="475D7AD8"/>
    <w:rsid w:val="478E10A7"/>
    <w:rsid w:val="47967336"/>
    <w:rsid w:val="47A20323"/>
    <w:rsid w:val="47A268E5"/>
    <w:rsid w:val="47C06AC3"/>
    <w:rsid w:val="47C51B9B"/>
    <w:rsid w:val="47D45865"/>
    <w:rsid w:val="47E34EF5"/>
    <w:rsid w:val="47EB0ADC"/>
    <w:rsid w:val="48076FA7"/>
    <w:rsid w:val="482C7C15"/>
    <w:rsid w:val="4840185D"/>
    <w:rsid w:val="48547C5B"/>
    <w:rsid w:val="485B0B2A"/>
    <w:rsid w:val="488C320F"/>
    <w:rsid w:val="48A81E94"/>
    <w:rsid w:val="48AA77BB"/>
    <w:rsid w:val="48AD46AF"/>
    <w:rsid w:val="48C026D9"/>
    <w:rsid w:val="48FA7F13"/>
    <w:rsid w:val="49176E06"/>
    <w:rsid w:val="492A02FE"/>
    <w:rsid w:val="49340854"/>
    <w:rsid w:val="4951051F"/>
    <w:rsid w:val="49740BFE"/>
    <w:rsid w:val="49791F18"/>
    <w:rsid w:val="497A3F19"/>
    <w:rsid w:val="4984176E"/>
    <w:rsid w:val="499D191A"/>
    <w:rsid w:val="49C33ECB"/>
    <w:rsid w:val="49D84E88"/>
    <w:rsid w:val="49FE0055"/>
    <w:rsid w:val="4A0E1D0B"/>
    <w:rsid w:val="4A3A2897"/>
    <w:rsid w:val="4A4D7FF3"/>
    <w:rsid w:val="4A5B1141"/>
    <w:rsid w:val="4A703117"/>
    <w:rsid w:val="4A747022"/>
    <w:rsid w:val="4A876814"/>
    <w:rsid w:val="4AA47CC7"/>
    <w:rsid w:val="4AB73EB3"/>
    <w:rsid w:val="4B086696"/>
    <w:rsid w:val="4B460876"/>
    <w:rsid w:val="4B537CDB"/>
    <w:rsid w:val="4B5A239D"/>
    <w:rsid w:val="4B8E0EFC"/>
    <w:rsid w:val="4B9B3DAB"/>
    <w:rsid w:val="4BB2115B"/>
    <w:rsid w:val="4BC64F35"/>
    <w:rsid w:val="4BD00F35"/>
    <w:rsid w:val="4BD279FC"/>
    <w:rsid w:val="4C0A116D"/>
    <w:rsid w:val="4C1D7814"/>
    <w:rsid w:val="4C6F51F7"/>
    <w:rsid w:val="4C8C7904"/>
    <w:rsid w:val="4CBB2D68"/>
    <w:rsid w:val="4CEA412C"/>
    <w:rsid w:val="4D5E049F"/>
    <w:rsid w:val="4D6A3A94"/>
    <w:rsid w:val="4D754983"/>
    <w:rsid w:val="4D81534B"/>
    <w:rsid w:val="4DAA2B0C"/>
    <w:rsid w:val="4DB622B4"/>
    <w:rsid w:val="4DB8586E"/>
    <w:rsid w:val="4DE06051"/>
    <w:rsid w:val="4DF20BF3"/>
    <w:rsid w:val="4DFE01E2"/>
    <w:rsid w:val="4E122F42"/>
    <w:rsid w:val="4E56433B"/>
    <w:rsid w:val="4E693250"/>
    <w:rsid w:val="4EB60C66"/>
    <w:rsid w:val="4EC92628"/>
    <w:rsid w:val="4ED20539"/>
    <w:rsid w:val="4ED325CA"/>
    <w:rsid w:val="4ED40C78"/>
    <w:rsid w:val="4ED93F4D"/>
    <w:rsid w:val="4F1A3ED3"/>
    <w:rsid w:val="4F4032D2"/>
    <w:rsid w:val="4F850A5B"/>
    <w:rsid w:val="4F91071F"/>
    <w:rsid w:val="4FA81F99"/>
    <w:rsid w:val="4FBC7441"/>
    <w:rsid w:val="4FC73946"/>
    <w:rsid w:val="4FF54397"/>
    <w:rsid w:val="502A058F"/>
    <w:rsid w:val="50601D46"/>
    <w:rsid w:val="50DA16D5"/>
    <w:rsid w:val="511834F4"/>
    <w:rsid w:val="51223C96"/>
    <w:rsid w:val="51524AF0"/>
    <w:rsid w:val="5153004E"/>
    <w:rsid w:val="516E1540"/>
    <w:rsid w:val="517532E0"/>
    <w:rsid w:val="51884FFD"/>
    <w:rsid w:val="51962223"/>
    <w:rsid w:val="51B07DF3"/>
    <w:rsid w:val="51B828B2"/>
    <w:rsid w:val="51E457C1"/>
    <w:rsid w:val="51F91493"/>
    <w:rsid w:val="525E2FBC"/>
    <w:rsid w:val="52C11661"/>
    <w:rsid w:val="52C47A24"/>
    <w:rsid w:val="52C87B14"/>
    <w:rsid w:val="52D14470"/>
    <w:rsid w:val="52D711DE"/>
    <w:rsid w:val="52E119D6"/>
    <w:rsid w:val="535438D4"/>
    <w:rsid w:val="537905EF"/>
    <w:rsid w:val="5379346D"/>
    <w:rsid w:val="538A3568"/>
    <w:rsid w:val="53B57C98"/>
    <w:rsid w:val="53FE58D2"/>
    <w:rsid w:val="542E0D0C"/>
    <w:rsid w:val="542E10AC"/>
    <w:rsid w:val="542F0845"/>
    <w:rsid w:val="5488408E"/>
    <w:rsid w:val="548B32B3"/>
    <w:rsid w:val="54C920B4"/>
    <w:rsid w:val="54D00EEC"/>
    <w:rsid w:val="54E33816"/>
    <w:rsid w:val="551676DF"/>
    <w:rsid w:val="55315A96"/>
    <w:rsid w:val="55364DCB"/>
    <w:rsid w:val="558A2848"/>
    <w:rsid w:val="5596732B"/>
    <w:rsid w:val="5599487E"/>
    <w:rsid w:val="55A14052"/>
    <w:rsid w:val="55A45803"/>
    <w:rsid w:val="55BB7950"/>
    <w:rsid w:val="55CE752D"/>
    <w:rsid w:val="55E66434"/>
    <w:rsid w:val="56213A45"/>
    <w:rsid w:val="56417F38"/>
    <w:rsid w:val="568B4314"/>
    <w:rsid w:val="56A925FF"/>
    <w:rsid w:val="56D571EA"/>
    <w:rsid w:val="56E47D25"/>
    <w:rsid w:val="56EE35F2"/>
    <w:rsid w:val="570B68A8"/>
    <w:rsid w:val="577746A8"/>
    <w:rsid w:val="578D6E06"/>
    <w:rsid w:val="57AE124E"/>
    <w:rsid w:val="57E6787F"/>
    <w:rsid w:val="57E76002"/>
    <w:rsid w:val="5829405C"/>
    <w:rsid w:val="587E0C9B"/>
    <w:rsid w:val="588A6A5F"/>
    <w:rsid w:val="58B214B6"/>
    <w:rsid w:val="58D0534D"/>
    <w:rsid w:val="5919681C"/>
    <w:rsid w:val="592C41EF"/>
    <w:rsid w:val="596633E9"/>
    <w:rsid w:val="596F2BAE"/>
    <w:rsid w:val="59785E8F"/>
    <w:rsid w:val="597F307E"/>
    <w:rsid w:val="598A4734"/>
    <w:rsid w:val="599708B0"/>
    <w:rsid w:val="59972512"/>
    <w:rsid w:val="59A24286"/>
    <w:rsid w:val="59AB3AF1"/>
    <w:rsid w:val="59AE7E18"/>
    <w:rsid w:val="59FD4A33"/>
    <w:rsid w:val="5A097835"/>
    <w:rsid w:val="5A0B714E"/>
    <w:rsid w:val="5A2C0EC5"/>
    <w:rsid w:val="5A530CBC"/>
    <w:rsid w:val="5AA55C3E"/>
    <w:rsid w:val="5AB2255D"/>
    <w:rsid w:val="5AB73FAD"/>
    <w:rsid w:val="5ADD4495"/>
    <w:rsid w:val="5AF56792"/>
    <w:rsid w:val="5B014E6E"/>
    <w:rsid w:val="5B0C0D78"/>
    <w:rsid w:val="5B5A0217"/>
    <w:rsid w:val="5B817AFE"/>
    <w:rsid w:val="5B861FE4"/>
    <w:rsid w:val="5BB93873"/>
    <w:rsid w:val="5BBD40D1"/>
    <w:rsid w:val="5BD717B5"/>
    <w:rsid w:val="5BF54954"/>
    <w:rsid w:val="5C0A67E9"/>
    <w:rsid w:val="5C2D3B78"/>
    <w:rsid w:val="5C2E12B5"/>
    <w:rsid w:val="5C5C125F"/>
    <w:rsid w:val="5C8813C7"/>
    <w:rsid w:val="5CA40681"/>
    <w:rsid w:val="5CB42DBE"/>
    <w:rsid w:val="5CBB3389"/>
    <w:rsid w:val="5CBB41D0"/>
    <w:rsid w:val="5CCB191E"/>
    <w:rsid w:val="5CDC54D5"/>
    <w:rsid w:val="5D773793"/>
    <w:rsid w:val="5DAC005D"/>
    <w:rsid w:val="5DD94C54"/>
    <w:rsid w:val="5DDA5D15"/>
    <w:rsid w:val="5DED2C18"/>
    <w:rsid w:val="5E046119"/>
    <w:rsid w:val="5E0A172C"/>
    <w:rsid w:val="5E0B7A1D"/>
    <w:rsid w:val="5E33030E"/>
    <w:rsid w:val="5E3D5E23"/>
    <w:rsid w:val="5E646F79"/>
    <w:rsid w:val="5E726566"/>
    <w:rsid w:val="5E7D3B9B"/>
    <w:rsid w:val="5E831481"/>
    <w:rsid w:val="5EAC31CC"/>
    <w:rsid w:val="5EB94159"/>
    <w:rsid w:val="5EFA669C"/>
    <w:rsid w:val="5EFE6C94"/>
    <w:rsid w:val="5F0D7691"/>
    <w:rsid w:val="5F8D22AD"/>
    <w:rsid w:val="5FA40C97"/>
    <w:rsid w:val="5FAE2026"/>
    <w:rsid w:val="5FE878FF"/>
    <w:rsid w:val="60112D98"/>
    <w:rsid w:val="602A1BB7"/>
    <w:rsid w:val="603C7444"/>
    <w:rsid w:val="605079E5"/>
    <w:rsid w:val="605670BF"/>
    <w:rsid w:val="607439B6"/>
    <w:rsid w:val="60AD1044"/>
    <w:rsid w:val="60BB637E"/>
    <w:rsid w:val="61032354"/>
    <w:rsid w:val="610556C8"/>
    <w:rsid w:val="611C2D78"/>
    <w:rsid w:val="61223F65"/>
    <w:rsid w:val="61351DC5"/>
    <w:rsid w:val="61382945"/>
    <w:rsid w:val="61435314"/>
    <w:rsid w:val="615418D9"/>
    <w:rsid w:val="615C1E14"/>
    <w:rsid w:val="617347B4"/>
    <w:rsid w:val="61C175D0"/>
    <w:rsid w:val="6225322C"/>
    <w:rsid w:val="623C4C02"/>
    <w:rsid w:val="624835F3"/>
    <w:rsid w:val="628971B8"/>
    <w:rsid w:val="628F23E8"/>
    <w:rsid w:val="629F07C9"/>
    <w:rsid w:val="62DF2CD5"/>
    <w:rsid w:val="62EB00FA"/>
    <w:rsid w:val="633C4730"/>
    <w:rsid w:val="63564E28"/>
    <w:rsid w:val="637D7128"/>
    <w:rsid w:val="63C056AC"/>
    <w:rsid w:val="63CC53E9"/>
    <w:rsid w:val="63E35B97"/>
    <w:rsid w:val="63E46DE1"/>
    <w:rsid w:val="63F15139"/>
    <w:rsid w:val="64594C8A"/>
    <w:rsid w:val="6462118B"/>
    <w:rsid w:val="648B1F08"/>
    <w:rsid w:val="64CB6163"/>
    <w:rsid w:val="64E21BE1"/>
    <w:rsid w:val="64E37120"/>
    <w:rsid w:val="64E63C16"/>
    <w:rsid w:val="64F147F9"/>
    <w:rsid w:val="64FF3FB7"/>
    <w:rsid w:val="65092BAF"/>
    <w:rsid w:val="65114A04"/>
    <w:rsid w:val="65232C88"/>
    <w:rsid w:val="6568324B"/>
    <w:rsid w:val="657E2429"/>
    <w:rsid w:val="65854F20"/>
    <w:rsid w:val="661317F3"/>
    <w:rsid w:val="66162FB8"/>
    <w:rsid w:val="661F1093"/>
    <w:rsid w:val="665E174A"/>
    <w:rsid w:val="66725F1B"/>
    <w:rsid w:val="66AF3BFA"/>
    <w:rsid w:val="66C612D4"/>
    <w:rsid w:val="66CA761D"/>
    <w:rsid w:val="66CB0814"/>
    <w:rsid w:val="66D50DD0"/>
    <w:rsid w:val="66E706F2"/>
    <w:rsid w:val="66FF6EA3"/>
    <w:rsid w:val="67204A63"/>
    <w:rsid w:val="67352375"/>
    <w:rsid w:val="67444357"/>
    <w:rsid w:val="674D618C"/>
    <w:rsid w:val="676A183A"/>
    <w:rsid w:val="67BB0389"/>
    <w:rsid w:val="67BC7E4A"/>
    <w:rsid w:val="67DC3BBE"/>
    <w:rsid w:val="67F33BB7"/>
    <w:rsid w:val="681525EC"/>
    <w:rsid w:val="682103A7"/>
    <w:rsid w:val="68477338"/>
    <w:rsid w:val="68482375"/>
    <w:rsid w:val="685672D5"/>
    <w:rsid w:val="6860153D"/>
    <w:rsid w:val="68661438"/>
    <w:rsid w:val="686710BB"/>
    <w:rsid w:val="68700A1D"/>
    <w:rsid w:val="68B46626"/>
    <w:rsid w:val="68C549DC"/>
    <w:rsid w:val="68D0166B"/>
    <w:rsid w:val="68D27749"/>
    <w:rsid w:val="691B092B"/>
    <w:rsid w:val="69375385"/>
    <w:rsid w:val="696E4DF5"/>
    <w:rsid w:val="6A3A46F3"/>
    <w:rsid w:val="6A746A0F"/>
    <w:rsid w:val="6B1676FE"/>
    <w:rsid w:val="6B372B36"/>
    <w:rsid w:val="6B431368"/>
    <w:rsid w:val="6B8006E2"/>
    <w:rsid w:val="6B830249"/>
    <w:rsid w:val="6B8B6608"/>
    <w:rsid w:val="6BAD7708"/>
    <w:rsid w:val="6BB80C69"/>
    <w:rsid w:val="6BF502F6"/>
    <w:rsid w:val="6BFA79CD"/>
    <w:rsid w:val="6C012AB3"/>
    <w:rsid w:val="6C090440"/>
    <w:rsid w:val="6C231226"/>
    <w:rsid w:val="6C301E48"/>
    <w:rsid w:val="6C6A3FE3"/>
    <w:rsid w:val="6CA0082D"/>
    <w:rsid w:val="6CA92293"/>
    <w:rsid w:val="6D0C37BB"/>
    <w:rsid w:val="6D4105EF"/>
    <w:rsid w:val="6D5218CE"/>
    <w:rsid w:val="6D724BEC"/>
    <w:rsid w:val="6D765A34"/>
    <w:rsid w:val="6D8C7526"/>
    <w:rsid w:val="6D8E3DB2"/>
    <w:rsid w:val="6DB956BE"/>
    <w:rsid w:val="6DFD5309"/>
    <w:rsid w:val="6E50074B"/>
    <w:rsid w:val="6E735873"/>
    <w:rsid w:val="6E9E6EBF"/>
    <w:rsid w:val="6ECA2AC3"/>
    <w:rsid w:val="6ED71324"/>
    <w:rsid w:val="6EFC731F"/>
    <w:rsid w:val="6F526954"/>
    <w:rsid w:val="6F666629"/>
    <w:rsid w:val="6F835FCD"/>
    <w:rsid w:val="6F8A6AB4"/>
    <w:rsid w:val="6F9E5513"/>
    <w:rsid w:val="6FE2067E"/>
    <w:rsid w:val="6FE74598"/>
    <w:rsid w:val="6FFB067D"/>
    <w:rsid w:val="6FFB6C9C"/>
    <w:rsid w:val="709A7430"/>
    <w:rsid w:val="709F2282"/>
    <w:rsid w:val="70A644A4"/>
    <w:rsid w:val="70A91F33"/>
    <w:rsid w:val="70B41E6D"/>
    <w:rsid w:val="70E958E4"/>
    <w:rsid w:val="70EA30F5"/>
    <w:rsid w:val="71165543"/>
    <w:rsid w:val="711E1D70"/>
    <w:rsid w:val="71403A8E"/>
    <w:rsid w:val="715145DA"/>
    <w:rsid w:val="719A596D"/>
    <w:rsid w:val="71AE3777"/>
    <w:rsid w:val="72036C08"/>
    <w:rsid w:val="720F3FB2"/>
    <w:rsid w:val="722628EF"/>
    <w:rsid w:val="726229E9"/>
    <w:rsid w:val="72643545"/>
    <w:rsid w:val="7271649F"/>
    <w:rsid w:val="727F1064"/>
    <w:rsid w:val="7289723B"/>
    <w:rsid w:val="729724A6"/>
    <w:rsid w:val="729F333E"/>
    <w:rsid w:val="72A94C2A"/>
    <w:rsid w:val="72B1268D"/>
    <w:rsid w:val="72B352FC"/>
    <w:rsid w:val="72F277E0"/>
    <w:rsid w:val="73017693"/>
    <w:rsid w:val="731918D7"/>
    <w:rsid w:val="733C3500"/>
    <w:rsid w:val="734A474D"/>
    <w:rsid w:val="734E3CA0"/>
    <w:rsid w:val="73682911"/>
    <w:rsid w:val="737B44C2"/>
    <w:rsid w:val="73C21E03"/>
    <w:rsid w:val="73E91602"/>
    <w:rsid w:val="73FD1F4C"/>
    <w:rsid w:val="743E6B41"/>
    <w:rsid w:val="745A70AE"/>
    <w:rsid w:val="74671ED7"/>
    <w:rsid w:val="74806E39"/>
    <w:rsid w:val="74960763"/>
    <w:rsid w:val="74B62C1D"/>
    <w:rsid w:val="74D424EC"/>
    <w:rsid w:val="74EA092A"/>
    <w:rsid w:val="75010AB2"/>
    <w:rsid w:val="75203D4B"/>
    <w:rsid w:val="752B3BD4"/>
    <w:rsid w:val="75344D2B"/>
    <w:rsid w:val="753D07AB"/>
    <w:rsid w:val="75432A92"/>
    <w:rsid w:val="7597261B"/>
    <w:rsid w:val="75B049D9"/>
    <w:rsid w:val="75B43D55"/>
    <w:rsid w:val="75B457A7"/>
    <w:rsid w:val="75F10CB3"/>
    <w:rsid w:val="76152E5A"/>
    <w:rsid w:val="764113DC"/>
    <w:rsid w:val="766529EF"/>
    <w:rsid w:val="76EF03BC"/>
    <w:rsid w:val="76F70465"/>
    <w:rsid w:val="772D1B5E"/>
    <w:rsid w:val="77357DD3"/>
    <w:rsid w:val="774B76DA"/>
    <w:rsid w:val="776D6031"/>
    <w:rsid w:val="777C650D"/>
    <w:rsid w:val="77825474"/>
    <w:rsid w:val="77864511"/>
    <w:rsid w:val="77F13A30"/>
    <w:rsid w:val="78052CBE"/>
    <w:rsid w:val="785432A1"/>
    <w:rsid w:val="7872476D"/>
    <w:rsid w:val="78797840"/>
    <w:rsid w:val="78D372E0"/>
    <w:rsid w:val="78FD49AF"/>
    <w:rsid w:val="790021C7"/>
    <w:rsid w:val="792262CF"/>
    <w:rsid w:val="7933274E"/>
    <w:rsid w:val="795640AC"/>
    <w:rsid w:val="79576A6E"/>
    <w:rsid w:val="79C52B38"/>
    <w:rsid w:val="79D42056"/>
    <w:rsid w:val="79D5499B"/>
    <w:rsid w:val="79E52402"/>
    <w:rsid w:val="7A0B4777"/>
    <w:rsid w:val="7A2E7DB8"/>
    <w:rsid w:val="7A311B06"/>
    <w:rsid w:val="7A3B6F3F"/>
    <w:rsid w:val="7A427008"/>
    <w:rsid w:val="7A536405"/>
    <w:rsid w:val="7A7F150A"/>
    <w:rsid w:val="7AC13671"/>
    <w:rsid w:val="7B1A4B07"/>
    <w:rsid w:val="7B2C0E16"/>
    <w:rsid w:val="7B352481"/>
    <w:rsid w:val="7B4529A5"/>
    <w:rsid w:val="7B507823"/>
    <w:rsid w:val="7B6F64F4"/>
    <w:rsid w:val="7B791032"/>
    <w:rsid w:val="7BDF7DB3"/>
    <w:rsid w:val="7BF678E9"/>
    <w:rsid w:val="7C15596F"/>
    <w:rsid w:val="7C4E1B99"/>
    <w:rsid w:val="7C7370A8"/>
    <w:rsid w:val="7CBB7DB9"/>
    <w:rsid w:val="7CD94DAC"/>
    <w:rsid w:val="7CFF69CC"/>
    <w:rsid w:val="7D0148E5"/>
    <w:rsid w:val="7D07751C"/>
    <w:rsid w:val="7D4D4E93"/>
    <w:rsid w:val="7D51623E"/>
    <w:rsid w:val="7D53708F"/>
    <w:rsid w:val="7D8428D5"/>
    <w:rsid w:val="7DAA1F78"/>
    <w:rsid w:val="7DC50437"/>
    <w:rsid w:val="7DEE09A1"/>
    <w:rsid w:val="7E1248D6"/>
    <w:rsid w:val="7E2D5F9A"/>
    <w:rsid w:val="7E3543EB"/>
    <w:rsid w:val="7E5D2148"/>
    <w:rsid w:val="7E671E87"/>
    <w:rsid w:val="7E6F6893"/>
    <w:rsid w:val="7E753616"/>
    <w:rsid w:val="7EA71F26"/>
    <w:rsid w:val="7EBB6A0E"/>
    <w:rsid w:val="7ECB0D97"/>
    <w:rsid w:val="7EE43C74"/>
    <w:rsid w:val="7EE865CA"/>
    <w:rsid w:val="7F435763"/>
    <w:rsid w:val="7F61325E"/>
    <w:rsid w:val="7F6C45C6"/>
    <w:rsid w:val="7F930AEE"/>
    <w:rsid w:val="7F993699"/>
    <w:rsid w:val="7F9D61CC"/>
    <w:rsid w:val="7FC108BB"/>
    <w:rsid w:val="7FE66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keepLines/>
      <w:spacing w:before="340" w:after="330" w:line="578" w:lineRule="auto"/>
      <w:outlineLvl w:val="0"/>
    </w:pPr>
    <w:rPr>
      <w:b/>
      <w:kern w:val="44"/>
      <w:sz w:val="44"/>
      <w:szCs w:val="20"/>
    </w:rPr>
  </w:style>
  <w:style w:type="paragraph" w:styleId="5">
    <w:name w:val="heading 2"/>
    <w:basedOn w:val="1"/>
    <w:next w:val="1"/>
    <w:qFormat/>
    <w:uiPriority w:val="99"/>
    <w:pPr>
      <w:keepNext/>
      <w:keepLines/>
      <w:spacing w:before="260" w:after="260"/>
      <w:outlineLvl w:val="1"/>
    </w:pPr>
    <w:rPr>
      <w:rFonts w:ascii="Arial" w:hAnsi="Arial"/>
      <w:b/>
      <w:kern w:val="0"/>
      <w:sz w:val="24"/>
      <w:szCs w:val="20"/>
    </w:rPr>
  </w:style>
  <w:style w:type="paragraph" w:styleId="6">
    <w:name w:val="heading 3"/>
    <w:basedOn w:val="1"/>
    <w:next w:val="1"/>
    <w:qFormat/>
    <w:uiPriority w:val="99"/>
    <w:pPr>
      <w:keepNext/>
      <w:keepLines/>
      <w:spacing w:before="260" w:after="260" w:line="416" w:lineRule="auto"/>
      <w:outlineLvl w:val="2"/>
    </w:pPr>
    <w:rPr>
      <w:b/>
      <w:kern w:val="0"/>
      <w:sz w:val="32"/>
      <w:szCs w:val="20"/>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rPr>
      <w:kern w:val="0"/>
      <w:sz w:val="24"/>
      <w:szCs w:val="20"/>
    </w:rPr>
  </w:style>
  <w:style w:type="paragraph" w:styleId="3">
    <w:name w:val="Body Text 3"/>
    <w:basedOn w:val="1"/>
    <w:next w:val="1"/>
    <w:qFormat/>
    <w:uiPriority w:val="0"/>
    <w:rPr>
      <w:rFonts w:ascii="仿宋_GB2312" w:hAnsi="仿宋_GB2312"/>
      <w:bCs/>
      <w:szCs w:val="30"/>
    </w:rPr>
  </w:style>
  <w:style w:type="paragraph" w:styleId="7">
    <w:name w:val="List 3"/>
    <w:basedOn w:val="1"/>
    <w:qFormat/>
    <w:uiPriority w:val="0"/>
    <w:pPr>
      <w:ind w:left="100" w:leftChars="400" w:hanging="200" w:hangingChars="200"/>
    </w:pPr>
  </w:style>
  <w:style w:type="paragraph" w:styleId="8">
    <w:name w:val="Normal Indent"/>
    <w:basedOn w:val="1"/>
    <w:qFormat/>
    <w:uiPriority w:val="99"/>
    <w:pPr>
      <w:ind w:firstLine="420" w:firstLineChars="200"/>
    </w:pPr>
    <w:rPr>
      <w:kern w:val="0"/>
      <w:szCs w:val="20"/>
    </w:rPr>
  </w:style>
  <w:style w:type="paragraph" w:styleId="9">
    <w:name w:val="caption"/>
    <w:basedOn w:val="1"/>
    <w:next w:val="1"/>
    <w:qFormat/>
    <w:uiPriority w:val="99"/>
    <w:pPr>
      <w:spacing w:before="152" w:after="160"/>
    </w:pPr>
    <w:rPr>
      <w:rFonts w:ascii="Arial" w:hAnsi="Arial" w:eastAsia="黑体" w:cs="Arial"/>
      <w:sz w:val="20"/>
      <w:szCs w:val="20"/>
    </w:rPr>
  </w:style>
  <w:style w:type="paragraph" w:styleId="10">
    <w:name w:val="Body Text Indent"/>
    <w:basedOn w:val="1"/>
    <w:qFormat/>
    <w:uiPriority w:val="99"/>
    <w:pPr>
      <w:spacing w:line="500" w:lineRule="exact"/>
      <w:ind w:left="1588" w:leftChars="832" w:firstLine="433" w:firstLineChars="196"/>
    </w:pPr>
    <w:rPr>
      <w:kern w:val="0"/>
      <w:sz w:val="24"/>
      <w:szCs w:val="20"/>
    </w:rPr>
  </w:style>
  <w:style w:type="paragraph" w:styleId="11">
    <w:name w:val="List 2"/>
    <w:basedOn w:val="1"/>
    <w:qFormat/>
    <w:uiPriority w:val="0"/>
    <w:pPr>
      <w:ind w:left="100" w:leftChars="200" w:hanging="200" w:hangingChars="200"/>
    </w:pPr>
  </w:style>
  <w:style w:type="paragraph" w:styleId="12">
    <w:name w:val="toc 3"/>
    <w:basedOn w:val="1"/>
    <w:next w:val="1"/>
    <w:qFormat/>
    <w:uiPriority w:val="39"/>
    <w:pPr>
      <w:spacing w:line="360" w:lineRule="auto"/>
      <w:ind w:left="420"/>
      <w:jc w:val="left"/>
    </w:pPr>
    <w:rPr>
      <w:iCs/>
      <w:sz w:val="20"/>
      <w:szCs w:val="20"/>
    </w:rPr>
  </w:style>
  <w:style w:type="paragraph" w:styleId="13">
    <w:name w:val="Plain Text"/>
    <w:basedOn w:val="1"/>
    <w:next w:val="1"/>
    <w:qFormat/>
    <w:uiPriority w:val="99"/>
    <w:rPr>
      <w:rFonts w:ascii="宋体" w:hAnsi="Courier New"/>
      <w:kern w:val="0"/>
      <w:szCs w:val="20"/>
    </w:rPr>
  </w:style>
  <w:style w:type="paragraph" w:styleId="14">
    <w:name w:val="Body Text Indent 2"/>
    <w:basedOn w:val="1"/>
    <w:qFormat/>
    <w:uiPriority w:val="99"/>
    <w:pPr>
      <w:spacing w:line="500" w:lineRule="exact"/>
      <w:ind w:firstLine="442" w:firstLineChars="200"/>
    </w:pPr>
    <w:rPr>
      <w:kern w:val="0"/>
      <w:sz w:val="24"/>
      <w:szCs w:val="20"/>
    </w:rPr>
  </w:style>
  <w:style w:type="paragraph" w:styleId="15">
    <w:name w:val="Balloon Text"/>
    <w:basedOn w:val="1"/>
    <w:link w:val="39"/>
    <w:qFormat/>
    <w:uiPriority w:val="0"/>
    <w:rPr>
      <w:sz w:val="18"/>
      <w:szCs w:val="18"/>
    </w:rPr>
  </w:style>
  <w:style w:type="paragraph" w:styleId="16">
    <w:name w:val="footer"/>
    <w:basedOn w:val="1"/>
    <w:qFormat/>
    <w:uiPriority w:val="99"/>
    <w:pPr>
      <w:tabs>
        <w:tab w:val="center" w:pos="4153"/>
        <w:tab w:val="right" w:pos="8306"/>
      </w:tabs>
      <w:snapToGrid w:val="0"/>
      <w:jc w:val="left"/>
    </w:pPr>
    <w:rPr>
      <w:kern w:val="0"/>
      <w:sz w:val="18"/>
      <w:szCs w:val="20"/>
    </w:rPr>
  </w:style>
  <w:style w:type="paragraph" w:styleId="17">
    <w:name w:val="header"/>
    <w:basedOn w:val="1"/>
    <w:next w:val="18"/>
    <w:qFormat/>
    <w:uiPriority w:val="99"/>
    <w:pPr>
      <w:pBdr>
        <w:bottom w:val="single" w:color="auto" w:sz="6" w:space="1"/>
      </w:pBdr>
      <w:tabs>
        <w:tab w:val="center" w:pos="4153"/>
        <w:tab w:val="right" w:pos="8306"/>
      </w:tabs>
      <w:snapToGrid w:val="0"/>
      <w:jc w:val="center"/>
    </w:pPr>
    <w:rPr>
      <w:kern w:val="0"/>
      <w:sz w:val="18"/>
      <w:szCs w:val="20"/>
    </w:rPr>
  </w:style>
  <w:style w:type="paragraph" w:customStyle="1" w:styleId="18">
    <w:name w:val="Quote1"/>
    <w:basedOn w:val="1"/>
    <w:next w:val="1"/>
    <w:qFormat/>
    <w:uiPriority w:val="99"/>
    <w:pPr>
      <w:widowControl/>
      <w:wordWrap w:val="0"/>
      <w:spacing w:before="200" w:after="160"/>
      <w:ind w:left="864" w:right="864"/>
      <w:jc w:val="center"/>
    </w:pPr>
    <w:rPr>
      <w:rFonts w:ascii="宋体"/>
      <w:i/>
      <w:color w:val="404040"/>
    </w:rPr>
  </w:style>
  <w:style w:type="paragraph" w:styleId="19">
    <w:name w:val="toc 1"/>
    <w:basedOn w:val="1"/>
    <w:next w:val="1"/>
    <w:qFormat/>
    <w:uiPriority w:val="0"/>
    <w:pPr>
      <w:spacing w:before="120" w:after="120"/>
      <w:jc w:val="left"/>
    </w:pPr>
    <w:rPr>
      <w:b/>
      <w:bCs/>
      <w:caps/>
      <w:sz w:val="24"/>
      <w:szCs w:val="20"/>
    </w:rPr>
  </w:style>
  <w:style w:type="paragraph" w:styleId="20">
    <w:name w:val="toc 2"/>
    <w:basedOn w:val="1"/>
    <w:next w:val="1"/>
    <w:qFormat/>
    <w:uiPriority w:val="39"/>
    <w:pPr>
      <w:tabs>
        <w:tab w:val="right" w:leader="dot" w:pos="8597"/>
      </w:tabs>
      <w:spacing w:line="360" w:lineRule="auto"/>
      <w:ind w:left="210"/>
      <w:jc w:val="left"/>
    </w:pPr>
    <w:rPr>
      <w:smallCaps/>
      <w:sz w:val="20"/>
      <w:szCs w:val="20"/>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2">
    <w:name w:val="Body Text First Indent"/>
    <w:basedOn w:val="2"/>
    <w:link w:val="40"/>
    <w:qFormat/>
    <w:uiPriority w:val="99"/>
    <w:pPr>
      <w:spacing w:line="400" w:lineRule="exact"/>
      <w:ind w:firstLine="200" w:firstLineChars="200"/>
    </w:pPr>
  </w:style>
  <w:style w:type="character" w:styleId="25">
    <w:name w:val="Strong"/>
    <w:basedOn w:val="24"/>
    <w:qFormat/>
    <w:uiPriority w:val="99"/>
    <w:rPr>
      <w:rFonts w:cs="Times New Roman"/>
      <w:b/>
    </w:rPr>
  </w:style>
  <w:style w:type="character" w:styleId="26">
    <w:name w:val="page number"/>
    <w:qFormat/>
    <w:uiPriority w:val="99"/>
    <w:rPr>
      <w:rFonts w:cs="Times New Roman"/>
    </w:rPr>
  </w:style>
  <w:style w:type="character" w:styleId="27">
    <w:name w:val="FollowedHyperlink"/>
    <w:basedOn w:val="24"/>
    <w:qFormat/>
    <w:uiPriority w:val="0"/>
    <w:rPr>
      <w:color w:val="000000"/>
      <w:u w:val="none"/>
    </w:rPr>
  </w:style>
  <w:style w:type="character" w:styleId="28">
    <w:name w:val="Emphasis"/>
    <w:basedOn w:val="24"/>
    <w:qFormat/>
    <w:uiPriority w:val="20"/>
    <w:rPr>
      <w:i/>
    </w:rPr>
  </w:style>
  <w:style w:type="character" w:styleId="29">
    <w:name w:val="Hyperlink"/>
    <w:basedOn w:val="24"/>
    <w:qFormat/>
    <w:uiPriority w:val="0"/>
    <w:rPr>
      <w:color w:val="000000"/>
      <w:u w:val="none"/>
    </w:rPr>
  </w:style>
  <w:style w:type="character" w:styleId="30">
    <w:name w:val="HTML Cite"/>
    <w:basedOn w:val="24"/>
    <w:qFormat/>
    <w:uiPriority w:val="0"/>
  </w:style>
  <w:style w:type="paragraph" w:customStyle="1" w:styleId="31">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 w:type="paragraph" w:customStyle="1" w:styleId="32">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3">
    <w:name w:val="List Paragraph"/>
    <w:basedOn w:val="1"/>
    <w:qFormat/>
    <w:uiPriority w:val="34"/>
    <w:pPr>
      <w:ind w:firstLine="420" w:firstLineChars="200"/>
    </w:pPr>
  </w:style>
  <w:style w:type="character" w:customStyle="1" w:styleId="34">
    <w:name w:val="green"/>
    <w:basedOn w:val="24"/>
    <w:qFormat/>
    <w:uiPriority w:val="0"/>
    <w:rPr>
      <w:shd w:val="clear" w:color="auto" w:fill="71C033"/>
    </w:rPr>
  </w:style>
  <w:style w:type="character" w:customStyle="1" w:styleId="35">
    <w:name w:val="blue2"/>
    <w:basedOn w:val="24"/>
    <w:qFormat/>
    <w:uiPriority w:val="0"/>
    <w:rPr>
      <w:shd w:val="clear" w:color="auto" w:fill="53A7FF"/>
    </w:rPr>
  </w:style>
  <w:style w:type="character" w:customStyle="1" w:styleId="36">
    <w:name w:val="disabled2"/>
    <w:basedOn w:val="24"/>
    <w:qFormat/>
    <w:uiPriority w:val="0"/>
    <w:rPr>
      <w:color w:val="DDDDDD"/>
      <w:bdr w:val="single" w:color="EEEEEE" w:sz="4" w:space="0"/>
    </w:rPr>
  </w:style>
  <w:style w:type="character" w:customStyle="1" w:styleId="37">
    <w:name w:val="red"/>
    <w:basedOn w:val="24"/>
    <w:qFormat/>
    <w:uiPriority w:val="0"/>
    <w:rPr>
      <w:shd w:val="clear" w:color="auto" w:fill="EA5954"/>
    </w:rPr>
  </w:style>
  <w:style w:type="character" w:customStyle="1" w:styleId="38">
    <w:name w:val="yellow"/>
    <w:basedOn w:val="24"/>
    <w:qFormat/>
    <w:uiPriority w:val="0"/>
    <w:rPr>
      <w:shd w:val="clear" w:color="auto" w:fill="F58F00"/>
    </w:rPr>
  </w:style>
  <w:style w:type="character" w:customStyle="1" w:styleId="39">
    <w:name w:val="批注框文本 字符"/>
    <w:basedOn w:val="24"/>
    <w:link w:val="15"/>
    <w:qFormat/>
    <w:uiPriority w:val="0"/>
    <w:rPr>
      <w:kern w:val="2"/>
      <w:sz w:val="18"/>
      <w:szCs w:val="18"/>
    </w:rPr>
  </w:style>
  <w:style w:type="character" w:customStyle="1" w:styleId="40">
    <w:name w:val="正文文本首行缩进 字符"/>
    <w:basedOn w:val="24"/>
    <w:link w:val="22"/>
    <w:qFormat/>
    <w:uiPriority w:val="99"/>
    <w:rPr>
      <w:sz w:val="24"/>
    </w:rPr>
  </w:style>
  <w:style w:type="paragraph" w:customStyle="1" w:styleId="41">
    <w:name w:val="样式29"/>
    <w:basedOn w:val="42"/>
    <w:qFormat/>
    <w:uiPriority w:val="0"/>
    <w:rPr>
      <w:rFonts w:eastAsia="楷体_GB2312"/>
    </w:rPr>
  </w:style>
  <w:style w:type="paragraph" w:customStyle="1" w:styleId="42">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43">
    <w:name w:val="_Style 35"/>
    <w:basedOn w:val="1"/>
    <w:next w:val="33"/>
    <w:qFormat/>
    <w:uiPriority w:val="34"/>
    <w:pPr>
      <w:widowControl/>
      <w:ind w:firstLine="420" w:firstLineChars="200"/>
      <w:jc w:val="left"/>
    </w:pPr>
    <w:rPr>
      <w:kern w:val="0"/>
      <w:sz w:val="24"/>
    </w:rPr>
  </w:style>
  <w:style w:type="paragraph" w:customStyle="1" w:styleId="44">
    <w:name w:val="列出段落1"/>
    <w:basedOn w:val="1"/>
    <w:qFormat/>
    <w:uiPriority w:val="34"/>
    <w:pPr>
      <w:ind w:firstLine="420" w:firstLineChars="200"/>
    </w:pPr>
    <w:rPr>
      <w:rFonts w:ascii="Calibri" w:hAnsi="Calibri"/>
      <w:szCs w:val="22"/>
    </w:rPr>
  </w:style>
  <w:style w:type="paragraph" w:customStyle="1" w:styleId="45">
    <w:name w:val="列表段落1"/>
    <w:basedOn w:val="1"/>
    <w:qFormat/>
    <w:uiPriority w:val="34"/>
    <w:pPr>
      <w:spacing w:line="360" w:lineRule="auto"/>
      <w:ind w:firstLine="200" w:firstLineChars="200"/>
    </w:pPr>
    <w:rPr>
      <w:rFonts w:eastAsia="宋体" w:cs="Times New Roman"/>
      <w:sz w:val="24"/>
      <w:szCs w:val="22"/>
    </w:rPr>
  </w:style>
</w:styles>
</file>

<file path=word/_rels/document.xml.rels><?xml version="1.0" encoding="UTF-8" standalone="yes"?>
<Relationships xmlns="http://schemas.openxmlformats.org/package/2006/relationships"><Relationship Id="rId99" Type="http://schemas.openxmlformats.org/officeDocument/2006/relationships/image" Target="media/image86.jpeg"/><Relationship Id="rId98" Type="http://schemas.openxmlformats.org/officeDocument/2006/relationships/image" Target="media/image85.jpeg"/><Relationship Id="rId97" Type="http://schemas.openxmlformats.org/officeDocument/2006/relationships/image" Target="media/image84.jpeg"/><Relationship Id="rId96" Type="http://schemas.openxmlformats.org/officeDocument/2006/relationships/image" Target="media/image83.jpeg"/><Relationship Id="rId95" Type="http://schemas.openxmlformats.org/officeDocument/2006/relationships/image" Target="media/image82.jpeg"/><Relationship Id="rId94" Type="http://schemas.openxmlformats.org/officeDocument/2006/relationships/image" Target="media/image81.jpeg"/><Relationship Id="rId93" Type="http://schemas.openxmlformats.org/officeDocument/2006/relationships/image" Target="media/image80.png"/><Relationship Id="rId92" Type="http://schemas.openxmlformats.org/officeDocument/2006/relationships/image" Target="media/image79.png"/><Relationship Id="rId91" Type="http://schemas.openxmlformats.org/officeDocument/2006/relationships/image" Target="media/image78.jpeg"/><Relationship Id="rId90" Type="http://schemas.openxmlformats.org/officeDocument/2006/relationships/image" Target="media/image77.png"/><Relationship Id="rId9" Type="http://schemas.openxmlformats.org/officeDocument/2006/relationships/footer" Target="footer4.xml"/><Relationship Id="rId89" Type="http://schemas.openxmlformats.org/officeDocument/2006/relationships/image" Target="media/image76.png"/><Relationship Id="rId88" Type="http://schemas.openxmlformats.org/officeDocument/2006/relationships/image" Target="media/image75.jpeg"/><Relationship Id="rId87" Type="http://schemas.openxmlformats.org/officeDocument/2006/relationships/image" Target="media/image74.jpeg"/><Relationship Id="rId86" Type="http://schemas.openxmlformats.org/officeDocument/2006/relationships/image" Target="media/image73.jpeg"/><Relationship Id="rId85" Type="http://schemas.openxmlformats.org/officeDocument/2006/relationships/image" Target="media/image72.png"/><Relationship Id="rId84" Type="http://schemas.openxmlformats.org/officeDocument/2006/relationships/image" Target="media/image71.png"/><Relationship Id="rId83" Type="http://schemas.openxmlformats.org/officeDocument/2006/relationships/image" Target="media/image70.png"/><Relationship Id="rId82" Type="http://schemas.openxmlformats.org/officeDocument/2006/relationships/image" Target="media/image69.png"/><Relationship Id="rId81" Type="http://schemas.openxmlformats.org/officeDocument/2006/relationships/image" Target="media/image68.png"/><Relationship Id="rId80" Type="http://schemas.openxmlformats.org/officeDocument/2006/relationships/image" Target="media/image67.png"/><Relationship Id="rId8" Type="http://schemas.openxmlformats.org/officeDocument/2006/relationships/footer" Target="footer3.xml"/><Relationship Id="rId79" Type="http://schemas.openxmlformats.org/officeDocument/2006/relationships/image" Target="media/image66.jpeg"/><Relationship Id="rId78" Type="http://schemas.openxmlformats.org/officeDocument/2006/relationships/image" Target="media/image65.jpeg"/><Relationship Id="rId77" Type="http://schemas.openxmlformats.org/officeDocument/2006/relationships/image" Target="media/image64.jpeg"/><Relationship Id="rId76" Type="http://schemas.openxmlformats.org/officeDocument/2006/relationships/image" Target="media/image63.png"/><Relationship Id="rId75" Type="http://schemas.openxmlformats.org/officeDocument/2006/relationships/image" Target="media/image62.png"/><Relationship Id="rId74" Type="http://schemas.openxmlformats.org/officeDocument/2006/relationships/image" Target="media/image61.png"/><Relationship Id="rId73" Type="http://schemas.openxmlformats.org/officeDocument/2006/relationships/image" Target="media/image60.jpeg"/><Relationship Id="rId72" Type="http://schemas.openxmlformats.org/officeDocument/2006/relationships/image" Target="media/image59.png"/><Relationship Id="rId71" Type="http://schemas.openxmlformats.org/officeDocument/2006/relationships/image" Target="media/image58.png"/><Relationship Id="rId70" Type="http://schemas.openxmlformats.org/officeDocument/2006/relationships/image" Target="media/image57.png"/><Relationship Id="rId7" Type="http://schemas.openxmlformats.org/officeDocument/2006/relationships/header" Target="header3.xml"/><Relationship Id="rId69" Type="http://schemas.openxmlformats.org/officeDocument/2006/relationships/image" Target="media/image56.jpeg"/><Relationship Id="rId68" Type="http://schemas.openxmlformats.org/officeDocument/2006/relationships/image" Target="media/image55.png"/><Relationship Id="rId67" Type="http://schemas.openxmlformats.org/officeDocument/2006/relationships/image" Target="media/image54.png"/><Relationship Id="rId66" Type="http://schemas.openxmlformats.org/officeDocument/2006/relationships/image" Target="media/image53.png"/><Relationship Id="rId65" Type="http://schemas.openxmlformats.org/officeDocument/2006/relationships/image" Target="media/image52.png"/><Relationship Id="rId64" Type="http://schemas.openxmlformats.org/officeDocument/2006/relationships/image" Target="media/image51.jpeg"/><Relationship Id="rId63" Type="http://schemas.openxmlformats.org/officeDocument/2006/relationships/image" Target="media/image50.jpeg"/><Relationship Id="rId62" Type="http://schemas.openxmlformats.org/officeDocument/2006/relationships/image" Target="media/image49.png"/><Relationship Id="rId61" Type="http://schemas.openxmlformats.org/officeDocument/2006/relationships/image" Target="media/image48.jpeg"/><Relationship Id="rId60" Type="http://schemas.openxmlformats.org/officeDocument/2006/relationships/image" Target="media/image47.jpeg"/><Relationship Id="rId6" Type="http://schemas.openxmlformats.org/officeDocument/2006/relationships/footer" Target="footer2.xml"/><Relationship Id="rId59" Type="http://schemas.openxmlformats.org/officeDocument/2006/relationships/image" Target="media/image46.jpeg"/><Relationship Id="rId58" Type="http://schemas.openxmlformats.org/officeDocument/2006/relationships/image" Target="media/image45.jpeg"/><Relationship Id="rId57" Type="http://schemas.openxmlformats.org/officeDocument/2006/relationships/image" Target="media/image44.png"/><Relationship Id="rId56" Type="http://schemas.openxmlformats.org/officeDocument/2006/relationships/image" Target="media/image43.jpeg"/><Relationship Id="rId55" Type="http://schemas.openxmlformats.org/officeDocument/2006/relationships/image" Target="media/image42.png"/><Relationship Id="rId54" Type="http://schemas.openxmlformats.org/officeDocument/2006/relationships/image" Target="media/image41.jpeg"/><Relationship Id="rId53" Type="http://schemas.openxmlformats.org/officeDocument/2006/relationships/hyperlink" Target="https://detail.1688.com/offer/614353397710.html" TargetMode="External"/><Relationship Id="rId52" Type="http://schemas.openxmlformats.org/officeDocument/2006/relationships/image" Target="media/image40.jpeg"/><Relationship Id="rId51" Type="http://schemas.openxmlformats.org/officeDocument/2006/relationships/image" Target="media/image39.jpeg"/><Relationship Id="rId50" Type="http://schemas.openxmlformats.org/officeDocument/2006/relationships/image" Target="media/image38.jpeg"/><Relationship Id="rId5" Type="http://schemas.openxmlformats.org/officeDocument/2006/relationships/footer" Target="footer1.xml"/><Relationship Id="rId49" Type="http://schemas.openxmlformats.org/officeDocument/2006/relationships/image" Target="media/image37.jpeg"/><Relationship Id="rId48" Type="http://schemas.openxmlformats.org/officeDocument/2006/relationships/image" Target="media/image36.png"/><Relationship Id="rId47" Type="http://schemas.openxmlformats.org/officeDocument/2006/relationships/image" Target="media/image35.png"/><Relationship Id="rId46" Type="http://schemas.openxmlformats.org/officeDocument/2006/relationships/image" Target="media/image34.jpeg"/><Relationship Id="rId45" Type="http://schemas.openxmlformats.org/officeDocument/2006/relationships/image" Target="media/image33.png"/><Relationship Id="rId44" Type="http://schemas.openxmlformats.org/officeDocument/2006/relationships/image" Target="media/image32.jpeg"/><Relationship Id="rId43" Type="http://schemas.openxmlformats.org/officeDocument/2006/relationships/image" Target="media/image31.jpeg"/><Relationship Id="rId42" Type="http://schemas.openxmlformats.org/officeDocument/2006/relationships/image" Target="media/image30.png"/><Relationship Id="rId41" Type="http://schemas.openxmlformats.org/officeDocument/2006/relationships/image" Target="media/image29.jpeg"/><Relationship Id="rId40" Type="http://schemas.openxmlformats.org/officeDocument/2006/relationships/image" Target="media/image28.png"/><Relationship Id="rId4" Type="http://schemas.openxmlformats.org/officeDocument/2006/relationships/header" Target="header2.xml"/><Relationship Id="rId39" Type="http://schemas.openxmlformats.org/officeDocument/2006/relationships/image" Target="media/image27.jpeg"/><Relationship Id="rId38" Type="http://schemas.openxmlformats.org/officeDocument/2006/relationships/image" Target="media/image26.jpe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jpeg"/><Relationship Id="rId34" Type="http://schemas.openxmlformats.org/officeDocument/2006/relationships/image" Target="media/image22.jpeg"/><Relationship Id="rId33" Type="http://schemas.openxmlformats.org/officeDocument/2006/relationships/image" Target="media/image21.jpeg"/><Relationship Id="rId32" Type="http://schemas.openxmlformats.org/officeDocument/2006/relationships/image" Target="media/image20.jpeg"/><Relationship Id="rId31" Type="http://schemas.openxmlformats.org/officeDocument/2006/relationships/image" Target="media/image19.jpeg"/><Relationship Id="rId30" Type="http://schemas.openxmlformats.org/officeDocument/2006/relationships/image" Target="media/image18.png"/><Relationship Id="rId3" Type="http://schemas.openxmlformats.org/officeDocument/2006/relationships/header" Target="header1.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pn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pn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2" Type="http://schemas.openxmlformats.org/officeDocument/2006/relationships/fontTable" Target="fontTable.xml"/><Relationship Id="rId131" Type="http://schemas.openxmlformats.org/officeDocument/2006/relationships/numbering" Target="numbering.xml"/><Relationship Id="rId130" Type="http://schemas.openxmlformats.org/officeDocument/2006/relationships/customXml" Target="../customXml/item1.xml"/><Relationship Id="rId13" Type="http://schemas.openxmlformats.org/officeDocument/2006/relationships/image" Target="media/image1.jpeg"/><Relationship Id="rId129" Type="http://schemas.openxmlformats.org/officeDocument/2006/relationships/image" Target="media/image116.jpeg"/><Relationship Id="rId128" Type="http://schemas.openxmlformats.org/officeDocument/2006/relationships/image" Target="media/image115.png"/><Relationship Id="rId127" Type="http://schemas.openxmlformats.org/officeDocument/2006/relationships/image" Target="media/image114.jpeg"/><Relationship Id="rId126" Type="http://schemas.openxmlformats.org/officeDocument/2006/relationships/image" Target="media/image113.png"/><Relationship Id="rId125" Type="http://schemas.openxmlformats.org/officeDocument/2006/relationships/image" Target="media/image112.jpeg"/><Relationship Id="rId124" Type="http://schemas.openxmlformats.org/officeDocument/2006/relationships/image" Target="media/image111.jpeg"/><Relationship Id="rId123" Type="http://schemas.openxmlformats.org/officeDocument/2006/relationships/image" Target="media/image110.jpeg"/><Relationship Id="rId122" Type="http://schemas.openxmlformats.org/officeDocument/2006/relationships/image" Target="media/image109.jpeg"/><Relationship Id="rId121" Type="http://schemas.openxmlformats.org/officeDocument/2006/relationships/image" Target="media/image108.jpeg"/><Relationship Id="rId120" Type="http://schemas.openxmlformats.org/officeDocument/2006/relationships/image" Target="media/image107.jpeg"/><Relationship Id="rId12" Type="http://schemas.openxmlformats.org/officeDocument/2006/relationships/theme" Target="theme/theme1.xml"/><Relationship Id="rId119" Type="http://schemas.openxmlformats.org/officeDocument/2006/relationships/image" Target="media/image106.png"/><Relationship Id="rId118" Type="http://schemas.openxmlformats.org/officeDocument/2006/relationships/image" Target="media/image105.jpeg"/><Relationship Id="rId117" Type="http://schemas.openxmlformats.org/officeDocument/2006/relationships/image" Target="media/image104.jpeg"/><Relationship Id="rId116" Type="http://schemas.openxmlformats.org/officeDocument/2006/relationships/image" Target="media/image103.jpeg"/><Relationship Id="rId115" Type="http://schemas.openxmlformats.org/officeDocument/2006/relationships/image" Target="media/image102.png"/><Relationship Id="rId114" Type="http://schemas.openxmlformats.org/officeDocument/2006/relationships/image" Target="media/image101.png"/><Relationship Id="rId113" Type="http://schemas.openxmlformats.org/officeDocument/2006/relationships/image" Target="media/image100.png"/><Relationship Id="rId112" Type="http://schemas.openxmlformats.org/officeDocument/2006/relationships/image" Target="media/image99.jpeg"/><Relationship Id="rId111" Type="http://schemas.openxmlformats.org/officeDocument/2006/relationships/image" Target="media/image98.jpeg"/><Relationship Id="rId110" Type="http://schemas.openxmlformats.org/officeDocument/2006/relationships/image" Target="media/image97.jpeg"/><Relationship Id="rId11" Type="http://schemas.openxmlformats.org/officeDocument/2006/relationships/footer" Target="footer5.xml"/><Relationship Id="rId109" Type="http://schemas.openxmlformats.org/officeDocument/2006/relationships/image" Target="media/image96.jpeg"/><Relationship Id="rId108" Type="http://schemas.openxmlformats.org/officeDocument/2006/relationships/image" Target="media/image95.jpeg"/><Relationship Id="rId107" Type="http://schemas.openxmlformats.org/officeDocument/2006/relationships/image" Target="media/image94.jpeg"/><Relationship Id="rId106" Type="http://schemas.openxmlformats.org/officeDocument/2006/relationships/image" Target="media/image93.jpeg"/><Relationship Id="rId105" Type="http://schemas.openxmlformats.org/officeDocument/2006/relationships/image" Target="media/image92.jpeg"/><Relationship Id="rId104" Type="http://schemas.openxmlformats.org/officeDocument/2006/relationships/image" Target="media/image91.jpeg"/><Relationship Id="rId103" Type="http://schemas.openxmlformats.org/officeDocument/2006/relationships/image" Target="media/image90.png"/><Relationship Id="rId102" Type="http://schemas.openxmlformats.org/officeDocument/2006/relationships/image" Target="media/image89.jpeg"/><Relationship Id="rId101" Type="http://schemas.openxmlformats.org/officeDocument/2006/relationships/image" Target="media/image88.png"/><Relationship Id="rId100" Type="http://schemas.openxmlformats.org/officeDocument/2006/relationships/image" Target="media/image87.jpeg"/><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5076</Words>
  <Characters>28939</Characters>
  <Lines>241</Lines>
  <Paragraphs>67</Paragraphs>
  <TotalTime>59</TotalTime>
  <ScaleCrop>false</ScaleCrop>
  <LinksUpToDate>false</LinksUpToDate>
  <CharactersWithSpaces>33948</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2020-12-18T03:37:00Z</dcterms:created>
  <dc:creator>夏沫</dc:creator>
  <cp:lastModifiedBy> ^(◐‿◑)﻿^</cp:lastModifiedBy>
  <cp:lastPrinted>2021-09-17T06:44:00Z</cp:lastPrinted>
  <dcterms:modified xsi:type="dcterms:W3CDTF">2021-10-18T11:14:41Z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D3879B0E3828472E9A1F1C71C724FBC1</vt:lpwstr>
  </property>
</Properties>
</file>