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8940EF">
      <w:pPr>
        <w:pStyle w:val="3"/>
        <w:spacing w:before="0" w:after="0" w:line="360" w:lineRule="auto"/>
        <w:jc w:val="center"/>
        <w:outlineLvl w:val="0"/>
        <w:rPr>
          <w:rFonts w:hint="eastAsia" w:ascii="宋体" w:hAnsi="宋体" w:eastAsia="宋体" w:cs="宋体"/>
          <w:color w:val="auto"/>
          <w:sz w:val="24"/>
          <w:szCs w:val="24"/>
          <w:highlight w:val="green"/>
        </w:rPr>
      </w:pPr>
      <w:bookmarkStart w:id="0" w:name="_Toc2937"/>
      <w:bookmarkStart w:id="1" w:name="_Toc28702"/>
      <w:r>
        <w:rPr>
          <w:rFonts w:hint="eastAsia" w:ascii="宋体" w:hAnsi="宋体" w:eastAsia="宋体" w:cs="宋体"/>
          <w:color w:val="auto"/>
          <w:sz w:val="36"/>
          <w:szCs w:val="36"/>
        </w:rPr>
        <w:t>第六章 招标项目技术、服务、政府采购合同内容条款及其他商务要求</w:t>
      </w:r>
      <w:bookmarkEnd w:id="0"/>
      <w:bookmarkEnd w:id="1"/>
    </w:p>
    <w:p w14:paraId="5D61D2E7">
      <w:pPr>
        <w:spacing w:line="360" w:lineRule="auto"/>
        <w:ind w:firstLine="482" w:firstLineChars="200"/>
        <w:outlineLvl w:val="1"/>
        <w:rPr>
          <w:rFonts w:hint="eastAsia" w:ascii="宋体" w:hAnsi="宋体" w:eastAsia="宋体" w:cs="宋体"/>
          <w:b/>
          <w:bCs/>
          <w:color w:val="auto"/>
          <w:sz w:val="24"/>
          <w:highlight w:val="none"/>
          <w:lang w:eastAsia="zh-CN"/>
        </w:rPr>
      </w:pPr>
      <w:bookmarkStart w:id="2" w:name="_Toc217446094"/>
      <w:bookmarkStart w:id="3" w:name="_Toc217446095"/>
      <w:r>
        <w:rPr>
          <w:rFonts w:hint="eastAsia" w:ascii="宋体" w:hAnsi="宋体" w:eastAsia="宋体" w:cs="宋体"/>
          <w:b/>
          <w:bCs/>
          <w:color w:val="auto"/>
          <w:sz w:val="24"/>
          <w:highlight w:val="none"/>
        </w:rPr>
        <w:t>一</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项目概述</w:t>
      </w:r>
      <w:bookmarkEnd w:id="2"/>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本项内容仅供投标人知晓，无须投标人在投标文件中应答</w:t>
      </w:r>
      <w:r>
        <w:rPr>
          <w:rFonts w:hint="eastAsia" w:ascii="宋体" w:hAnsi="宋体" w:eastAsia="宋体" w:cs="宋体"/>
          <w:b/>
          <w:bCs/>
          <w:color w:val="auto"/>
          <w:sz w:val="24"/>
          <w:highlight w:val="none"/>
          <w:lang w:eastAsia="zh-CN"/>
        </w:rPr>
        <w:t>）</w:t>
      </w:r>
    </w:p>
    <w:p w14:paraId="0B749375">
      <w:pPr>
        <w:spacing w:after="0" w:afterLines="0"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四川大学华西第四医院</w:t>
      </w:r>
      <w:r>
        <w:rPr>
          <w:rFonts w:hint="eastAsia" w:ascii="宋体" w:hAnsi="宋体" w:eastAsia="宋体" w:cs="宋体"/>
          <w:color w:val="auto"/>
          <w:sz w:val="24"/>
          <w:highlight w:val="none"/>
        </w:rPr>
        <w:t>拟采购</w:t>
      </w:r>
      <w:r>
        <w:rPr>
          <w:rFonts w:hint="eastAsia" w:ascii="宋体" w:hAnsi="宋体" w:eastAsia="宋体" w:cs="宋体"/>
          <w:b/>
          <w:bCs/>
          <w:color w:val="auto"/>
          <w:sz w:val="24"/>
          <w:highlight w:val="none"/>
          <w:u w:val="none"/>
        </w:rPr>
        <w:t>鼻阻力仪、耳鼻咽喉科诊疗台(含内窥镜图像处理系统）</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本项目为</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个包。</w:t>
      </w:r>
    </w:p>
    <w:p w14:paraId="2C0F012E">
      <w:pPr>
        <w:pStyle w:val="2"/>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采购包1：鼻阻力仪</w:t>
      </w:r>
    </w:p>
    <w:p w14:paraId="0717B4A3">
      <w:pPr>
        <w:spacing w:line="360" w:lineRule="auto"/>
        <w:ind w:firstLine="480" w:firstLineChars="200"/>
        <w:outlineLvl w:val="9"/>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采购包2：耳鼻咽喉科诊疗台(含内窥镜图像处理系统）</w:t>
      </w:r>
    </w:p>
    <w:p w14:paraId="79FA0102">
      <w:pPr>
        <w:spacing w:line="360" w:lineRule="auto"/>
        <w:ind w:firstLine="482" w:firstLineChars="200"/>
        <w:outlineLvl w:val="1"/>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项目清单</w:t>
      </w:r>
      <w:r>
        <w:rPr>
          <w:rFonts w:hint="eastAsia" w:ascii="宋体" w:hAnsi="宋体" w:eastAsia="宋体" w:cs="宋体"/>
          <w:color w:val="auto"/>
          <w:sz w:val="24"/>
          <w:highlight w:val="none"/>
        </w:rPr>
        <w:t xml:space="preserve">                             </w:t>
      </w:r>
    </w:p>
    <w:tbl>
      <w:tblPr>
        <w:tblStyle w:val="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655"/>
        <w:gridCol w:w="1512"/>
        <w:gridCol w:w="696"/>
        <w:gridCol w:w="707"/>
        <w:gridCol w:w="1100"/>
        <w:gridCol w:w="1067"/>
        <w:gridCol w:w="1067"/>
        <w:gridCol w:w="1059"/>
      </w:tblGrid>
      <w:tr w14:paraId="3942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84" w:type="pct"/>
            <w:noWrap w:val="0"/>
            <w:vAlign w:val="center"/>
          </w:tcPr>
          <w:p w14:paraId="113BB9AD">
            <w:pPr>
              <w:widowControl/>
              <w:spacing w:line="360" w:lineRule="auto"/>
              <w:jc w:val="center"/>
              <w:outlineLvl w:val="1"/>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包号</w:t>
            </w:r>
          </w:p>
        </w:tc>
        <w:tc>
          <w:tcPr>
            <w:tcW w:w="384" w:type="pct"/>
            <w:noWrap w:val="0"/>
            <w:vAlign w:val="center"/>
          </w:tcPr>
          <w:p w14:paraId="441DEA77">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序号</w:t>
            </w:r>
          </w:p>
        </w:tc>
        <w:tc>
          <w:tcPr>
            <w:tcW w:w="887" w:type="pct"/>
            <w:noWrap w:val="0"/>
            <w:vAlign w:val="center"/>
          </w:tcPr>
          <w:p w14:paraId="0D603BD4">
            <w:pPr>
              <w:widowControl/>
              <w:spacing w:line="360" w:lineRule="atLeast"/>
              <w:jc w:val="center"/>
              <w:outlineLvl w:val="9"/>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货物名称</w:t>
            </w:r>
          </w:p>
          <w:p w14:paraId="63B45972">
            <w:pPr>
              <w:widowControl/>
              <w:spacing w:line="360" w:lineRule="atLeast"/>
              <w:jc w:val="center"/>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(标的名称)</w:t>
            </w:r>
          </w:p>
        </w:tc>
        <w:tc>
          <w:tcPr>
            <w:tcW w:w="408" w:type="pct"/>
            <w:noWrap w:val="0"/>
            <w:vAlign w:val="center"/>
          </w:tcPr>
          <w:p w14:paraId="3D1796F4">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数量</w:t>
            </w:r>
          </w:p>
        </w:tc>
        <w:tc>
          <w:tcPr>
            <w:tcW w:w="415" w:type="pct"/>
            <w:noWrap w:val="0"/>
            <w:vAlign w:val="center"/>
          </w:tcPr>
          <w:p w14:paraId="43CAFA93">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计量单位</w:t>
            </w:r>
          </w:p>
        </w:tc>
        <w:tc>
          <w:tcPr>
            <w:tcW w:w="645" w:type="pct"/>
            <w:noWrap w:val="0"/>
            <w:vAlign w:val="center"/>
          </w:tcPr>
          <w:p w14:paraId="13F61C3F">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u w:val="none"/>
                <w:lang w:val="en-US" w:eastAsia="zh-CN"/>
              </w:rPr>
              <w:t>所属行业</w:t>
            </w:r>
          </w:p>
        </w:tc>
        <w:tc>
          <w:tcPr>
            <w:tcW w:w="626" w:type="pct"/>
            <w:noWrap w:val="0"/>
            <w:vAlign w:val="center"/>
          </w:tcPr>
          <w:p w14:paraId="11832DFC">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单价最高限价</w:t>
            </w:r>
          </w:p>
          <w:p w14:paraId="655CA513">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（万元）</w:t>
            </w:r>
          </w:p>
        </w:tc>
        <w:tc>
          <w:tcPr>
            <w:tcW w:w="626" w:type="pct"/>
            <w:noWrap w:val="0"/>
            <w:vAlign w:val="center"/>
          </w:tcPr>
          <w:p w14:paraId="1A4CD503">
            <w:pPr>
              <w:widowControl/>
              <w:spacing w:line="360" w:lineRule="auto"/>
              <w:jc w:val="center"/>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最高限价（万元）</w:t>
            </w:r>
          </w:p>
        </w:tc>
        <w:tc>
          <w:tcPr>
            <w:tcW w:w="621" w:type="pct"/>
            <w:noWrap w:val="0"/>
            <w:vAlign w:val="center"/>
          </w:tcPr>
          <w:p w14:paraId="41BA14C2">
            <w:pPr>
              <w:widowControl/>
              <w:spacing w:line="360" w:lineRule="auto"/>
              <w:jc w:val="center"/>
              <w:outlineLvl w:val="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是否为核心产品</w:t>
            </w:r>
          </w:p>
        </w:tc>
      </w:tr>
      <w:tr w14:paraId="6647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84" w:type="pct"/>
            <w:noWrap w:val="0"/>
            <w:vAlign w:val="top"/>
          </w:tcPr>
          <w:p w14:paraId="5D7AC3F0">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384" w:type="pct"/>
            <w:noWrap w:val="0"/>
            <w:vAlign w:val="top"/>
          </w:tcPr>
          <w:p w14:paraId="1EC2C5C8">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887" w:type="pct"/>
            <w:noWrap w:val="0"/>
            <w:vAlign w:val="top"/>
          </w:tcPr>
          <w:p w14:paraId="17FBC597">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u w:val="none"/>
                <w:lang w:eastAsia="zh-CN"/>
              </w:rPr>
              <w:t>鼻阻力仪</w:t>
            </w:r>
          </w:p>
        </w:tc>
        <w:tc>
          <w:tcPr>
            <w:tcW w:w="408" w:type="pct"/>
            <w:noWrap w:val="0"/>
            <w:vAlign w:val="top"/>
          </w:tcPr>
          <w:p w14:paraId="0399104C">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415" w:type="pct"/>
            <w:noWrap w:val="0"/>
            <w:vAlign w:val="top"/>
          </w:tcPr>
          <w:p w14:paraId="0C97B362">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台</w:t>
            </w:r>
          </w:p>
        </w:tc>
        <w:tc>
          <w:tcPr>
            <w:tcW w:w="645" w:type="pct"/>
            <w:noWrap w:val="0"/>
            <w:vAlign w:val="top"/>
          </w:tcPr>
          <w:p w14:paraId="392040F7">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工业</w:t>
            </w:r>
          </w:p>
        </w:tc>
        <w:tc>
          <w:tcPr>
            <w:tcW w:w="626" w:type="pct"/>
            <w:noWrap w:val="0"/>
            <w:vAlign w:val="top"/>
          </w:tcPr>
          <w:p w14:paraId="38992743">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35</w:t>
            </w:r>
          </w:p>
        </w:tc>
        <w:tc>
          <w:tcPr>
            <w:tcW w:w="626" w:type="pct"/>
            <w:noWrap w:val="0"/>
            <w:vAlign w:val="top"/>
          </w:tcPr>
          <w:p w14:paraId="31B553EB">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35</w:t>
            </w:r>
          </w:p>
        </w:tc>
        <w:tc>
          <w:tcPr>
            <w:tcW w:w="621" w:type="pct"/>
            <w:noWrap w:val="0"/>
            <w:vAlign w:val="top"/>
          </w:tcPr>
          <w:p w14:paraId="7F61C04F">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w:t>
            </w:r>
          </w:p>
        </w:tc>
      </w:tr>
      <w:tr w14:paraId="08BF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84" w:type="pct"/>
            <w:noWrap w:val="0"/>
            <w:vAlign w:val="top"/>
          </w:tcPr>
          <w:p w14:paraId="604C08A3">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384" w:type="pct"/>
            <w:noWrap w:val="0"/>
            <w:vAlign w:val="top"/>
          </w:tcPr>
          <w:p w14:paraId="66EE03BA">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887" w:type="pct"/>
            <w:noWrap w:val="0"/>
            <w:vAlign w:val="top"/>
          </w:tcPr>
          <w:p w14:paraId="6B0A6EC1">
            <w:pPr>
              <w:widowControl/>
              <w:spacing w:line="360" w:lineRule="auto"/>
              <w:jc w:val="center"/>
              <w:rPr>
                <w:rFonts w:hint="eastAsia" w:ascii="宋体" w:hAnsi="宋体" w:eastAsia="宋体" w:cs="宋体"/>
                <w:b w:val="0"/>
                <w:bCs w:val="0"/>
                <w:color w:val="auto"/>
                <w:sz w:val="24"/>
                <w:highlight w:val="none"/>
                <w:u w:val="none"/>
                <w:lang w:eastAsia="zh-CN"/>
              </w:rPr>
            </w:pPr>
            <w:r>
              <w:rPr>
                <w:rFonts w:hint="eastAsia" w:ascii="宋体" w:hAnsi="宋体" w:eastAsia="宋体" w:cs="宋体"/>
                <w:b w:val="0"/>
                <w:bCs w:val="0"/>
                <w:color w:val="auto"/>
                <w:sz w:val="24"/>
                <w:highlight w:val="none"/>
                <w:u w:val="none"/>
                <w:lang w:val="en-US" w:eastAsia="zh-CN"/>
              </w:rPr>
              <w:t>耳鼻咽喉科诊疗台(含内窥镜图像处理系统）</w:t>
            </w:r>
          </w:p>
        </w:tc>
        <w:tc>
          <w:tcPr>
            <w:tcW w:w="408" w:type="pct"/>
            <w:noWrap w:val="0"/>
            <w:vAlign w:val="top"/>
          </w:tcPr>
          <w:p w14:paraId="579DBAE2">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415" w:type="pct"/>
            <w:noWrap w:val="0"/>
            <w:vAlign w:val="top"/>
          </w:tcPr>
          <w:p w14:paraId="713218E5">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台</w:t>
            </w:r>
          </w:p>
        </w:tc>
        <w:tc>
          <w:tcPr>
            <w:tcW w:w="645" w:type="pct"/>
            <w:noWrap w:val="0"/>
            <w:vAlign w:val="top"/>
          </w:tcPr>
          <w:p w14:paraId="1BF8F5B0">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工业</w:t>
            </w:r>
          </w:p>
        </w:tc>
        <w:tc>
          <w:tcPr>
            <w:tcW w:w="626" w:type="pct"/>
            <w:noWrap w:val="0"/>
            <w:vAlign w:val="top"/>
          </w:tcPr>
          <w:p w14:paraId="2D61A36E">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626" w:type="pct"/>
            <w:noWrap w:val="0"/>
            <w:vAlign w:val="top"/>
          </w:tcPr>
          <w:p w14:paraId="348D6F5A">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40</w:t>
            </w:r>
          </w:p>
        </w:tc>
        <w:tc>
          <w:tcPr>
            <w:tcW w:w="621" w:type="pct"/>
            <w:noWrap w:val="0"/>
            <w:vAlign w:val="top"/>
          </w:tcPr>
          <w:p w14:paraId="13EF4CCC">
            <w:pPr>
              <w:widowControl/>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w:t>
            </w:r>
          </w:p>
        </w:tc>
      </w:tr>
    </w:tbl>
    <w:p w14:paraId="23E41DC7">
      <w:pPr>
        <w:spacing w:line="360" w:lineRule="auto"/>
        <w:ind w:firstLine="482" w:firstLineChars="200"/>
        <w:outlineLvl w:val="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三、</w:t>
      </w:r>
      <w:bookmarkEnd w:id="3"/>
      <w:r>
        <w:rPr>
          <w:rFonts w:hint="eastAsia" w:ascii="宋体" w:hAnsi="宋体" w:eastAsia="宋体" w:cs="宋体"/>
          <w:b/>
          <w:bCs/>
          <w:color w:val="auto"/>
          <w:sz w:val="24"/>
          <w:highlight w:val="none"/>
          <w:lang w:val="en-US" w:eastAsia="zh-CN"/>
        </w:rPr>
        <w:t>技术参数要求</w:t>
      </w:r>
    </w:p>
    <w:p w14:paraId="2D7387EE">
      <w:pPr>
        <w:pStyle w:val="2"/>
        <w:rPr>
          <w:rFonts w:hint="default"/>
          <w:color w:val="FF0000"/>
          <w:u w:val="none"/>
          <w:lang w:val="en-US" w:eastAsia="zh-CN"/>
        </w:rPr>
      </w:pPr>
      <w:r>
        <w:rPr>
          <w:rFonts w:hint="eastAsia" w:ascii="宋体" w:hAnsi="宋体" w:eastAsia="宋体" w:cs="宋体"/>
          <w:b/>
          <w:bCs/>
          <w:color w:val="auto"/>
          <w:sz w:val="24"/>
          <w:highlight w:val="yellow"/>
          <w:u w:val="none"/>
          <w:lang w:val="en-US" w:eastAsia="zh-CN"/>
        </w:rPr>
        <w:t>采购包1：</w:t>
      </w:r>
      <w:r>
        <w:rPr>
          <w:rFonts w:hint="eastAsia" w:ascii="宋体" w:hAnsi="宋体" w:eastAsia="宋体" w:cs="宋体"/>
          <w:b/>
          <w:bCs/>
          <w:color w:val="auto"/>
          <w:sz w:val="24"/>
          <w:highlight w:val="yellow"/>
          <w:u w:val="none"/>
          <w:lang w:eastAsia="zh-CN"/>
        </w:rPr>
        <w:t>鼻阻力仪</w:t>
      </w:r>
    </w:p>
    <w:p w14:paraId="4ED05F0E">
      <w:pPr>
        <w:pStyle w:val="10"/>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TW"/>
        </w:rPr>
        <w:t>1</w:t>
      </w:r>
      <w:r>
        <w:rPr>
          <w:rFonts w:hint="eastAsia" w:ascii="宋体" w:hAnsi="宋体" w:eastAsia="宋体" w:cs="宋体"/>
          <w:b/>
          <w:bCs/>
          <w:sz w:val="24"/>
          <w:szCs w:val="24"/>
          <w:lang w:val="zh-TW" w:eastAsia="zh-CN"/>
        </w:rPr>
        <w:t>.</w:t>
      </w:r>
      <w:r>
        <w:rPr>
          <w:rFonts w:hint="eastAsia" w:ascii="宋体" w:hAnsi="宋体" w:eastAsia="宋体" w:cs="宋体"/>
          <w:b/>
          <w:bCs/>
          <w:sz w:val="24"/>
          <w:szCs w:val="24"/>
          <w:lang w:val="zh-TW" w:eastAsia="zh-TW"/>
        </w:rPr>
        <w:t>技术</w:t>
      </w:r>
      <w:r>
        <w:rPr>
          <w:rFonts w:hint="eastAsia" w:ascii="宋体" w:hAnsi="宋体" w:eastAsia="宋体" w:cs="宋体"/>
          <w:b/>
          <w:bCs/>
          <w:sz w:val="24"/>
          <w:szCs w:val="24"/>
          <w:lang w:val="en-US" w:eastAsia="zh-CN"/>
        </w:rPr>
        <w:t>部分</w:t>
      </w:r>
      <w:r>
        <w:rPr>
          <w:rFonts w:hint="eastAsia" w:ascii="宋体" w:hAnsi="宋体" w:eastAsia="宋体" w:cs="宋体"/>
          <w:b/>
          <w:bCs/>
          <w:sz w:val="24"/>
          <w:szCs w:val="24"/>
          <w:lang w:val="zh-TW" w:eastAsia="zh-TW"/>
        </w:rPr>
        <w:t>：</w:t>
      </w:r>
    </w:p>
    <w:p w14:paraId="4AAFA0CB">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1.1</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压力测量及流量测量误差≤±3%。</w:t>
      </w:r>
    </w:p>
    <w:p w14:paraId="5D49C085">
      <w:pPr>
        <w:adjustRightInd w:val="0"/>
        <w:snapToGrid w:val="0"/>
        <w:spacing w:before="26" w:after="26" w:line="360" w:lineRule="auto"/>
        <w:rPr>
          <w:rFonts w:hint="eastAsia" w:ascii="宋体" w:hAnsi="宋体" w:eastAsia="宋体" w:cs="宋体"/>
          <w:bCs/>
          <w:sz w:val="24"/>
          <w:szCs w:val="24"/>
          <w:lang w:val="zh-TW" w:eastAsia="zh-CN"/>
        </w:rPr>
      </w:pPr>
      <w:r>
        <w:rPr>
          <w:rFonts w:hint="eastAsia" w:ascii="宋体" w:hAnsi="宋体" w:eastAsia="宋体" w:cs="宋体"/>
          <w:sz w:val="24"/>
          <w:szCs w:val="24"/>
          <w:lang w:eastAsia="zh-CN"/>
        </w:rPr>
        <w:t xml:space="preserve">   </w:t>
      </w:r>
      <w:r>
        <w:rPr>
          <w:rFonts w:hint="eastAsia" w:ascii="宋体" w:hAnsi="宋体" w:eastAsia="宋体" w:cs="宋体"/>
          <w:bCs/>
          <w:sz w:val="24"/>
          <w:szCs w:val="24"/>
          <w:lang w:eastAsia="zh-CN"/>
        </w:rPr>
        <w:t>1.2 压力测量范围0</w:t>
      </w:r>
      <w:r>
        <w:rPr>
          <w:rFonts w:ascii="Arial" w:hAnsi="Arial" w:eastAsia="Arial" w:cs="Arial"/>
          <w:i w:val="0"/>
          <w:iCs w:val="0"/>
          <w:caps w:val="0"/>
          <w:color w:val="333333"/>
          <w:spacing w:val="0"/>
          <w:sz w:val="24"/>
          <w:szCs w:val="24"/>
          <w:shd w:val="clear" w:color="auto" w:fill="FFFFFF"/>
        </w:rPr>
        <w:t>~</w:t>
      </w:r>
      <w:r>
        <w:rPr>
          <w:rFonts w:hint="eastAsia" w:ascii="宋体" w:hAnsi="宋体" w:eastAsia="宋体" w:cs="宋体"/>
          <w:bCs/>
          <w:sz w:val="24"/>
          <w:szCs w:val="24"/>
          <w:lang w:eastAsia="zh-CN"/>
        </w:rPr>
        <w:t>800Pa, 流量测量范围0</w:t>
      </w:r>
      <w:r>
        <w:rPr>
          <w:rFonts w:ascii="Arial" w:hAnsi="Arial" w:eastAsia="Arial" w:cs="Arial"/>
          <w:i w:val="0"/>
          <w:iCs w:val="0"/>
          <w:caps w:val="0"/>
          <w:color w:val="333333"/>
          <w:spacing w:val="0"/>
          <w:sz w:val="24"/>
          <w:szCs w:val="24"/>
          <w:shd w:val="clear" w:color="auto" w:fill="FFFFFF"/>
        </w:rPr>
        <w:t>~</w:t>
      </w:r>
      <w:r>
        <w:rPr>
          <w:rFonts w:hint="eastAsia" w:ascii="宋体" w:hAnsi="宋体" w:eastAsia="宋体" w:cs="宋体"/>
          <w:bCs/>
          <w:sz w:val="24"/>
          <w:szCs w:val="24"/>
          <w:lang w:eastAsia="zh-CN"/>
        </w:rPr>
        <w:t>800ml/s。</w:t>
      </w:r>
    </w:p>
    <w:p w14:paraId="07AA2A7D">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特定压力75Pa/100Pa/150Pa/300Pa下，鼻腔流量值及阻力值。</w:t>
      </w:r>
    </w:p>
    <w:p w14:paraId="689761DA">
      <w:pPr>
        <w:adjustRightInd w:val="0"/>
        <w:snapToGrid w:val="0"/>
        <w:spacing w:before="26" w:after="26" w:line="360" w:lineRule="auto"/>
        <w:rPr>
          <w:rFonts w:hint="eastAsia" w:ascii="宋体" w:hAnsi="宋体" w:eastAsia="宋体" w:cs="宋体"/>
          <w:bCs/>
          <w:sz w:val="24"/>
          <w:szCs w:val="24"/>
          <w:lang w:eastAsia="zh-CN"/>
        </w:rPr>
      </w:pPr>
      <w:r>
        <w:rPr>
          <w:rFonts w:hint="eastAsia" w:ascii="宋体" w:hAnsi="宋体" w:eastAsia="宋体" w:cs="宋体"/>
          <w:b/>
          <w:color w:val="auto"/>
          <w:kern w:val="0"/>
          <w:sz w:val="24"/>
          <w:szCs w:val="24"/>
          <w:lang w:eastAsia="zh-CN"/>
        </w:rPr>
        <w:t>▲</w:t>
      </w:r>
      <w:r>
        <w:rPr>
          <w:rFonts w:hint="eastAsia" w:ascii="宋体" w:hAnsi="宋体" w:eastAsia="宋体" w:cs="宋体"/>
          <w:sz w:val="24"/>
          <w:szCs w:val="24"/>
          <w:lang w:eastAsia="zh-CN"/>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连续压力（Broms）测试吸气阻力值和呼气阻力值。</w:t>
      </w:r>
    </w:p>
    <w:p w14:paraId="70591D3B">
      <w:pPr>
        <w:adjustRightInd w:val="0"/>
        <w:snapToGrid w:val="0"/>
        <w:spacing w:before="26" w:after="26" w:line="360" w:lineRule="auto"/>
        <w:ind w:firstLine="240" w:firstLineChars="100"/>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 xml:space="preserve">5 </w:t>
      </w:r>
      <w:r>
        <w:rPr>
          <w:rFonts w:hint="eastAsia" w:ascii="宋体" w:hAnsi="宋体" w:eastAsia="宋体" w:cs="宋体"/>
          <w:bCs/>
          <w:sz w:val="24"/>
          <w:szCs w:val="24"/>
          <w:lang w:eastAsia="zh-CN"/>
        </w:rPr>
        <w:t>4相位鼻阻力 左右鼻顶点阻力值。</w:t>
      </w:r>
    </w:p>
    <w:p w14:paraId="7256C0F8">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6</w:t>
      </w:r>
      <w:r>
        <w:rPr>
          <w:rFonts w:hint="eastAsia" w:ascii="宋体" w:hAnsi="宋体" w:eastAsia="宋体" w:cs="宋体"/>
          <w:bCs/>
          <w:sz w:val="24"/>
          <w:szCs w:val="24"/>
          <w:lang w:eastAsia="zh-CN"/>
        </w:rPr>
        <w:t xml:space="preserve"> 4相位鼻阻力 左右鼻有效阻力值。</w:t>
      </w:r>
    </w:p>
    <w:p w14:paraId="450771F8">
      <w:pPr>
        <w:adjustRightInd w:val="0"/>
        <w:snapToGrid w:val="0"/>
        <w:spacing w:before="26" w:after="26" w:line="360" w:lineRule="auto"/>
        <w:ind w:firstLine="240" w:firstLineChars="100"/>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 xml:space="preserve">7 </w:t>
      </w:r>
      <w:r>
        <w:rPr>
          <w:rFonts w:hint="eastAsia" w:ascii="宋体" w:hAnsi="宋体" w:eastAsia="宋体" w:cs="宋体"/>
          <w:bCs/>
          <w:sz w:val="24"/>
          <w:szCs w:val="24"/>
          <w:lang w:eastAsia="zh-CN"/>
        </w:rPr>
        <w:t>4相位鼻阻力 有效总阻力值。</w:t>
      </w:r>
    </w:p>
    <w:p w14:paraId="67704046">
      <w:pPr>
        <w:adjustRightInd w:val="0"/>
        <w:snapToGrid w:val="0"/>
        <w:spacing w:before="26" w:after="26" w:line="360" w:lineRule="auto"/>
        <w:ind w:firstLine="240" w:firstLineChars="100"/>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8</w:t>
      </w:r>
      <w:r>
        <w:rPr>
          <w:rFonts w:hint="eastAsia" w:ascii="宋体" w:hAnsi="宋体" w:eastAsia="宋体" w:cs="宋体"/>
          <w:bCs/>
          <w:sz w:val="24"/>
          <w:szCs w:val="24"/>
          <w:lang w:eastAsia="zh-CN"/>
        </w:rPr>
        <w:t xml:space="preserve">  Rohrer（罗雷尔）系数值（k1/k2值）。</w:t>
      </w:r>
    </w:p>
    <w:p w14:paraId="2FE05CD9">
      <w:pPr>
        <w:adjustRightInd w:val="0"/>
        <w:snapToGrid w:val="0"/>
        <w:spacing w:before="26" w:after="26" w:line="36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 xml:space="preserve"> 鼻阻力后端测试总阻力值。</w:t>
      </w:r>
    </w:p>
    <w:p w14:paraId="0AA04145">
      <w:pPr>
        <w:adjustRightInd w:val="0"/>
        <w:snapToGrid w:val="0"/>
        <w:spacing w:before="26" w:after="26"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1.10 鼻分配比率</w:t>
      </w:r>
      <w:r>
        <w:rPr>
          <w:rFonts w:hint="eastAsia" w:ascii="宋体" w:hAnsi="宋体" w:eastAsia="宋体" w:cs="宋体"/>
          <w:bCs/>
          <w:sz w:val="24"/>
          <w:szCs w:val="24"/>
        </w:rPr>
        <w:t>（鼻中隔偏率值）</w:t>
      </w:r>
      <w:r>
        <w:rPr>
          <w:rFonts w:hint="eastAsia" w:ascii="宋体" w:hAnsi="宋体" w:eastAsia="宋体" w:cs="宋体"/>
          <w:bCs/>
          <w:sz w:val="24"/>
          <w:szCs w:val="24"/>
          <w:lang w:eastAsia="zh-CN"/>
        </w:rPr>
        <w:t>。</w:t>
      </w:r>
    </w:p>
    <w:p w14:paraId="7A047E59">
      <w:pPr>
        <w:adjustRightInd w:val="0"/>
        <w:snapToGrid w:val="0"/>
        <w:spacing w:before="26" w:after="26"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1.11 </w:t>
      </w:r>
      <w:r>
        <w:rPr>
          <w:rFonts w:hint="eastAsia" w:ascii="宋体" w:hAnsi="宋体" w:eastAsia="宋体" w:cs="宋体"/>
          <w:bCs/>
          <w:sz w:val="24"/>
          <w:szCs w:val="24"/>
        </w:rPr>
        <w:t>左、右鼻腔呼吸总容量值（呼吸一次或者一定时间内均可）</w:t>
      </w:r>
      <w:r>
        <w:rPr>
          <w:rFonts w:hint="eastAsia" w:ascii="宋体" w:hAnsi="宋体" w:eastAsia="宋体" w:cs="宋体"/>
          <w:bCs/>
          <w:sz w:val="24"/>
          <w:szCs w:val="24"/>
          <w:lang w:eastAsia="zh-CN"/>
        </w:rPr>
        <w:t>。</w:t>
      </w:r>
    </w:p>
    <w:p w14:paraId="4FA18BB5">
      <w:pPr>
        <w:snapToGrid w:val="0"/>
        <w:spacing w:before="26" w:after="26" w:line="360" w:lineRule="auto"/>
        <w:ind w:firstLine="480" w:firstLineChars="200"/>
        <w:jc w:val="left"/>
        <w:rPr>
          <w:rFonts w:hint="eastAsia" w:ascii="宋体" w:hAnsi="宋体" w:eastAsia="宋体" w:cs="宋体"/>
          <w:bCs/>
          <w:sz w:val="24"/>
          <w:szCs w:val="24"/>
          <w:lang w:eastAsia="zh-CN"/>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12</w:t>
      </w:r>
      <w:r>
        <w:rPr>
          <w:rFonts w:hint="eastAsia" w:ascii="宋体" w:hAnsi="宋体" w:eastAsia="宋体" w:cs="宋体"/>
          <w:bCs/>
          <w:sz w:val="24"/>
          <w:szCs w:val="24"/>
        </w:rPr>
        <w:t xml:space="preserve"> 左右鼻腔鼻峰流速值</w:t>
      </w:r>
      <w:r>
        <w:rPr>
          <w:rFonts w:hint="eastAsia" w:ascii="宋体" w:hAnsi="宋体" w:eastAsia="宋体" w:cs="宋体"/>
          <w:bCs/>
          <w:sz w:val="24"/>
          <w:szCs w:val="24"/>
          <w:lang w:eastAsia="zh-CN"/>
        </w:rPr>
        <w:t>。</w:t>
      </w:r>
    </w:p>
    <w:p w14:paraId="421D694B">
      <w:pPr>
        <w:pStyle w:val="10"/>
        <w:numPr>
          <w:ilvl w:val="0"/>
          <w:numId w:val="0"/>
        </w:numPr>
        <w:spacing w:line="360" w:lineRule="auto"/>
        <w:jc w:val="lef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lang w:val="zh-TW" w:eastAsia="zh-TW"/>
        </w:rPr>
        <w:t>软件及其它功能</w:t>
      </w:r>
      <w:r>
        <w:rPr>
          <w:rFonts w:hint="eastAsia" w:ascii="宋体" w:hAnsi="宋体" w:eastAsia="宋体" w:cs="宋体"/>
          <w:b/>
          <w:bCs/>
          <w:sz w:val="24"/>
          <w:szCs w:val="24"/>
          <w:lang w:val="zh-TW" w:eastAsia="zh-CN"/>
        </w:rPr>
        <w:t>：</w:t>
      </w:r>
    </w:p>
    <w:p w14:paraId="5562678E">
      <w:pPr>
        <w:spacing w:line="360" w:lineRule="auto"/>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2.</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 xml:space="preserve"> 鼻阻力系统具有自动识别鼻阻塞程度级别（轻/中/重度）功能。</w:t>
      </w:r>
    </w:p>
    <w:p w14:paraId="62470AA7">
      <w:pPr>
        <w:spacing w:line="360" w:lineRule="auto"/>
        <w:ind w:left="239" w:leftChars="114"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 xml:space="preserve"> 鼻阻力可采用呼吸面罩进行诊断测试和采用橄榄头进行筛查检查。</w:t>
      </w:r>
    </w:p>
    <w:p w14:paraId="26F678E6">
      <w:pPr>
        <w:spacing w:line="360" w:lineRule="auto"/>
        <w:ind w:firstLine="240" w:firstLineChars="100"/>
        <w:rPr>
          <w:rFonts w:hint="eastAsia" w:ascii="宋体" w:hAnsi="宋体" w:eastAsia="宋体" w:cs="宋体"/>
          <w:sz w:val="24"/>
          <w:szCs w:val="24"/>
          <w:lang w:val="zh-TW"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zh-TW" w:eastAsia="zh-CN"/>
        </w:rPr>
        <w:t>2.</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lang w:val="zh-TW" w:eastAsia="zh-CN"/>
        </w:rPr>
        <w:t>鼻阻力测试鼻塞，胶布，橄榄头可选。</w:t>
      </w:r>
    </w:p>
    <w:p w14:paraId="22353F26">
      <w:pPr>
        <w:spacing w:line="360" w:lineRule="auto"/>
        <w:ind w:firstLine="482" w:firstLineChars="200"/>
        <w:rPr>
          <w:rFonts w:hint="eastAsia" w:ascii="宋体" w:hAnsi="宋体" w:eastAsia="宋体" w:cs="宋体"/>
          <w:color w:val="000000"/>
          <w:sz w:val="24"/>
          <w:szCs w:val="24"/>
          <w:lang w:eastAsia="zh-CN"/>
        </w:rPr>
      </w:pPr>
      <w:r>
        <w:rPr>
          <w:rFonts w:hint="eastAsia" w:ascii="宋体" w:hAnsi="宋体" w:eastAsia="宋体" w:cs="宋体"/>
          <w:b/>
          <w:color w:val="000000"/>
          <w:kern w:val="0"/>
          <w:sz w:val="24"/>
          <w:szCs w:val="24"/>
          <w:lang w:eastAsia="zh-CN"/>
        </w:rPr>
        <w:t>▲</w:t>
      </w: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val="en-US" w:eastAsia="zh-CN"/>
        </w:rPr>
        <w:t>具备</w:t>
      </w:r>
      <w:r>
        <w:rPr>
          <w:rFonts w:hint="eastAsia" w:ascii="宋体" w:hAnsi="宋体" w:eastAsia="宋体" w:cs="宋体"/>
          <w:color w:val="000000"/>
          <w:sz w:val="24"/>
          <w:szCs w:val="24"/>
          <w:lang w:eastAsia="zh-CN"/>
        </w:rPr>
        <w:t>“四象限鼻阻力”</w:t>
      </w:r>
      <w:r>
        <w:rPr>
          <w:rFonts w:hint="eastAsia" w:ascii="宋体" w:hAnsi="宋体" w:eastAsia="宋体" w:cs="宋体"/>
          <w:color w:val="000000"/>
          <w:sz w:val="24"/>
          <w:szCs w:val="24"/>
          <w:lang w:val="en-US" w:eastAsia="zh-CN"/>
        </w:rPr>
        <w:t>功能</w:t>
      </w:r>
      <w:r>
        <w:rPr>
          <w:rFonts w:hint="eastAsia" w:ascii="宋体" w:hAnsi="宋体" w:eastAsia="宋体" w:cs="宋体"/>
          <w:color w:val="000000"/>
          <w:sz w:val="24"/>
          <w:szCs w:val="24"/>
          <w:lang w:eastAsia="zh-CN"/>
        </w:rPr>
        <w:t>。</w:t>
      </w:r>
    </w:p>
    <w:p w14:paraId="3129A1E8">
      <w:pPr>
        <w:spacing w:line="360" w:lineRule="auto"/>
        <w:ind w:firstLine="482" w:firstLineChars="200"/>
        <w:rPr>
          <w:rFonts w:hint="eastAsia" w:ascii="宋体" w:hAnsi="宋体" w:eastAsia="宋体" w:cs="宋体"/>
          <w:color w:val="000000"/>
          <w:sz w:val="24"/>
          <w:szCs w:val="24"/>
          <w:lang w:eastAsia="zh-CN"/>
        </w:rPr>
      </w:pPr>
      <w:r>
        <w:rPr>
          <w:rFonts w:hint="eastAsia" w:ascii="宋体" w:hAnsi="宋体" w:eastAsia="宋体" w:cs="宋体"/>
          <w:b/>
          <w:color w:val="000000"/>
          <w:kern w:val="0"/>
          <w:sz w:val="24"/>
          <w:szCs w:val="24"/>
          <w:lang w:eastAsia="zh-CN"/>
        </w:rPr>
        <w:t>▲</w:t>
      </w:r>
      <w:r>
        <w:rPr>
          <w:rFonts w:hint="eastAsia" w:ascii="宋体" w:hAnsi="宋体" w:eastAsia="宋体" w:cs="宋体"/>
          <w:color w:val="000000"/>
          <w:sz w:val="24"/>
          <w:szCs w:val="24"/>
          <w:lang w:val="en-US" w:eastAsia="zh-CN"/>
        </w:rPr>
        <w:t>2.5 具备</w:t>
      </w:r>
      <w:r>
        <w:rPr>
          <w:rFonts w:hint="eastAsia" w:ascii="宋体" w:hAnsi="宋体" w:eastAsia="宋体" w:cs="宋体"/>
          <w:color w:val="000000"/>
          <w:sz w:val="24"/>
          <w:szCs w:val="24"/>
          <w:lang w:eastAsia="zh-CN"/>
        </w:rPr>
        <w:t>2010年 最新标准“4相位鼻阻力”</w:t>
      </w:r>
      <w:r>
        <w:rPr>
          <w:rFonts w:hint="eastAsia" w:ascii="宋体" w:hAnsi="宋体" w:eastAsia="宋体" w:cs="宋体"/>
          <w:color w:val="000000"/>
          <w:sz w:val="24"/>
          <w:szCs w:val="24"/>
          <w:lang w:val="en-US" w:eastAsia="zh-CN"/>
        </w:rPr>
        <w:t>功能</w:t>
      </w:r>
      <w:r>
        <w:rPr>
          <w:rFonts w:hint="eastAsia" w:ascii="宋体" w:hAnsi="宋体" w:eastAsia="宋体" w:cs="宋体"/>
          <w:color w:val="000000"/>
          <w:sz w:val="24"/>
          <w:szCs w:val="24"/>
          <w:lang w:eastAsia="zh-CN"/>
        </w:rPr>
        <w:t>。</w:t>
      </w:r>
    </w:p>
    <w:p w14:paraId="5ECD6AD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2.6</w:t>
      </w:r>
      <w:r>
        <w:rPr>
          <w:rFonts w:hint="eastAsia" w:ascii="宋体" w:hAnsi="宋体" w:eastAsia="宋体" w:cs="宋体"/>
          <w:color w:val="000000"/>
          <w:sz w:val="24"/>
          <w:szCs w:val="24"/>
          <w:lang w:eastAsia="zh-CN"/>
        </w:rPr>
        <w:t>鼻阻力具有两种方法：前端测量</w:t>
      </w:r>
      <w:r>
        <w:rPr>
          <w:rFonts w:hint="eastAsia" w:ascii="宋体" w:hAnsi="宋体" w:eastAsia="宋体" w:cs="宋体"/>
          <w:color w:val="000000"/>
          <w:sz w:val="24"/>
          <w:szCs w:val="24"/>
          <w:lang w:val="en-US" w:eastAsia="zh-CN"/>
        </w:rPr>
        <w:t>和</w:t>
      </w:r>
      <w:r>
        <w:rPr>
          <w:rFonts w:hint="eastAsia" w:ascii="宋体" w:hAnsi="宋体" w:eastAsia="宋体" w:cs="宋体"/>
          <w:color w:val="000000"/>
          <w:sz w:val="24"/>
          <w:szCs w:val="24"/>
          <w:lang w:eastAsia="zh-CN"/>
        </w:rPr>
        <w:t>后端测量。</w:t>
      </w:r>
    </w:p>
    <w:p w14:paraId="2BF1BE43">
      <w:pPr>
        <w:spacing w:line="360" w:lineRule="auto"/>
        <w:ind w:left="239" w:leftChars="114"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具有两种检测技术检测鼻阻力：特定压力75/100/150/300Pa检测法</w:t>
      </w:r>
      <w:r>
        <w:rPr>
          <w:rFonts w:hint="eastAsia" w:ascii="宋体" w:hAnsi="宋体" w:eastAsia="宋体" w:cs="宋体"/>
          <w:sz w:val="24"/>
          <w:szCs w:val="24"/>
          <w:lang w:val="en-US" w:eastAsia="zh-CN"/>
        </w:rPr>
        <w:t>和</w:t>
      </w:r>
      <w:r>
        <w:rPr>
          <w:rFonts w:hint="eastAsia" w:ascii="宋体" w:hAnsi="宋体" w:eastAsia="宋体" w:cs="宋体"/>
          <w:sz w:val="24"/>
          <w:szCs w:val="24"/>
          <w:lang w:eastAsia="zh-CN"/>
        </w:rPr>
        <w:t>连续压力Broms检测法。</w:t>
      </w:r>
    </w:p>
    <w:p w14:paraId="60774CEC">
      <w:pPr>
        <w:spacing w:line="360" w:lineRule="auto"/>
        <w:ind w:left="4035" w:leftChars="150" w:hanging="3720" w:hangingChars="1550"/>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具</w:t>
      </w:r>
      <w:r>
        <w:rPr>
          <w:rFonts w:hint="eastAsia" w:ascii="宋体" w:hAnsi="宋体" w:eastAsia="宋体" w:cs="宋体"/>
          <w:sz w:val="24"/>
          <w:szCs w:val="24"/>
          <w:lang w:val="en-US" w:eastAsia="zh-CN"/>
        </w:rPr>
        <w:t>备</w:t>
      </w:r>
      <w:r>
        <w:rPr>
          <w:rFonts w:hint="eastAsia" w:ascii="宋体" w:hAnsi="宋体" w:eastAsia="宋体" w:cs="宋体"/>
          <w:sz w:val="24"/>
          <w:szCs w:val="24"/>
          <w:lang w:eastAsia="zh-CN"/>
        </w:rPr>
        <w:t>批</w:t>
      </w:r>
      <w:r>
        <w:rPr>
          <w:rFonts w:hint="eastAsia" w:ascii="宋体" w:hAnsi="宋体" w:eastAsia="宋体" w:cs="宋体"/>
          <w:sz w:val="24"/>
          <w:szCs w:val="24"/>
          <w:lang w:val="en-US" w:eastAsia="zh-CN"/>
        </w:rPr>
        <w:t>量</w:t>
      </w:r>
      <w:r>
        <w:rPr>
          <w:rFonts w:hint="eastAsia" w:ascii="宋体" w:hAnsi="宋体" w:eastAsia="宋体" w:cs="宋体"/>
          <w:sz w:val="24"/>
          <w:szCs w:val="24"/>
          <w:lang w:eastAsia="zh-CN"/>
        </w:rPr>
        <w:t>处理功能</w:t>
      </w:r>
      <w:r>
        <w:rPr>
          <w:rFonts w:hint="eastAsia" w:eastAsia="宋体"/>
          <w:lang w:val="en-US" w:eastAsia="zh-CN"/>
        </w:rPr>
        <w:t xml:space="preserve"> </w:t>
      </w:r>
      <w:r>
        <w:rPr>
          <w:rFonts w:hint="eastAsia" w:ascii="宋体" w:hAnsi="宋体" w:eastAsia="宋体" w:cs="宋体"/>
          <w:sz w:val="24"/>
          <w:szCs w:val="24"/>
          <w:lang w:eastAsia="zh-CN"/>
        </w:rPr>
        <w:t>。</w:t>
      </w:r>
    </w:p>
    <w:p w14:paraId="5A0EF6F8">
      <w:pPr>
        <w:spacing w:line="360" w:lineRule="auto"/>
        <w:ind w:left="4035" w:leftChars="150" w:hanging="3720" w:hangingChars="1550"/>
        <w:rPr>
          <w:rFonts w:hint="eastAsia" w:ascii="宋体" w:hAnsi="宋体" w:eastAsia="宋体" w:cs="宋体"/>
          <w:sz w:val="24"/>
          <w:szCs w:val="24"/>
          <w:lang w:val="zh-TW"/>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数据输出共享功能，</w:t>
      </w:r>
      <w:r>
        <w:rPr>
          <w:rFonts w:hint="eastAsia" w:ascii="宋体" w:hAnsi="宋体" w:eastAsia="宋体" w:cs="宋体"/>
          <w:sz w:val="24"/>
          <w:szCs w:val="24"/>
          <w:lang w:val="en-US" w:eastAsia="zh-CN"/>
        </w:rPr>
        <w:t>至少</w:t>
      </w:r>
      <w:r>
        <w:rPr>
          <w:rFonts w:hint="eastAsia" w:ascii="宋体" w:hAnsi="宋体" w:eastAsia="宋体" w:cs="宋体"/>
          <w:sz w:val="24"/>
          <w:szCs w:val="24"/>
          <w:lang w:eastAsia="zh-CN"/>
        </w:rPr>
        <w:t>可供Word、Excel等其它软件直接统计及分析。</w:t>
      </w:r>
    </w:p>
    <w:p w14:paraId="109375CC">
      <w:pPr>
        <w:ind w:left="-178" w:leftChars="-85" w:right="-260" w:rightChars="-124" w:firstLine="723" w:firstLineChars="300"/>
        <w:jc w:val="both"/>
        <w:rPr>
          <w:rFonts w:hint="eastAsia" w:ascii="宋体" w:hAnsi="宋体" w:eastAsia="宋体" w:cs="宋体"/>
          <w:b/>
          <w:sz w:val="24"/>
          <w:szCs w:val="24"/>
        </w:rPr>
      </w:pPr>
      <w:r>
        <w:rPr>
          <w:rFonts w:hint="eastAsia" w:ascii="宋体" w:hAnsi="宋体" w:eastAsia="宋体" w:cs="宋体"/>
          <w:b/>
          <w:bCs/>
          <w:color w:val="auto"/>
          <w:sz w:val="24"/>
        </w:rPr>
        <w:t>★</w:t>
      </w:r>
      <w:r>
        <w:rPr>
          <w:rFonts w:hint="eastAsia" w:ascii="宋体" w:hAnsi="宋体" w:eastAsia="宋体" w:cs="宋体"/>
          <w:sz w:val="24"/>
          <w:szCs w:val="24"/>
          <w:lang w:val="en-US" w:eastAsia="zh-CN"/>
        </w:rPr>
        <w:t>3.</w:t>
      </w:r>
      <w:r>
        <w:rPr>
          <w:rFonts w:hint="eastAsia" w:ascii="宋体" w:hAnsi="宋体" w:eastAsia="宋体" w:cs="宋体"/>
          <w:sz w:val="24"/>
          <w:szCs w:val="24"/>
          <w:lang w:val="zh-TW"/>
        </w:rPr>
        <w:t xml:space="preserve"> </w:t>
      </w:r>
      <w:r>
        <w:rPr>
          <w:rFonts w:hint="eastAsia" w:ascii="宋体" w:hAnsi="宋体" w:eastAsia="宋体" w:cs="宋体"/>
          <w:b/>
          <w:sz w:val="24"/>
          <w:szCs w:val="24"/>
        </w:rPr>
        <w:t>配置清单</w:t>
      </w:r>
      <w:r>
        <w:rPr>
          <w:rFonts w:hint="eastAsia" w:ascii="宋体" w:hAnsi="宋体" w:eastAsia="宋体" w:cs="宋体"/>
          <w:b/>
          <w:sz w:val="24"/>
          <w:szCs w:val="24"/>
        </w:rPr>
        <w:tab/>
      </w:r>
      <w:r>
        <w:rPr>
          <w:rFonts w:hint="eastAsia" w:ascii="宋体" w:hAnsi="宋体" w:eastAsia="宋体" w:cs="宋体"/>
          <w:b/>
          <w:sz w:val="24"/>
          <w:szCs w:val="24"/>
          <w:lang w:eastAsia="zh-CN"/>
        </w:rPr>
        <w:t>：</w:t>
      </w:r>
      <w:r>
        <w:rPr>
          <w:rFonts w:hint="eastAsia" w:ascii="宋体" w:hAnsi="宋体" w:eastAsia="宋体" w:cs="宋体"/>
          <w:b/>
          <w:sz w:val="24"/>
          <w:szCs w:val="24"/>
        </w:rPr>
        <w:t xml:space="preserve">                            </w:t>
      </w:r>
    </w:p>
    <w:tbl>
      <w:tblPr>
        <w:tblStyle w:val="8"/>
        <w:tblW w:w="7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4110"/>
        <w:gridCol w:w="1995"/>
      </w:tblGrid>
      <w:tr w14:paraId="309B9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096" w:type="dxa"/>
            <w:tcBorders>
              <w:bottom w:val="single" w:color="auto" w:sz="4" w:space="0"/>
            </w:tcBorders>
            <w:noWrap w:val="0"/>
            <w:vAlign w:val="top"/>
          </w:tcPr>
          <w:p w14:paraId="3EB0D7C8">
            <w:pPr>
              <w:ind w:left="-178" w:leftChars="-85" w:right="-260" w:rightChars="-124" w:firstLine="448" w:firstLineChars="18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编号</w:t>
            </w:r>
          </w:p>
        </w:tc>
        <w:tc>
          <w:tcPr>
            <w:tcW w:w="4110" w:type="dxa"/>
            <w:tcBorders>
              <w:bottom w:val="single" w:color="auto" w:sz="4" w:space="0"/>
            </w:tcBorders>
            <w:noWrap w:val="0"/>
            <w:vAlign w:val="top"/>
          </w:tcPr>
          <w:p w14:paraId="5C524C4D">
            <w:pPr>
              <w:ind w:left="71" w:leftChars="34" w:right="-260" w:rightChars="-124" w:firstLine="1200" w:firstLineChars="5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配件名称</w:t>
            </w:r>
          </w:p>
        </w:tc>
        <w:tc>
          <w:tcPr>
            <w:tcW w:w="1995" w:type="dxa"/>
            <w:tcBorders>
              <w:bottom w:val="single" w:color="auto" w:sz="4" w:space="0"/>
            </w:tcBorders>
            <w:noWrap w:val="0"/>
            <w:vAlign w:val="top"/>
          </w:tcPr>
          <w:p w14:paraId="59696C0A">
            <w:pPr>
              <w:ind w:left="-178" w:leftChars="-85" w:right="-260" w:rightChars="-1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tc>
      </w:tr>
      <w:tr w14:paraId="2384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096" w:type="dxa"/>
            <w:tcBorders>
              <w:bottom w:val="single" w:color="auto" w:sz="4" w:space="0"/>
            </w:tcBorders>
            <w:noWrap w:val="0"/>
            <w:vAlign w:val="top"/>
          </w:tcPr>
          <w:p w14:paraId="2872ED11">
            <w:pPr>
              <w:ind w:left="-178" w:leftChars="-85" w:right="-260" w:rightChars="-124" w:firstLine="448" w:firstLineChars="187"/>
              <w:rPr>
                <w:rFonts w:hint="eastAsia" w:ascii="宋体" w:hAnsi="宋体" w:eastAsia="宋体" w:cs="宋体"/>
                <w:sz w:val="24"/>
                <w:szCs w:val="24"/>
              </w:rPr>
            </w:pPr>
            <w:r>
              <w:rPr>
                <w:rFonts w:hint="eastAsia" w:ascii="宋体" w:hAnsi="宋体" w:eastAsia="宋体" w:cs="宋体"/>
                <w:sz w:val="24"/>
                <w:szCs w:val="24"/>
              </w:rPr>
              <w:t>1</w:t>
            </w:r>
          </w:p>
        </w:tc>
        <w:tc>
          <w:tcPr>
            <w:tcW w:w="4110" w:type="dxa"/>
            <w:tcBorders>
              <w:bottom w:val="single" w:color="auto" w:sz="4" w:space="0"/>
            </w:tcBorders>
            <w:noWrap w:val="0"/>
            <w:vAlign w:val="top"/>
          </w:tcPr>
          <w:p w14:paraId="5D79C905">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鼻阻力仪主机</w:t>
            </w:r>
          </w:p>
          <w:p w14:paraId="2F3BDBE9">
            <w:pPr>
              <w:ind w:left="71" w:leftChars="34" w:right="-260" w:rightChars="-124"/>
              <w:rPr>
                <w:rFonts w:hint="eastAsia" w:ascii="宋体" w:hAnsi="宋体" w:eastAsia="宋体" w:cs="宋体"/>
                <w:sz w:val="24"/>
                <w:szCs w:val="24"/>
              </w:rPr>
            </w:pPr>
          </w:p>
        </w:tc>
        <w:tc>
          <w:tcPr>
            <w:tcW w:w="1995" w:type="dxa"/>
            <w:tcBorders>
              <w:bottom w:val="single" w:color="auto" w:sz="4" w:space="0"/>
            </w:tcBorders>
            <w:noWrap w:val="0"/>
            <w:vAlign w:val="top"/>
          </w:tcPr>
          <w:p w14:paraId="67ACFE92">
            <w:pPr>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1台</w:t>
            </w:r>
          </w:p>
        </w:tc>
      </w:tr>
      <w:tr w14:paraId="256A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Borders>
              <w:bottom w:val="single" w:color="auto" w:sz="4" w:space="0"/>
            </w:tcBorders>
            <w:shd w:val="clear" w:color="auto" w:fill="FFFFFF"/>
            <w:noWrap w:val="0"/>
            <w:vAlign w:val="top"/>
          </w:tcPr>
          <w:p w14:paraId="0DF3C631">
            <w:pPr>
              <w:ind w:left="-178" w:leftChars="-85" w:right="-260" w:rightChars="-124" w:firstLine="331" w:firstLineChars="138"/>
              <w:rPr>
                <w:rFonts w:hint="eastAsia" w:ascii="宋体" w:hAnsi="宋体" w:eastAsia="宋体" w:cs="宋体"/>
                <w:sz w:val="24"/>
                <w:szCs w:val="24"/>
              </w:rPr>
            </w:pPr>
            <w:r>
              <w:rPr>
                <w:rFonts w:hint="eastAsia" w:ascii="宋体" w:hAnsi="宋体" w:eastAsia="宋体" w:cs="宋体"/>
                <w:sz w:val="24"/>
                <w:szCs w:val="24"/>
              </w:rPr>
              <w:t>2</w:t>
            </w:r>
          </w:p>
        </w:tc>
        <w:tc>
          <w:tcPr>
            <w:tcW w:w="4110" w:type="dxa"/>
            <w:tcBorders>
              <w:bottom w:val="single" w:color="auto" w:sz="4" w:space="0"/>
            </w:tcBorders>
            <w:shd w:val="clear" w:color="auto" w:fill="FFFFFF"/>
            <w:noWrap w:val="0"/>
            <w:vAlign w:val="top"/>
          </w:tcPr>
          <w:p w14:paraId="2AB3CFFE">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USB信号采集分析线</w:t>
            </w:r>
          </w:p>
          <w:p w14:paraId="790BC119">
            <w:pPr>
              <w:ind w:left="71" w:leftChars="34" w:right="-260" w:rightChars="-124"/>
              <w:rPr>
                <w:rFonts w:hint="eastAsia" w:ascii="宋体" w:hAnsi="宋体" w:eastAsia="宋体" w:cs="宋体"/>
                <w:sz w:val="24"/>
                <w:szCs w:val="24"/>
              </w:rPr>
            </w:pPr>
          </w:p>
        </w:tc>
        <w:tc>
          <w:tcPr>
            <w:tcW w:w="1995" w:type="dxa"/>
            <w:tcBorders>
              <w:bottom w:val="single" w:color="auto" w:sz="4" w:space="0"/>
            </w:tcBorders>
            <w:shd w:val="clear" w:color="auto" w:fill="FFFFFF"/>
            <w:noWrap w:val="0"/>
            <w:vAlign w:val="top"/>
          </w:tcPr>
          <w:p w14:paraId="4E3ED77F">
            <w:pPr>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1条</w:t>
            </w:r>
          </w:p>
        </w:tc>
      </w:tr>
      <w:tr w14:paraId="4AFC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Borders>
              <w:bottom w:val="single" w:color="auto" w:sz="4" w:space="0"/>
            </w:tcBorders>
            <w:shd w:val="clear" w:color="auto" w:fill="FFFFFF"/>
            <w:noWrap w:val="0"/>
            <w:vAlign w:val="top"/>
          </w:tcPr>
          <w:p w14:paraId="2FF83DDB">
            <w:pPr>
              <w:ind w:left="-178" w:leftChars="-85" w:right="-260" w:rightChars="-124" w:firstLine="331" w:firstLineChars="138"/>
              <w:rPr>
                <w:rFonts w:hint="eastAsia" w:ascii="宋体" w:hAnsi="宋体" w:eastAsia="宋体" w:cs="宋体"/>
                <w:sz w:val="24"/>
                <w:szCs w:val="24"/>
              </w:rPr>
            </w:pPr>
            <w:r>
              <w:rPr>
                <w:rFonts w:hint="eastAsia" w:ascii="宋体" w:hAnsi="宋体" w:eastAsia="宋体" w:cs="宋体"/>
                <w:sz w:val="24"/>
                <w:szCs w:val="24"/>
              </w:rPr>
              <w:t>3</w:t>
            </w:r>
          </w:p>
        </w:tc>
        <w:tc>
          <w:tcPr>
            <w:tcW w:w="4110" w:type="dxa"/>
            <w:tcBorders>
              <w:bottom w:val="single" w:color="auto" w:sz="4" w:space="0"/>
            </w:tcBorders>
            <w:shd w:val="clear" w:color="auto" w:fill="FFFFFF"/>
            <w:noWrap w:val="0"/>
            <w:vAlign w:val="top"/>
          </w:tcPr>
          <w:p w14:paraId="030B765D">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 xml:space="preserve">压差测量管 </w:t>
            </w:r>
          </w:p>
          <w:p w14:paraId="0FB208C6">
            <w:pPr>
              <w:ind w:left="71" w:leftChars="34" w:right="-260" w:rightChars="-124"/>
              <w:rPr>
                <w:rFonts w:hint="eastAsia" w:ascii="宋体" w:hAnsi="宋体" w:eastAsia="宋体" w:cs="宋体"/>
                <w:sz w:val="24"/>
                <w:szCs w:val="24"/>
              </w:rPr>
            </w:pPr>
          </w:p>
        </w:tc>
        <w:tc>
          <w:tcPr>
            <w:tcW w:w="1995" w:type="dxa"/>
            <w:tcBorders>
              <w:bottom w:val="single" w:color="auto" w:sz="4" w:space="0"/>
            </w:tcBorders>
            <w:shd w:val="clear" w:color="auto" w:fill="FFFFFF"/>
            <w:noWrap w:val="0"/>
            <w:vAlign w:val="top"/>
          </w:tcPr>
          <w:p w14:paraId="07147C84">
            <w:pPr>
              <w:tabs>
                <w:tab w:val="center" w:pos="522"/>
                <w:tab w:val="right" w:pos="1044"/>
              </w:tabs>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1条</w:t>
            </w:r>
          </w:p>
        </w:tc>
      </w:tr>
      <w:tr w14:paraId="2A41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Borders>
              <w:bottom w:val="single" w:color="auto" w:sz="4" w:space="0"/>
            </w:tcBorders>
            <w:shd w:val="clear" w:color="auto" w:fill="FFFFFF"/>
            <w:noWrap w:val="0"/>
            <w:vAlign w:val="top"/>
          </w:tcPr>
          <w:p w14:paraId="3D0A04BB">
            <w:pPr>
              <w:ind w:left="-178" w:leftChars="-85" w:right="-260" w:rightChars="-124" w:firstLine="331" w:firstLineChars="138"/>
              <w:rPr>
                <w:rFonts w:hint="eastAsia" w:ascii="宋体" w:hAnsi="宋体" w:eastAsia="宋体" w:cs="宋体"/>
                <w:sz w:val="24"/>
                <w:szCs w:val="24"/>
              </w:rPr>
            </w:pPr>
            <w:r>
              <w:rPr>
                <w:rFonts w:hint="eastAsia" w:ascii="宋体" w:hAnsi="宋体" w:eastAsia="宋体" w:cs="宋体"/>
                <w:sz w:val="24"/>
                <w:szCs w:val="24"/>
              </w:rPr>
              <w:t>4</w:t>
            </w:r>
          </w:p>
        </w:tc>
        <w:tc>
          <w:tcPr>
            <w:tcW w:w="4110" w:type="dxa"/>
            <w:tcBorders>
              <w:bottom w:val="single" w:color="auto" w:sz="4" w:space="0"/>
            </w:tcBorders>
            <w:shd w:val="clear" w:color="auto" w:fill="FFFFFF"/>
            <w:noWrap w:val="0"/>
            <w:vAlign w:val="top"/>
          </w:tcPr>
          <w:p w14:paraId="6F413E57">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三头流量连接器</w:t>
            </w:r>
          </w:p>
          <w:p w14:paraId="6D60DC1F">
            <w:pPr>
              <w:ind w:left="71" w:leftChars="34" w:right="-260" w:rightChars="-124"/>
              <w:rPr>
                <w:rFonts w:hint="eastAsia" w:ascii="宋体" w:hAnsi="宋体" w:eastAsia="宋体" w:cs="宋体"/>
                <w:sz w:val="24"/>
                <w:szCs w:val="24"/>
              </w:rPr>
            </w:pPr>
          </w:p>
        </w:tc>
        <w:tc>
          <w:tcPr>
            <w:tcW w:w="1995" w:type="dxa"/>
            <w:tcBorders>
              <w:bottom w:val="single" w:color="auto" w:sz="4" w:space="0"/>
            </w:tcBorders>
            <w:shd w:val="clear" w:color="auto" w:fill="FFFFFF"/>
            <w:noWrap w:val="0"/>
            <w:vAlign w:val="top"/>
          </w:tcPr>
          <w:p w14:paraId="776610B6">
            <w:pPr>
              <w:tabs>
                <w:tab w:val="center" w:pos="522"/>
                <w:tab w:val="right" w:pos="1044"/>
              </w:tabs>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1套</w:t>
            </w:r>
          </w:p>
        </w:tc>
      </w:tr>
      <w:tr w14:paraId="6788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Borders>
              <w:bottom w:val="single" w:color="auto" w:sz="4" w:space="0"/>
            </w:tcBorders>
            <w:shd w:val="clear" w:color="auto" w:fill="FFFFFF"/>
            <w:noWrap w:val="0"/>
            <w:vAlign w:val="top"/>
          </w:tcPr>
          <w:p w14:paraId="3EA66F2E">
            <w:pPr>
              <w:ind w:left="-178" w:leftChars="-85" w:right="-260" w:rightChars="-124" w:firstLine="331" w:firstLineChars="138"/>
              <w:rPr>
                <w:rFonts w:hint="eastAsia" w:ascii="宋体" w:hAnsi="宋体" w:eastAsia="宋体" w:cs="宋体"/>
                <w:sz w:val="24"/>
                <w:szCs w:val="24"/>
              </w:rPr>
            </w:pPr>
            <w:r>
              <w:rPr>
                <w:rFonts w:hint="eastAsia" w:ascii="宋体" w:hAnsi="宋体" w:eastAsia="宋体" w:cs="宋体"/>
                <w:sz w:val="24"/>
                <w:szCs w:val="24"/>
              </w:rPr>
              <w:t>5</w:t>
            </w:r>
          </w:p>
        </w:tc>
        <w:tc>
          <w:tcPr>
            <w:tcW w:w="4110" w:type="dxa"/>
            <w:tcBorders>
              <w:bottom w:val="single" w:color="auto" w:sz="4" w:space="0"/>
            </w:tcBorders>
            <w:shd w:val="clear" w:color="auto" w:fill="FFFFFF"/>
            <w:noWrap w:val="0"/>
            <w:vAlign w:val="top"/>
          </w:tcPr>
          <w:p w14:paraId="7C3734FD">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橄榄头测试套件</w:t>
            </w:r>
          </w:p>
          <w:p w14:paraId="37CE55DE">
            <w:pPr>
              <w:ind w:left="71" w:leftChars="34" w:right="-260" w:rightChars="-124"/>
              <w:rPr>
                <w:rFonts w:hint="eastAsia" w:ascii="宋体" w:hAnsi="宋体" w:eastAsia="宋体" w:cs="宋体"/>
                <w:sz w:val="24"/>
                <w:szCs w:val="24"/>
              </w:rPr>
            </w:pPr>
          </w:p>
        </w:tc>
        <w:tc>
          <w:tcPr>
            <w:tcW w:w="1995" w:type="dxa"/>
            <w:tcBorders>
              <w:bottom w:val="single" w:color="auto" w:sz="4" w:space="0"/>
            </w:tcBorders>
            <w:shd w:val="clear" w:color="auto" w:fill="FFFFFF"/>
            <w:noWrap w:val="0"/>
            <w:vAlign w:val="top"/>
          </w:tcPr>
          <w:p w14:paraId="1F700F00">
            <w:pPr>
              <w:tabs>
                <w:tab w:val="center" w:pos="522"/>
                <w:tab w:val="right" w:pos="1044"/>
              </w:tabs>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1套</w:t>
            </w:r>
          </w:p>
        </w:tc>
      </w:tr>
      <w:tr w14:paraId="2DD3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shd w:val="clear" w:color="auto" w:fill="FFFFFF"/>
            <w:noWrap w:val="0"/>
            <w:vAlign w:val="top"/>
          </w:tcPr>
          <w:p w14:paraId="3EC4794A">
            <w:pPr>
              <w:ind w:left="-178" w:leftChars="-85" w:right="-260" w:rightChars="-124" w:firstLine="331" w:firstLineChars="138"/>
              <w:rPr>
                <w:rFonts w:hint="eastAsia" w:ascii="宋体" w:hAnsi="宋体" w:eastAsia="宋体" w:cs="宋体"/>
                <w:sz w:val="24"/>
                <w:szCs w:val="24"/>
              </w:rPr>
            </w:pPr>
            <w:r>
              <w:rPr>
                <w:rFonts w:hint="eastAsia" w:ascii="宋体" w:hAnsi="宋体" w:eastAsia="宋体" w:cs="宋体"/>
                <w:sz w:val="24"/>
                <w:szCs w:val="24"/>
              </w:rPr>
              <w:t>6</w:t>
            </w:r>
          </w:p>
        </w:tc>
        <w:tc>
          <w:tcPr>
            <w:tcW w:w="4110" w:type="dxa"/>
            <w:shd w:val="clear" w:color="auto" w:fill="FFFFFF"/>
            <w:noWrap w:val="0"/>
            <w:vAlign w:val="top"/>
          </w:tcPr>
          <w:p w14:paraId="766970CC">
            <w:pPr>
              <w:ind w:left="71" w:leftChars="34" w:right="-260" w:rightChars="-124"/>
              <w:rPr>
                <w:rFonts w:hint="eastAsia" w:ascii="宋体" w:hAnsi="宋体" w:eastAsia="宋体" w:cs="宋体"/>
                <w:sz w:val="24"/>
                <w:szCs w:val="24"/>
              </w:rPr>
            </w:pPr>
            <w:r>
              <w:rPr>
                <w:rFonts w:hint="eastAsia" w:ascii="宋体" w:hAnsi="宋体" w:eastAsia="宋体" w:cs="宋体"/>
                <w:sz w:val="24"/>
                <w:szCs w:val="24"/>
              </w:rPr>
              <w:t>鼻阻力仪测试软件</w:t>
            </w:r>
          </w:p>
          <w:p w14:paraId="13E38178">
            <w:pPr>
              <w:ind w:left="71" w:leftChars="34" w:right="-260" w:rightChars="-124"/>
              <w:rPr>
                <w:rFonts w:hint="eastAsia" w:ascii="宋体" w:hAnsi="宋体" w:eastAsia="宋体" w:cs="宋体"/>
                <w:sz w:val="24"/>
                <w:szCs w:val="24"/>
              </w:rPr>
            </w:pPr>
          </w:p>
        </w:tc>
        <w:tc>
          <w:tcPr>
            <w:tcW w:w="1995" w:type="dxa"/>
            <w:shd w:val="clear" w:color="auto" w:fill="FFFFFF"/>
            <w:noWrap w:val="0"/>
            <w:vAlign w:val="top"/>
          </w:tcPr>
          <w:p w14:paraId="0D5AF8FD">
            <w:pPr>
              <w:ind w:left="-178" w:leftChars="-85" w:right="-260" w:rightChars="-124"/>
              <w:jc w:val="center"/>
              <w:rPr>
                <w:rFonts w:hint="eastAsia" w:ascii="宋体" w:hAnsi="宋体" w:eastAsia="宋体" w:cs="宋体"/>
                <w:sz w:val="24"/>
                <w:szCs w:val="24"/>
              </w:rPr>
            </w:pPr>
            <w:r>
              <w:rPr>
                <w:rFonts w:hint="eastAsia" w:ascii="宋体" w:hAnsi="宋体" w:eastAsia="宋体" w:cs="宋体"/>
                <w:sz w:val="24"/>
                <w:szCs w:val="24"/>
              </w:rPr>
              <w:t>1套</w:t>
            </w:r>
          </w:p>
        </w:tc>
      </w:tr>
      <w:tr w14:paraId="44B9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96" w:type="dxa"/>
            <w:tcBorders>
              <w:bottom w:val="single" w:color="auto" w:sz="4" w:space="0"/>
            </w:tcBorders>
            <w:shd w:val="clear" w:color="auto" w:fill="FFFFFF"/>
            <w:noWrap w:val="0"/>
            <w:vAlign w:val="top"/>
          </w:tcPr>
          <w:p w14:paraId="6C70021E">
            <w:pPr>
              <w:ind w:left="-178" w:leftChars="-85" w:right="-260" w:rightChars="-124" w:firstLine="331" w:firstLineChars="13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4110" w:type="dxa"/>
            <w:tcBorders>
              <w:bottom w:val="single" w:color="auto" w:sz="4" w:space="0"/>
            </w:tcBorders>
            <w:shd w:val="clear" w:color="auto" w:fill="FFFFFF"/>
            <w:noWrap w:val="0"/>
            <w:vAlign w:val="top"/>
          </w:tcPr>
          <w:p w14:paraId="0A85AD0F">
            <w:pPr>
              <w:ind w:left="71" w:leftChars="34" w:right="-260" w:rightChars="-12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鼻塞</w:t>
            </w:r>
          </w:p>
        </w:tc>
        <w:tc>
          <w:tcPr>
            <w:tcW w:w="1995" w:type="dxa"/>
            <w:tcBorders>
              <w:bottom w:val="single" w:color="auto" w:sz="4" w:space="0"/>
            </w:tcBorders>
            <w:shd w:val="clear" w:color="auto" w:fill="FFFFFF"/>
            <w:noWrap w:val="0"/>
            <w:vAlign w:val="top"/>
          </w:tcPr>
          <w:p w14:paraId="089F2D63">
            <w:pPr>
              <w:ind w:left="-178" w:leftChars="-85" w:right="-260" w:rightChars="-1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100个</w:t>
            </w:r>
          </w:p>
        </w:tc>
      </w:tr>
    </w:tbl>
    <w:p w14:paraId="12CC9272">
      <w:pPr>
        <w:spacing w:line="360" w:lineRule="auto"/>
        <w:outlineLvl w:val="9"/>
        <w:rPr>
          <w:rFonts w:hint="eastAsia" w:ascii="宋体" w:hAnsi="宋体" w:eastAsia="宋体" w:cs="宋体"/>
          <w:b/>
          <w:bCs/>
          <w:color w:val="auto"/>
          <w:sz w:val="24"/>
          <w:highlight w:val="yellow"/>
          <w:u w:val="single"/>
          <w:lang w:val="en-US" w:eastAsia="zh-CN"/>
        </w:rPr>
      </w:pPr>
      <w:r>
        <w:rPr>
          <w:rFonts w:hint="eastAsia" w:ascii="宋体" w:hAnsi="宋体" w:eastAsia="宋体" w:cs="宋体"/>
          <w:b/>
          <w:bCs/>
          <w:color w:val="auto"/>
          <w:sz w:val="24"/>
          <w:highlight w:val="yellow"/>
          <w:u w:val="single"/>
          <w:lang w:val="en-US" w:eastAsia="zh-CN"/>
        </w:rPr>
        <w:t>采购包2：耳鼻咽喉科诊疗台(含内窥镜图像处理系统）</w:t>
      </w:r>
    </w:p>
    <w:p w14:paraId="78A0A89A">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一、耳鼻咽喉科诊疗台</w:t>
      </w:r>
    </w:p>
    <w:p w14:paraId="4BC9C566">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▲1.主操作</w:t>
      </w:r>
      <w:r>
        <w:rPr>
          <w:rFonts w:hint="eastAsia" w:ascii="宋体" w:hAnsi="宋体" w:eastAsia="宋体" w:cs="宋体"/>
          <w:bCs/>
          <w:sz w:val="24"/>
          <w:szCs w:val="24"/>
          <w:lang w:val="en-US" w:eastAsia="zh-CN"/>
        </w:rPr>
        <w:t>台：</w:t>
      </w:r>
    </w:p>
    <w:p w14:paraId="508F7F34">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台面尺寸：2020㎜（长）×900㎜（宽）×780㎜（高）±20mm；环保型水晶大理石台面。</w:t>
      </w:r>
    </w:p>
    <w:p w14:paraId="04CD076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2.无油超静音正压泵：  </w:t>
      </w:r>
    </w:p>
    <w:p w14:paraId="495E8D94">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功率：100W独立正压泵，正压泵周围有封闭式噪音隔离装置能减低压力泵噪音及振动。</w:t>
      </w:r>
    </w:p>
    <w:p w14:paraId="20D188F6">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3.无油超静音负压泵： </w:t>
      </w:r>
    </w:p>
    <w:p w14:paraId="1AA89D61">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   功率：250W  独立负压泵，负压泵周围有封闭式噪音隔离装置能减低压力泵噪音及振动。</w:t>
      </w:r>
    </w:p>
    <w:p w14:paraId="50511BDA">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▲4.静音仪：内置式</w:t>
      </w:r>
    </w:p>
    <w:p w14:paraId="2DA695D5">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5.喷枪：喷雾量</w:t>
      </w:r>
      <w:r>
        <w:rPr>
          <w:rFonts w:hint="eastAsia"/>
          <w:lang w:val="en-US" w:eastAsia="zh-CN"/>
        </w:rPr>
        <w:t>≤</w:t>
      </w:r>
      <w:r>
        <w:rPr>
          <w:rFonts w:hint="eastAsia" w:ascii="宋体" w:hAnsi="宋体" w:eastAsia="宋体" w:cs="宋体"/>
          <w:bCs/>
          <w:sz w:val="24"/>
          <w:szCs w:val="24"/>
          <w:lang w:eastAsia="zh-CN"/>
        </w:rPr>
        <w:t>20ml/min 正压0.1Mpa 可调，无滴水现象。</w:t>
      </w:r>
    </w:p>
    <w:p w14:paraId="0F045E5C">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6.吸枪：吸枪负压</w:t>
      </w:r>
      <w:r>
        <w:rPr>
          <w:rFonts w:hint="eastAsia" w:ascii="宋体" w:hAnsi="宋体" w:eastAsia="宋体" w:cs="宋体"/>
          <w:bCs/>
          <w:sz w:val="24"/>
          <w:szCs w:val="24"/>
          <w:lang w:val="en-US" w:eastAsia="zh-CN"/>
        </w:rPr>
        <w:t>≥</w:t>
      </w:r>
      <w:r>
        <w:rPr>
          <w:rFonts w:hint="eastAsia" w:ascii="宋体" w:hAnsi="宋体" w:eastAsia="宋体" w:cs="宋体"/>
          <w:bCs/>
          <w:sz w:val="24"/>
          <w:szCs w:val="24"/>
          <w:lang w:eastAsia="zh-CN"/>
        </w:rPr>
        <w:t>600mmHg，有吸力调节指孔，吸力可调，有延时断开功能，阻塞机率极低。</w:t>
      </w:r>
    </w:p>
    <w:p w14:paraId="095B224E">
      <w:pPr>
        <w:pStyle w:val="5"/>
        <w:rPr>
          <w:rFonts w:hint="eastAsia" w:ascii="宋体" w:hAnsi="宋体" w:eastAsia="宋体" w:cs="宋体"/>
          <w:bCs/>
          <w:sz w:val="24"/>
          <w:szCs w:val="24"/>
          <w:lang w:eastAsia="zh-CN"/>
        </w:rPr>
      </w:pPr>
      <w:r>
        <w:rPr>
          <w:rFonts w:hint="eastAsia" w:ascii="宋体" w:hAnsi="宋体" w:eastAsia="宋体" w:cs="宋体"/>
          <w:bCs/>
          <w:sz w:val="24"/>
          <w:szCs w:val="24"/>
          <w:lang w:eastAsia="zh-CN"/>
        </w:rPr>
        <w:t>7.吹枪：吹枪压力0.01</w:t>
      </w:r>
      <w:r>
        <w:rPr>
          <w:rFonts w:ascii="Arial" w:hAnsi="Arial" w:eastAsia="Arial" w:cs="Arial"/>
          <w:i w:val="0"/>
          <w:iCs w:val="0"/>
          <w:caps w:val="0"/>
          <w:color w:val="333333"/>
          <w:spacing w:val="0"/>
          <w:sz w:val="24"/>
          <w:szCs w:val="24"/>
          <w:shd w:val="clear" w:color="auto" w:fill="FFFFFF"/>
        </w:rPr>
        <w:t>~</w:t>
      </w:r>
      <w:r>
        <w:rPr>
          <w:rFonts w:hint="eastAsia" w:ascii="宋体" w:hAnsi="宋体" w:eastAsia="宋体" w:cs="宋体"/>
          <w:bCs/>
          <w:sz w:val="24"/>
          <w:szCs w:val="24"/>
          <w:lang w:eastAsia="zh-CN"/>
        </w:rPr>
        <w:t>0.15Mpa</w:t>
      </w:r>
    </w:p>
    <w:p w14:paraId="7BFF55AD">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8.预热除雾装置： </w:t>
      </w:r>
      <w:r>
        <w:rPr>
          <w:rFonts w:hint="eastAsia" w:ascii="宋体" w:hAnsi="宋体" w:eastAsia="宋体" w:cs="宋体"/>
          <w:bCs/>
          <w:sz w:val="24"/>
          <w:szCs w:val="24"/>
          <w:lang w:val="en-US" w:eastAsia="zh-CN"/>
        </w:rPr>
        <w:t>功率</w:t>
      </w:r>
      <w:r>
        <w:rPr>
          <w:rFonts w:hint="eastAsia" w:ascii="宋体" w:hAnsi="宋体" w:eastAsia="宋体" w:cs="宋体"/>
          <w:bCs/>
          <w:sz w:val="24"/>
          <w:szCs w:val="24"/>
          <w:lang w:eastAsia="zh-CN"/>
        </w:rPr>
        <w:t>450W自动、手动双重功能，时间1-99秒之间可调节。</w:t>
      </w:r>
    </w:p>
    <w:p w14:paraId="2194E4BD">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9.万向冷光照明灯：</w:t>
      </w:r>
      <w:r>
        <w:rPr>
          <w:rFonts w:hint="eastAsia" w:ascii="宋体" w:hAnsi="宋体" w:eastAsia="宋体" w:cs="宋体"/>
          <w:bCs/>
          <w:sz w:val="24"/>
          <w:szCs w:val="24"/>
          <w:lang w:val="en-US" w:eastAsia="zh-CN"/>
        </w:rPr>
        <w:t>功率</w:t>
      </w:r>
      <w:r>
        <w:rPr>
          <w:rFonts w:hint="eastAsia" w:ascii="宋体" w:hAnsi="宋体" w:eastAsia="宋体" w:cs="宋体"/>
          <w:bCs/>
          <w:sz w:val="24"/>
          <w:szCs w:val="24"/>
          <w:lang w:eastAsia="zh-CN"/>
        </w:rPr>
        <w:t xml:space="preserve">24V， </w:t>
      </w:r>
      <w:r>
        <w:rPr>
          <w:rFonts w:hint="eastAsia" w:ascii="宋体" w:hAnsi="宋体" w:eastAsia="宋体" w:cs="宋体"/>
          <w:bCs/>
          <w:sz w:val="24"/>
          <w:szCs w:val="24"/>
          <w:lang w:val="en-US" w:eastAsia="zh-CN"/>
        </w:rPr>
        <w:t>灯泡</w:t>
      </w:r>
      <w:r>
        <w:rPr>
          <w:rFonts w:hint="eastAsia" w:ascii="宋体" w:hAnsi="宋体" w:eastAsia="宋体" w:cs="宋体"/>
          <w:bCs/>
          <w:sz w:val="24"/>
          <w:szCs w:val="24"/>
          <w:lang w:eastAsia="zh-CN"/>
        </w:rPr>
        <w:t>50W，聚光、无辐射，可调节亮度。采用三关节方向转动悬臂，全方位任意伸缩，准确定位。</w:t>
      </w:r>
    </w:p>
    <w:p w14:paraId="107F5874">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10.电气自动控制系统： </w:t>
      </w:r>
    </w:p>
    <w:p w14:paraId="15163070">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11.主副吸引瓶：2500ml的2个、1000mL的2个，收集污液，防回流装。</w:t>
      </w:r>
    </w:p>
    <w:p w14:paraId="0C72A34B">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12.机械臂及立柱：机械臂可±180°旋转，上下移动范围≥300㎜，用于调整照明灯的位置，立柱可供一些选配功能支架的安装。</w:t>
      </w:r>
    </w:p>
    <w:p w14:paraId="0EE1335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13.吸引头：Ø2、Ø2.5、Ø3、Ø3.5与吸枪配合使用</w:t>
      </w:r>
    </w:p>
    <w:p w14:paraId="130B5262">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14.</w:t>
      </w:r>
      <w:r>
        <w:rPr>
          <w:rFonts w:hint="eastAsia" w:ascii="宋体" w:hAnsi="宋体" w:eastAsia="宋体" w:cs="宋体"/>
          <w:bCs/>
          <w:sz w:val="24"/>
          <w:szCs w:val="24"/>
          <w:lang w:val="en-US" w:eastAsia="zh-CN"/>
        </w:rPr>
        <w:t>具有</w:t>
      </w:r>
      <w:r>
        <w:rPr>
          <w:rFonts w:hint="eastAsia" w:ascii="宋体" w:hAnsi="宋体" w:eastAsia="宋体" w:cs="宋体"/>
          <w:bCs/>
          <w:sz w:val="24"/>
          <w:szCs w:val="24"/>
          <w:lang w:eastAsia="zh-CN"/>
        </w:rPr>
        <w:t>键盘托盘</w:t>
      </w:r>
    </w:p>
    <w:p w14:paraId="73345065">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▲15. 电动诊疗椅：尺寸:790mm（长)730mm（宽）1260mm（高）±20mm ，人造皮革（PU）。皮面材料是人造皮革（PU)。</w:t>
      </w:r>
    </w:p>
    <w:p w14:paraId="6FBC8EA2">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16.医生椅</w:t>
      </w:r>
      <w:r>
        <w:rPr>
          <w:rFonts w:hint="eastAsia" w:ascii="宋体" w:hAnsi="宋体" w:eastAsia="宋体" w:cs="宋体"/>
          <w:bCs/>
          <w:sz w:val="24"/>
          <w:szCs w:val="24"/>
          <w:lang w:val="en-US" w:eastAsia="zh-CN"/>
        </w:rPr>
        <w:t>:</w:t>
      </w:r>
      <w:r>
        <w:rPr>
          <w:rFonts w:hint="eastAsia" w:ascii="宋体" w:hAnsi="宋体" w:eastAsia="宋体" w:cs="宋体"/>
          <w:bCs/>
          <w:sz w:val="24"/>
          <w:szCs w:val="24"/>
          <w:lang w:eastAsia="zh-CN"/>
        </w:rPr>
        <w:t>尺寸：640（长）640mm（宽）720 mm（高）±20mm皮面材料是人造皮革（PU）。</w:t>
      </w:r>
    </w:p>
    <w:p w14:paraId="74F41FE2">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二、医用内窥镜摄像系统（含主机和摄像头）</w:t>
      </w:r>
    </w:p>
    <w:p w14:paraId="4C6AF478">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1.高清摄像头：1/2.8CMOS  成像器件</w:t>
      </w:r>
    </w:p>
    <w:p w14:paraId="47ED40E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2.摄像头防水等级：≥IPX8</w:t>
      </w:r>
    </w:p>
    <w:p w14:paraId="5BE4B99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3.抗干扰处理，</w:t>
      </w:r>
      <w:r>
        <w:rPr>
          <w:rFonts w:hint="eastAsia" w:ascii="宋体" w:hAnsi="宋体" w:eastAsia="宋体" w:cs="宋体"/>
          <w:bCs/>
          <w:sz w:val="24"/>
          <w:szCs w:val="24"/>
          <w:lang w:val="en-US" w:eastAsia="zh-CN"/>
        </w:rPr>
        <w:t>可</w:t>
      </w:r>
      <w:r>
        <w:rPr>
          <w:rFonts w:hint="eastAsia" w:ascii="宋体" w:hAnsi="宋体" w:eastAsia="宋体" w:cs="宋体"/>
          <w:bCs/>
          <w:sz w:val="24"/>
          <w:szCs w:val="24"/>
          <w:lang w:eastAsia="zh-CN"/>
        </w:rPr>
        <w:t>解决高频电刀产生的干扰纹</w:t>
      </w:r>
    </w:p>
    <w:p w14:paraId="0F6F3066">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4.水平分辨率：≥1100TVL（1080P） </w:t>
      </w:r>
    </w:p>
    <w:p w14:paraId="5ABDF37A">
      <w:pPr>
        <w:pStyle w:val="5"/>
        <w:rPr>
          <w:rFonts w:hint="eastAsia" w:ascii="宋体" w:hAnsi="宋体" w:eastAsia="宋体" w:cs="宋体"/>
          <w:bCs/>
          <w:sz w:val="24"/>
          <w:szCs w:val="24"/>
          <w:lang w:eastAsia="zh-CN"/>
        </w:rPr>
      </w:pPr>
      <w:r>
        <w:rPr>
          <w:rFonts w:hint="eastAsia" w:ascii="宋体" w:hAnsi="宋体" w:eastAsia="宋体" w:cs="宋体"/>
          <w:bCs/>
          <w:sz w:val="24"/>
          <w:szCs w:val="24"/>
          <w:lang w:eastAsia="zh-CN"/>
        </w:rPr>
        <w:t>▲5.有效像素：</w:t>
      </w:r>
      <w:r>
        <w:rPr>
          <w:rFonts w:hint="default" w:ascii="Arial" w:hAnsi="Arial" w:cs="Arial"/>
        </w:rPr>
        <w:t>≥</w:t>
      </w:r>
      <w:r>
        <w:rPr>
          <w:rFonts w:hint="eastAsia" w:ascii="宋体" w:hAnsi="宋体" w:eastAsia="宋体" w:cs="宋体"/>
          <w:bCs/>
          <w:sz w:val="24"/>
          <w:szCs w:val="24"/>
          <w:lang w:eastAsia="zh-CN"/>
        </w:rPr>
        <w:t>1920(H)x1080(V)</w:t>
      </w:r>
    </w:p>
    <w:p w14:paraId="03D3F4EA">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6.扫描方式：逐行扫描</w:t>
      </w:r>
    </w:p>
    <w:p w14:paraId="3DF46F26">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7.白平衡:自动/手动/一键白平衡</w:t>
      </w:r>
    </w:p>
    <w:p w14:paraId="5739A6F8">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8.亮度：ODS可调</w:t>
      </w:r>
    </w:p>
    <w:p w14:paraId="5EAADF1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9.具有白平衡、影像亮度、锐利度、影像冻结、数位放大、语言选择等功能</w:t>
      </w:r>
    </w:p>
    <w:p w14:paraId="2A7DC525">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信噪比:≥50dB</w:t>
      </w:r>
    </w:p>
    <w:p w14:paraId="01BC0C98">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10.视频输出接口：HDMI*4、VGA*1</w:t>
      </w:r>
    </w:p>
    <w:p w14:paraId="1BE0ED00">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三、LED医用内窥镜冷光源</w:t>
      </w:r>
    </w:p>
    <w:p w14:paraId="37887F86">
      <w:pPr>
        <w:adjustRightInd w:val="0"/>
        <w:snapToGrid w:val="0"/>
        <w:spacing w:before="26" w:after="26" w:line="360" w:lineRule="auto"/>
        <w:ind w:firstLine="360" w:firstLineChars="150"/>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1.采用LED发光组件</w:t>
      </w:r>
      <w:r>
        <w:rPr>
          <w:rFonts w:hint="eastAsia" w:ascii="宋体" w:hAnsi="宋体" w:eastAsia="宋体" w:cs="宋体"/>
          <w:bCs/>
          <w:sz w:val="24"/>
          <w:szCs w:val="24"/>
          <w:lang w:val="en-US" w:eastAsia="zh-CN"/>
        </w:rPr>
        <w:t>.</w:t>
      </w:r>
    </w:p>
    <w:p w14:paraId="70022236">
      <w:pPr>
        <w:adjustRightInd w:val="0"/>
        <w:snapToGrid w:val="0"/>
        <w:spacing w:before="26" w:after="26" w:line="360" w:lineRule="auto"/>
        <w:ind w:firstLine="360" w:firstLineChars="150"/>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2.寿命长；LED发光寿命长达≥2万小时，无需更换灯泡</w:t>
      </w:r>
      <w:r>
        <w:rPr>
          <w:rFonts w:hint="eastAsia" w:ascii="宋体" w:hAnsi="宋体" w:eastAsia="宋体" w:cs="宋体"/>
          <w:bCs/>
          <w:sz w:val="24"/>
          <w:szCs w:val="24"/>
          <w:lang w:val="en-US" w:eastAsia="zh-CN"/>
        </w:rPr>
        <w:t>.</w:t>
      </w:r>
    </w:p>
    <w:p w14:paraId="69E2F249">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3.色温：3000K～7000K，无杂光</w:t>
      </w:r>
    </w:p>
    <w:p w14:paraId="0122EDCD">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4.光输出孔：直径为（10±0.30）mm</w:t>
      </w:r>
    </w:p>
    <w:p w14:paraId="03B07F10">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5.整机功率：60VA</w:t>
      </w:r>
    </w:p>
    <w:p w14:paraId="2AAC3A74">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6.输出总光通量≥100 lm</w:t>
      </w:r>
    </w:p>
    <w:p w14:paraId="59AFE9CB">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7.显色指数≥90</w:t>
      </w:r>
    </w:p>
    <w:p w14:paraId="3C4EE6EF">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四、显示器</w:t>
      </w:r>
    </w:p>
    <w:p w14:paraId="0F377B95">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1. 液晶屏≥21</w:t>
      </w:r>
      <w:r>
        <w:rPr>
          <w:rFonts w:hint="eastAsia"/>
          <w:lang w:val="en-US" w:eastAsia="zh-CN"/>
        </w:rPr>
        <w:t>英寸</w:t>
      </w:r>
    </w:p>
    <w:p w14:paraId="3AE04FFC">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▲2.分辨率：≥1920×1080</w:t>
      </w:r>
    </w:p>
    <w:p w14:paraId="32B41D5A">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3.色彩：1670万</w:t>
      </w:r>
    </w:p>
    <w:p w14:paraId="30B11F75">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4.对比度：1000:1 </w:t>
      </w:r>
    </w:p>
    <w:p w14:paraId="27EB32AC">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5.可视角度89/89/89/89(Typ)</w:t>
      </w:r>
    </w:p>
    <w:p w14:paraId="1602A43B">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eastAsia="zh-CN"/>
        </w:rPr>
        <w:t>6.响应时间：</w:t>
      </w:r>
      <w:r>
        <w:rPr>
          <w:rFonts w:hint="eastAsia" w:ascii="宋体" w:hAnsi="宋体" w:eastAsia="宋体" w:cs="宋体"/>
          <w:bCs/>
          <w:sz w:val="24"/>
          <w:szCs w:val="24"/>
          <w:lang w:val="en-US" w:eastAsia="zh-CN"/>
        </w:rPr>
        <w:t>≤</w:t>
      </w:r>
      <w:r>
        <w:rPr>
          <w:rFonts w:hint="eastAsia" w:ascii="宋体" w:hAnsi="宋体" w:eastAsia="宋体" w:cs="宋体"/>
          <w:bCs/>
          <w:sz w:val="24"/>
          <w:szCs w:val="24"/>
          <w:lang w:eastAsia="zh-CN"/>
        </w:rPr>
        <w:t xml:space="preserve">14ms </w:t>
      </w:r>
    </w:p>
    <w:p w14:paraId="1EAAD8E4">
      <w:pPr>
        <w:adjustRightInd w:val="0"/>
        <w:snapToGrid w:val="0"/>
        <w:spacing w:before="26" w:after="26" w:line="360" w:lineRule="auto"/>
        <w:ind w:firstLine="360" w:firstLineChars="15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7.</w:t>
      </w:r>
      <w:r>
        <w:rPr>
          <w:rFonts w:hint="eastAsia" w:ascii="宋体" w:hAnsi="宋体" w:eastAsia="宋体" w:cs="宋体"/>
          <w:b/>
          <w:bCs/>
          <w:color w:val="auto"/>
          <w:sz w:val="24"/>
        </w:rPr>
        <w:t>★</w:t>
      </w:r>
      <w:r>
        <w:rPr>
          <w:rFonts w:hint="eastAsia" w:ascii="宋体" w:hAnsi="宋体" w:eastAsia="宋体" w:cs="宋体"/>
          <w:bCs/>
          <w:sz w:val="24"/>
          <w:szCs w:val="24"/>
          <w:lang w:eastAsia="zh-CN"/>
        </w:rPr>
        <w:t>配置单：</w:t>
      </w:r>
    </w:p>
    <w:tbl>
      <w:tblPr>
        <w:tblStyle w:val="8"/>
        <w:tblW w:w="0" w:type="auto"/>
        <w:jc w:val="center"/>
        <w:tblLayout w:type="fixed"/>
        <w:tblCellMar>
          <w:top w:w="0" w:type="dxa"/>
          <w:left w:w="108" w:type="dxa"/>
          <w:bottom w:w="0" w:type="dxa"/>
          <w:right w:w="108" w:type="dxa"/>
        </w:tblCellMar>
      </w:tblPr>
      <w:tblGrid>
        <w:gridCol w:w="1168"/>
        <w:gridCol w:w="4184"/>
        <w:gridCol w:w="1600"/>
      </w:tblGrid>
      <w:tr w14:paraId="5AE919AD">
        <w:tblPrEx>
          <w:tblCellMar>
            <w:top w:w="0" w:type="dxa"/>
            <w:left w:w="108" w:type="dxa"/>
            <w:bottom w:w="0" w:type="dxa"/>
            <w:right w:w="108" w:type="dxa"/>
          </w:tblCellMar>
        </w:tblPrEx>
        <w:trPr>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4BECC4E2">
            <w:pPr>
              <w:spacing w:line="360" w:lineRule="auto"/>
              <w:ind w:left="-16" w:leftChars="-51" w:hanging="91" w:hangingChars="38"/>
              <w:jc w:val="center"/>
              <w:rPr>
                <w:rFonts w:hint="eastAsia" w:ascii="宋体" w:hAnsi="宋体" w:cs="宋体"/>
                <w:kern w:val="0"/>
                <w:sz w:val="24"/>
              </w:rPr>
            </w:pPr>
            <w:r>
              <w:rPr>
                <w:rFonts w:hint="eastAsia" w:ascii="宋体" w:hAnsi="宋体" w:cs="宋体"/>
                <w:kern w:val="0"/>
                <w:sz w:val="24"/>
              </w:rPr>
              <w:t>序号</w:t>
            </w:r>
          </w:p>
        </w:tc>
        <w:tc>
          <w:tcPr>
            <w:tcW w:w="4184" w:type="dxa"/>
            <w:tcBorders>
              <w:top w:val="single" w:color="auto" w:sz="4" w:space="0"/>
              <w:left w:val="nil"/>
              <w:bottom w:val="single" w:color="auto" w:sz="4" w:space="0"/>
              <w:right w:val="single" w:color="auto" w:sz="4" w:space="0"/>
            </w:tcBorders>
            <w:noWrap w:val="0"/>
            <w:vAlign w:val="center"/>
          </w:tcPr>
          <w:p w14:paraId="4DA39B34">
            <w:pPr>
              <w:spacing w:line="360" w:lineRule="auto"/>
              <w:ind w:left="-51"/>
              <w:jc w:val="center"/>
              <w:rPr>
                <w:rFonts w:hint="eastAsia" w:ascii="宋体" w:hAnsi="宋体" w:cs="宋体"/>
                <w:kern w:val="0"/>
                <w:sz w:val="24"/>
              </w:rPr>
            </w:pPr>
            <w:r>
              <w:rPr>
                <w:rFonts w:hint="eastAsia" w:ascii="宋体" w:hAnsi="宋体" w:cs="宋体"/>
                <w:kern w:val="0"/>
                <w:sz w:val="24"/>
              </w:rPr>
              <w:t>配    置</w:t>
            </w:r>
          </w:p>
        </w:tc>
        <w:tc>
          <w:tcPr>
            <w:tcW w:w="1600" w:type="dxa"/>
            <w:tcBorders>
              <w:top w:val="single" w:color="auto" w:sz="4" w:space="0"/>
              <w:left w:val="nil"/>
              <w:bottom w:val="single" w:color="auto" w:sz="4" w:space="0"/>
              <w:right w:val="single" w:color="auto" w:sz="4" w:space="0"/>
            </w:tcBorders>
            <w:noWrap w:val="0"/>
            <w:vAlign w:val="center"/>
          </w:tcPr>
          <w:p w14:paraId="6362BE8A">
            <w:pPr>
              <w:spacing w:line="360" w:lineRule="auto"/>
              <w:ind w:left="-16" w:leftChars="-51" w:hanging="91" w:hangingChars="38"/>
              <w:jc w:val="center"/>
              <w:rPr>
                <w:rFonts w:hint="eastAsia" w:ascii="宋体" w:hAnsi="宋体" w:cs="宋体"/>
                <w:kern w:val="0"/>
                <w:sz w:val="24"/>
              </w:rPr>
            </w:pPr>
            <w:r>
              <w:rPr>
                <w:rFonts w:hint="eastAsia" w:ascii="宋体" w:hAnsi="宋体" w:cs="宋体"/>
                <w:kern w:val="0"/>
                <w:sz w:val="24"/>
              </w:rPr>
              <w:t>数 量</w:t>
            </w:r>
          </w:p>
        </w:tc>
      </w:tr>
      <w:tr w14:paraId="7769FFEF">
        <w:tblPrEx>
          <w:tblCellMar>
            <w:top w:w="0" w:type="dxa"/>
            <w:left w:w="108" w:type="dxa"/>
            <w:bottom w:w="0" w:type="dxa"/>
            <w:right w:w="108" w:type="dxa"/>
          </w:tblCellMar>
        </w:tblPrEx>
        <w:trPr>
          <w:trHeight w:val="29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51BE72F7">
            <w:pPr>
              <w:spacing w:line="360" w:lineRule="auto"/>
              <w:ind w:left="-51"/>
              <w:jc w:val="center"/>
              <w:rPr>
                <w:rFonts w:hint="eastAsia" w:ascii="宋体" w:hAnsi="宋体" w:cs="宋体"/>
                <w:kern w:val="0"/>
                <w:sz w:val="24"/>
              </w:rPr>
            </w:pPr>
            <w:r>
              <w:rPr>
                <w:rFonts w:hint="eastAsia" w:ascii="宋体" w:hAnsi="宋体" w:cs="宋体"/>
                <w:kern w:val="0"/>
                <w:sz w:val="24"/>
              </w:rPr>
              <w:t>1</w:t>
            </w:r>
          </w:p>
        </w:tc>
        <w:tc>
          <w:tcPr>
            <w:tcW w:w="4184" w:type="dxa"/>
            <w:tcBorders>
              <w:top w:val="single" w:color="auto" w:sz="4" w:space="0"/>
              <w:left w:val="nil"/>
              <w:bottom w:val="single" w:color="auto" w:sz="4" w:space="0"/>
              <w:right w:val="single" w:color="auto" w:sz="4" w:space="0"/>
            </w:tcBorders>
            <w:noWrap w:val="0"/>
            <w:vAlign w:val="center"/>
          </w:tcPr>
          <w:p w14:paraId="369476AD">
            <w:pPr>
              <w:spacing w:line="360" w:lineRule="auto"/>
              <w:rPr>
                <w:rFonts w:hint="eastAsia" w:ascii="宋体" w:hAnsi="宋体" w:cs="宋体"/>
                <w:kern w:val="0"/>
                <w:sz w:val="24"/>
              </w:rPr>
            </w:pPr>
            <w:r>
              <w:rPr>
                <w:rFonts w:hint="eastAsia" w:ascii="宋体" w:hAnsi="宋体" w:cs="宋体"/>
                <w:kern w:val="0"/>
                <w:sz w:val="24"/>
              </w:rPr>
              <w:t>耳鼻咽喉科诊疗台</w:t>
            </w:r>
          </w:p>
        </w:tc>
        <w:tc>
          <w:tcPr>
            <w:tcW w:w="1600" w:type="dxa"/>
            <w:tcBorders>
              <w:top w:val="single" w:color="auto" w:sz="4" w:space="0"/>
              <w:left w:val="nil"/>
              <w:bottom w:val="single" w:color="auto" w:sz="4" w:space="0"/>
              <w:right w:val="single" w:color="auto" w:sz="4" w:space="0"/>
            </w:tcBorders>
            <w:noWrap w:val="0"/>
            <w:vAlign w:val="center"/>
          </w:tcPr>
          <w:p w14:paraId="71510AAB">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24AC0641">
        <w:tblPrEx>
          <w:tblCellMar>
            <w:top w:w="0" w:type="dxa"/>
            <w:left w:w="108" w:type="dxa"/>
            <w:bottom w:w="0" w:type="dxa"/>
            <w:right w:w="108" w:type="dxa"/>
          </w:tblCellMar>
        </w:tblPrEx>
        <w:trPr>
          <w:trHeight w:val="399"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183A2146">
            <w:pPr>
              <w:spacing w:line="360" w:lineRule="auto"/>
              <w:ind w:left="-51"/>
              <w:jc w:val="center"/>
              <w:rPr>
                <w:rFonts w:hint="eastAsia" w:ascii="宋体" w:hAnsi="宋体" w:cs="宋体"/>
                <w:kern w:val="0"/>
                <w:sz w:val="24"/>
              </w:rPr>
            </w:pPr>
            <w:r>
              <w:rPr>
                <w:rFonts w:hint="eastAsia" w:ascii="宋体" w:hAnsi="宋体" w:cs="宋体"/>
                <w:kern w:val="0"/>
                <w:sz w:val="24"/>
              </w:rPr>
              <w:t>2</w:t>
            </w:r>
          </w:p>
        </w:tc>
        <w:tc>
          <w:tcPr>
            <w:tcW w:w="4184" w:type="dxa"/>
            <w:tcBorders>
              <w:top w:val="single" w:color="auto" w:sz="4" w:space="0"/>
              <w:left w:val="nil"/>
              <w:bottom w:val="single" w:color="auto" w:sz="4" w:space="0"/>
              <w:right w:val="single" w:color="auto" w:sz="4" w:space="0"/>
            </w:tcBorders>
            <w:noWrap w:val="0"/>
            <w:vAlign w:val="center"/>
          </w:tcPr>
          <w:p w14:paraId="3122F748">
            <w:pPr>
              <w:spacing w:line="360" w:lineRule="auto"/>
              <w:rPr>
                <w:rFonts w:hint="eastAsia" w:ascii="宋体" w:hAnsi="宋体" w:cs="宋体"/>
                <w:kern w:val="0"/>
                <w:sz w:val="24"/>
              </w:rPr>
            </w:pPr>
            <w:r>
              <w:rPr>
                <w:rFonts w:hint="eastAsia" w:ascii="宋体" w:hAnsi="宋体" w:cs="宋体"/>
                <w:kern w:val="0"/>
                <w:sz w:val="24"/>
              </w:rPr>
              <w:t>电动诊疗椅</w:t>
            </w:r>
          </w:p>
        </w:tc>
        <w:tc>
          <w:tcPr>
            <w:tcW w:w="1600" w:type="dxa"/>
            <w:tcBorders>
              <w:top w:val="single" w:color="auto" w:sz="4" w:space="0"/>
              <w:left w:val="nil"/>
              <w:bottom w:val="single" w:color="auto" w:sz="4" w:space="0"/>
              <w:right w:val="single" w:color="auto" w:sz="4" w:space="0"/>
            </w:tcBorders>
            <w:noWrap w:val="0"/>
            <w:vAlign w:val="center"/>
          </w:tcPr>
          <w:p w14:paraId="18601061">
            <w:pPr>
              <w:spacing w:line="360" w:lineRule="auto"/>
              <w:ind w:left="-51"/>
              <w:jc w:val="center"/>
              <w:rPr>
                <w:rFonts w:hint="eastAsia" w:ascii="宋体" w:hAnsi="宋体" w:cs="宋体"/>
                <w:kern w:val="0"/>
                <w:sz w:val="24"/>
              </w:rPr>
            </w:pPr>
            <w:r>
              <w:rPr>
                <w:rFonts w:hint="eastAsia" w:ascii="宋体" w:hAnsi="宋体" w:cs="宋体"/>
                <w:kern w:val="0"/>
                <w:sz w:val="24"/>
              </w:rPr>
              <w:t>2</w:t>
            </w:r>
          </w:p>
        </w:tc>
      </w:tr>
      <w:tr w14:paraId="16388E13">
        <w:tblPrEx>
          <w:tblCellMar>
            <w:top w:w="0" w:type="dxa"/>
            <w:left w:w="108" w:type="dxa"/>
            <w:bottom w:w="0" w:type="dxa"/>
            <w:right w:w="108" w:type="dxa"/>
          </w:tblCellMar>
        </w:tblPrEx>
        <w:trPr>
          <w:trHeight w:val="269"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69749FCB">
            <w:pPr>
              <w:spacing w:line="360" w:lineRule="auto"/>
              <w:ind w:left="-51"/>
              <w:jc w:val="center"/>
              <w:rPr>
                <w:rFonts w:hint="eastAsia" w:ascii="宋体" w:hAnsi="宋体" w:cs="宋体"/>
                <w:kern w:val="0"/>
                <w:sz w:val="24"/>
              </w:rPr>
            </w:pPr>
            <w:r>
              <w:rPr>
                <w:rFonts w:hint="eastAsia" w:ascii="宋体" w:hAnsi="宋体" w:cs="宋体"/>
                <w:kern w:val="0"/>
                <w:sz w:val="24"/>
              </w:rPr>
              <w:t>3</w:t>
            </w:r>
          </w:p>
        </w:tc>
        <w:tc>
          <w:tcPr>
            <w:tcW w:w="4184" w:type="dxa"/>
            <w:tcBorders>
              <w:top w:val="single" w:color="auto" w:sz="4" w:space="0"/>
              <w:left w:val="nil"/>
              <w:bottom w:val="single" w:color="auto" w:sz="4" w:space="0"/>
              <w:right w:val="single" w:color="auto" w:sz="4" w:space="0"/>
            </w:tcBorders>
            <w:noWrap w:val="0"/>
            <w:vAlign w:val="center"/>
          </w:tcPr>
          <w:p w14:paraId="7102D712">
            <w:pPr>
              <w:spacing w:line="360" w:lineRule="auto"/>
              <w:rPr>
                <w:rFonts w:hint="eastAsia" w:ascii="宋体" w:hAnsi="宋体" w:cs="宋体"/>
                <w:kern w:val="0"/>
                <w:sz w:val="24"/>
              </w:rPr>
            </w:pPr>
            <w:r>
              <w:rPr>
                <w:rFonts w:hint="eastAsia" w:ascii="宋体" w:hAnsi="宋体" w:cs="宋体"/>
                <w:kern w:val="0"/>
                <w:sz w:val="24"/>
              </w:rPr>
              <w:t>医生椅</w:t>
            </w:r>
          </w:p>
        </w:tc>
        <w:tc>
          <w:tcPr>
            <w:tcW w:w="1600" w:type="dxa"/>
            <w:tcBorders>
              <w:top w:val="single" w:color="auto" w:sz="4" w:space="0"/>
              <w:left w:val="nil"/>
              <w:bottom w:val="single" w:color="auto" w:sz="4" w:space="0"/>
              <w:right w:val="single" w:color="auto" w:sz="4" w:space="0"/>
            </w:tcBorders>
            <w:noWrap w:val="0"/>
            <w:vAlign w:val="center"/>
          </w:tcPr>
          <w:p w14:paraId="11EFB820">
            <w:pPr>
              <w:spacing w:line="360" w:lineRule="auto"/>
              <w:ind w:left="-51"/>
              <w:jc w:val="center"/>
              <w:rPr>
                <w:rFonts w:hint="eastAsia" w:ascii="宋体" w:hAnsi="宋体" w:cs="宋体"/>
                <w:kern w:val="0"/>
                <w:sz w:val="24"/>
              </w:rPr>
            </w:pPr>
            <w:r>
              <w:rPr>
                <w:rFonts w:hint="eastAsia" w:ascii="宋体" w:hAnsi="宋体" w:cs="宋体"/>
                <w:kern w:val="0"/>
                <w:sz w:val="24"/>
              </w:rPr>
              <w:t>2</w:t>
            </w:r>
          </w:p>
        </w:tc>
      </w:tr>
      <w:tr w14:paraId="2A4C5883">
        <w:tblPrEx>
          <w:tblCellMar>
            <w:top w:w="0" w:type="dxa"/>
            <w:left w:w="108" w:type="dxa"/>
            <w:bottom w:w="0" w:type="dxa"/>
            <w:right w:w="108" w:type="dxa"/>
          </w:tblCellMar>
        </w:tblPrEx>
        <w:trPr>
          <w:trHeight w:val="483"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3D964C50">
            <w:pPr>
              <w:spacing w:line="360" w:lineRule="auto"/>
              <w:ind w:left="-51"/>
              <w:jc w:val="center"/>
              <w:rPr>
                <w:rFonts w:hint="eastAsia" w:ascii="宋体" w:hAnsi="宋体" w:cs="宋体"/>
                <w:kern w:val="0"/>
                <w:sz w:val="24"/>
              </w:rPr>
            </w:pPr>
            <w:r>
              <w:rPr>
                <w:rFonts w:hint="eastAsia" w:ascii="宋体" w:hAnsi="宋体" w:cs="宋体"/>
                <w:kern w:val="0"/>
                <w:sz w:val="24"/>
              </w:rPr>
              <w:t>4</w:t>
            </w:r>
          </w:p>
        </w:tc>
        <w:tc>
          <w:tcPr>
            <w:tcW w:w="4184" w:type="dxa"/>
            <w:tcBorders>
              <w:top w:val="single" w:color="auto" w:sz="4" w:space="0"/>
              <w:left w:val="nil"/>
              <w:bottom w:val="single" w:color="auto" w:sz="4" w:space="0"/>
              <w:right w:val="single" w:color="auto" w:sz="4" w:space="0"/>
            </w:tcBorders>
            <w:noWrap w:val="0"/>
            <w:vAlign w:val="center"/>
          </w:tcPr>
          <w:p w14:paraId="6DACB5E7">
            <w:pPr>
              <w:spacing w:line="360" w:lineRule="auto"/>
              <w:rPr>
                <w:rFonts w:hint="eastAsia" w:ascii="宋体" w:hAnsi="宋体" w:cs="宋体"/>
                <w:kern w:val="0"/>
                <w:sz w:val="24"/>
              </w:rPr>
            </w:pPr>
            <w:r>
              <w:rPr>
                <w:rFonts w:hint="eastAsia" w:ascii="宋体" w:hAnsi="宋体" w:cs="宋体"/>
                <w:kern w:val="0"/>
                <w:sz w:val="24"/>
              </w:rPr>
              <w:t>观片灯</w:t>
            </w:r>
          </w:p>
        </w:tc>
        <w:tc>
          <w:tcPr>
            <w:tcW w:w="1600" w:type="dxa"/>
            <w:tcBorders>
              <w:top w:val="single" w:color="auto" w:sz="4" w:space="0"/>
              <w:left w:val="nil"/>
              <w:bottom w:val="single" w:color="auto" w:sz="4" w:space="0"/>
              <w:right w:val="single" w:color="auto" w:sz="4" w:space="0"/>
            </w:tcBorders>
            <w:noWrap w:val="0"/>
            <w:vAlign w:val="center"/>
          </w:tcPr>
          <w:p w14:paraId="3190205E">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299C5BE5">
        <w:tblPrEx>
          <w:tblCellMar>
            <w:top w:w="0" w:type="dxa"/>
            <w:left w:w="108" w:type="dxa"/>
            <w:bottom w:w="0" w:type="dxa"/>
            <w:right w:w="108" w:type="dxa"/>
          </w:tblCellMar>
        </w:tblPrEx>
        <w:trPr>
          <w:trHeight w:val="296"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3385E3AE">
            <w:pPr>
              <w:spacing w:line="360" w:lineRule="auto"/>
              <w:ind w:left="-51"/>
              <w:jc w:val="center"/>
              <w:rPr>
                <w:rFonts w:hint="eastAsia" w:ascii="宋体" w:hAnsi="宋体" w:cs="宋体"/>
                <w:kern w:val="0"/>
                <w:sz w:val="24"/>
              </w:rPr>
            </w:pPr>
            <w:r>
              <w:rPr>
                <w:rFonts w:hint="eastAsia" w:ascii="宋体" w:hAnsi="宋体" w:cs="宋体"/>
                <w:kern w:val="0"/>
                <w:sz w:val="24"/>
              </w:rPr>
              <w:t>5</w:t>
            </w:r>
          </w:p>
        </w:tc>
        <w:tc>
          <w:tcPr>
            <w:tcW w:w="4184" w:type="dxa"/>
            <w:tcBorders>
              <w:top w:val="single" w:color="auto" w:sz="4" w:space="0"/>
              <w:left w:val="nil"/>
              <w:bottom w:val="single" w:color="auto" w:sz="4" w:space="0"/>
              <w:right w:val="single" w:color="auto" w:sz="4" w:space="0"/>
            </w:tcBorders>
            <w:noWrap w:val="0"/>
            <w:vAlign w:val="center"/>
          </w:tcPr>
          <w:p w14:paraId="303B2863">
            <w:pPr>
              <w:spacing w:line="360" w:lineRule="auto"/>
              <w:rPr>
                <w:rFonts w:ascii="宋体" w:hAnsi="宋体" w:cs="宋体"/>
                <w:kern w:val="0"/>
                <w:sz w:val="24"/>
              </w:rPr>
            </w:pPr>
            <w:r>
              <w:rPr>
                <w:rFonts w:hint="eastAsia" w:ascii="宋体" w:hAnsi="宋体" w:cs="宋体"/>
                <w:kern w:val="0"/>
                <w:sz w:val="24"/>
              </w:rPr>
              <w:t>医用内窥镜摄像系统</w:t>
            </w:r>
          </w:p>
        </w:tc>
        <w:tc>
          <w:tcPr>
            <w:tcW w:w="1600" w:type="dxa"/>
            <w:tcBorders>
              <w:top w:val="single" w:color="auto" w:sz="4" w:space="0"/>
              <w:left w:val="nil"/>
              <w:bottom w:val="single" w:color="auto" w:sz="4" w:space="0"/>
              <w:right w:val="single" w:color="auto" w:sz="4" w:space="0"/>
            </w:tcBorders>
            <w:noWrap w:val="0"/>
            <w:vAlign w:val="center"/>
          </w:tcPr>
          <w:p w14:paraId="570F6DA6">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07B735C1">
        <w:tblPrEx>
          <w:tblCellMar>
            <w:top w:w="0" w:type="dxa"/>
            <w:left w:w="108" w:type="dxa"/>
            <w:bottom w:w="0" w:type="dxa"/>
            <w:right w:w="108" w:type="dxa"/>
          </w:tblCellMar>
        </w:tblPrEx>
        <w:trPr>
          <w:trHeight w:val="399"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7B56CB1">
            <w:pPr>
              <w:spacing w:line="360" w:lineRule="auto"/>
              <w:ind w:left="-51"/>
              <w:jc w:val="center"/>
              <w:rPr>
                <w:rFonts w:hint="eastAsia" w:ascii="宋体" w:hAnsi="宋体" w:cs="宋体"/>
                <w:kern w:val="0"/>
                <w:sz w:val="24"/>
              </w:rPr>
            </w:pPr>
            <w:r>
              <w:rPr>
                <w:rFonts w:hint="eastAsia" w:ascii="宋体" w:hAnsi="宋体" w:cs="宋体"/>
                <w:kern w:val="0"/>
                <w:sz w:val="24"/>
              </w:rPr>
              <w:t>6</w:t>
            </w:r>
          </w:p>
        </w:tc>
        <w:tc>
          <w:tcPr>
            <w:tcW w:w="4184" w:type="dxa"/>
            <w:tcBorders>
              <w:top w:val="single" w:color="auto" w:sz="4" w:space="0"/>
              <w:left w:val="nil"/>
              <w:bottom w:val="single" w:color="auto" w:sz="4" w:space="0"/>
              <w:right w:val="single" w:color="auto" w:sz="4" w:space="0"/>
            </w:tcBorders>
            <w:noWrap w:val="0"/>
            <w:vAlign w:val="center"/>
          </w:tcPr>
          <w:p w14:paraId="0117E9F8">
            <w:pPr>
              <w:spacing w:line="360" w:lineRule="auto"/>
              <w:rPr>
                <w:rFonts w:ascii="宋体" w:hAnsi="宋体" w:cs="宋体"/>
                <w:kern w:val="0"/>
                <w:sz w:val="24"/>
              </w:rPr>
            </w:pPr>
            <w:r>
              <w:rPr>
                <w:rFonts w:hint="eastAsia" w:ascii="宋体" w:hAnsi="宋体" w:cs="宋体"/>
                <w:kern w:val="0"/>
                <w:sz w:val="24"/>
              </w:rPr>
              <w:t>LED医用内窥镜冷光源</w:t>
            </w:r>
          </w:p>
        </w:tc>
        <w:tc>
          <w:tcPr>
            <w:tcW w:w="1600" w:type="dxa"/>
            <w:tcBorders>
              <w:top w:val="single" w:color="auto" w:sz="4" w:space="0"/>
              <w:left w:val="nil"/>
              <w:bottom w:val="single" w:color="auto" w:sz="4" w:space="0"/>
              <w:right w:val="single" w:color="auto" w:sz="4" w:space="0"/>
            </w:tcBorders>
            <w:noWrap w:val="0"/>
            <w:vAlign w:val="center"/>
          </w:tcPr>
          <w:p w14:paraId="395E4C8E">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3F936228">
        <w:tblPrEx>
          <w:tblCellMar>
            <w:top w:w="0" w:type="dxa"/>
            <w:left w:w="108" w:type="dxa"/>
            <w:bottom w:w="0" w:type="dxa"/>
            <w:right w:w="108" w:type="dxa"/>
          </w:tblCellMar>
        </w:tblPrEx>
        <w:trPr>
          <w:trHeight w:val="269"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35696B87">
            <w:pPr>
              <w:spacing w:line="360" w:lineRule="auto"/>
              <w:ind w:left="-51"/>
              <w:jc w:val="center"/>
              <w:rPr>
                <w:rFonts w:hint="eastAsia" w:ascii="宋体" w:hAnsi="宋体" w:cs="宋体"/>
                <w:kern w:val="0"/>
                <w:sz w:val="24"/>
              </w:rPr>
            </w:pPr>
            <w:r>
              <w:rPr>
                <w:rFonts w:hint="eastAsia" w:ascii="宋体" w:hAnsi="宋体" w:cs="宋体"/>
                <w:kern w:val="0"/>
                <w:sz w:val="24"/>
              </w:rPr>
              <w:t>7</w:t>
            </w:r>
          </w:p>
        </w:tc>
        <w:tc>
          <w:tcPr>
            <w:tcW w:w="4184" w:type="dxa"/>
            <w:tcBorders>
              <w:top w:val="single" w:color="auto" w:sz="4" w:space="0"/>
              <w:left w:val="nil"/>
              <w:bottom w:val="single" w:color="auto" w:sz="4" w:space="0"/>
              <w:right w:val="single" w:color="auto" w:sz="4" w:space="0"/>
            </w:tcBorders>
            <w:noWrap w:val="0"/>
            <w:vAlign w:val="center"/>
          </w:tcPr>
          <w:p w14:paraId="73C56E8D">
            <w:pPr>
              <w:spacing w:line="360" w:lineRule="auto"/>
              <w:rPr>
                <w:rFonts w:hint="eastAsia" w:ascii="宋体" w:hAnsi="宋体" w:cs="宋体"/>
                <w:kern w:val="0"/>
                <w:sz w:val="24"/>
              </w:rPr>
            </w:pPr>
            <w:r>
              <w:rPr>
                <w:rFonts w:hint="eastAsia" w:ascii="宋体" w:hAnsi="宋体" w:cs="宋体"/>
                <w:kern w:val="0"/>
                <w:sz w:val="24"/>
              </w:rPr>
              <w:t>监视器</w:t>
            </w:r>
          </w:p>
        </w:tc>
        <w:tc>
          <w:tcPr>
            <w:tcW w:w="1600" w:type="dxa"/>
            <w:tcBorders>
              <w:top w:val="single" w:color="auto" w:sz="4" w:space="0"/>
              <w:left w:val="nil"/>
              <w:bottom w:val="single" w:color="auto" w:sz="4" w:space="0"/>
              <w:right w:val="single" w:color="auto" w:sz="4" w:space="0"/>
            </w:tcBorders>
            <w:noWrap w:val="0"/>
            <w:vAlign w:val="center"/>
          </w:tcPr>
          <w:p w14:paraId="15ADA8CB">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58900785">
        <w:tblPrEx>
          <w:tblCellMar>
            <w:top w:w="0" w:type="dxa"/>
            <w:left w:w="108" w:type="dxa"/>
            <w:bottom w:w="0" w:type="dxa"/>
            <w:right w:w="108" w:type="dxa"/>
          </w:tblCellMar>
        </w:tblPrEx>
        <w:trPr>
          <w:trHeight w:val="483"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7B3801C2">
            <w:pPr>
              <w:spacing w:line="360" w:lineRule="auto"/>
              <w:ind w:left="-51"/>
              <w:jc w:val="center"/>
              <w:rPr>
                <w:rFonts w:hint="eastAsia" w:ascii="宋体" w:hAnsi="宋体" w:cs="宋体"/>
                <w:kern w:val="0"/>
                <w:sz w:val="24"/>
              </w:rPr>
            </w:pPr>
            <w:r>
              <w:rPr>
                <w:rFonts w:hint="eastAsia" w:ascii="宋体" w:hAnsi="宋体" w:cs="宋体"/>
                <w:kern w:val="0"/>
                <w:sz w:val="24"/>
              </w:rPr>
              <w:t>8</w:t>
            </w:r>
          </w:p>
        </w:tc>
        <w:tc>
          <w:tcPr>
            <w:tcW w:w="4184" w:type="dxa"/>
            <w:tcBorders>
              <w:top w:val="single" w:color="auto" w:sz="4" w:space="0"/>
              <w:left w:val="nil"/>
              <w:bottom w:val="single" w:color="auto" w:sz="4" w:space="0"/>
              <w:right w:val="single" w:color="auto" w:sz="4" w:space="0"/>
            </w:tcBorders>
            <w:noWrap w:val="0"/>
            <w:vAlign w:val="center"/>
          </w:tcPr>
          <w:p w14:paraId="7B524BC7">
            <w:pPr>
              <w:spacing w:line="360" w:lineRule="auto"/>
              <w:rPr>
                <w:rFonts w:hint="eastAsia" w:ascii="宋体" w:hAnsi="宋体" w:cs="宋体"/>
                <w:kern w:val="0"/>
                <w:sz w:val="24"/>
              </w:rPr>
            </w:pPr>
            <w:r>
              <w:rPr>
                <w:rFonts w:hint="eastAsia" w:ascii="宋体" w:hAnsi="宋体" w:cs="宋体"/>
                <w:kern w:val="0"/>
                <w:sz w:val="24"/>
              </w:rPr>
              <w:t>支撑架</w:t>
            </w:r>
          </w:p>
        </w:tc>
        <w:tc>
          <w:tcPr>
            <w:tcW w:w="1600" w:type="dxa"/>
            <w:tcBorders>
              <w:top w:val="single" w:color="auto" w:sz="4" w:space="0"/>
              <w:left w:val="nil"/>
              <w:bottom w:val="single" w:color="auto" w:sz="4" w:space="0"/>
              <w:right w:val="single" w:color="auto" w:sz="4" w:space="0"/>
            </w:tcBorders>
            <w:noWrap w:val="0"/>
            <w:vAlign w:val="center"/>
          </w:tcPr>
          <w:p w14:paraId="7150C7C3">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131AD36C">
        <w:tblPrEx>
          <w:tblCellMar>
            <w:top w:w="0" w:type="dxa"/>
            <w:left w:w="108" w:type="dxa"/>
            <w:bottom w:w="0" w:type="dxa"/>
            <w:right w:w="108" w:type="dxa"/>
          </w:tblCellMar>
        </w:tblPrEx>
        <w:trPr>
          <w:trHeight w:val="483"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291AFD7A">
            <w:pPr>
              <w:spacing w:line="360" w:lineRule="auto"/>
              <w:ind w:left="-51"/>
              <w:jc w:val="center"/>
              <w:rPr>
                <w:rFonts w:ascii="宋体" w:hAnsi="宋体" w:cs="宋体"/>
                <w:kern w:val="0"/>
                <w:sz w:val="24"/>
              </w:rPr>
            </w:pPr>
            <w:r>
              <w:rPr>
                <w:rFonts w:hint="eastAsia" w:ascii="宋体" w:hAnsi="宋体" w:cs="宋体"/>
                <w:kern w:val="0"/>
                <w:sz w:val="24"/>
              </w:rPr>
              <w:t>9</w:t>
            </w:r>
          </w:p>
        </w:tc>
        <w:tc>
          <w:tcPr>
            <w:tcW w:w="4184" w:type="dxa"/>
            <w:tcBorders>
              <w:top w:val="single" w:color="auto" w:sz="4" w:space="0"/>
              <w:left w:val="nil"/>
              <w:bottom w:val="single" w:color="auto" w:sz="4" w:space="0"/>
              <w:right w:val="single" w:color="auto" w:sz="4" w:space="0"/>
            </w:tcBorders>
            <w:noWrap w:val="0"/>
            <w:vAlign w:val="center"/>
          </w:tcPr>
          <w:p w14:paraId="49663CEB">
            <w:pPr>
              <w:spacing w:line="360" w:lineRule="auto"/>
              <w:rPr>
                <w:rFonts w:ascii="宋体" w:hAnsi="宋体" w:cs="宋体"/>
                <w:kern w:val="0"/>
                <w:sz w:val="24"/>
              </w:rPr>
            </w:pPr>
            <w:r>
              <w:rPr>
                <w:rFonts w:hint="eastAsia" w:ascii="宋体" w:hAnsi="宋体" w:cs="宋体"/>
                <w:kern w:val="0"/>
                <w:sz w:val="24"/>
              </w:rPr>
              <w:t>鼻窦镜</w:t>
            </w:r>
          </w:p>
        </w:tc>
        <w:tc>
          <w:tcPr>
            <w:tcW w:w="1600" w:type="dxa"/>
            <w:tcBorders>
              <w:top w:val="single" w:color="auto" w:sz="4" w:space="0"/>
              <w:left w:val="nil"/>
              <w:bottom w:val="single" w:color="auto" w:sz="4" w:space="0"/>
              <w:right w:val="single" w:color="auto" w:sz="4" w:space="0"/>
            </w:tcBorders>
            <w:noWrap w:val="0"/>
            <w:vAlign w:val="center"/>
          </w:tcPr>
          <w:p w14:paraId="5DEFFC65">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6E5973B7">
        <w:tblPrEx>
          <w:tblCellMar>
            <w:top w:w="0" w:type="dxa"/>
            <w:left w:w="108" w:type="dxa"/>
            <w:bottom w:w="0" w:type="dxa"/>
            <w:right w:w="108" w:type="dxa"/>
          </w:tblCellMar>
        </w:tblPrEx>
        <w:trPr>
          <w:trHeight w:val="483"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7C4A0D0A">
            <w:pPr>
              <w:spacing w:line="360" w:lineRule="auto"/>
              <w:ind w:left="-51"/>
              <w:jc w:val="center"/>
              <w:rPr>
                <w:rFonts w:ascii="宋体" w:hAnsi="宋体" w:cs="宋体"/>
                <w:kern w:val="0"/>
                <w:sz w:val="24"/>
              </w:rPr>
            </w:pPr>
            <w:r>
              <w:rPr>
                <w:rFonts w:hint="eastAsia" w:ascii="宋体" w:hAnsi="宋体" w:cs="宋体"/>
                <w:kern w:val="0"/>
                <w:sz w:val="24"/>
              </w:rPr>
              <w:t>10</w:t>
            </w:r>
          </w:p>
        </w:tc>
        <w:tc>
          <w:tcPr>
            <w:tcW w:w="4184" w:type="dxa"/>
            <w:tcBorders>
              <w:top w:val="single" w:color="auto" w:sz="4" w:space="0"/>
              <w:left w:val="nil"/>
              <w:bottom w:val="single" w:color="auto" w:sz="4" w:space="0"/>
              <w:right w:val="single" w:color="auto" w:sz="4" w:space="0"/>
            </w:tcBorders>
            <w:noWrap w:val="0"/>
            <w:vAlign w:val="center"/>
          </w:tcPr>
          <w:p w14:paraId="70A570AF">
            <w:pPr>
              <w:spacing w:line="360" w:lineRule="auto"/>
              <w:rPr>
                <w:rFonts w:ascii="宋体" w:hAnsi="宋体" w:cs="宋体"/>
                <w:kern w:val="0"/>
                <w:sz w:val="24"/>
              </w:rPr>
            </w:pPr>
            <w:r>
              <w:rPr>
                <w:rFonts w:hint="eastAsia" w:ascii="宋体" w:hAnsi="宋体" w:cs="宋体"/>
                <w:kern w:val="0"/>
                <w:sz w:val="24"/>
              </w:rPr>
              <w:t>耳内窥镜</w:t>
            </w:r>
          </w:p>
        </w:tc>
        <w:tc>
          <w:tcPr>
            <w:tcW w:w="1600" w:type="dxa"/>
            <w:tcBorders>
              <w:top w:val="single" w:color="auto" w:sz="4" w:space="0"/>
              <w:left w:val="nil"/>
              <w:bottom w:val="single" w:color="auto" w:sz="4" w:space="0"/>
              <w:right w:val="single" w:color="auto" w:sz="4" w:space="0"/>
            </w:tcBorders>
            <w:noWrap w:val="0"/>
            <w:vAlign w:val="center"/>
          </w:tcPr>
          <w:p w14:paraId="2651DF58">
            <w:pPr>
              <w:spacing w:line="360" w:lineRule="auto"/>
              <w:ind w:left="-51"/>
              <w:jc w:val="center"/>
              <w:rPr>
                <w:rFonts w:hint="eastAsia" w:ascii="宋体" w:hAnsi="宋体" w:cs="宋体"/>
                <w:kern w:val="0"/>
                <w:sz w:val="24"/>
              </w:rPr>
            </w:pPr>
            <w:r>
              <w:rPr>
                <w:rFonts w:hint="eastAsia" w:ascii="宋体" w:hAnsi="宋体" w:cs="宋体"/>
                <w:kern w:val="0"/>
                <w:sz w:val="24"/>
              </w:rPr>
              <w:t>1</w:t>
            </w:r>
          </w:p>
        </w:tc>
      </w:tr>
      <w:tr w14:paraId="59DEAE39">
        <w:tblPrEx>
          <w:tblCellMar>
            <w:top w:w="0" w:type="dxa"/>
            <w:left w:w="108" w:type="dxa"/>
            <w:bottom w:w="0" w:type="dxa"/>
            <w:right w:w="108" w:type="dxa"/>
          </w:tblCellMar>
        </w:tblPrEx>
        <w:trPr>
          <w:trHeight w:val="483" w:hRule="atLeast"/>
          <w:jc w:val="center"/>
        </w:trPr>
        <w:tc>
          <w:tcPr>
            <w:tcW w:w="1168" w:type="dxa"/>
            <w:tcBorders>
              <w:top w:val="single" w:color="auto" w:sz="4" w:space="0"/>
              <w:left w:val="single" w:color="auto" w:sz="4" w:space="0"/>
              <w:bottom w:val="single" w:color="auto" w:sz="4" w:space="0"/>
              <w:right w:val="single" w:color="auto" w:sz="4" w:space="0"/>
            </w:tcBorders>
            <w:noWrap w:val="0"/>
            <w:vAlign w:val="center"/>
          </w:tcPr>
          <w:p w14:paraId="5B5D74CB">
            <w:pPr>
              <w:spacing w:line="360" w:lineRule="auto"/>
              <w:ind w:left="-51"/>
              <w:jc w:val="center"/>
              <w:rPr>
                <w:rFonts w:ascii="宋体" w:hAnsi="宋体" w:cs="宋体"/>
                <w:kern w:val="0"/>
                <w:sz w:val="24"/>
              </w:rPr>
            </w:pPr>
            <w:r>
              <w:rPr>
                <w:rFonts w:hint="eastAsia" w:ascii="宋体" w:hAnsi="宋体" w:cs="宋体"/>
                <w:kern w:val="0"/>
                <w:sz w:val="24"/>
              </w:rPr>
              <w:t>11</w:t>
            </w:r>
          </w:p>
        </w:tc>
        <w:tc>
          <w:tcPr>
            <w:tcW w:w="4184" w:type="dxa"/>
            <w:tcBorders>
              <w:top w:val="single" w:color="auto" w:sz="4" w:space="0"/>
              <w:left w:val="nil"/>
              <w:bottom w:val="single" w:color="auto" w:sz="4" w:space="0"/>
              <w:right w:val="single" w:color="auto" w:sz="4" w:space="0"/>
            </w:tcBorders>
            <w:noWrap w:val="0"/>
            <w:vAlign w:val="center"/>
          </w:tcPr>
          <w:p w14:paraId="48431686">
            <w:pPr>
              <w:spacing w:line="360" w:lineRule="auto"/>
              <w:rPr>
                <w:rFonts w:hint="eastAsia" w:ascii="宋体" w:hAnsi="宋体" w:cs="宋体"/>
                <w:kern w:val="0"/>
                <w:sz w:val="24"/>
              </w:rPr>
            </w:pPr>
            <w:r>
              <w:rPr>
                <w:rFonts w:hint="eastAsia" w:ascii="宋体" w:hAnsi="宋体" w:cs="宋体"/>
                <w:kern w:val="0"/>
                <w:sz w:val="24"/>
              </w:rPr>
              <w:t>喉镜</w:t>
            </w:r>
          </w:p>
        </w:tc>
        <w:tc>
          <w:tcPr>
            <w:tcW w:w="1600" w:type="dxa"/>
            <w:tcBorders>
              <w:top w:val="single" w:color="auto" w:sz="4" w:space="0"/>
              <w:left w:val="nil"/>
              <w:bottom w:val="single" w:color="auto" w:sz="4" w:space="0"/>
              <w:right w:val="single" w:color="auto" w:sz="4" w:space="0"/>
            </w:tcBorders>
            <w:noWrap w:val="0"/>
            <w:vAlign w:val="center"/>
          </w:tcPr>
          <w:p w14:paraId="3D9DD0D0">
            <w:pPr>
              <w:spacing w:line="360" w:lineRule="auto"/>
              <w:ind w:left="-51"/>
              <w:jc w:val="center"/>
              <w:rPr>
                <w:rFonts w:hint="eastAsia" w:ascii="宋体" w:hAnsi="宋体" w:cs="宋体"/>
                <w:kern w:val="0"/>
                <w:sz w:val="24"/>
              </w:rPr>
            </w:pPr>
            <w:r>
              <w:rPr>
                <w:rFonts w:hint="eastAsia" w:ascii="宋体" w:hAnsi="宋体" w:cs="宋体"/>
                <w:kern w:val="0"/>
                <w:sz w:val="24"/>
              </w:rPr>
              <w:t>1</w:t>
            </w:r>
          </w:p>
        </w:tc>
      </w:tr>
    </w:tbl>
    <w:p w14:paraId="69819649">
      <w:pPr>
        <w:pStyle w:val="2"/>
        <w:rPr>
          <w:rFonts w:hint="eastAsia"/>
        </w:rPr>
      </w:pPr>
    </w:p>
    <w:p w14:paraId="73A309D2">
      <w:pPr>
        <w:spacing w:line="360" w:lineRule="auto"/>
        <w:ind w:firstLine="482" w:firstLineChars="200"/>
        <w:outlineLvl w:val="1"/>
        <w:rPr>
          <w:rFonts w:hint="eastAsia" w:ascii="宋体" w:hAnsi="宋体" w:eastAsia="宋体" w:cs="宋体"/>
          <w:b/>
          <w:bCs/>
          <w:color w:val="auto"/>
          <w:sz w:val="24"/>
          <w:lang w:eastAsia="zh-CN"/>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商务要求</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“9.”仅适用于采购包1，其余各条各包均适用</w:t>
      </w:r>
      <w:r>
        <w:rPr>
          <w:rFonts w:hint="eastAsia" w:ascii="宋体" w:hAnsi="宋体" w:eastAsia="宋体" w:cs="宋体"/>
          <w:b/>
          <w:bCs/>
          <w:color w:val="auto"/>
          <w:sz w:val="24"/>
          <w:lang w:eastAsia="zh-CN"/>
        </w:rPr>
        <w:t>）</w:t>
      </w:r>
    </w:p>
    <w:p w14:paraId="642293C6">
      <w:pPr>
        <w:spacing w:line="360" w:lineRule="auto"/>
        <w:ind w:firstLine="482" w:firstLineChars="200"/>
        <w:rPr>
          <w:rFonts w:hint="eastAsia" w:ascii="宋体" w:hAnsi="宋体" w:eastAsia="宋体" w:cs="宋体"/>
          <w:bCs/>
          <w:color w:val="auto"/>
          <w:sz w:val="24"/>
          <w:highlight w:val="none"/>
          <w:lang w:val="en-US" w:eastAsia="zh-CN"/>
        </w:rPr>
      </w:pP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交货时间：</w:t>
      </w:r>
      <w:r>
        <w:rPr>
          <w:rFonts w:hint="eastAsia" w:ascii="宋体" w:hAnsi="宋体" w:eastAsia="宋体" w:cs="宋体"/>
          <w:b w:val="0"/>
          <w:bCs w:val="0"/>
          <w:color w:val="auto"/>
          <w:sz w:val="24"/>
          <w:lang w:val="en-US" w:eastAsia="zh-CN"/>
        </w:rPr>
        <w:t>自合</w:t>
      </w:r>
      <w:r>
        <w:rPr>
          <w:rFonts w:hint="eastAsia" w:ascii="宋体" w:hAnsi="宋体" w:eastAsia="宋体" w:cs="宋体"/>
          <w:b w:val="0"/>
          <w:bCs w:val="0"/>
          <w:color w:val="auto"/>
          <w:sz w:val="24"/>
          <w:highlight w:val="none"/>
          <w:lang w:val="en-US" w:eastAsia="zh-CN"/>
        </w:rPr>
        <w:t>同签订之日起30日内。</w:t>
      </w:r>
    </w:p>
    <w:p w14:paraId="3E260879">
      <w:pPr>
        <w:spacing w:line="360" w:lineRule="auto"/>
        <w:ind w:firstLine="482" w:firstLineChars="200"/>
        <w:rPr>
          <w:rFonts w:hint="eastAsia" w:ascii="宋体" w:hAnsi="宋体" w:eastAsia="宋体" w:cs="宋体"/>
          <w:bCs/>
          <w:color w:val="auto"/>
          <w:sz w:val="24"/>
          <w:highlight w:val="none"/>
          <w:lang w:val="en-US" w:eastAsia="zh-CN"/>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交货地点：</w:t>
      </w:r>
      <w:r>
        <w:rPr>
          <w:rFonts w:hint="eastAsia" w:ascii="宋体" w:hAnsi="宋体" w:eastAsia="宋体" w:cs="宋体"/>
          <w:b w:val="0"/>
          <w:bCs w:val="0"/>
          <w:color w:val="auto"/>
          <w:sz w:val="24"/>
          <w:highlight w:val="none"/>
        </w:rPr>
        <w:t>四川大学华西第四医院</w:t>
      </w:r>
      <w:r>
        <w:rPr>
          <w:rFonts w:hint="eastAsia" w:ascii="宋体" w:hAnsi="宋体" w:eastAsia="宋体" w:cs="宋体"/>
          <w:b w:val="0"/>
          <w:bCs w:val="0"/>
          <w:color w:val="auto"/>
          <w:sz w:val="24"/>
          <w:highlight w:val="none"/>
          <w:lang w:eastAsia="zh-CN"/>
        </w:rPr>
        <w:t>。</w:t>
      </w:r>
    </w:p>
    <w:p w14:paraId="61E12643">
      <w:pPr>
        <w:numPr>
          <w:ilvl w:val="0"/>
          <w:numId w:val="0"/>
        </w:numPr>
        <w:spacing w:line="360" w:lineRule="auto"/>
        <w:ind w:firstLine="482" w:firstLineChars="200"/>
        <w:rPr>
          <w:rFonts w:hint="eastAsia" w:ascii="宋体" w:hAnsi="宋体" w:eastAsia="宋体" w:cs="宋体"/>
          <w:b w:val="0"/>
          <w:bCs/>
          <w:color w:val="auto"/>
          <w:sz w:val="24"/>
          <w:highlight w:val="none"/>
          <w:u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color w:val="auto"/>
          <w:sz w:val="24"/>
          <w:highlight w:val="none"/>
        </w:rPr>
        <w:t>支付方式</w:t>
      </w:r>
      <w:r>
        <w:rPr>
          <w:rFonts w:hint="eastAsia" w:ascii="宋体" w:hAnsi="宋体" w:eastAsia="宋体" w:cs="宋体"/>
          <w:b/>
          <w:color w:val="auto"/>
          <w:sz w:val="24"/>
          <w:highlight w:val="none"/>
          <w:lang w:eastAsia="zh-CN"/>
        </w:rPr>
        <w:t>：</w:t>
      </w:r>
      <w:r>
        <w:rPr>
          <w:rFonts w:hint="eastAsia" w:ascii="宋体" w:hAnsi="宋体" w:eastAsia="宋体" w:cs="宋体"/>
          <w:b w:val="0"/>
          <w:bCs/>
          <w:color w:val="auto"/>
          <w:sz w:val="24"/>
          <w:highlight w:val="none"/>
          <w:lang w:eastAsia="zh-CN"/>
        </w:rPr>
        <w:t>采购合同签订生效后，完成交货、安装调试并验收合格后支付至合同金额的</w:t>
      </w:r>
      <w:r>
        <w:rPr>
          <w:rFonts w:hint="eastAsia" w:ascii="宋体" w:hAnsi="宋体" w:eastAsia="宋体" w:cs="宋体"/>
          <w:b w:val="0"/>
          <w:bCs/>
          <w:color w:val="auto"/>
          <w:sz w:val="24"/>
          <w:highlight w:val="none"/>
          <w:lang w:val="en-US" w:eastAsia="zh-CN"/>
        </w:rPr>
        <w:t>100</w:t>
      </w:r>
      <w:r>
        <w:rPr>
          <w:rFonts w:hint="eastAsia" w:ascii="宋体" w:hAnsi="宋体" w:eastAsia="宋体" w:cs="宋体"/>
          <w:b w:val="0"/>
          <w:bCs/>
          <w:color w:val="auto"/>
          <w:sz w:val="24"/>
          <w:highlight w:val="none"/>
          <w:lang w:eastAsia="zh-CN"/>
        </w:rPr>
        <w:t>%。</w:t>
      </w:r>
    </w:p>
    <w:p w14:paraId="43B419C5">
      <w:pPr>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4.验收方法和标准：</w:t>
      </w:r>
    </w:p>
    <w:p w14:paraId="0582AD69">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（1）验收组织方式：自行验收</w:t>
      </w:r>
    </w:p>
    <w:p w14:paraId="310B2FA2">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（2）履约验收时间：</w:t>
      </w:r>
      <w:r>
        <w:rPr>
          <w:rFonts w:hint="eastAsia" w:ascii="宋体" w:hAnsi="宋体" w:eastAsia="宋体" w:cs="宋体"/>
          <w:sz w:val="24"/>
          <w:szCs w:val="24"/>
          <w:highlight w:val="none"/>
        </w:rPr>
        <w:t>全部设备调试完毕后7个工作日内进行验收</w:t>
      </w:r>
      <w:r>
        <w:rPr>
          <w:rFonts w:hint="eastAsia" w:ascii="宋体" w:hAnsi="宋体" w:eastAsia="宋体" w:cs="宋体"/>
          <w:sz w:val="24"/>
          <w:szCs w:val="24"/>
          <w:highlight w:val="none"/>
          <w:lang w:eastAsia="zh-CN"/>
        </w:rPr>
        <w:t>。</w:t>
      </w:r>
    </w:p>
    <w:p w14:paraId="2890A9F8">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（3）验收组织的其他事项：供应商仅在完成设备安装、调试、使用培训待设备能正常使用后方可提出验收申请。</w:t>
      </w:r>
    </w:p>
    <w:p w14:paraId="094ED5CF">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（4）技术履约验收内容：按照招标文件的质量要求和技术指标、供应商的投标文件及承诺与合同约定标准进行验收。 </w:t>
      </w:r>
    </w:p>
    <w:p w14:paraId="0454729B">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（5）商务履约验收内容：按照招标文件商务要求及供应商响应商务要求内容进行验收。 </w:t>
      </w:r>
    </w:p>
    <w:p w14:paraId="14E7105D">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（6）履约验收标准：按照政府采购相关法律法规、《财政部关于进一步加强政府采购需求和履约验收管理的指导意见》（财库〔2016〕205号）以及《政府采购需求管理办法》（财库〔2021〕22号）的要求进行验收。 </w:t>
      </w:r>
    </w:p>
    <w:p w14:paraId="259481F9">
      <w:p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履约验收其他事项：双方如对质量要求和技术指标的约定标准有相互抵触或异议的事项，由采购人在招标文件和供应商投标文件中按质量要求和技术指标比较优胜的原则确定该项的约定标准进行验收。其他未尽事宜将按照《财政部关于进一步加强政府采购需求和履约验收管理的指导意见》(财库 (2016) 205号)、《政府采购需求管理办法》(财库(2021) 22号)的要求及国家行业主管部门规定的标准、方法和内容进行验收。</w:t>
      </w:r>
    </w:p>
    <w:p w14:paraId="19450064">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包装</w:t>
      </w:r>
      <w:r>
        <w:rPr>
          <w:rFonts w:hint="eastAsia" w:ascii="宋体" w:hAnsi="宋体" w:eastAsia="宋体" w:cs="宋体"/>
          <w:b/>
          <w:bCs/>
          <w:color w:val="auto"/>
          <w:sz w:val="24"/>
          <w:szCs w:val="24"/>
          <w:highlight w:val="none"/>
          <w:lang w:val="en-US" w:eastAsia="zh-CN"/>
        </w:rPr>
        <w:t>方式及</w:t>
      </w:r>
      <w:r>
        <w:rPr>
          <w:rFonts w:hint="eastAsia" w:ascii="宋体" w:hAnsi="宋体" w:eastAsia="宋体" w:cs="宋体"/>
          <w:b/>
          <w:bCs/>
          <w:color w:val="auto"/>
          <w:sz w:val="24"/>
          <w:szCs w:val="24"/>
          <w:highlight w:val="none"/>
        </w:rPr>
        <w:t>运输：</w:t>
      </w:r>
    </w:p>
    <w:p w14:paraId="0F11E12B">
      <w:pPr>
        <w:tabs>
          <w:tab w:val="left" w:pos="7665"/>
        </w:tabs>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涉及的商品包装和快递包装，均应符合《商品包装政府采购需求标准（试行）》《快递包装政府采购需求标准（试行）》的要求，包装应适应于远距离运输、防潮、防震、防锈和防野蛮装卸，以确保货物安全无损运抵指定地点</w:t>
      </w:r>
      <w:r>
        <w:rPr>
          <w:rFonts w:hint="eastAsia" w:ascii="宋体" w:hAnsi="宋体" w:eastAsia="宋体" w:cs="宋体"/>
          <w:color w:val="auto"/>
          <w:sz w:val="24"/>
          <w:highlight w:val="none"/>
        </w:rPr>
        <w:t>。</w:t>
      </w:r>
    </w:p>
    <w:p w14:paraId="5DDED5A3">
      <w:pPr>
        <w:spacing w:line="360" w:lineRule="auto"/>
        <w:ind w:firstLine="482" w:firstLineChars="200"/>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lang w:val="en-US" w:eastAsia="zh-CN"/>
        </w:rPr>
        <w:t>6.质量保修范围和保修期：</w:t>
      </w:r>
      <w:r>
        <w:rPr>
          <w:rFonts w:hint="eastAsia" w:ascii="宋体" w:hAnsi="宋体" w:eastAsia="宋体" w:cs="宋体"/>
          <w:b w:val="0"/>
          <w:bCs w:val="0"/>
          <w:color w:val="auto"/>
          <w:sz w:val="24"/>
          <w:szCs w:val="24"/>
          <w:highlight w:val="none"/>
          <w:u w:val="none"/>
          <w:lang w:val="en-US" w:eastAsia="zh-CN"/>
        </w:rPr>
        <w:t>质保期不低于</w:t>
      </w:r>
      <w:r>
        <w:rPr>
          <w:rFonts w:hint="eastAsia" w:ascii="宋体" w:hAnsi="宋体" w:eastAsia="宋体" w:cs="宋体"/>
          <w:b/>
          <w:bCs/>
          <w:color w:val="auto"/>
          <w:sz w:val="24"/>
          <w:szCs w:val="24"/>
          <w:highlight w:val="none"/>
          <w:u w:val="none"/>
          <w:lang w:val="en-US" w:eastAsia="zh-CN"/>
        </w:rPr>
        <w:t>5</w:t>
      </w:r>
      <w:r>
        <w:rPr>
          <w:rFonts w:hint="eastAsia" w:ascii="宋体" w:hAnsi="宋体" w:eastAsia="宋体" w:cs="宋体"/>
          <w:b w:val="0"/>
          <w:bCs w:val="0"/>
          <w:color w:val="auto"/>
          <w:sz w:val="24"/>
          <w:szCs w:val="24"/>
          <w:highlight w:val="none"/>
          <w:u w:val="none"/>
          <w:lang w:val="en-US" w:eastAsia="zh-CN"/>
        </w:rPr>
        <w:t>年（合同签订后采购人出具验收报告之日起），范围：所有投标产品整机含所有部件（质保期内涉及维修、产品更换、人工费用等一切费用包含在此次报价中）。</w:t>
      </w:r>
    </w:p>
    <w:p w14:paraId="4A8FD98F">
      <w:pP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u w:val="none"/>
          <w:lang w:val="en-US" w:eastAsia="zh-CN"/>
        </w:rPr>
        <w:t>7.</w:t>
      </w:r>
      <w:r>
        <w:rPr>
          <w:rFonts w:hint="eastAsia" w:ascii="宋体" w:hAnsi="宋体" w:eastAsia="宋体" w:cs="宋体"/>
          <w:b/>
          <w:bCs/>
          <w:color w:val="auto"/>
          <w:sz w:val="24"/>
          <w:szCs w:val="24"/>
          <w:highlight w:val="none"/>
        </w:rPr>
        <w:t>安装调试：</w:t>
      </w:r>
    </w:p>
    <w:p w14:paraId="6C6C93A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中标人负责设备安装、调试。</w:t>
      </w:r>
    </w:p>
    <w:p w14:paraId="588094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bCs/>
          <w:color w:val="auto"/>
          <w:sz w:val="24"/>
          <w:highlight w:val="none"/>
        </w:rPr>
        <w:t>货物到达生产现场后，</w:t>
      </w:r>
      <w:r>
        <w:rPr>
          <w:rFonts w:hint="eastAsia" w:ascii="宋体" w:hAnsi="宋体" w:eastAsia="宋体" w:cs="宋体"/>
          <w:color w:val="auto"/>
          <w:sz w:val="24"/>
          <w:highlight w:val="none"/>
        </w:rPr>
        <w:t>中标人</w:t>
      </w:r>
      <w:r>
        <w:rPr>
          <w:rFonts w:hint="eastAsia" w:ascii="宋体" w:hAnsi="宋体" w:eastAsia="宋体" w:cs="宋体"/>
          <w:bCs/>
          <w:color w:val="auto"/>
          <w:sz w:val="24"/>
          <w:highlight w:val="none"/>
        </w:rPr>
        <w:t>接到采购人通知后到达现场组织安装、调试，达到正常运行要求，保证采购人正常使用。所需的费用包括在总价格中。</w:t>
      </w:r>
    </w:p>
    <w:p w14:paraId="52D9D63E">
      <w:pPr>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中标人应就设备的安装、调试、操作、维修、保养等对采购人维修技术人员进行培训。设备安装调试完毕后，中标人应对采购人操作人员进行现场培训，直</w:t>
      </w:r>
      <w:r>
        <w:rPr>
          <w:rFonts w:hint="eastAsia" w:ascii="宋体" w:hAnsi="宋体" w:eastAsia="宋体" w:cs="宋体"/>
          <w:color w:val="auto"/>
          <w:sz w:val="24"/>
          <w:szCs w:val="24"/>
          <w:highlight w:val="none"/>
        </w:rPr>
        <w:t>至采购人的操作人员能独立操作，维修技术人员能完成常见故障的维修排除。</w:t>
      </w:r>
    </w:p>
    <w:p w14:paraId="0D1271ED">
      <w:pPr>
        <w:spacing w:line="360" w:lineRule="auto"/>
        <w:ind w:firstLine="482" w:firstLineChars="20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8.违约责任与解决合同纠纷的方式（以下甲方是指采购人，乙方是指中标人）：</w:t>
      </w:r>
    </w:p>
    <w:p w14:paraId="057D1511">
      <w:pPr>
        <w:spacing w:line="360" w:lineRule="auto"/>
        <w:ind w:firstLine="482" w:firstLineChars="200"/>
        <w:jc w:val="left"/>
        <w:rPr>
          <w:rFonts w:hint="eastAsia" w:ascii="宋体" w:hAnsi="宋体" w:eastAsia="宋体" w:cs="宋体"/>
          <w:b/>
          <w:color w:val="auto"/>
          <w:spacing w:val="20"/>
          <w:sz w:val="24"/>
          <w:szCs w:val="24"/>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1）</w:t>
      </w:r>
      <w:r>
        <w:rPr>
          <w:rFonts w:hint="eastAsia" w:ascii="宋体" w:hAnsi="宋体" w:eastAsia="宋体" w:cs="宋体"/>
          <w:b/>
          <w:color w:val="auto"/>
          <w:spacing w:val="20"/>
          <w:sz w:val="24"/>
          <w:szCs w:val="24"/>
        </w:rPr>
        <w:t>违约责任</w:t>
      </w:r>
    </w:p>
    <w:p w14:paraId="292DA70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甲方无正当理由拒收设备的，甲方应向乙方偿付合同款总额30%的违约金。</w:t>
      </w:r>
    </w:p>
    <w:p w14:paraId="0CB818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甲方无正当理由未按时向乙方支付货款的，每逾1日，向乙方偿付应付款总额万分之二的违约金。</w:t>
      </w:r>
    </w:p>
    <w:p w14:paraId="0E00FD22">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乙方所交设备品种、质量等要求不符合合同规定标准的，甲方有权拒收。</w:t>
      </w:r>
    </w:p>
    <w:p w14:paraId="6941B93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乙方不能或不能完全履行合同时，乙方向甲方偿付合同款总额30%的违约金；违约金不足以弥补损失的，乙方同意将违约金数额调整为甲方损失。</w:t>
      </w:r>
    </w:p>
    <w:p w14:paraId="6AB80D4D">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乙方逾期交货时，每逾1日乙方向甲方偿付合同款总额万分之二的违约金。逾期交货超过15天的，甲方有权单方解除合同。</w:t>
      </w:r>
    </w:p>
    <w:p w14:paraId="167BC1B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乙方提供的设备不符合合同规定的，甲方在代保管期内实际发生的保管等费用及因采购方保管不善而发生的损失，应当由乙方承担。</w:t>
      </w:r>
    </w:p>
    <w:p w14:paraId="2550D55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在执行合同期限内，任何一方因不可抗力事件造成不能履行合同时，应立即通知对方，并寄送有关权威机构出具的证明材料，合同期可延长，其延长期与不可抗力影响期相同。不可抗力事件延续30天及以上，双方应另行协商，决定是否继续履行合同。</w:t>
      </w:r>
    </w:p>
    <w:p w14:paraId="339CD00B">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在产品验收合格后不按合同第二条约定履行售后服务，乙方赔偿甲方合同款总额20%的违约金；违约金不足以弥补损失的，乙方同意将违约金数额调整为甲方损失。</w:t>
      </w:r>
    </w:p>
    <w:p w14:paraId="3628A77C">
      <w:pPr>
        <w:spacing w:line="360" w:lineRule="auto"/>
        <w:ind w:firstLine="560"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spacing w:val="20"/>
          <w:sz w:val="24"/>
          <w:szCs w:val="24"/>
          <w:lang w:val="en-US" w:eastAsia="zh-CN"/>
        </w:rPr>
        <w:t>9</w:t>
      </w:r>
      <w:r>
        <w:rPr>
          <w:rFonts w:hint="eastAsia" w:ascii="宋体" w:hAnsi="宋体" w:eastAsia="宋体" w:cs="宋体"/>
          <w:spacing w:val="20"/>
          <w:sz w:val="24"/>
          <w:szCs w:val="24"/>
          <w:lang w:eastAsia="zh-CN"/>
        </w:rPr>
        <w:t>）</w:t>
      </w:r>
      <w:r>
        <w:rPr>
          <w:rFonts w:hint="eastAsia" w:ascii="宋体" w:hAnsi="宋体" w:eastAsia="宋体" w:cs="宋体"/>
          <w:kern w:val="0"/>
          <w:sz w:val="24"/>
          <w:szCs w:val="24"/>
        </w:rPr>
        <w:t>乙方应保证所售设备的合法合规性，保证本合同设备的权利无瑕疵，包括设备所有权及知识产权等权利无瑕疵。如任何第三方经法院（或仲裁机构）裁决有权对上述设备主张权利或国家机关对设备进行没收查处的，乙方除应向甲方返还已收款项及利息外，还应另按合同总价的百分之十向甲方支付违约金。</w:t>
      </w:r>
    </w:p>
    <w:p w14:paraId="2B7D5DA1">
      <w:pPr>
        <w:spacing w:line="360" w:lineRule="auto"/>
        <w:ind w:firstLine="482" w:firstLineChars="20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w:t>
      </w:r>
      <w:r>
        <w:rPr>
          <w:rFonts w:hint="eastAsia" w:ascii="宋体" w:hAnsi="宋体" w:eastAsia="宋体" w:cs="宋体"/>
          <w:b/>
          <w:bCs/>
          <w:color w:val="auto"/>
          <w:kern w:val="2"/>
          <w:sz w:val="24"/>
          <w:szCs w:val="24"/>
          <w:lang w:val="en-US" w:eastAsia="zh-CN" w:bidi="ar-SA"/>
        </w:rPr>
        <w:t>解决合同纠纷的方式</w:t>
      </w:r>
    </w:p>
    <w:p w14:paraId="635649A8">
      <w:pPr>
        <w:spacing w:line="360" w:lineRule="auto"/>
        <w:ind w:firstLine="560" w:firstLineChars="200"/>
        <w:outlineLvl w:val="9"/>
        <w:rPr>
          <w:rFonts w:hint="eastAsia" w:ascii="宋体" w:hAnsi="宋体" w:eastAsia="宋体" w:cs="宋体"/>
          <w:b w:val="0"/>
          <w:bCs w:val="0"/>
          <w:color w:val="auto"/>
          <w:sz w:val="24"/>
          <w:highlight w:val="none"/>
          <w:lang w:val="en-US" w:eastAsia="zh-CN"/>
        </w:rPr>
      </w:pPr>
      <w:r>
        <w:rPr>
          <w:rFonts w:hint="eastAsia" w:ascii="宋体" w:hAnsi="宋体" w:eastAsia="宋体" w:cs="宋体"/>
          <w:spacing w:val="20"/>
          <w:sz w:val="24"/>
          <w:szCs w:val="24"/>
          <w:lang w:val="en-US" w:eastAsia="zh-CN"/>
        </w:rPr>
        <w:t>1</w:t>
      </w:r>
      <w:r>
        <w:rPr>
          <w:rFonts w:hint="eastAsia" w:ascii="宋体" w:hAnsi="宋体" w:eastAsia="宋体" w:cs="宋体"/>
          <w:spacing w:val="20"/>
          <w:sz w:val="24"/>
          <w:szCs w:val="24"/>
          <w:lang w:eastAsia="zh-CN"/>
        </w:rPr>
        <w:t>）</w:t>
      </w:r>
      <w:r>
        <w:rPr>
          <w:rFonts w:hint="eastAsia" w:ascii="宋体" w:hAnsi="宋体" w:eastAsia="宋体" w:cs="宋体"/>
          <w:b w:val="0"/>
          <w:bCs w:val="0"/>
          <w:color w:val="auto"/>
          <w:sz w:val="24"/>
          <w:highlight w:val="none"/>
          <w:lang w:val="en-US" w:eastAsia="zh-CN"/>
        </w:rPr>
        <w:t>甲乙双方应严格遵守本合同约定的权利和义务，如有违背，承担违约责任。</w:t>
      </w:r>
    </w:p>
    <w:p w14:paraId="32F1E4B3">
      <w:pPr>
        <w:spacing w:line="360" w:lineRule="auto"/>
        <w:ind w:firstLine="560" w:firstLineChars="200"/>
        <w:outlineLvl w:val="9"/>
        <w:rPr>
          <w:rFonts w:hint="eastAsia" w:ascii="宋体" w:hAnsi="宋体" w:eastAsia="宋体" w:cs="宋体"/>
          <w:b w:val="0"/>
          <w:bCs w:val="0"/>
          <w:color w:val="auto"/>
          <w:sz w:val="24"/>
          <w:highlight w:val="none"/>
          <w:lang w:val="en-US" w:eastAsia="zh-CN"/>
        </w:rPr>
      </w:pPr>
      <w:r>
        <w:rPr>
          <w:rFonts w:hint="eastAsia" w:ascii="宋体" w:hAnsi="宋体" w:eastAsia="宋体" w:cs="宋体"/>
          <w:spacing w:val="20"/>
          <w:sz w:val="24"/>
          <w:szCs w:val="24"/>
          <w:lang w:val="en-US" w:eastAsia="zh-CN"/>
        </w:rPr>
        <w:t>2</w:t>
      </w:r>
      <w:r>
        <w:rPr>
          <w:rFonts w:hint="eastAsia" w:ascii="宋体" w:hAnsi="宋体" w:eastAsia="宋体" w:cs="宋体"/>
          <w:spacing w:val="20"/>
          <w:sz w:val="24"/>
          <w:szCs w:val="24"/>
          <w:lang w:eastAsia="zh-CN"/>
        </w:rPr>
        <w:t>）</w:t>
      </w:r>
      <w:r>
        <w:rPr>
          <w:rFonts w:hint="eastAsia" w:ascii="宋体" w:hAnsi="宋体" w:eastAsia="宋体" w:cs="宋体"/>
          <w:b w:val="0"/>
          <w:bCs w:val="0"/>
          <w:color w:val="auto"/>
          <w:sz w:val="24"/>
          <w:highlight w:val="none"/>
          <w:lang w:val="en-US" w:eastAsia="zh-CN"/>
        </w:rPr>
        <w:t>本合同执行过程中的有关争议协商无效而产生的纠纷，由甲方所在地法院审理。</w:t>
      </w:r>
    </w:p>
    <w:p w14:paraId="13CC2167">
      <w:pPr>
        <w:spacing w:line="360" w:lineRule="auto"/>
        <w:ind w:firstLine="482" w:firstLineChars="200"/>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9.专用耗材：</w:t>
      </w:r>
    </w:p>
    <w:p w14:paraId="561291D0">
      <w:pPr>
        <w:pStyle w:val="2"/>
        <w:spacing w:line="360" w:lineRule="auto"/>
        <w:ind w:firstLine="480" w:firstLineChars="200"/>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供应商提供的设备如涉及专用耗材，供应商须提供专用耗材清单及单价（不同设备分别提供，保证最低价，格式详见附件1），采购人在有采购专用耗材需求时按照清单中的单价进行结算，</w:t>
      </w:r>
      <w:r>
        <w:rPr>
          <w:rFonts w:hint="eastAsia" w:ascii="宋体" w:hAnsi="宋体" w:eastAsia="宋体" w:cs="宋体"/>
          <w:color w:val="auto"/>
          <w:kern w:val="2"/>
          <w:sz w:val="24"/>
          <w:szCs w:val="24"/>
          <w:highlight w:val="none"/>
          <w:lang w:val="en-US" w:eastAsia="zh-CN" w:bidi="ar"/>
        </w:rPr>
        <w:t>供货期限为签订合同后三年</w:t>
      </w:r>
      <w:r>
        <w:rPr>
          <w:rFonts w:hint="eastAsia" w:ascii="宋体" w:hAnsi="宋体" w:eastAsia="宋体" w:cs="宋体"/>
          <w:b w:val="0"/>
          <w:bCs w:val="0"/>
          <w:color w:val="auto"/>
          <w:sz w:val="24"/>
          <w:highlight w:val="none"/>
          <w:lang w:val="en-US" w:eastAsia="zh-CN"/>
        </w:rPr>
        <w:t>。若未提供专用耗材承诺函，视为该设备无专用耗材。（提供专用耗材清单及专用耗材承诺函（详见附件1）并加盖投标人公章，否则视为无效投标。不涉及专用耗材的不提供）</w:t>
      </w:r>
    </w:p>
    <w:p w14:paraId="3D444C22">
      <w:pPr>
        <w:pStyle w:val="2"/>
        <w:spacing w:line="360" w:lineRule="auto"/>
        <w:ind w:firstLine="482" w:firstLineChars="200"/>
        <w:outlineLvl w:val="1"/>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其他</w:t>
      </w:r>
      <w:r>
        <w:rPr>
          <w:rFonts w:hint="eastAsia" w:ascii="宋体" w:hAnsi="宋体" w:eastAsia="宋体" w:cs="宋体"/>
          <w:b/>
          <w:bCs/>
          <w:color w:val="auto"/>
          <w:sz w:val="24"/>
          <w:szCs w:val="24"/>
          <w:highlight w:val="none"/>
          <w:lang w:eastAsia="zh-CN"/>
        </w:rPr>
        <w:t>要求（</w:t>
      </w:r>
      <w:r>
        <w:rPr>
          <w:rFonts w:hint="eastAsia" w:ascii="宋体" w:hAnsi="宋体" w:eastAsia="宋体" w:cs="宋体"/>
          <w:b/>
          <w:bCs/>
          <w:color w:val="auto"/>
          <w:sz w:val="24"/>
          <w:szCs w:val="24"/>
          <w:highlight w:val="none"/>
          <w:lang w:val="en-US" w:eastAsia="zh-CN"/>
        </w:rPr>
        <w:t>各包均适用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本项内容对应招标文件第七章 评标办法 3.11.2.2综合评分明细表，不提供不影响投标文件的有效性</w:t>
      </w:r>
      <w:r>
        <w:rPr>
          <w:rFonts w:hint="eastAsia" w:ascii="宋体" w:hAnsi="宋体" w:eastAsia="宋体" w:cs="宋体"/>
          <w:b/>
          <w:bCs/>
          <w:color w:val="auto"/>
          <w:sz w:val="24"/>
          <w:szCs w:val="24"/>
          <w:highlight w:val="none"/>
          <w:lang w:eastAsia="zh-CN"/>
        </w:rPr>
        <w:t>）</w:t>
      </w:r>
    </w:p>
    <w:p w14:paraId="1D2C442B">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1.投标人针对本项目提供项目实施方案，包括</w:t>
      </w:r>
      <w:r>
        <w:rPr>
          <w:rFonts w:ascii="宋体" w:hAnsi="宋体" w:eastAsia="宋体" w:cs="宋体"/>
          <w:sz w:val="24"/>
          <w:szCs w:val="24"/>
        </w:rPr>
        <w:t>①工作安排（包含工作时间节点安排、工作阶段划分、工作程序）②项目组织方案③管理方案④安全保证措施⑤产品使用培训及日常维保方案</w:t>
      </w:r>
      <w:r>
        <w:rPr>
          <w:rFonts w:hint="eastAsia" w:ascii="宋体" w:hAnsi="宋体" w:eastAsia="宋体" w:cs="宋体"/>
          <w:color w:val="auto"/>
          <w:sz w:val="24"/>
          <w:szCs w:val="24"/>
          <w:lang w:eastAsia="zh-CN"/>
        </w:rPr>
        <w:t>。</w:t>
      </w:r>
    </w:p>
    <w:p w14:paraId="2DDCC99D">
      <w:pPr>
        <w:numPr>
          <w:ilvl w:val="0"/>
          <w:numId w:val="0"/>
        </w:num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val="en-US" w:eastAsia="zh-CN"/>
        </w:rPr>
        <w:t>2.投标人针对本项目提供售后服务方案，包括</w:t>
      </w:r>
      <w:r>
        <w:rPr>
          <w:rFonts w:ascii="宋体" w:hAnsi="宋体" w:eastAsia="宋体" w:cs="宋体"/>
          <w:sz w:val="24"/>
          <w:szCs w:val="24"/>
        </w:rPr>
        <w:t>①售后服务人员配置②项目培训方案③维修响应时间及备货措施④后期维护措施承诺</w:t>
      </w:r>
      <w:r>
        <w:rPr>
          <w:rFonts w:hint="eastAsia" w:ascii="宋体" w:hAnsi="宋体" w:eastAsia="宋体" w:cs="宋体"/>
          <w:color w:val="auto"/>
          <w:sz w:val="24"/>
          <w:szCs w:val="24"/>
          <w:lang w:eastAsia="zh-CN"/>
        </w:rPr>
        <w:t>。</w:t>
      </w:r>
    </w:p>
    <w:p w14:paraId="0F50085B">
      <w:pPr>
        <w:numPr>
          <w:ilvl w:val="0"/>
          <w:numId w:val="0"/>
        </w:numPr>
        <w:spacing w:line="360" w:lineRule="auto"/>
        <w:ind w:firstLine="480" w:firstLineChars="200"/>
        <w:rPr>
          <w:rFonts w:hint="eastAsia" w:ascii="宋体" w:hAnsi="宋体" w:eastAsia="宋体" w:cs="宋体"/>
          <w:b/>
          <w:bCs/>
          <w:color w:val="auto"/>
          <w:sz w:val="24"/>
        </w:rPr>
      </w:pPr>
      <w:r>
        <w:rPr>
          <w:rFonts w:hint="eastAsia" w:ascii="宋体" w:hAnsi="宋体" w:eastAsia="宋体" w:cs="宋体"/>
          <w:color w:val="auto"/>
          <w:sz w:val="24"/>
          <w:szCs w:val="24"/>
          <w:lang w:val="en-US" w:eastAsia="zh-CN"/>
        </w:rPr>
        <w:t>3.投标人提供2022年1月1日（含）至递交投标文件截止之日的类似项目业绩</w:t>
      </w:r>
      <w:r>
        <w:rPr>
          <w:rFonts w:hint="eastAsia" w:ascii="宋体" w:hAnsi="宋体" w:eastAsia="宋体" w:cs="宋体"/>
          <w:b w:val="0"/>
          <w:bCs w:val="0"/>
          <w:color w:val="auto"/>
          <w:sz w:val="24"/>
          <w:szCs w:val="24"/>
          <w:lang w:val="en-US" w:eastAsia="zh-CN"/>
        </w:rPr>
        <w:t>。</w:t>
      </w:r>
    </w:p>
    <w:p w14:paraId="428AC151">
      <w:pPr>
        <w:pStyle w:val="4"/>
        <w:numPr>
          <w:ilvl w:val="0"/>
          <w:numId w:val="0"/>
        </w:numPr>
        <w:spacing w:line="360" w:lineRule="auto"/>
        <w:ind w:left="0" w:leftChars="0" w:firstLine="482"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rPr>
        <w:t>注：</w:t>
      </w:r>
      <w:r>
        <w:rPr>
          <w:rFonts w:hint="eastAsia" w:ascii="宋体" w:hAnsi="宋体" w:eastAsia="宋体" w:cs="宋体"/>
          <w:b w:val="0"/>
          <w:bCs w:val="0"/>
          <w:color w:val="auto"/>
          <w:sz w:val="24"/>
          <w:highlight w:val="none"/>
          <w:lang w:val="en-US" w:eastAsia="zh-CN"/>
        </w:rPr>
        <w:t>1.本章标注“★”的内容为本次招标项目的实质性要求，不允许有负偏离。</w:t>
      </w:r>
    </w:p>
    <w:p w14:paraId="6AA8F020">
      <w:pPr>
        <w:pStyle w:val="4"/>
        <w:numPr>
          <w:ilvl w:val="0"/>
          <w:numId w:val="0"/>
        </w:numPr>
        <w:spacing w:line="360" w:lineRule="auto"/>
        <w:ind w:left="0" w:leftChars="0"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kern w:val="2"/>
          <w:sz w:val="24"/>
          <w:szCs w:val="24"/>
          <w:lang w:val="en-US" w:eastAsia="zh-CN" w:bidi="ar-SA"/>
        </w:rPr>
        <w:t>2.</w:t>
      </w:r>
      <w:r>
        <w:rPr>
          <w:rFonts w:hint="eastAsia" w:ascii="宋体" w:hAnsi="宋体" w:eastAsia="宋体" w:cs="宋体"/>
          <w:b w:val="0"/>
          <w:bCs w:val="0"/>
          <w:color w:val="auto"/>
          <w:sz w:val="24"/>
          <w:highlight w:val="none"/>
          <w:lang w:val="en-US" w:eastAsia="zh-CN"/>
        </w:rPr>
        <w:t>本章技术参数中有明确的证明材料要求的应提供对应证明材料，否则视为负偏离。</w:t>
      </w:r>
    </w:p>
    <w:p w14:paraId="5328CFD7">
      <w:pPr>
        <w:pStyle w:val="4"/>
        <w:numPr>
          <w:ilvl w:val="0"/>
          <w:numId w:val="0"/>
        </w:numPr>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yellow"/>
          <w:lang w:val="en-US" w:eastAsia="zh-CN" w:bidi="ar-SA"/>
        </w:rPr>
        <w:t>本章技术参数要求中标注“▲”的为本次招标项目的重要性条款</w:t>
      </w:r>
      <w:r>
        <w:rPr>
          <w:rFonts w:hint="eastAsia" w:ascii="宋体" w:hAnsi="宋体" w:eastAsia="宋体" w:cs="宋体"/>
          <w:b w:val="0"/>
          <w:bCs w:val="0"/>
          <w:color w:val="auto"/>
          <w:kern w:val="2"/>
          <w:sz w:val="24"/>
          <w:szCs w:val="24"/>
          <w:highlight w:val="none"/>
          <w:lang w:val="en-US" w:eastAsia="zh-CN" w:bidi="ar-SA"/>
        </w:rPr>
        <w:t>。投标人需提供国家认可的第三方检验机构出具的检验报告或厂家公开发布的彩页资料或重要功能截图予以佐证（具体技术参数中有明确的证明材料要求的以具体技术参数中的要求为准），如无佐证材料的，视为“▲”负偏离。</w:t>
      </w:r>
    </w:p>
    <w:p w14:paraId="4EA5B27E">
      <w:pPr>
        <w:pStyle w:val="4"/>
        <w:numPr>
          <w:ilvl w:val="0"/>
          <w:numId w:val="0"/>
        </w:numPr>
        <w:spacing w:line="360" w:lineRule="auto"/>
        <w:ind w:leftChars="0"/>
        <w:rPr>
          <w:rFonts w:hint="eastAsia" w:ascii="宋体" w:hAnsi="宋体" w:eastAsia="宋体" w:cs="宋体"/>
          <w:b w:val="0"/>
          <w:bCs w:val="0"/>
          <w:color w:val="auto"/>
          <w:kern w:val="2"/>
          <w:sz w:val="24"/>
          <w:szCs w:val="24"/>
          <w:highlight w:val="none"/>
          <w:lang w:val="en-US" w:eastAsia="zh-CN" w:bidi="ar-SA"/>
        </w:rPr>
        <w:sectPr>
          <w:pgSz w:w="11906" w:h="16838"/>
          <w:pgMar w:top="1440" w:right="1800" w:bottom="1440" w:left="1800" w:header="851" w:footer="992" w:gutter="0"/>
          <w:pgNumType w:fmt="decimal"/>
          <w:cols w:space="720" w:num="1"/>
          <w:docGrid w:type="lines" w:linePitch="312" w:charSpace="0"/>
        </w:sectPr>
      </w:pPr>
    </w:p>
    <w:p w14:paraId="27A9EB92">
      <w:pPr>
        <w:pStyle w:val="4"/>
        <w:numPr>
          <w:ilvl w:val="0"/>
          <w:numId w:val="0"/>
        </w:numPr>
        <w:spacing w:line="360" w:lineRule="auto"/>
        <w:ind w:leftChars="0"/>
        <w:rPr>
          <w:rFonts w:hint="eastAsia" w:ascii="宋体" w:hAnsi="宋体" w:eastAsia="宋体" w:cs="宋体"/>
          <w:b/>
          <w:bCs/>
          <w:kern w:val="2"/>
          <w:sz w:val="24"/>
          <w:szCs w:val="24"/>
          <w:highlight w:val="yellow"/>
        </w:rPr>
      </w:pPr>
      <w:r>
        <w:rPr>
          <w:rFonts w:hint="eastAsia" w:ascii="宋体" w:hAnsi="宋体" w:eastAsia="宋体" w:cs="宋体"/>
          <w:b/>
          <w:bCs/>
          <w:kern w:val="2"/>
          <w:sz w:val="24"/>
          <w:szCs w:val="24"/>
          <w:highlight w:val="yellow"/>
          <w:lang w:val="en-US" w:eastAsia="zh-CN" w:bidi="ar"/>
        </w:rPr>
        <w:t>附件1：专用耗材承诺函</w:t>
      </w:r>
      <w:r>
        <w:rPr>
          <w:rFonts w:hint="eastAsia" w:ascii="宋体" w:hAnsi="宋体" w:eastAsia="宋体" w:cs="宋体"/>
          <w:b/>
          <w:bCs/>
          <w:color w:val="FF0000"/>
          <w:kern w:val="2"/>
          <w:sz w:val="24"/>
          <w:szCs w:val="24"/>
          <w:highlight w:val="yellow"/>
          <w:lang w:val="en-US" w:eastAsia="zh-CN" w:bidi="ar"/>
        </w:rPr>
        <w:t>（仅适用于采购包1）</w:t>
      </w:r>
      <w:bookmarkStart w:id="4" w:name="_GoBack"/>
      <w:bookmarkEnd w:id="4"/>
    </w:p>
    <w:p w14:paraId="2F5D5EAC">
      <w:pPr>
        <w:keepNext w:val="0"/>
        <w:keepLines w:val="0"/>
        <w:widowControl w:val="0"/>
        <w:suppressLineNumbers w:val="0"/>
        <w:autoSpaceDE w:val="0"/>
        <w:autoSpaceDN/>
        <w:spacing w:before="0" w:beforeAutospacing="0" w:after="0" w:afterAutospacing="0" w:line="440" w:lineRule="exact"/>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四川大学华西第四医院、四川思渠国际招标有限公司：</w:t>
      </w:r>
    </w:p>
    <w:p w14:paraId="20F03223">
      <w:pPr>
        <w:keepNext w:val="0"/>
        <w:keepLines w:val="0"/>
        <w:widowControl w:val="0"/>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我公司所投</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设备涉及专用耗材，现提供专用耗材清单及单价，我公司承诺：采购人在有采购专用耗材需求时按照清单中的单价进行结算，供货期限为签订合同后三年。若未提供专用耗材承诺函，视为该设备无专用耗材。</w:t>
      </w:r>
    </w:p>
    <w:p w14:paraId="744FFCFC">
      <w:pPr>
        <w:keepNext w:val="0"/>
        <w:keepLines w:val="0"/>
        <w:widowControl w:val="0"/>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本公司对上述承诺的内容事项真实性负责。如经查实上述承诺的内容事项存在虚假，我公司愿意接受以提供虚假材料谋取中标追究法律责任。</w:t>
      </w:r>
    </w:p>
    <w:p w14:paraId="3E7BF642">
      <w:pPr>
        <w:pStyle w:val="6"/>
        <w:widowControl/>
        <w:spacing w:line="360" w:lineRule="auto"/>
        <w:ind w:left="0" w:firstLine="480" w:firstLineChars="200"/>
        <w:jc w:val="left"/>
        <w:rPr>
          <w:rFonts w:hint="eastAsia" w:ascii="宋体" w:hAnsi="宋体" w:eastAsia="宋体" w:cs="宋体"/>
          <w:kern w:val="2"/>
          <w:sz w:val="24"/>
          <w:szCs w:val="24"/>
        </w:rPr>
      </w:pPr>
    </w:p>
    <w:p w14:paraId="30D1D426">
      <w:pPr>
        <w:pStyle w:val="6"/>
        <w:widowControl/>
        <w:spacing w:line="360" w:lineRule="auto"/>
        <w:ind w:lef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rPr>
        <w:t>投标人名称：                        （盖单位公章）</w:t>
      </w:r>
    </w:p>
    <w:p w14:paraId="39629648">
      <w:pPr>
        <w:pStyle w:val="6"/>
        <w:widowControl/>
        <w:spacing w:line="360" w:lineRule="auto"/>
        <w:ind w:lef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rPr>
        <w:t xml:space="preserve">法定代表人（负责人）或授权代表（签字或加盖个人名章）：       </w:t>
      </w:r>
    </w:p>
    <w:p w14:paraId="00C8B91D">
      <w:pPr>
        <w:pStyle w:val="6"/>
        <w:widowControl/>
        <w:spacing w:line="360" w:lineRule="auto"/>
        <w:ind w:lef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rPr>
        <w:t>日    期：       年     月     日</w:t>
      </w:r>
    </w:p>
    <w:p w14:paraId="650325CB">
      <w:pPr>
        <w:pStyle w:val="6"/>
        <w:widowControl/>
        <w:ind w:left="0" w:firstLine="0" w:firstLineChars="0"/>
        <w:jc w:val="center"/>
        <w:rPr>
          <w:rFonts w:hint="eastAsia" w:ascii="宋体" w:hAnsi="宋体" w:eastAsia="宋体" w:cs="宋体"/>
          <w:b/>
          <w:bCs/>
          <w:kern w:val="2"/>
          <w:sz w:val="24"/>
          <w:szCs w:val="24"/>
        </w:rPr>
      </w:pPr>
    </w:p>
    <w:p w14:paraId="5E386713">
      <w:pPr>
        <w:pStyle w:val="6"/>
        <w:widowControl/>
        <w:ind w:left="0" w:firstLine="0" w:firstLineChars="0"/>
        <w:jc w:val="center"/>
        <w:rPr>
          <w:rFonts w:hint="eastAsia" w:ascii="宋体" w:hAnsi="宋体" w:eastAsia="宋体" w:cs="宋体"/>
          <w:b/>
          <w:bCs/>
          <w:kern w:val="2"/>
          <w:sz w:val="24"/>
          <w:szCs w:val="24"/>
        </w:rPr>
      </w:pPr>
      <w:r>
        <w:rPr>
          <w:rFonts w:hint="eastAsia" w:ascii="宋体" w:hAnsi="宋体" w:eastAsia="宋体" w:cs="宋体"/>
          <w:b/>
          <w:bCs/>
          <w:kern w:val="2"/>
          <w:sz w:val="24"/>
          <w:szCs w:val="24"/>
        </w:rPr>
        <w:t>专用耗材清单</w:t>
      </w:r>
    </w:p>
    <w:p w14:paraId="5C3A360A">
      <w:pPr>
        <w:pStyle w:val="6"/>
        <w:widowControl/>
        <w:ind w:left="0" w:firstLine="0" w:firstLineChars="0"/>
        <w:jc w:val="left"/>
        <w:rPr>
          <w:rFonts w:hint="eastAsia" w:ascii="宋体" w:hAnsi="宋体" w:eastAsia="宋体" w:cs="宋体"/>
          <w:b/>
          <w:bCs/>
          <w:kern w:val="2"/>
          <w:sz w:val="24"/>
          <w:szCs w:val="24"/>
        </w:rPr>
      </w:pPr>
      <w:r>
        <w:rPr>
          <w:rFonts w:hint="eastAsia" w:ascii="宋体" w:hAnsi="宋体" w:eastAsia="宋体" w:cs="宋体"/>
          <w:b/>
          <w:bCs/>
          <w:kern w:val="2"/>
          <w:sz w:val="24"/>
          <w:szCs w:val="24"/>
        </w:rPr>
        <w:t>投标设备1名称：XX</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245"/>
        <w:gridCol w:w="1570"/>
        <w:gridCol w:w="1241"/>
        <w:gridCol w:w="1241"/>
        <w:gridCol w:w="535"/>
        <w:gridCol w:w="1062"/>
        <w:gridCol w:w="1090"/>
      </w:tblGrid>
      <w:tr w14:paraId="7467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3B853D71">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序号</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6BE32F8D">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专用耗材名称</w:t>
            </w:r>
          </w:p>
        </w:tc>
        <w:tc>
          <w:tcPr>
            <w:tcW w:w="921" w:type="pct"/>
            <w:tcBorders>
              <w:top w:val="single" w:color="auto" w:sz="4" w:space="0"/>
              <w:left w:val="single" w:color="auto" w:sz="4" w:space="0"/>
              <w:bottom w:val="single" w:color="auto" w:sz="4" w:space="0"/>
              <w:right w:val="single" w:color="auto" w:sz="4" w:space="0"/>
            </w:tcBorders>
            <w:noWrap w:val="0"/>
            <w:vAlign w:val="center"/>
          </w:tcPr>
          <w:p w14:paraId="77C59CB3">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注册证号</w:t>
            </w:r>
          </w:p>
          <w:p w14:paraId="00A6CABA">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/备案证号</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261C4BDF">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制造商家</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5E1F96A7">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规格型号</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133A1516">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单位</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1D610BFF">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单价（元）</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08865D59">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bidi="ar"/>
              </w:rPr>
              <w:t>是否挂网</w:t>
            </w:r>
          </w:p>
        </w:tc>
      </w:tr>
      <w:tr w14:paraId="5A43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314" w:type="pct"/>
            <w:tcBorders>
              <w:top w:val="single" w:color="auto" w:sz="4" w:space="0"/>
              <w:left w:val="single" w:color="auto" w:sz="4" w:space="0"/>
              <w:bottom w:val="single" w:color="auto" w:sz="4" w:space="0"/>
              <w:right w:val="single" w:color="auto" w:sz="4" w:space="0"/>
            </w:tcBorders>
            <w:noWrap w:val="0"/>
            <w:vAlign w:val="center"/>
          </w:tcPr>
          <w:p w14:paraId="1879C25A">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40AFDF12">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7D576DE1">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248C38E3">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1DB99514">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659F7391">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53301500">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1DC3E36D">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r>
      <w:tr w14:paraId="739BA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7CA31BA8">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46888722">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1B40A976">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2EF8F19E">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205429B6">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3F604167">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688EBD55">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2FA3D162">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r>
      <w:tr w14:paraId="0499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550516BC">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3</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3B6EDF4A">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5F4B6C29">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012961F1">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178B864A">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5B4E8237">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39C91ACD">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46C2B66A">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r>
      <w:tr w14:paraId="1712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2B8CCA3E">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404DCF10">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213D21A1">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535216E5">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3B64EB99">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5F8EAC68">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3BE8DA35">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4FCCDAA1">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r>
      <w:tr w14:paraId="0901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4B13DD55">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730" w:type="pct"/>
            <w:tcBorders>
              <w:top w:val="single" w:color="auto" w:sz="4" w:space="0"/>
              <w:left w:val="single" w:color="auto" w:sz="4" w:space="0"/>
              <w:bottom w:val="single" w:color="auto" w:sz="4" w:space="0"/>
              <w:right w:val="single" w:color="auto" w:sz="4" w:space="0"/>
            </w:tcBorders>
            <w:noWrap w:val="0"/>
            <w:vAlign w:val="center"/>
          </w:tcPr>
          <w:p w14:paraId="34EBDF7B">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7BAFE7A5">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19ADEA4B">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7D090806">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019A4ED5">
            <w:pPr>
              <w:keepNext w:val="0"/>
              <w:keepLines w:val="0"/>
              <w:widowControl w:val="0"/>
              <w:suppressLineNumbers w:val="0"/>
              <w:spacing w:before="0" w:beforeAutospacing="0" w:after="0" w:afterAutospacing="0" w:line="460" w:lineRule="exact"/>
              <w:ind w:left="0" w:right="0"/>
              <w:jc w:val="center"/>
              <w:rPr>
                <w:rFonts w:hint="eastAsia" w:ascii="宋体" w:hAnsi="宋体" w:eastAsia="宋体" w:cs="宋体"/>
                <w:kern w:val="0"/>
                <w:sz w:val="24"/>
                <w:szCs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2384F39B">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1D473F12">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kern w:val="0"/>
                <w:sz w:val="24"/>
                <w:szCs w:val="24"/>
              </w:rPr>
            </w:pPr>
          </w:p>
        </w:tc>
      </w:tr>
    </w:tbl>
    <w:p w14:paraId="376DE10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911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napToGrid w:val="0"/>
      <w:spacing w:line="440" w:lineRule="exact"/>
    </w:pPr>
    <w:rPr>
      <w:rFonts w:ascii="Times New Roman" w:eastAsia="Times New Roman"/>
      <w:sz w:val="20"/>
    </w:rPr>
  </w:style>
  <w:style w:type="paragraph" w:styleId="4">
    <w:name w:val="Normal Indent"/>
    <w:basedOn w:val="1"/>
    <w:qFormat/>
    <w:uiPriority w:val="0"/>
    <w:pPr>
      <w:ind w:firstLine="200" w:firstLineChars="200"/>
    </w:pPr>
  </w:style>
  <w:style w:type="paragraph" w:styleId="5">
    <w:name w:val="annotation text"/>
    <w:basedOn w:val="1"/>
    <w:uiPriority w:val="0"/>
    <w:pPr>
      <w:jc w:val="left"/>
    </w:pPr>
  </w:style>
  <w:style w:type="paragraph" w:styleId="6">
    <w:name w:val="Body Text First Indent"/>
    <w:basedOn w:val="2"/>
    <w:next w:val="7"/>
    <w:unhideWhenUsed/>
    <w:qFormat/>
    <w:uiPriority w:val="99"/>
    <w:pPr>
      <w:ind w:firstLine="420" w:firstLineChars="100"/>
    </w:pPr>
  </w:style>
  <w:style w:type="paragraph" w:customStyle="1" w:styleId="7">
    <w:name w:val="段落正文"/>
    <w:basedOn w:val="1"/>
    <w:qFormat/>
    <w:uiPriority w:val="99"/>
    <w:pPr>
      <w:spacing w:beforeLines="50" w:line="360" w:lineRule="auto"/>
      <w:ind w:firstLine="200" w:firstLineChars="200"/>
    </w:pPr>
    <w:rPr>
      <w:spacing w:val="2"/>
      <w:sz w:val="24"/>
      <w:szCs w:val="20"/>
    </w:rPr>
  </w:style>
  <w:style w:type="paragraph" w:customStyle="1" w:styleId="10">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2025-10-27T09:57:04Z</dcterms:created>
  <dc:creator>Administrator</dc:creator>
  <cp:lastModifiedBy>Samuel Wong</cp:lastModifiedBy>
  <dcterms:modified xsi:type="dcterms:W3CDTF">2025-10-27T10:01:07Z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eyJoZGlkIjoiZmNlYTkyM2I2NWY5YjI4YTE3NmFkZDM3ZDc1NzU1NmMiLCJ1c2VySWQiOiI0OTcxMjA5MjUifQ==</vt:lpwstr>
  </property>
  <property fmtid="{D5CDD505-2E9C-101B-9397-08002B2CF9AE}" pid="4" name="ICV">
    <vt:lpwstr>F8E9917332094330A504502D5BB80A2E_12</vt:lpwstr>
  </property>
</Properties>
</file>