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065C0" w14:textId="77777777" w:rsidR="003E73A5" w:rsidRDefault="00000000">
      <w:pPr>
        <w:keepNext/>
        <w:keepLines/>
        <w:spacing w:before="240" w:after="240"/>
        <w:ind w:left="563" w:firstLine="288"/>
        <w:jc w:val="center"/>
        <w:outlineLvl w:val="0"/>
        <w:rPr>
          <w:rFonts w:ascii="黑体" w:eastAsia="黑体" w:hAnsi="黑体" w:cs="宋体"/>
          <w:bCs/>
          <w:color w:val="000000"/>
          <w:kern w:val="44"/>
          <w:sz w:val="44"/>
          <w:szCs w:val="44"/>
        </w:rPr>
      </w:pPr>
      <w:r>
        <w:rPr>
          <w:rFonts w:ascii="黑体" w:eastAsia="黑体" w:hAnsi="黑体" w:cs="宋体" w:hint="eastAsia"/>
          <w:bCs/>
          <w:color w:val="000000"/>
          <w:kern w:val="44"/>
          <w:sz w:val="44"/>
          <w:szCs w:val="44"/>
        </w:rPr>
        <w:t>国家知识产权局专利局客</w:t>
      </w:r>
      <w:proofErr w:type="gramStart"/>
      <w:r>
        <w:rPr>
          <w:rFonts w:ascii="黑体" w:eastAsia="黑体" w:hAnsi="黑体" w:cs="宋体" w:hint="eastAsia"/>
          <w:bCs/>
          <w:color w:val="000000"/>
          <w:kern w:val="44"/>
          <w:sz w:val="44"/>
          <w:szCs w:val="44"/>
        </w:rPr>
        <w:t>服中心</w:t>
      </w:r>
      <w:proofErr w:type="gramEnd"/>
      <w:r>
        <w:rPr>
          <w:rFonts w:ascii="黑体" w:eastAsia="黑体" w:hAnsi="黑体" w:cs="宋体" w:hint="eastAsia"/>
          <w:bCs/>
          <w:color w:val="000000"/>
          <w:kern w:val="44"/>
          <w:sz w:val="44"/>
          <w:szCs w:val="44"/>
        </w:rPr>
        <w:t>对外咨询服务委托项目采购需求</w:t>
      </w:r>
    </w:p>
    <w:p w14:paraId="1EEC5A7B" w14:textId="77777777" w:rsidR="003E73A5" w:rsidRPr="00D21EA1" w:rsidRDefault="003E73A5">
      <w:pPr>
        <w:pStyle w:val="a0"/>
        <w:rPr>
          <w:rFonts w:asciiTheme="minorEastAsia" w:hAnsiTheme="minorEastAsia"/>
          <w:szCs w:val="24"/>
        </w:rPr>
      </w:pPr>
      <w:bookmarkStart w:id="0" w:name="_Hlk162444292"/>
    </w:p>
    <w:p w14:paraId="6C57F174" w14:textId="77777777" w:rsidR="003E73A5" w:rsidRPr="00D21EA1" w:rsidRDefault="00000000">
      <w:pPr>
        <w:keepNext/>
        <w:keepLines/>
        <w:spacing w:beforeLines="50" w:before="156" w:afterLines="50" w:after="156"/>
        <w:outlineLvl w:val="0"/>
        <w:rPr>
          <w:rFonts w:asciiTheme="minorEastAsia" w:hAnsiTheme="minorEastAsia"/>
          <w:b/>
          <w:bCs/>
          <w:kern w:val="44"/>
          <w:sz w:val="24"/>
          <w:szCs w:val="24"/>
        </w:rPr>
      </w:pPr>
      <w:r w:rsidRPr="00D21EA1">
        <w:rPr>
          <w:rFonts w:asciiTheme="minorEastAsia" w:hAnsiTheme="minorEastAsia" w:hint="eastAsia"/>
          <w:b/>
          <w:bCs/>
          <w:kern w:val="44"/>
          <w:sz w:val="24"/>
          <w:szCs w:val="24"/>
        </w:rPr>
        <w:t>一、项目要求</w:t>
      </w:r>
    </w:p>
    <w:p w14:paraId="04D6E801" w14:textId="77777777" w:rsidR="003E73A5" w:rsidRPr="00D21EA1" w:rsidRDefault="00000000">
      <w:pPr>
        <w:keepNext/>
        <w:keepLines/>
        <w:numPr>
          <w:ilvl w:val="0"/>
          <w:numId w:val="1"/>
        </w:numPr>
        <w:spacing w:before="260" w:after="260"/>
        <w:outlineLvl w:val="1"/>
        <w:rPr>
          <w:rFonts w:asciiTheme="minorEastAsia" w:hAnsiTheme="minorEastAsia"/>
          <w:b/>
          <w:bCs/>
          <w:sz w:val="24"/>
          <w:szCs w:val="24"/>
        </w:rPr>
      </w:pPr>
      <w:bookmarkStart w:id="1" w:name="_Toc493250785"/>
      <w:bookmarkStart w:id="2" w:name="_Toc492563802"/>
      <w:r w:rsidRPr="00D21EA1">
        <w:rPr>
          <w:rFonts w:asciiTheme="minorEastAsia" w:hAnsiTheme="minorEastAsia" w:hint="eastAsia"/>
          <w:b/>
          <w:bCs/>
          <w:sz w:val="24"/>
          <w:szCs w:val="24"/>
        </w:rPr>
        <w:t>项目应遵循的标准</w:t>
      </w:r>
      <w:bookmarkEnd w:id="1"/>
      <w:bookmarkEnd w:id="2"/>
    </w:p>
    <w:p w14:paraId="438F2164"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服务期间，应遵循下表所示标准或规范：</w:t>
      </w:r>
    </w:p>
    <w:tbl>
      <w:tblPr>
        <w:tblW w:w="822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4818"/>
        <w:gridCol w:w="992"/>
      </w:tblGrid>
      <w:tr w:rsidR="003E73A5" w:rsidRPr="00D21EA1" w14:paraId="6A749B9B" w14:textId="77777777">
        <w:trPr>
          <w:trHeight w:val="1106"/>
        </w:trPr>
        <w:tc>
          <w:tcPr>
            <w:tcW w:w="567" w:type="dxa"/>
            <w:tcBorders>
              <w:top w:val="single" w:sz="4" w:space="0" w:color="auto"/>
              <w:left w:val="single" w:sz="4" w:space="0" w:color="auto"/>
              <w:bottom w:val="single" w:sz="4" w:space="0" w:color="auto"/>
              <w:right w:val="single" w:sz="4" w:space="0" w:color="auto"/>
            </w:tcBorders>
            <w:shd w:val="clear" w:color="auto" w:fill="BFBFBF"/>
          </w:tcPr>
          <w:p w14:paraId="6500C78D"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序号</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69F45E56"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服务标准或规范编号</w:t>
            </w:r>
          </w:p>
        </w:tc>
        <w:tc>
          <w:tcPr>
            <w:tcW w:w="4818" w:type="dxa"/>
            <w:tcBorders>
              <w:top w:val="single" w:sz="4" w:space="0" w:color="auto"/>
              <w:left w:val="single" w:sz="4" w:space="0" w:color="auto"/>
              <w:bottom w:val="single" w:sz="4" w:space="0" w:color="auto"/>
              <w:right w:val="single" w:sz="4" w:space="0" w:color="auto"/>
            </w:tcBorders>
            <w:shd w:val="clear" w:color="auto" w:fill="BFBFBF"/>
            <w:vAlign w:val="center"/>
          </w:tcPr>
          <w:p w14:paraId="5ED3FB95" w14:textId="77777777" w:rsidR="003E73A5" w:rsidRPr="00D21EA1" w:rsidRDefault="00000000">
            <w:pPr>
              <w:ind w:firstLineChars="200" w:firstLine="480"/>
              <w:jc w:val="center"/>
              <w:rPr>
                <w:rFonts w:asciiTheme="minorEastAsia" w:hAnsiTheme="minorEastAsia"/>
                <w:sz w:val="24"/>
                <w:szCs w:val="24"/>
              </w:rPr>
            </w:pPr>
            <w:r w:rsidRPr="00D21EA1">
              <w:rPr>
                <w:rFonts w:asciiTheme="minorEastAsia" w:hAnsiTheme="minorEastAsia" w:hint="eastAsia"/>
                <w:sz w:val="24"/>
                <w:szCs w:val="24"/>
              </w:rPr>
              <w:t>服务标准或规范名称</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5676404"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备注</w:t>
            </w:r>
          </w:p>
        </w:tc>
      </w:tr>
      <w:tr w:rsidR="003E73A5" w:rsidRPr="00D21EA1" w14:paraId="4CEB2AFC" w14:textId="77777777">
        <w:trPr>
          <w:trHeight w:val="628"/>
        </w:trPr>
        <w:tc>
          <w:tcPr>
            <w:tcW w:w="567" w:type="dxa"/>
            <w:tcBorders>
              <w:top w:val="single" w:sz="4" w:space="0" w:color="auto"/>
              <w:left w:val="single" w:sz="4" w:space="0" w:color="auto"/>
              <w:bottom w:val="single" w:sz="4" w:space="0" w:color="auto"/>
              <w:right w:val="single" w:sz="4" w:space="0" w:color="auto"/>
            </w:tcBorders>
            <w:vAlign w:val="center"/>
          </w:tcPr>
          <w:p w14:paraId="16828551"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1</w:t>
            </w:r>
          </w:p>
        </w:tc>
        <w:tc>
          <w:tcPr>
            <w:tcW w:w="1843" w:type="dxa"/>
            <w:tcBorders>
              <w:top w:val="single" w:sz="4" w:space="0" w:color="auto"/>
              <w:left w:val="single" w:sz="4" w:space="0" w:color="auto"/>
              <w:bottom w:val="single" w:sz="4" w:space="0" w:color="auto"/>
              <w:right w:val="single" w:sz="4" w:space="0" w:color="auto"/>
            </w:tcBorders>
            <w:vAlign w:val="center"/>
          </w:tcPr>
          <w:p w14:paraId="28413F81" w14:textId="77777777" w:rsidR="003E73A5" w:rsidRPr="00D21EA1" w:rsidRDefault="003E73A5">
            <w:pPr>
              <w:rPr>
                <w:rFonts w:asciiTheme="minorEastAsia" w:hAnsiTheme="minorEastAsia"/>
                <w:sz w:val="24"/>
                <w:szCs w:val="24"/>
              </w:rPr>
            </w:pPr>
          </w:p>
        </w:tc>
        <w:tc>
          <w:tcPr>
            <w:tcW w:w="4818" w:type="dxa"/>
            <w:tcBorders>
              <w:top w:val="single" w:sz="4" w:space="0" w:color="auto"/>
              <w:left w:val="single" w:sz="4" w:space="0" w:color="auto"/>
              <w:bottom w:val="single" w:sz="4" w:space="0" w:color="auto"/>
              <w:right w:val="single" w:sz="4" w:space="0" w:color="auto"/>
            </w:tcBorders>
            <w:vAlign w:val="center"/>
          </w:tcPr>
          <w:p w14:paraId="6A2E11DA"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中华人民共和国专利法</w:t>
            </w:r>
          </w:p>
        </w:tc>
        <w:tc>
          <w:tcPr>
            <w:tcW w:w="992" w:type="dxa"/>
            <w:tcBorders>
              <w:top w:val="single" w:sz="4" w:space="0" w:color="auto"/>
              <w:left w:val="single" w:sz="4" w:space="0" w:color="auto"/>
              <w:bottom w:val="single" w:sz="4" w:space="0" w:color="auto"/>
              <w:right w:val="single" w:sz="4" w:space="0" w:color="auto"/>
            </w:tcBorders>
            <w:vAlign w:val="center"/>
          </w:tcPr>
          <w:p w14:paraId="046FB7CF" w14:textId="77777777" w:rsidR="003E73A5" w:rsidRPr="00D21EA1" w:rsidRDefault="003E73A5">
            <w:pPr>
              <w:ind w:firstLineChars="200" w:firstLine="480"/>
              <w:jc w:val="center"/>
              <w:rPr>
                <w:rFonts w:asciiTheme="minorEastAsia" w:hAnsiTheme="minorEastAsia"/>
                <w:sz w:val="24"/>
                <w:szCs w:val="24"/>
              </w:rPr>
            </w:pPr>
          </w:p>
        </w:tc>
      </w:tr>
      <w:tr w:rsidR="003E73A5" w:rsidRPr="00D21EA1" w14:paraId="7993F0E8" w14:textId="77777777">
        <w:trPr>
          <w:trHeight w:val="533"/>
        </w:trPr>
        <w:tc>
          <w:tcPr>
            <w:tcW w:w="567" w:type="dxa"/>
            <w:tcBorders>
              <w:top w:val="single" w:sz="4" w:space="0" w:color="auto"/>
              <w:left w:val="single" w:sz="4" w:space="0" w:color="auto"/>
              <w:bottom w:val="single" w:sz="4" w:space="0" w:color="auto"/>
              <w:right w:val="single" w:sz="4" w:space="0" w:color="auto"/>
            </w:tcBorders>
            <w:vAlign w:val="center"/>
          </w:tcPr>
          <w:p w14:paraId="74DCD485"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2</w:t>
            </w:r>
          </w:p>
        </w:tc>
        <w:tc>
          <w:tcPr>
            <w:tcW w:w="1843" w:type="dxa"/>
            <w:tcBorders>
              <w:top w:val="single" w:sz="4" w:space="0" w:color="auto"/>
              <w:left w:val="single" w:sz="4" w:space="0" w:color="auto"/>
              <w:bottom w:val="single" w:sz="4" w:space="0" w:color="auto"/>
              <w:right w:val="single" w:sz="4" w:space="0" w:color="auto"/>
            </w:tcBorders>
            <w:vAlign w:val="center"/>
          </w:tcPr>
          <w:p w14:paraId="56D1DD63" w14:textId="77777777" w:rsidR="003E73A5" w:rsidRPr="00D21EA1" w:rsidRDefault="003E73A5">
            <w:pPr>
              <w:rPr>
                <w:rFonts w:asciiTheme="minorEastAsia" w:hAnsiTheme="minorEastAsia"/>
                <w:sz w:val="24"/>
                <w:szCs w:val="24"/>
              </w:rPr>
            </w:pPr>
          </w:p>
        </w:tc>
        <w:tc>
          <w:tcPr>
            <w:tcW w:w="4818" w:type="dxa"/>
            <w:tcBorders>
              <w:top w:val="single" w:sz="4" w:space="0" w:color="auto"/>
              <w:left w:val="single" w:sz="4" w:space="0" w:color="auto"/>
              <w:bottom w:val="single" w:sz="4" w:space="0" w:color="auto"/>
              <w:right w:val="single" w:sz="4" w:space="0" w:color="auto"/>
            </w:tcBorders>
            <w:vAlign w:val="center"/>
          </w:tcPr>
          <w:p w14:paraId="4C270E88" w14:textId="77777777" w:rsidR="003E73A5" w:rsidRPr="00D21EA1" w:rsidRDefault="00000000">
            <w:pPr>
              <w:jc w:val="left"/>
              <w:rPr>
                <w:rFonts w:asciiTheme="minorEastAsia" w:hAnsiTheme="minorEastAsia"/>
                <w:sz w:val="24"/>
                <w:szCs w:val="24"/>
              </w:rPr>
            </w:pPr>
            <w:r w:rsidRPr="00D21EA1">
              <w:rPr>
                <w:rFonts w:asciiTheme="minorEastAsia" w:hAnsiTheme="minorEastAsia" w:hint="eastAsia"/>
                <w:sz w:val="24"/>
                <w:szCs w:val="24"/>
              </w:rPr>
              <w:t>中华人民共和国专利法实施细则</w:t>
            </w:r>
          </w:p>
        </w:tc>
        <w:tc>
          <w:tcPr>
            <w:tcW w:w="992" w:type="dxa"/>
            <w:tcBorders>
              <w:top w:val="single" w:sz="4" w:space="0" w:color="auto"/>
              <w:left w:val="single" w:sz="4" w:space="0" w:color="auto"/>
              <w:bottom w:val="single" w:sz="4" w:space="0" w:color="auto"/>
              <w:right w:val="single" w:sz="4" w:space="0" w:color="auto"/>
            </w:tcBorders>
            <w:vAlign w:val="center"/>
          </w:tcPr>
          <w:p w14:paraId="11656302" w14:textId="77777777" w:rsidR="003E73A5" w:rsidRPr="00D21EA1" w:rsidRDefault="003E73A5">
            <w:pPr>
              <w:ind w:firstLineChars="200" w:firstLine="480"/>
              <w:jc w:val="center"/>
              <w:rPr>
                <w:rFonts w:asciiTheme="minorEastAsia" w:hAnsiTheme="minorEastAsia"/>
                <w:sz w:val="24"/>
                <w:szCs w:val="24"/>
              </w:rPr>
            </w:pPr>
          </w:p>
        </w:tc>
      </w:tr>
      <w:tr w:rsidR="003E73A5" w:rsidRPr="00D21EA1" w14:paraId="1344AC6A" w14:textId="77777777">
        <w:trPr>
          <w:trHeight w:val="533"/>
        </w:trPr>
        <w:tc>
          <w:tcPr>
            <w:tcW w:w="567" w:type="dxa"/>
            <w:tcBorders>
              <w:top w:val="single" w:sz="4" w:space="0" w:color="auto"/>
              <w:left w:val="single" w:sz="4" w:space="0" w:color="auto"/>
              <w:bottom w:val="single" w:sz="4" w:space="0" w:color="auto"/>
              <w:right w:val="single" w:sz="4" w:space="0" w:color="auto"/>
            </w:tcBorders>
            <w:vAlign w:val="center"/>
          </w:tcPr>
          <w:p w14:paraId="3B8DE26D"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3</w:t>
            </w:r>
          </w:p>
        </w:tc>
        <w:tc>
          <w:tcPr>
            <w:tcW w:w="1843" w:type="dxa"/>
            <w:tcBorders>
              <w:top w:val="single" w:sz="4" w:space="0" w:color="auto"/>
              <w:left w:val="single" w:sz="4" w:space="0" w:color="auto"/>
              <w:bottom w:val="single" w:sz="4" w:space="0" w:color="auto"/>
              <w:right w:val="single" w:sz="4" w:space="0" w:color="auto"/>
            </w:tcBorders>
          </w:tcPr>
          <w:p w14:paraId="4D344A09" w14:textId="77777777" w:rsidR="003E73A5" w:rsidRPr="00D21EA1" w:rsidRDefault="003E73A5">
            <w:pPr>
              <w:rPr>
                <w:rFonts w:asciiTheme="minorEastAsia" w:hAnsiTheme="minorEastAsia"/>
                <w:sz w:val="24"/>
                <w:szCs w:val="24"/>
              </w:rPr>
            </w:pPr>
          </w:p>
        </w:tc>
        <w:tc>
          <w:tcPr>
            <w:tcW w:w="4818" w:type="dxa"/>
            <w:tcBorders>
              <w:top w:val="single" w:sz="4" w:space="0" w:color="auto"/>
              <w:left w:val="single" w:sz="4" w:space="0" w:color="auto"/>
              <w:bottom w:val="single" w:sz="4" w:space="0" w:color="auto"/>
              <w:right w:val="single" w:sz="4" w:space="0" w:color="auto"/>
            </w:tcBorders>
          </w:tcPr>
          <w:p w14:paraId="6A091E53" w14:textId="77777777" w:rsidR="003E73A5" w:rsidRPr="00D21EA1" w:rsidRDefault="00000000">
            <w:pPr>
              <w:jc w:val="left"/>
              <w:rPr>
                <w:rFonts w:asciiTheme="minorEastAsia" w:hAnsiTheme="minorEastAsia"/>
                <w:sz w:val="24"/>
                <w:szCs w:val="24"/>
              </w:rPr>
            </w:pPr>
            <w:r w:rsidRPr="00D21EA1">
              <w:rPr>
                <w:rFonts w:asciiTheme="minorEastAsia" w:hAnsiTheme="minorEastAsia" w:hint="eastAsia"/>
                <w:sz w:val="24"/>
                <w:szCs w:val="24"/>
              </w:rPr>
              <w:t>国家知识产权局专利审查指南</w:t>
            </w:r>
          </w:p>
        </w:tc>
        <w:tc>
          <w:tcPr>
            <w:tcW w:w="992" w:type="dxa"/>
            <w:tcBorders>
              <w:top w:val="single" w:sz="4" w:space="0" w:color="auto"/>
              <w:left w:val="single" w:sz="4" w:space="0" w:color="auto"/>
              <w:bottom w:val="single" w:sz="4" w:space="0" w:color="auto"/>
              <w:right w:val="single" w:sz="4" w:space="0" w:color="auto"/>
            </w:tcBorders>
          </w:tcPr>
          <w:p w14:paraId="7ADD34EF" w14:textId="77777777" w:rsidR="003E73A5" w:rsidRPr="00D21EA1" w:rsidRDefault="003E73A5">
            <w:pPr>
              <w:ind w:firstLineChars="200" w:firstLine="480"/>
              <w:rPr>
                <w:rFonts w:asciiTheme="minorEastAsia" w:hAnsiTheme="minorEastAsia"/>
                <w:sz w:val="24"/>
                <w:szCs w:val="24"/>
              </w:rPr>
            </w:pPr>
          </w:p>
        </w:tc>
      </w:tr>
      <w:tr w:rsidR="003E73A5" w:rsidRPr="00D21EA1" w14:paraId="74BAA23E" w14:textId="77777777">
        <w:trPr>
          <w:trHeight w:val="533"/>
        </w:trPr>
        <w:tc>
          <w:tcPr>
            <w:tcW w:w="567" w:type="dxa"/>
            <w:tcBorders>
              <w:top w:val="single" w:sz="4" w:space="0" w:color="auto"/>
              <w:left w:val="single" w:sz="4" w:space="0" w:color="auto"/>
              <w:bottom w:val="single" w:sz="4" w:space="0" w:color="auto"/>
              <w:right w:val="single" w:sz="4" w:space="0" w:color="auto"/>
            </w:tcBorders>
            <w:vAlign w:val="center"/>
          </w:tcPr>
          <w:p w14:paraId="4C970E16"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4</w:t>
            </w:r>
          </w:p>
        </w:tc>
        <w:tc>
          <w:tcPr>
            <w:tcW w:w="1843" w:type="dxa"/>
            <w:tcBorders>
              <w:top w:val="single" w:sz="4" w:space="0" w:color="auto"/>
              <w:left w:val="single" w:sz="4" w:space="0" w:color="auto"/>
              <w:bottom w:val="single" w:sz="4" w:space="0" w:color="auto"/>
              <w:right w:val="single" w:sz="4" w:space="0" w:color="auto"/>
            </w:tcBorders>
          </w:tcPr>
          <w:p w14:paraId="5A0448F1" w14:textId="77777777" w:rsidR="003E73A5" w:rsidRPr="00D21EA1" w:rsidRDefault="003E73A5">
            <w:pPr>
              <w:rPr>
                <w:rFonts w:asciiTheme="minorEastAsia" w:hAnsiTheme="minorEastAsia"/>
                <w:sz w:val="24"/>
                <w:szCs w:val="24"/>
              </w:rPr>
            </w:pPr>
          </w:p>
        </w:tc>
        <w:tc>
          <w:tcPr>
            <w:tcW w:w="4818" w:type="dxa"/>
            <w:tcBorders>
              <w:top w:val="single" w:sz="4" w:space="0" w:color="auto"/>
              <w:left w:val="single" w:sz="4" w:space="0" w:color="auto"/>
              <w:bottom w:val="single" w:sz="4" w:space="0" w:color="auto"/>
              <w:right w:val="single" w:sz="4" w:space="0" w:color="auto"/>
            </w:tcBorders>
          </w:tcPr>
          <w:p w14:paraId="716F356B" w14:textId="77777777" w:rsidR="003E73A5" w:rsidRPr="00D21EA1" w:rsidRDefault="00000000">
            <w:pPr>
              <w:jc w:val="left"/>
              <w:rPr>
                <w:rFonts w:asciiTheme="minorEastAsia" w:hAnsiTheme="minorEastAsia"/>
                <w:sz w:val="24"/>
                <w:szCs w:val="24"/>
              </w:rPr>
            </w:pPr>
            <w:r w:rsidRPr="00D21EA1">
              <w:rPr>
                <w:rFonts w:asciiTheme="minorEastAsia" w:hAnsiTheme="minorEastAsia" w:hint="eastAsia"/>
                <w:sz w:val="24"/>
                <w:szCs w:val="24"/>
              </w:rPr>
              <w:t>集成电路布图设计保护条例</w:t>
            </w:r>
          </w:p>
        </w:tc>
        <w:tc>
          <w:tcPr>
            <w:tcW w:w="992" w:type="dxa"/>
            <w:tcBorders>
              <w:top w:val="single" w:sz="4" w:space="0" w:color="auto"/>
              <w:left w:val="single" w:sz="4" w:space="0" w:color="auto"/>
              <w:bottom w:val="single" w:sz="4" w:space="0" w:color="auto"/>
              <w:right w:val="single" w:sz="4" w:space="0" w:color="auto"/>
            </w:tcBorders>
          </w:tcPr>
          <w:p w14:paraId="52612AFA" w14:textId="77777777" w:rsidR="003E73A5" w:rsidRPr="00D21EA1" w:rsidRDefault="003E73A5">
            <w:pPr>
              <w:ind w:firstLineChars="200" w:firstLine="480"/>
              <w:rPr>
                <w:rFonts w:asciiTheme="minorEastAsia" w:hAnsiTheme="minorEastAsia"/>
                <w:sz w:val="24"/>
                <w:szCs w:val="24"/>
              </w:rPr>
            </w:pPr>
          </w:p>
        </w:tc>
      </w:tr>
      <w:tr w:rsidR="003E73A5" w:rsidRPr="00D21EA1" w14:paraId="6356D468" w14:textId="77777777">
        <w:trPr>
          <w:trHeight w:val="533"/>
        </w:trPr>
        <w:tc>
          <w:tcPr>
            <w:tcW w:w="567" w:type="dxa"/>
            <w:tcBorders>
              <w:top w:val="single" w:sz="4" w:space="0" w:color="auto"/>
              <w:left w:val="single" w:sz="4" w:space="0" w:color="auto"/>
              <w:bottom w:val="single" w:sz="4" w:space="0" w:color="auto"/>
              <w:right w:val="single" w:sz="4" w:space="0" w:color="auto"/>
            </w:tcBorders>
            <w:vAlign w:val="center"/>
          </w:tcPr>
          <w:p w14:paraId="36EF142B" w14:textId="77777777" w:rsidR="003E73A5" w:rsidRPr="00D21EA1" w:rsidRDefault="00000000">
            <w:pPr>
              <w:jc w:val="center"/>
              <w:rPr>
                <w:rFonts w:asciiTheme="minorEastAsia" w:hAnsiTheme="minorEastAsia"/>
                <w:sz w:val="24"/>
                <w:szCs w:val="24"/>
              </w:rPr>
            </w:pPr>
            <w:r w:rsidRPr="00D21EA1">
              <w:rPr>
                <w:rFonts w:asciiTheme="minorEastAsia" w:hAnsiTheme="minorEastAsia" w:hint="eastAsia"/>
                <w:sz w:val="24"/>
                <w:szCs w:val="24"/>
              </w:rPr>
              <w:t>5</w:t>
            </w:r>
          </w:p>
        </w:tc>
        <w:tc>
          <w:tcPr>
            <w:tcW w:w="1843" w:type="dxa"/>
            <w:tcBorders>
              <w:top w:val="single" w:sz="4" w:space="0" w:color="auto"/>
              <w:left w:val="single" w:sz="4" w:space="0" w:color="auto"/>
              <w:bottom w:val="single" w:sz="4" w:space="0" w:color="auto"/>
              <w:right w:val="single" w:sz="4" w:space="0" w:color="auto"/>
            </w:tcBorders>
          </w:tcPr>
          <w:p w14:paraId="0CE581FA" w14:textId="77777777" w:rsidR="003E73A5" w:rsidRPr="00D21EA1" w:rsidRDefault="003E73A5">
            <w:pPr>
              <w:rPr>
                <w:rFonts w:asciiTheme="minorEastAsia" w:hAnsiTheme="minorEastAsia"/>
                <w:sz w:val="24"/>
                <w:szCs w:val="24"/>
              </w:rPr>
            </w:pPr>
          </w:p>
        </w:tc>
        <w:tc>
          <w:tcPr>
            <w:tcW w:w="4818" w:type="dxa"/>
            <w:tcBorders>
              <w:top w:val="single" w:sz="4" w:space="0" w:color="auto"/>
              <w:left w:val="single" w:sz="4" w:space="0" w:color="auto"/>
              <w:bottom w:val="single" w:sz="4" w:space="0" w:color="auto"/>
              <w:right w:val="single" w:sz="4" w:space="0" w:color="auto"/>
            </w:tcBorders>
          </w:tcPr>
          <w:p w14:paraId="5BB80AD1" w14:textId="77777777" w:rsidR="003E73A5" w:rsidRPr="00D21EA1" w:rsidRDefault="00000000">
            <w:pPr>
              <w:jc w:val="left"/>
              <w:rPr>
                <w:rFonts w:asciiTheme="minorEastAsia" w:hAnsiTheme="minorEastAsia"/>
                <w:sz w:val="24"/>
                <w:szCs w:val="24"/>
              </w:rPr>
            </w:pPr>
            <w:r w:rsidRPr="00D21EA1">
              <w:rPr>
                <w:rFonts w:asciiTheme="minorEastAsia" w:hAnsiTheme="minorEastAsia" w:hint="eastAsia"/>
                <w:sz w:val="24"/>
                <w:szCs w:val="24"/>
              </w:rPr>
              <w:t>集成电路布图设计保护条例实施细则</w:t>
            </w:r>
          </w:p>
        </w:tc>
        <w:tc>
          <w:tcPr>
            <w:tcW w:w="992" w:type="dxa"/>
            <w:tcBorders>
              <w:top w:val="single" w:sz="4" w:space="0" w:color="auto"/>
              <w:left w:val="single" w:sz="4" w:space="0" w:color="auto"/>
              <w:bottom w:val="single" w:sz="4" w:space="0" w:color="auto"/>
              <w:right w:val="single" w:sz="4" w:space="0" w:color="auto"/>
            </w:tcBorders>
          </w:tcPr>
          <w:p w14:paraId="3E83DA34" w14:textId="77777777" w:rsidR="003E73A5" w:rsidRPr="00D21EA1" w:rsidRDefault="003E73A5">
            <w:pPr>
              <w:ind w:firstLineChars="200" w:firstLine="480"/>
              <w:rPr>
                <w:rFonts w:asciiTheme="minorEastAsia" w:hAnsiTheme="minorEastAsia"/>
                <w:sz w:val="24"/>
                <w:szCs w:val="24"/>
              </w:rPr>
            </w:pPr>
          </w:p>
        </w:tc>
      </w:tr>
    </w:tbl>
    <w:p w14:paraId="151F799E" w14:textId="77777777" w:rsidR="003E73A5" w:rsidRPr="00D21EA1" w:rsidRDefault="00000000">
      <w:pPr>
        <w:keepNext/>
        <w:keepLines/>
        <w:numPr>
          <w:ilvl w:val="0"/>
          <w:numId w:val="1"/>
        </w:numPr>
        <w:spacing w:before="260" w:after="260"/>
        <w:outlineLvl w:val="1"/>
        <w:rPr>
          <w:rFonts w:asciiTheme="minorEastAsia" w:hAnsiTheme="minorEastAsia"/>
          <w:b/>
          <w:bCs/>
          <w:sz w:val="24"/>
          <w:szCs w:val="24"/>
        </w:rPr>
      </w:pPr>
      <w:r w:rsidRPr="00D21EA1">
        <w:rPr>
          <w:rFonts w:asciiTheme="minorEastAsia" w:hAnsiTheme="minorEastAsia" w:hint="eastAsia"/>
          <w:b/>
          <w:bCs/>
          <w:sz w:val="24"/>
          <w:szCs w:val="24"/>
        </w:rPr>
        <w:t>项目服务内容</w:t>
      </w:r>
    </w:p>
    <w:p w14:paraId="73896216" w14:textId="77777777" w:rsidR="003E73A5" w:rsidRPr="00D21EA1" w:rsidRDefault="00000000">
      <w:pPr>
        <w:rPr>
          <w:rFonts w:asciiTheme="minorEastAsia" w:hAnsiTheme="minorEastAsia"/>
          <w:sz w:val="24"/>
          <w:szCs w:val="24"/>
        </w:rPr>
      </w:pPr>
      <w:bookmarkStart w:id="3" w:name="_Toc493250787"/>
      <w:r w:rsidRPr="00D21EA1">
        <w:rPr>
          <w:rFonts w:asciiTheme="minorEastAsia" w:hAnsiTheme="minorEastAsia" w:hint="eastAsia"/>
          <w:sz w:val="24"/>
          <w:szCs w:val="24"/>
        </w:rPr>
        <w:t>2.1咨询服务内容</w:t>
      </w:r>
    </w:p>
    <w:p w14:paraId="7884CEF7"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上述咨询服务方式均为专利申请人、专利权人、专利代理师及社会公众等提供专利和集成电路布图设计法律法规、政策类及专利事务手续等咨询服务。至少包括：</w:t>
      </w:r>
    </w:p>
    <w:p w14:paraId="1A04C601" w14:textId="77777777" w:rsidR="003E73A5" w:rsidRPr="00D21EA1" w:rsidRDefault="00000000">
      <w:pPr>
        <w:numPr>
          <w:ilvl w:val="0"/>
          <w:numId w:val="2"/>
        </w:numPr>
        <w:ind w:leftChars="103" w:left="216" w:firstLineChars="132" w:firstLine="317"/>
        <w:rPr>
          <w:rFonts w:asciiTheme="minorEastAsia" w:hAnsiTheme="minorEastAsia"/>
          <w:sz w:val="24"/>
          <w:szCs w:val="24"/>
        </w:rPr>
      </w:pPr>
      <w:r w:rsidRPr="00D21EA1">
        <w:rPr>
          <w:rFonts w:asciiTheme="minorEastAsia" w:hAnsiTheme="minorEastAsia" w:hint="eastAsia"/>
          <w:sz w:val="24"/>
          <w:szCs w:val="24"/>
        </w:rPr>
        <w:t>专利法律法规及政策咨询</w:t>
      </w:r>
    </w:p>
    <w:p w14:paraId="442CD9F9"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专利事务办理手续咨询</w:t>
      </w:r>
    </w:p>
    <w:p w14:paraId="07B2F57C"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专利复审和无效咨询</w:t>
      </w:r>
    </w:p>
    <w:p w14:paraId="77804938"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专利文件受理查询</w:t>
      </w:r>
    </w:p>
    <w:p w14:paraId="0F85EBDF"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专利费用及法律状态查询</w:t>
      </w:r>
    </w:p>
    <w:p w14:paraId="1FB68DAD"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专利电子申请事务咨询</w:t>
      </w:r>
    </w:p>
    <w:p w14:paraId="3965DA26"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PCT国际申请咨询</w:t>
      </w:r>
    </w:p>
    <w:p w14:paraId="136EB568" w14:textId="77777777" w:rsidR="003E73A5" w:rsidRPr="00D21EA1" w:rsidRDefault="00000000">
      <w:pPr>
        <w:numPr>
          <w:ilvl w:val="0"/>
          <w:numId w:val="2"/>
        </w:numPr>
        <w:ind w:firstLineChars="68" w:firstLine="163"/>
        <w:rPr>
          <w:rFonts w:asciiTheme="minorEastAsia" w:hAnsiTheme="minorEastAsia"/>
          <w:sz w:val="24"/>
          <w:szCs w:val="24"/>
        </w:rPr>
      </w:pPr>
      <w:r w:rsidRPr="00D21EA1">
        <w:rPr>
          <w:rFonts w:asciiTheme="minorEastAsia" w:hAnsiTheme="minorEastAsia" w:hint="eastAsia"/>
          <w:sz w:val="24"/>
          <w:szCs w:val="24"/>
        </w:rPr>
        <w:t>集成电路布图设计咨询</w:t>
      </w:r>
    </w:p>
    <w:bookmarkEnd w:id="3"/>
    <w:p w14:paraId="193202D7"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2.2咨询服务方式</w:t>
      </w:r>
    </w:p>
    <w:p w14:paraId="2EA3C474" w14:textId="77777777" w:rsidR="003E73A5" w:rsidRPr="00D21EA1" w:rsidRDefault="00000000">
      <w:pPr>
        <w:ind w:firstLine="640"/>
        <w:rPr>
          <w:rFonts w:asciiTheme="minorEastAsia" w:hAnsiTheme="minorEastAsia"/>
          <w:sz w:val="24"/>
          <w:szCs w:val="24"/>
        </w:rPr>
      </w:pPr>
      <w:r w:rsidRPr="00D21EA1">
        <w:rPr>
          <w:rFonts w:asciiTheme="minorEastAsia" w:hAnsiTheme="minorEastAsia" w:hint="eastAsia"/>
          <w:sz w:val="24"/>
          <w:szCs w:val="24"/>
        </w:rPr>
        <w:t>根据招标方的业务要求，咨询服务方式应至少包括：</w:t>
      </w:r>
    </w:p>
    <w:p w14:paraId="5BB46184"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1）当面咨询服务：至少设置2个当面咨询服务窗口，为专利申请人、专利权人、专利代理师及社会公众等提供专利政策与专利事务咨询服务,集成电路布图设计咨询服务。</w:t>
      </w:r>
    </w:p>
    <w:p w14:paraId="320DFAD1"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lastRenderedPageBreak/>
        <w:t xml:space="preserve">    2）电话咨询服务：至少设置70个电话咨询</w:t>
      </w:r>
      <w:proofErr w:type="gramStart"/>
      <w:r w:rsidRPr="00D21EA1">
        <w:rPr>
          <w:rFonts w:asciiTheme="minorEastAsia" w:hAnsiTheme="minorEastAsia" w:hint="eastAsia"/>
          <w:sz w:val="24"/>
          <w:szCs w:val="24"/>
        </w:rPr>
        <w:t>座席</w:t>
      </w:r>
      <w:proofErr w:type="gramEnd"/>
      <w:r w:rsidRPr="00D21EA1">
        <w:rPr>
          <w:rFonts w:asciiTheme="minorEastAsia" w:hAnsiTheme="minorEastAsia" w:hint="eastAsia"/>
          <w:sz w:val="24"/>
          <w:szCs w:val="24"/>
        </w:rPr>
        <w:t>，通过智能语音呼叫系统，为专利申请人、专利权人、专利代理师及社会公众等提供专利政策与专利事务方面的咨询服务，集成电路布图设计咨询服务。</w:t>
      </w:r>
    </w:p>
    <w:p w14:paraId="5D5BF30C"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3）网络咨询服务：至少设置4个网络咨询服务岗位，通过互联网及其他新媒体，为专利申请人、专利权人、专利代理师及社会公众等提供专利政策与专利事务方面的咨询服务，集成电路布图设计咨询服务。</w:t>
      </w:r>
    </w:p>
    <w:p w14:paraId="2B880C5F" w14:textId="77777777" w:rsidR="003E73A5" w:rsidRPr="00D21EA1" w:rsidRDefault="00000000">
      <w:pPr>
        <w:ind w:firstLine="640"/>
        <w:rPr>
          <w:rFonts w:asciiTheme="minorEastAsia" w:hAnsiTheme="minorEastAsia"/>
          <w:sz w:val="24"/>
          <w:szCs w:val="24"/>
        </w:rPr>
      </w:pPr>
      <w:r w:rsidRPr="00D21EA1">
        <w:rPr>
          <w:rFonts w:asciiTheme="minorEastAsia" w:hAnsiTheme="minorEastAsia" w:hint="eastAsia"/>
          <w:sz w:val="24"/>
          <w:szCs w:val="24"/>
        </w:rPr>
        <w:t>4）信函咨询服务：至少设置1个信函咨询服务岗位，通过信函方式，为专利申请人、专利权人、专利代理师及社会公众等提供专利政策与专利事务方面的咨询服务，集成电路布图设计咨询服务。</w:t>
      </w:r>
    </w:p>
    <w:p w14:paraId="1D4F5967"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2.3咨询服务时间及服务数量</w:t>
      </w:r>
    </w:p>
    <w:p w14:paraId="08258370"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在2024年7月1日至2025年6月30日期间，法定工作日提供9小时/日（8:00</w:t>
      </w:r>
      <w:r w:rsidRPr="00D21EA1">
        <w:rPr>
          <w:rFonts w:asciiTheme="minorEastAsia" w:hAnsiTheme="minorEastAsia"/>
          <w:sz w:val="24"/>
          <w:szCs w:val="24"/>
        </w:rPr>
        <w:t>—</w:t>
      </w:r>
      <w:r w:rsidRPr="00D21EA1">
        <w:rPr>
          <w:rFonts w:asciiTheme="minorEastAsia" w:hAnsiTheme="minorEastAsia" w:hint="eastAsia"/>
          <w:sz w:val="24"/>
          <w:szCs w:val="24"/>
        </w:rPr>
        <w:t>17:00）不间断人工接听服务、当面服务、信函服务和网络服务，其他时段提供自助语音服务。</w:t>
      </w:r>
    </w:p>
    <w:p w14:paraId="223009F3"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在约定期限内，中标方应尽力提供高质量咨询服务，咨询电话应接尽接，预计咨询服务数量至少约138.9万标准件，最终咨询量以实际发生量为准。</w:t>
      </w:r>
    </w:p>
    <w:p w14:paraId="27FA73D7"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2.4咨询服务投标方要求</w:t>
      </w:r>
    </w:p>
    <w:p w14:paraId="4E3ABA4C"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1）投标</w:t>
      </w:r>
      <w:proofErr w:type="gramStart"/>
      <w:r w:rsidRPr="00D21EA1">
        <w:rPr>
          <w:rFonts w:asciiTheme="minorEastAsia" w:hAnsiTheme="minorEastAsia" w:hint="eastAsia"/>
          <w:sz w:val="24"/>
          <w:szCs w:val="24"/>
        </w:rPr>
        <w:t>方服务</w:t>
      </w:r>
      <w:proofErr w:type="gramEnd"/>
      <w:r w:rsidRPr="00D21EA1">
        <w:rPr>
          <w:rFonts w:asciiTheme="minorEastAsia" w:hAnsiTheme="minorEastAsia" w:hint="eastAsia"/>
          <w:sz w:val="24"/>
          <w:szCs w:val="24"/>
        </w:rPr>
        <w:t>能力</w:t>
      </w:r>
    </w:p>
    <w:p w14:paraId="3E09E27B"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1）制定严格的管理政策和业务操作规范，根据本项目的技术需求，结合知识产权领域特点，编制具体咨询服务指导文件，至少包括：①《咨询服务流程及质量管理规范》；②《咨询服务操作规程》；③《电话咨询服务规范用语》；④《咨询服务质量检查标准》；⑤《咨询服务质量检查实施办法》；⑥《咨询服务情绪控制与操作技能指导手册》。建立完善的咨询服务流程和质量控制机制，并设立协调沟通、决策处理、应急保障等服务流程，确保服务质量，并根据要求完成项目的相关工作，如咨询服务数据报告、问题案例分析、业务交流研讨等。</w:t>
      </w:r>
    </w:p>
    <w:p w14:paraId="1C425F9A" w14:textId="77777777" w:rsidR="003E73A5" w:rsidRPr="00D21EA1" w:rsidRDefault="00000000">
      <w:pPr>
        <w:widowControl/>
        <w:ind w:firstLineChars="100" w:firstLine="240"/>
        <w:jc w:val="left"/>
        <w:rPr>
          <w:rFonts w:asciiTheme="minorEastAsia" w:hAnsiTheme="minorEastAsia"/>
          <w:bCs/>
          <w:sz w:val="24"/>
          <w:szCs w:val="24"/>
        </w:rPr>
      </w:pPr>
      <w:r w:rsidRPr="00D21EA1">
        <w:rPr>
          <w:rFonts w:asciiTheme="minorEastAsia" w:hAnsiTheme="minorEastAsia" w:hint="eastAsia"/>
          <w:kern w:val="0"/>
          <w:sz w:val="24"/>
          <w:szCs w:val="24"/>
        </w:rPr>
        <w:t>（2）近三年承担过与本项目类似的咨询服务项目，咨询服务应至少包括</w:t>
      </w:r>
      <w:r w:rsidRPr="00D21EA1">
        <w:rPr>
          <w:rFonts w:asciiTheme="minorEastAsia" w:hAnsiTheme="minorEastAsia" w:hint="eastAsia"/>
          <w:bCs/>
          <w:sz w:val="24"/>
          <w:szCs w:val="24"/>
        </w:rPr>
        <w:t>专利法律法规及政策咨询、专利文件受理查询、专利费用及法律状态查询、电子申请相关问题的咨询中的一项。</w:t>
      </w:r>
    </w:p>
    <w:p w14:paraId="395A6565"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3）具有匹配咨询服务要求的工具和资源。至少包括中华人民共和国专利法、中华人民共和国专利法实施细则、中华人民共和国国家知识产权局专利审查指南、集成电路布图设计保护条例、集成电路布图设计保护条例实施细则、国家知识产权局公告、国家</w:t>
      </w:r>
      <w:proofErr w:type="gramStart"/>
      <w:r w:rsidRPr="00D21EA1">
        <w:rPr>
          <w:rFonts w:asciiTheme="minorEastAsia" w:hAnsiTheme="minorEastAsia" w:hint="eastAsia"/>
          <w:kern w:val="0"/>
          <w:sz w:val="24"/>
          <w:szCs w:val="24"/>
        </w:rPr>
        <w:t>知识产权局令等</w:t>
      </w:r>
      <w:proofErr w:type="gramEnd"/>
      <w:r w:rsidRPr="00D21EA1">
        <w:rPr>
          <w:rFonts w:asciiTheme="minorEastAsia" w:hAnsiTheme="minorEastAsia" w:hint="eastAsia"/>
          <w:kern w:val="0"/>
          <w:sz w:val="24"/>
          <w:szCs w:val="24"/>
        </w:rPr>
        <w:t>相关法律、法规、咨询服务指导手册（含</w:t>
      </w:r>
      <w:r w:rsidRPr="00D21EA1">
        <w:rPr>
          <w:rFonts w:asciiTheme="minorEastAsia" w:hAnsiTheme="minorEastAsia"/>
          <w:kern w:val="0"/>
          <w:sz w:val="24"/>
          <w:szCs w:val="24"/>
        </w:rPr>
        <w:t>PCT</w:t>
      </w:r>
      <w:r w:rsidRPr="00D21EA1">
        <w:rPr>
          <w:rFonts w:asciiTheme="minorEastAsia" w:hAnsiTheme="minorEastAsia" w:hint="eastAsia"/>
          <w:kern w:val="0"/>
          <w:sz w:val="24"/>
          <w:szCs w:val="24"/>
        </w:rPr>
        <w:t>国际相关内容）及专利领域问答知识库。为咨询员提供标准化的知识信息，以便为广大专利申请人、专利权人、专利代理师及社会公众等提供快速、准确的专利和集成电路布图设计政策及事务等方面的咨询服务。</w:t>
      </w:r>
    </w:p>
    <w:p w14:paraId="5BF0B459"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4）具有匹配咨询服务要求的培训体系，制定完善的培训管理制度，配备专门的培训团队。对咨询人员进行基础培训、岗前实习和业务提升培训，培训时长不低于80课时/人/年。培养专业的专利咨询服务人员，保证专利咨询服务人员的专业技能符合本项目的技术需求。培训期间所发生的费用由中标方承担。</w:t>
      </w:r>
    </w:p>
    <w:p w14:paraId="3C43A04F"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5）本项目是专利和集成电路布图设计审查过程中涉及的日常咨询服务，投标方中标后需立即开展工作。应在运行、制度、待遇、技术等方面做到无缝衔接，快速达到招标方的质量要求，投标方应提出有针对性的可操作措施和手段。以上工作所发生费用由中标方承担。</w:t>
      </w:r>
    </w:p>
    <w:p w14:paraId="0969D8B6"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（6）不得将主要工作或辅助工作交予任何第三方完成，本项目不允许任何形式的转包。</w:t>
      </w:r>
    </w:p>
    <w:p w14:paraId="3CAB61B5"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lastRenderedPageBreak/>
        <w:t>（7）本项目不接受联合体投标。</w:t>
      </w:r>
    </w:p>
    <w:p w14:paraId="15D04150"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2）投标方人员能力</w:t>
      </w:r>
    </w:p>
    <w:p w14:paraId="71664465"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1）为承担本项目的咨询服务工作，投标方应保障足够的本行业高素质人员参加本项目工作。投标方须指派1名知识产权领域咨询服务管理经验丰富的项目负责人，配置相应的咨询服务团队，安排项目管理、质量监督人员，在项目组织中明确各岗位的职责；详细列出工作团队人员姓名、技术职称、学历、年龄、参与本项目时间和在本项目中的职责分工。</w:t>
      </w:r>
    </w:p>
    <w:p w14:paraId="7B5AC894"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（2）拟派的本项目负责人应具有高级（含副高级）职称，具有10年以上知识产权行业从业经验，并具有较高项目管理水平。</w:t>
      </w:r>
    </w:p>
    <w:p w14:paraId="64CDD990"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 xml:space="preserve">（3）参与本项目的专业技术人员须具有相关专业背景，具有承担类似项目工作的实践经验，工作团队具有执行本项目任务的专业能力。至少满足下列需求： </w:t>
      </w:r>
    </w:p>
    <w:p w14:paraId="482056A2" w14:textId="77777777" w:rsidR="003E73A5" w:rsidRPr="00D21EA1" w:rsidRDefault="00000000">
      <w:pPr>
        <w:widowControl/>
        <w:ind w:leftChars="304" w:left="638"/>
        <w:jc w:val="left"/>
        <w:rPr>
          <w:rFonts w:asciiTheme="minorEastAsia" w:hAnsiTheme="minorEastAsia"/>
          <w:kern w:val="0"/>
          <w:sz w:val="24"/>
          <w:szCs w:val="24"/>
        </w:rPr>
      </w:pPr>
      <w:r w:rsidRPr="00D21EA1">
        <w:rPr>
          <w:rFonts w:asciiTheme="minorEastAsia" w:hAnsiTheme="minorEastAsia" w:hint="eastAsia"/>
          <w:kern w:val="0"/>
          <w:sz w:val="24"/>
          <w:szCs w:val="24"/>
        </w:rPr>
        <w:t>①具有大学本科及以上学历的专职、专业、稳定的咨询服务团队及项目支撑人员，</w:t>
      </w:r>
      <w:proofErr w:type="gramStart"/>
      <w:r w:rsidRPr="00D21EA1">
        <w:rPr>
          <w:rFonts w:asciiTheme="minorEastAsia" w:hAnsiTheme="minorEastAsia" w:hint="eastAsia"/>
          <w:kern w:val="0"/>
          <w:sz w:val="24"/>
          <w:szCs w:val="24"/>
        </w:rPr>
        <w:t>总人员</w:t>
      </w:r>
      <w:proofErr w:type="gramEnd"/>
      <w:r w:rsidRPr="00D21EA1">
        <w:rPr>
          <w:rFonts w:asciiTheme="minorEastAsia" w:hAnsiTheme="minorEastAsia" w:hint="eastAsia"/>
          <w:kern w:val="0"/>
          <w:sz w:val="24"/>
          <w:szCs w:val="24"/>
        </w:rPr>
        <w:t>不少于70人；</w:t>
      </w:r>
    </w:p>
    <w:p w14:paraId="1BA85F38" w14:textId="77777777" w:rsidR="003E73A5" w:rsidRPr="00D21EA1" w:rsidRDefault="00000000">
      <w:pPr>
        <w:widowControl/>
        <w:ind w:leftChars="304" w:left="638"/>
        <w:jc w:val="left"/>
        <w:rPr>
          <w:rFonts w:asciiTheme="minorEastAsia" w:hAnsiTheme="minorEastAsia"/>
          <w:kern w:val="0"/>
          <w:sz w:val="24"/>
          <w:szCs w:val="24"/>
        </w:rPr>
      </w:pPr>
      <w:r w:rsidRPr="00D21EA1">
        <w:rPr>
          <w:rFonts w:asciiTheme="minorEastAsia" w:hAnsiTheme="minorEastAsia" w:hint="eastAsia"/>
          <w:kern w:val="0"/>
          <w:sz w:val="24"/>
          <w:szCs w:val="24"/>
        </w:rPr>
        <w:t>②工作经验达到3年（含）以上的人员应不少于</w:t>
      </w:r>
      <w:r w:rsidRPr="00D21EA1">
        <w:rPr>
          <w:rFonts w:asciiTheme="minorEastAsia" w:hAnsiTheme="minorEastAsia"/>
          <w:kern w:val="0"/>
          <w:sz w:val="24"/>
          <w:szCs w:val="24"/>
        </w:rPr>
        <w:t>50</w:t>
      </w:r>
      <w:r w:rsidRPr="00D21EA1">
        <w:rPr>
          <w:rFonts w:asciiTheme="minorEastAsia" w:hAnsiTheme="minorEastAsia" w:hint="eastAsia"/>
          <w:kern w:val="0"/>
          <w:sz w:val="24"/>
          <w:szCs w:val="24"/>
        </w:rPr>
        <w:t>人；</w:t>
      </w:r>
    </w:p>
    <w:p w14:paraId="25599D12" w14:textId="77777777" w:rsidR="003E73A5" w:rsidRPr="00D21EA1" w:rsidRDefault="00000000">
      <w:pPr>
        <w:widowControl/>
        <w:ind w:leftChars="304" w:left="638"/>
        <w:jc w:val="left"/>
        <w:rPr>
          <w:rFonts w:asciiTheme="minorEastAsia" w:hAnsiTheme="minorEastAsia"/>
          <w:kern w:val="0"/>
          <w:sz w:val="24"/>
          <w:szCs w:val="24"/>
        </w:rPr>
      </w:pPr>
      <w:r w:rsidRPr="00D21EA1">
        <w:rPr>
          <w:rFonts w:asciiTheme="minorEastAsia" w:hAnsiTheme="minorEastAsia" w:hint="eastAsia"/>
          <w:kern w:val="0"/>
          <w:sz w:val="24"/>
          <w:szCs w:val="24"/>
        </w:rPr>
        <w:t>③具有中级专业技术职称人员不少于</w:t>
      </w:r>
      <w:r w:rsidRPr="00D21EA1">
        <w:rPr>
          <w:rFonts w:asciiTheme="minorEastAsia" w:hAnsiTheme="minorEastAsia"/>
          <w:kern w:val="0"/>
          <w:sz w:val="24"/>
          <w:szCs w:val="24"/>
        </w:rPr>
        <w:t>40</w:t>
      </w:r>
      <w:r w:rsidRPr="00D21EA1">
        <w:rPr>
          <w:rFonts w:asciiTheme="minorEastAsia" w:hAnsiTheme="minorEastAsia" w:hint="eastAsia"/>
          <w:kern w:val="0"/>
          <w:sz w:val="24"/>
          <w:szCs w:val="24"/>
        </w:rPr>
        <w:t>人，具有高级（含副高级）专业技术职称的人员不少于10人；</w:t>
      </w:r>
    </w:p>
    <w:p w14:paraId="79EB7814"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2）投标方的基础设施和设备</w:t>
      </w:r>
    </w:p>
    <w:p w14:paraId="596A8E7A"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1）投标方应提供稳定的办公场地，具备相应的配套设施，包括安防系统、监控系统、考勤系统。场地可供使用的总面积不低于1000㎡；有独立的办公区域，利于开展话务服务、现场管理、业务培训等工作。除上述办公区域外，配备与咨询人员规模相适应的会议室、培训室，用于各类会议、培训辅导；按照国家知识产权局对客</w:t>
      </w:r>
      <w:proofErr w:type="gramStart"/>
      <w:r w:rsidRPr="00D21EA1">
        <w:rPr>
          <w:rFonts w:asciiTheme="minorEastAsia" w:hAnsiTheme="minorEastAsia" w:hint="eastAsia"/>
          <w:kern w:val="0"/>
          <w:sz w:val="24"/>
          <w:szCs w:val="24"/>
        </w:rPr>
        <w:t>服中心</w:t>
      </w:r>
      <w:proofErr w:type="gramEnd"/>
      <w:r w:rsidRPr="00D21EA1">
        <w:rPr>
          <w:rFonts w:asciiTheme="minorEastAsia" w:hAnsiTheme="minorEastAsia" w:hint="eastAsia"/>
          <w:kern w:val="0"/>
          <w:sz w:val="24"/>
          <w:szCs w:val="24"/>
        </w:rPr>
        <w:t>的项目目标对场地进行整体规划和形象设计，在醒目位置悬挂“客户服务中心”标牌；另外，应单独设置机房，放置客</w:t>
      </w:r>
      <w:proofErr w:type="gramStart"/>
      <w:r w:rsidRPr="00D21EA1">
        <w:rPr>
          <w:rFonts w:asciiTheme="minorEastAsia" w:hAnsiTheme="minorEastAsia" w:hint="eastAsia"/>
          <w:kern w:val="0"/>
          <w:sz w:val="24"/>
          <w:szCs w:val="24"/>
        </w:rPr>
        <w:t>服中心</w:t>
      </w:r>
      <w:proofErr w:type="gramEnd"/>
      <w:r w:rsidRPr="00D21EA1">
        <w:rPr>
          <w:rFonts w:asciiTheme="minorEastAsia" w:hAnsiTheme="minorEastAsia" w:hint="eastAsia"/>
          <w:kern w:val="0"/>
          <w:sz w:val="24"/>
          <w:szCs w:val="24"/>
        </w:rPr>
        <w:t>现场所需的机柜及交换机等设备。</w:t>
      </w:r>
    </w:p>
    <w:p w14:paraId="67E8B7DC"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 xml:space="preserve"> （2）投标方应提供配套的办公软件和硬件系统，软硬件系统应至少包括以下4个功能模块：①工单模块；②质检模块；③统计模块；④监控模块，以满足开展咨询服务的基本需求。根据实际需求配备工作电脑1-2台/人；每个电话</w:t>
      </w:r>
      <w:proofErr w:type="gramStart"/>
      <w:r w:rsidRPr="00D21EA1">
        <w:rPr>
          <w:rFonts w:asciiTheme="minorEastAsia" w:hAnsiTheme="minorEastAsia" w:hint="eastAsia"/>
          <w:kern w:val="0"/>
          <w:sz w:val="24"/>
          <w:szCs w:val="24"/>
        </w:rPr>
        <w:t>座席</w:t>
      </w:r>
      <w:proofErr w:type="gramEnd"/>
      <w:r w:rsidRPr="00D21EA1">
        <w:rPr>
          <w:rFonts w:asciiTheme="minorEastAsia" w:hAnsiTheme="minorEastAsia" w:hint="eastAsia"/>
          <w:kern w:val="0"/>
          <w:sz w:val="24"/>
          <w:szCs w:val="24"/>
        </w:rPr>
        <w:t>配置专用话机耳麦，并配置备件，确保日常话务工作需要；</w:t>
      </w:r>
      <w:proofErr w:type="gramStart"/>
      <w:r w:rsidRPr="00D21EA1">
        <w:rPr>
          <w:rFonts w:asciiTheme="minorEastAsia" w:hAnsiTheme="minorEastAsia" w:hint="eastAsia"/>
          <w:kern w:val="0"/>
          <w:sz w:val="24"/>
          <w:szCs w:val="24"/>
        </w:rPr>
        <w:t>座席</w:t>
      </w:r>
      <w:proofErr w:type="gramEnd"/>
      <w:r w:rsidRPr="00D21EA1">
        <w:rPr>
          <w:rFonts w:asciiTheme="minorEastAsia" w:hAnsiTheme="minorEastAsia" w:hint="eastAsia"/>
          <w:kern w:val="0"/>
          <w:sz w:val="24"/>
          <w:szCs w:val="24"/>
        </w:rPr>
        <w:t>电脑及电话机的电源应保证工作期间电路稳定，并预留容量以备设备扩展、升级；现场应设置监控显示屏。</w:t>
      </w:r>
    </w:p>
    <w:p w14:paraId="65E24F15"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（3）投标方应提供</w:t>
      </w:r>
      <w:proofErr w:type="gramStart"/>
      <w:r w:rsidRPr="00D21EA1">
        <w:rPr>
          <w:rFonts w:asciiTheme="minorEastAsia" w:hAnsiTheme="minorEastAsia" w:hint="eastAsia"/>
          <w:kern w:val="0"/>
          <w:sz w:val="24"/>
          <w:szCs w:val="24"/>
        </w:rPr>
        <w:t>座席</w:t>
      </w:r>
      <w:proofErr w:type="gramEnd"/>
      <w:r w:rsidRPr="00D21EA1">
        <w:rPr>
          <w:rFonts w:asciiTheme="minorEastAsia" w:hAnsiTheme="minorEastAsia" w:hint="eastAsia"/>
          <w:kern w:val="0"/>
          <w:sz w:val="24"/>
          <w:szCs w:val="24"/>
        </w:rPr>
        <w:t>电脑与服务器之间联网的网络设备，内外网络物理隔离；提供网络安全设备，符合网络安全等级保护要求；架设点对点专用线路，带宽不小于100Mbps；</w:t>
      </w:r>
      <w:r w:rsidRPr="00D21EA1">
        <w:rPr>
          <w:rFonts w:asciiTheme="minorEastAsia" w:hAnsiTheme="minorEastAsia" w:hint="eastAsia"/>
          <w:bCs/>
          <w:sz w:val="24"/>
          <w:szCs w:val="24"/>
        </w:rPr>
        <w:t>保证咨询服务系统的正常、稳定、安全运行。</w:t>
      </w:r>
    </w:p>
    <w:p w14:paraId="3600C281" w14:textId="77777777" w:rsidR="003E73A5" w:rsidRPr="00D21EA1" w:rsidRDefault="00000000">
      <w:pPr>
        <w:widowControl/>
        <w:ind w:firstLineChars="100" w:firstLine="240"/>
        <w:jc w:val="left"/>
        <w:rPr>
          <w:rFonts w:asciiTheme="minorEastAsia" w:hAnsiTheme="minorEastAsia"/>
          <w:kern w:val="0"/>
          <w:sz w:val="24"/>
          <w:szCs w:val="24"/>
        </w:rPr>
      </w:pPr>
      <w:r w:rsidRPr="00D21EA1">
        <w:rPr>
          <w:rFonts w:asciiTheme="minorEastAsia" w:hAnsiTheme="minorEastAsia" w:hint="eastAsia"/>
          <w:kern w:val="0"/>
          <w:sz w:val="24"/>
          <w:szCs w:val="24"/>
        </w:rPr>
        <w:t>（</w:t>
      </w:r>
      <w:r w:rsidRPr="00D21EA1">
        <w:rPr>
          <w:rFonts w:asciiTheme="minorEastAsia" w:hAnsiTheme="minorEastAsia" w:hint="eastAsia"/>
          <w:bCs/>
          <w:sz w:val="24"/>
          <w:szCs w:val="24"/>
        </w:rPr>
        <w:t>4）投标方应提供办公桌椅、外线办公电话，以及打印机、复印扫描一体机、传真机、投影仪等其他必要办公设备。</w:t>
      </w:r>
    </w:p>
    <w:p w14:paraId="56329B97" w14:textId="77777777" w:rsidR="003E73A5" w:rsidRPr="00D21EA1" w:rsidRDefault="00000000">
      <w:pPr>
        <w:widowControl/>
        <w:ind w:firstLineChars="100" w:firstLine="240"/>
        <w:jc w:val="left"/>
        <w:rPr>
          <w:rFonts w:asciiTheme="minorEastAsia" w:hAnsiTheme="minorEastAsia"/>
          <w:bCs/>
          <w:sz w:val="24"/>
          <w:szCs w:val="24"/>
        </w:rPr>
      </w:pPr>
      <w:r w:rsidRPr="00D21EA1">
        <w:rPr>
          <w:rFonts w:asciiTheme="minorEastAsia" w:hAnsiTheme="minorEastAsia" w:hint="eastAsia"/>
          <w:kern w:val="0"/>
          <w:sz w:val="24"/>
          <w:szCs w:val="24"/>
        </w:rPr>
        <w:t xml:space="preserve">  上述保障本项目顺利实施所必需的基础设备、设施、日常耗材及设备</w:t>
      </w:r>
      <w:r w:rsidRPr="00D21EA1">
        <w:rPr>
          <w:rFonts w:asciiTheme="minorEastAsia" w:hAnsiTheme="minorEastAsia" w:hint="eastAsia"/>
          <w:bCs/>
          <w:sz w:val="24"/>
          <w:szCs w:val="24"/>
        </w:rPr>
        <w:t>维护费用均由中标方承担。</w:t>
      </w:r>
    </w:p>
    <w:p w14:paraId="6E87C9B1"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2.5咨询服务分析及汇总反馈处理</w:t>
      </w:r>
    </w:p>
    <w:p w14:paraId="6A518355" w14:textId="77777777" w:rsidR="003E73A5" w:rsidRPr="00D21EA1" w:rsidRDefault="00000000">
      <w:pPr>
        <w:widowControl/>
        <w:ind w:firstLineChars="100" w:firstLine="240"/>
        <w:jc w:val="left"/>
        <w:rPr>
          <w:rFonts w:asciiTheme="minorEastAsia" w:hAnsiTheme="minorEastAsia"/>
          <w:sz w:val="24"/>
          <w:szCs w:val="24"/>
        </w:rPr>
      </w:pPr>
      <w:r w:rsidRPr="00D21EA1">
        <w:rPr>
          <w:rFonts w:asciiTheme="minorEastAsia" w:hAnsiTheme="minorEastAsia" w:hint="eastAsia"/>
          <w:bCs/>
          <w:sz w:val="24"/>
          <w:szCs w:val="24"/>
        </w:rPr>
        <w:t xml:space="preserve">  中标方应以月为单位，</w:t>
      </w:r>
      <w:r w:rsidRPr="00D21EA1">
        <w:rPr>
          <w:rFonts w:asciiTheme="minorEastAsia" w:hAnsiTheme="minorEastAsia" w:hint="eastAsia"/>
          <w:sz w:val="24"/>
          <w:szCs w:val="24"/>
        </w:rPr>
        <w:t>对咨询服务进行分析整理。分析报告应从咨询服务的数量、服务方式及质量等方面出发，对咨询服务进行真实客观地分析。月报需在规定时限内按照招标方的指定要求进行整理提交。</w:t>
      </w:r>
    </w:p>
    <w:p w14:paraId="542853C8" w14:textId="77777777" w:rsidR="003E73A5" w:rsidRPr="00D21EA1" w:rsidRDefault="00000000">
      <w:pPr>
        <w:widowControl/>
        <w:ind w:firstLineChars="100" w:firstLine="240"/>
        <w:jc w:val="left"/>
        <w:rPr>
          <w:rFonts w:asciiTheme="minorEastAsia" w:hAnsiTheme="minorEastAsia"/>
          <w:bCs/>
          <w:sz w:val="24"/>
          <w:szCs w:val="24"/>
        </w:rPr>
      </w:pPr>
      <w:r w:rsidRPr="00D21EA1">
        <w:rPr>
          <w:rFonts w:asciiTheme="minorEastAsia" w:hAnsiTheme="minorEastAsia" w:hint="eastAsia"/>
          <w:sz w:val="24"/>
          <w:szCs w:val="24"/>
        </w:rPr>
        <w:t xml:space="preserve">  中标方应以月为单位，对咨询服务过程中形成的问题进行汇总</w:t>
      </w:r>
      <w:r w:rsidRPr="00D21EA1">
        <w:rPr>
          <w:rFonts w:asciiTheme="minorEastAsia" w:hAnsiTheme="minorEastAsia" w:hint="eastAsia"/>
          <w:bCs/>
          <w:sz w:val="24"/>
          <w:szCs w:val="24"/>
        </w:rPr>
        <w:t>反馈，并在规定时限内按照招标方的指定要求进行整理提交。</w:t>
      </w:r>
    </w:p>
    <w:p w14:paraId="2A22FBD2" w14:textId="77777777" w:rsidR="003E73A5" w:rsidRPr="00D21EA1" w:rsidRDefault="00000000">
      <w:pPr>
        <w:widowControl/>
        <w:jc w:val="left"/>
        <w:rPr>
          <w:rFonts w:asciiTheme="minorEastAsia" w:hAnsiTheme="minorEastAsia"/>
          <w:bCs/>
          <w:sz w:val="24"/>
          <w:szCs w:val="24"/>
        </w:rPr>
      </w:pPr>
      <w:r w:rsidRPr="00D21EA1">
        <w:rPr>
          <w:rFonts w:asciiTheme="minorEastAsia" w:hAnsiTheme="minorEastAsia" w:hint="eastAsia"/>
          <w:bCs/>
          <w:sz w:val="24"/>
          <w:szCs w:val="24"/>
        </w:rPr>
        <w:t>2.6其他相关服务</w:t>
      </w:r>
    </w:p>
    <w:p w14:paraId="1B236ACD" w14:textId="77777777" w:rsidR="003E73A5" w:rsidRPr="00D21EA1" w:rsidRDefault="00000000">
      <w:pPr>
        <w:widowControl/>
        <w:jc w:val="left"/>
        <w:rPr>
          <w:rFonts w:asciiTheme="minorEastAsia" w:hAnsiTheme="minorEastAsia"/>
          <w:bCs/>
          <w:sz w:val="24"/>
          <w:szCs w:val="24"/>
        </w:rPr>
      </w:pPr>
      <w:r w:rsidRPr="00D21EA1">
        <w:rPr>
          <w:rFonts w:asciiTheme="minorEastAsia" w:hAnsiTheme="minorEastAsia" w:hint="eastAsia"/>
          <w:bCs/>
          <w:sz w:val="24"/>
          <w:szCs w:val="24"/>
        </w:rPr>
        <w:lastRenderedPageBreak/>
        <w:t xml:space="preserve">    为提升国家知识产权局专</w:t>
      </w:r>
      <w:r w:rsidRPr="00D21EA1">
        <w:rPr>
          <w:rFonts w:asciiTheme="minorEastAsia" w:hAnsiTheme="minorEastAsia" w:hint="eastAsia"/>
          <w:sz w:val="24"/>
          <w:szCs w:val="24"/>
        </w:rPr>
        <w:t>利审查质量，中标方应配合招标方</w:t>
      </w:r>
      <w:r w:rsidRPr="00D21EA1">
        <w:rPr>
          <w:rFonts w:asciiTheme="minorEastAsia" w:hAnsiTheme="minorEastAsia" w:hint="eastAsia"/>
          <w:bCs/>
          <w:sz w:val="24"/>
          <w:szCs w:val="24"/>
        </w:rPr>
        <w:t>做好社会反馈信息的整理分析和汇报工作。</w:t>
      </w:r>
    </w:p>
    <w:p w14:paraId="38C50733" w14:textId="77777777" w:rsidR="003E73A5" w:rsidRPr="00D21EA1" w:rsidRDefault="00000000">
      <w:pPr>
        <w:keepNext/>
        <w:keepLines/>
        <w:numPr>
          <w:ilvl w:val="0"/>
          <w:numId w:val="1"/>
        </w:numPr>
        <w:spacing w:before="260" w:after="260"/>
        <w:outlineLvl w:val="1"/>
        <w:rPr>
          <w:rFonts w:asciiTheme="minorEastAsia" w:hAnsiTheme="minorEastAsia"/>
          <w:b/>
          <w:bCs/>
          <w:sz w:val="24"/>
          <w:szCs w:val="24"/>
        </w:rPr>
      </w:pPr>
      <w:r w:rsidRPr="00D21EA1">
        <w:rPr>
          <w:rFonts w:asciiTheme="minorEastAsia" w:hAnsiTheme="minorEastAsia" w:hint="eastAsia"/>
          <w:b/>
          <w:bCs/>
          <w:sz w:val="24"/>
          <w:szCs w:val="24"/>
        </w:rPr>
        <w:t>项目内部质检</w:t>
      </w:r>
    </w:p>
    <w:p w14:paraId="79B2095D" w14:textId="77777777" w:rsidR="003E73A5" w:rsidRPr="00D21EA1" w:rsidRDefault="00000000">
      <w:pPr>
        <w:widowControl/>
        <w:jc w:val="left"/>
        <w:rPr>
          <w:rFonts w:asciiTheme="minorEastAsia" w:hAnsiTheme="minorEastAsia"/>
          <w:bCs/>
          <w:sz w:val="24"/>
          <w:szCs w:val="24"/>
        </w:rPr>
      </w:pPr>
      <w:r w:rsidRPr="00D21EA1">
        <w:rPr>
          <w:rFonts w:asciiTheme="minorEastAsia" w:hAnsiTheme="minorEastAsia" w:hint="eastAsia"/>
          <w:bCs/>
          <w:sz w:val="24"/>
          <w:szCs w:val="24"/>
        </w:rPr>
        <w:t xml:space="preserve">   1）中标方应</w:t>
      </w:r>
      <w:r w:rsidRPr="00D21EA1">
        <w:rPr>
          <w:rFonts w:asciiTheme="minorEastAsia" w:hAnsiTheme="minorEastAsia" w:hint="eastAsia"/>
          <w:sz w:val="24"/>
          <w:szCs w:val="24"/>
        </w:rPr>
        <w:t>对完成的咨询服务</w:t>
      </w:r>
      <w:r w:rsidRPr="00D21EA1">
        <w:rPr>
          <w:rFonts w:asciiTheme="minorEastAsia" w:hAnsiTheme="minorEastAsia" w:hint="eastAsia"/>
          <w:bCs/>
          <w:sz w:val="24"/>
          <w:szCs w:val="24"/>
        </w:rPr>
        <w:t>进行质量检查。</w:t>
      </w:r>
    </w:p>
    <w:p w14:paraId="3E1E2CD2" w14:textId="77777777" w:rsidR="003E73A5" w:rsidRPr="00D21EA1" w:rsidRDefault="00000000">
      <w:pPr>
        <w:widowControl/>
        <w:jc w:val="left"/>
        <w:rPr>
          <w:rFonts w:asciiTheme="minorEastAsia" w:hAnsiTheme="minorEastAsia"/>
          <w:bCs/>
          <w:sz w:val="24"/>
          <w:szCs w:val="24"/>
        </w:rPr>
      </w:pPr>
      <w:r w:rsidRPr="00D21EA1">
        <w:rPr>
          <w:rFonts w:asciiTheme="minorEastAsia" w:hAnsiTheme="minorEastAsia" w:hint="eastAsia"/>
          <w:bCs/>
          <w:sz w:val="24"/>
          <w:szCs w:val="24"/>
        </w:rPr>
        <w:t xml:space="preserve">    2）中标方应对咨询服务过程中产生的投诉具有完善的处理机制。</w:t>
      </w:r>
    </w:p>
    <w:p w14:paraId="26AA4DD5" w14:textId="77777777" w:rsidR="003E73A5" w:rsidRPr="00D21EA1" w:rsidRDefault="00000000">
      <w:pPr>
        <w:widowControl/>
        <w:jc w:val="left"/>
        <w:rPr>
          <w:rFonts w:asciiTheme="minorEastAsia" w:hAnsiTheme="minorEastAsia"/>
          <w:bCs/>
          <w:sz w:val="24"/>
          <w:szCs w:val="24"/>
        </w:rPr>
      </w:pPr>
      <w:r w:rsidRPr="00D21EA1">
        <w:rPr>
          <w:rFonts w:asciiTheme="minorEastAsia" w:hAnsiTheme="minorEastAsia" w:hint="eastAsia"/>
          <w:bCs/>
          <w:sz w:val="24"/>
          <w:szCs w:val="24"/>
        </w:rPr>
        <w:t xml:space="preserve">    3）中标方应对质检不合格的服务予以纠正，必要时需进行回复。</w:t>
      </w:r>
    </w:p>
    <w:p w14:paraId="6E789A2D" w14:textId="77777777" w:rsidR="003E73A5" w:rsidRPr="00D21EA1" w:rsidRDefault="00000000">
      <w:pPr>
        <w:keepNext/>
        <w:keepLines/>
        <w:numPr>
          <w:ilvl w:val="0"/>
          <w:numId w:val="1"/>
        </w:numPr>
        <w:spacing w:before="260" w:after="260" w:line="415" w:lineRule="auto"/>
        <w:outlineLvl w:val="1"/>
        <w:rPr>
          <w:rFonts w:asciiTheme="minorEastAsia" w:hAnsiTheme="minorEastAsia"/>
          <w:b/>
          <w:bCs/>
          <w:sz w:val="24"/>
          <w:szCs w:val="24"/>
        </w:rPr>
      </w:pPr>
      <w:bookmarkStart w:id="4" w:name="_Toc493250790"/>
      <w:r w:rsidRPr="00D21EA1">
        <w:rPr>
          <w:rFonts w:asciiTheme="minorEastAsia" w:hAnsiTheme="minorEastAsia" w:hint="eastAsia"/>
          <w:b/>
          <w:bCs/>
          <w:sz w:val="24"/>
          <w:szCs w:val="24"/>
        </w:rPr>
        <w:t>项目维护响应</w:t>
      </w:r>
      <w:bookmarkEnd w:id="4"/>
    </w:p>
    <w:p w14:paraId="23BF9A39"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对于已交付给招标方的咨询服务，如招标方在验收及使用中发现缺漏或错误，无论合同期终止与否，中标方都应免费给予补充或修改。中标方应于0.5个小时之内响应，并于5个工作日内完成补充或修改，并经质检合格后交付。</w:t>
      </w:r>
    </w:p>
    <w:p w14:paraId="088C4983"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对于招标方开展的新业务、新政策，中标方应于0.5个小时之内响应，并于5个工作日内组织培训学习，完成业务知识更新。</w:t>
      </w:r>
    </w:p>
    <w:p w14:paraId="08ECE10A" w14:textId="77777777" w:rsidR="003E73A5" w:rsidRPr="00D21EA1" w:rsidRDefault="00000000">
      <w:pPr>
        <w:keepNext/>
        <w:keepLines/>
        <w:numPr>
          <w:ilvl w:val="0"/>
          <w:numId w:val="1"/>
        </w:numPr>
        <w:spacing w:before="260" w:after="260" w:line="415" w:lineRule="auto"/>
        <w:outlineLvl w:val="1"/>
        <w:rPr>
          <w:rFonts w:asciiTheme="minorEastAsia" w:hAnsiTheme="minorEastAsia"/>
          <w:b/>
          <w:bCs/>
          <w:sz w:val="24"/>
          <w:szCs w:val="24"/>
        </w:rPr>
      </w:pPr>
      <w:bookmarkStart w:id="5" w:name="_Hlt56499517"/>
      <w:bookmarkStart w:id="6" w:name="_Toc493250791"/>
      <w:bookmarkEnd w:id="5"/>
      <w:r w:rsidRPr="00D21EA1">
        <w:rPr>
          <w:rFonts w:asciiTheme="minorEastAsia" w:hAnsiTheme="minorEastAsia" w:hint="eastAsia"/>
          <w:b/>
          <w:bCs/>
          <w:sz w:val="24"/>
          <w:szCs w:val="24"/>
        </w:rPr>
        <w:t>项目交付物要求</w:t>
      </w:r>
      <w:bookmarkEnd w:id="6"/>
    </w:p>
    <w:p w14:paraId="0281E3D3"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中标方应按本项目需求向招标方交付服务报告及其相关文件，至少包括但不限于：</w:t>
      </w:r>
    </w:p>
    <w:p w14:paraId="4C0DC90E"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sz w:val="24"/>
          <w:szCs w:val="24"/>
        </w:rPr>
        <w:fldChar w:fldCharType="begin"/>
      </w:r>
      <w:r w:rsidRPr="00D21EA1">
        <w:rPr>
          <w:rFonts w:asciiTheme="minorEastAsia" w:hAnsiTheme="minorEastAsia"/>
          <w:sz w:val="24"/>
          <w:szCs w:val="24"/>
        </w:rPr>
        <w:instrText xml:space="preserve"> </w:instrText>
      </w:r>
      <w:r w:rsidRPr="00D21EA1">
        <w:rPr>
          <w:rFonts w:asciiTheme="minorEastAsia" w:hAnsiTheme="minorEastAsia" w:hint="eastAsia"/>
          <w:sz w:val="24"/>
          <w:szCs w:val="24"/>
        </w:rPr>
        <w:instrText>= 1 \* GB3</w:instrText>
      </w:r>
      <w:r w:rsidRPr="00D21EA1">
        <w:rPr>
          <w:rFonts w:asciiTheme="minorEastAsia" w:hAnsiTheme="minorEastAsia"/>
          <w:sz w:val="24"/>
          <w:szCs w:val="24"/>
        </w:rPr>
        <w:instrText xml:space="preserve"> </w:instrText>
      </w:r>
      <w:r w:rsidRPr="00D21EA1">
        <w:rPr>
          <w:rFonts w:asciiTheme="minorEastAsia" w:hAnsiTheme="minorEastAsia"/>
          <w:sz w:val="24"/>
          <w:szCs w:val="24"/>
        </w:rPr>
        <w:fldChar w:fldCharType="separate"/>
      </w:r>
      <w:r w:rsidRPr="00D21EA1">
        <w:rPr>
          <w:rFonts w:asciiTheme="minorEastAsia" w:hAnsiTheme="minorEastAsia" w:hint="eastAsia"/>
          <w:sz w:val="24"/>
          <w:szCs w:val="24"/>
        </w:rPr>
        <w:t>①</w:t>
      </w:r>
      <w:r w:rsidRPr="00D21EA1">
        <w:rPr>
          <w:rFonts w:asciiTheme="minorEastAsia" w:hAnsiTheme="minorEastAsia"/>
          <w:sz w:val="24"/>
          <w:szCs w:val="24"/>
        </w:rPr>
        <w:fldChar w:fldCharType="end"/>
      </w:r>
      <w:r w:rsidRPr="00D21EA1">
        <w:rPr>
          <w:rFonts w:asciiTheme="minorEastAsia" w:hAnsiTheme="minorEastAsia" w:hint="eastAsia"/>
          <w:sz w:val="24"/>
          <w:szCs w:val="24"/>
        </w:rPr>
        <w:t>咨询服务工作的月报；</w:t>
      </w:r>
    </w:p>
    <w:p w14:paraId="47E6E8CB"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sz w:val="24"/>
          <w:szCs w:val="24"/>
        </w:rPr>
        <w:fldChar w:fldCharType="begin"/>
      </w:r>
      <w:r w:rsidRPr="00D21EA1">
        <w:rPr>
          <w:rFonts w:asciiTheme="minorEastAsia" w:hAnsiTheme="minorEastAsia"/>
          <w:sz w:val="24"/>
          <w:szCs w:val="24"/>
        </w:rPr>
        <w:instrText xml:space="preserve"> </w:instrText>
      </w:r>
      <w:r w:rsidRPr="00D21EA1">
        <w:rPr>
          <w:rFonts w:asciiTheme="minorEastAsia" w:hAnsiTheme="minorEastAsia" w:hint="eastAsia"/>
          <w:sz w:val="24"/>
          <w:szCs w:val="24"/>
        </w:rPr>
        <w:instrText>= 2 \* GB3</w:instrText>
      </w:r>
      <w:r w:rsidRPr="00D21EA1">
        <w:rPr>
          <w:rFonts w:asciiTheme="minorEastAsia" w:hAnsiTheme="minorEastAsia"/>
          <w:sz w:val="24"/>
          <w:szCs w:val="24"/>
        </w:rPr>
        <w:instrText xml:space="preserve"> </w:instrText>
      </w:r>
      <w:r w:rsidRPr="00D21EA1">
        <w:rPr>
          <w:rFonts w:asciiTheme="minorEastAsia" w:hAnsiTheme="minorEastAsia"/>
          <w:sz w:val="24"/>
          <w:szCs w:val="24"/>
        </w:rPr>
        <w:fldChar w:fldCharType="separate"/>
      </w:r>
      <w:r w:rsidRPr="00D21EA1">
        <w:rPr>
          <w:rFonts w:asciiTheme="minorEastAsia" w:hAnsiTheme="minorEastAsia" w:hint="eastAsia"/>
          <w:sz w:val="24"/>
          <w:szCs w:val="24"/>
        </w:rPr>
        <w:t>②</w:t>
      </w:r>
      <w:r w:rsidRPr="00D21EA1">
        <w:rPr>
          <w:rFonts w:asciiTheme="minorEastAsia" w:hAnsiTheme="minorEastAsia"/>
          <w:sz w:val="24"/>
          <w:szCs w:val="24"/>
        </w:rPr>
        <w:fldChar w:fldCharType="end"/>
      </w:r>
      <w:r w:rsidRPr="00D21EA1">
        <w:rPr>
          <w:rFonts w:asciiTheme="minorEastAsia" w:hAnsiTheme="minorEastAsia" w:hint="eastAsia"/>
          <w:sz w:val="24"/>
          <w:szCs w:val="24"/>
        </w:rPr>
        <w:t>项目总结报告。</w:t>
      </w:r>
    </w:p>
    <w:p w14:paraId="007D81E7"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项目完成后的项目总结报告须中标</w:t>
      </w:r>
      <w:proofErr w:type="gramStart"/>
      <w:r w:rsidRPr="00D21EA1">
        <w:rPr>
          <w:rFonts w:asciiTheme="minorEastAsia" w:hAnsiTheme="minorEastAsia" w:hint="eastAsia"/>
          <w:sz w:val="24"/>
          <w:szCs w:val="24"/>
        </w:rPr>
        <w:t>方相关</w:t>
      </w:r>
      <w:proofErr w:type="gramEnd"/>
      <w:r w:rsidRPr="00D21EA1">
        <w:rPr>
          <w:rFonts w:asciiTheme="minorEastAsia" w:hAnsiTheme="minorEastAsia" w:hint="eastAsia"/>
          <w:sz w:val="24"/>
          <w:szCs w:val="24"/>
        </w:rPr>
        <w:t>负责人签字并加盖公章。项目总结报告应至少包括服务期内中标方详细工作总结，交付的咨询服务数量及质量情况等内容。</w:t>
      </w:r>
    </w:p>
    <w:p w14:paraId="69ED1956"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所有工作成果及相关的文件，不论是否包含在工作说明中或被工作说明省略或遗漏，都被视为本项目下的交付物。</w:t>
      </w:r>
    </w:p>
    <w:p w14:paraId="47F1EEB4" w14:textId="77777777" w:rsidR="003E73A5" w:rsidRPr="00D21EA1" w:rsidRDefault="00000000">
      <w:pPr>
        <w:keepNext/>
        <w:keepLines/>
        <w:numPr>
          <w:ilvl w:val="0"/>
          <w:numId w:val="1"/>
        </w:numPr>
        <w:spacing w:before="260" w:after="260" w:line="415" w:lineRule="auto"/>
        <w:outlineLvl w:val="1"/>
        <w:rPr>
          <w:rFonts w:asciiTheme="minorEastAsia" w:hAnsiTheme="minorEastAsia"/>
          <w:b/>
          <w:bCs/>
          <w:sz w:val="24"/>
          <w:szCs w:val="24"/>
        </w:rPr>
      </w:pPr>
      <w:bookmarkStart w:id="7" w:name="_Toc493250792"/>
      <w:r w:rsidRPr="00D21EA1">
        <w:rPr>
          <w:rFonts w:asciiTheme="minorEastAsia" w:hAnsiTheme="minorEastAsia" w:hint="eastAsia"/>
          <w:b/>
          <w:bCs/>
          <w:sz w:val="24"/>
          <w:szCs w:val="24"/>
        </w:rPr>
        <w:t>项目质量及时限要求</w:t>
      </w:r>
      <w:bookmarkEnd w:id="7"/>
    </w:p>
    <w:p w14:paraId="275F5B5D"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中标方交付工作成果应满足以下要求:</w:t>
      </w:r>
    </w:p>
    <w:p w14:paraId="1040CED0" w14:textId="77777777" w:rsidR="003E73A5" w:rsidRPr="00D21EA1" w:rsidRDefault="00000000">
      <w:pPr>
        <w:ind w:firstLineChars="200" w:firstLine="480"/>
        <w:rPr>
          <w:rFonts w:asciiTheme="minorEastAsia" w:hAnsiTheme="minorEastAsia"/>
          <w:sz w:val="24"/>
          <w:szCs w:val="24"/>
        </w:rPr>
      </w:pPr>
      <w:bookmarkStart w:id="8" w:name="_Toc493250793"/>
      <w:r w:rsidRPr="00D21EA1">
        <w:rPr>
          <w:rFonts w:asciiTheme="minorEastAsia" w:hAnsiTheme="minorEastAsia" w:hint="eastAsia"/>
          <w:sz w:val="24"/>
          <w:szCs w:val="24"/>
        </w:rPr>
        <w:t>6.1准确性</w:t>
      </w:r>
      <w:bookmarkEnd w:id="8"/>
    </w:p>
    <w:p w14:paraId="214AB4BE"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1）中标方应保证交付服务的准确性，及时发现服务过程中的各种问题并予以纠正。</w:t>
      </w:r>
    </w:p>
    <w:p w14:paraId="4A0492D2" w14:textId="77777777" w:rsidR="003E73A5" w:rsidRPr="00D21EA1" w:rsidRDefault="00000000">
      <w:pPr>
        <w:rPr>
          <w:rFonts w:asciiTheme="minorEastAsia" w:hAnsiTheme="minorEastAsia"/>
          <w:sz w:val="24"/>
          <w:szCs w:val="24"/>
        </w:rPr>
      </w:pPr>
      <w:r w:rsidRPr="00D21EA1">
        <w:rPr>
          <w:rFonts w:asciiTheme="minorEastAsia" w:hAnsiTheme="minorEastAsia" w:hint="eastAsia"/>
          <w:sz w:val="24"/>
          <w:szCs w:val="24"/>
        </w:rPr>
        <w:t xml:space="preserve">    2）中标方应对完成的咨询服务进行质量检查，答复准确率不低于98%。</w:t>
      </w:r>
    </w:p>
    <w:p w14:paraId="2C816C2A"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3）中标方应有</w:t>
      </w:r>
      <w:proofErr w:type="gramStart"/>
      <w:r w:rsidRPr="00D21EA1">
        <w:rPr>
          <w:rFonts w:asciiTheme="minorEastAsia" w:hAnsiTheme="minorEastAsia" w:hint="eastAsia"/>
          <w:sz w:val="24"/>
          <w:szCs w:val="24"/>
        </w:rPr>
        <w:t>效</w:t>
      </w:r>
      <w:proofErr w:type="gramEnd"/>
      <w:r w:rsidRPr="00D21EA1">
        <w:rPr>
          <w:rFonts w:asciiTheme="minorEastAsia" w:hAnsiTheme="minorEastAsia" w:hint="eastAsia"/>
          <w:sz w:val="24"/>
          <w:szCs w:val="24"/>
        </w:rPr>
        <w:t>控制投诉的产生，有责投诉率低于万分之一。</w:t>
      </w:r>
    </w:p>
    <w:p w14:paraId="7C1F53FB" w14:textId="77777777" w:rsidR="003E73A5" w:rsidRPr="00D21EA1" w:rsidRDefault="00000000">
      <w:pPr>
        <w:ind w:firstLineChars="200" w:firstLine="480"/>
        <w:rPr>
          <w:rFonts w:asciiTheme="minorEastAsia" w:hAnsiTheme="minorEastAsia"/>
          <w:sz w:val="24"/>
          <w:szCs w:val="24"/>
        </w:rPr>
      </w:pPr>
      <w:bookmarkStart w:id="9" w:name="_Toc493250794"/>
      <w:r w:rsidRPr="00D21EA1">
        <w:rPr>
          <w:rFonts w:asciiTheme="minorEastAsia" w:hAnsiTheme="minorEastAsia" w:hint="eastAsia"/>
          <w:sz w:val="24"/>
          <w:szCs w:val="24"/>
        </w:rPr>
        <w:t>6.2及时性</w:t>
      </w:r>
      <w:bookmarkEnd w:id="9"/>
    </w:p>
    <w:p w14:paraId="58E5C462"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中标方应严格按照下述时限要求完成咨询服务工作并按期交付。</w:t>
      </w:r>
    </w:p>
    <w:p w14:paraId="01ABDBB7" w14:textId="77777777" w:rsidR="003E73A5" w:rsidRPr="00D21EA1" w:rsidRDefault="00000000">
      <w:pPr>
        <w:numPr>
          <w:ilvl w:val="0"/>
          <w:numId w:val="3"/>
        </w:numPr>
        <w:ind w:firstLineChars="200" w:firstLine="480"/>
        <w:rPr>
          <w:rFonts w:asciiTheme="minorEastAsia" w:hAnsiTheme="minorEastAsia"/>
          <w:sz w:val="24"/>
          <w:szCs w:val="24"/>
        </w:rPr>
      </w:pPr>
      <w:r w:rsidRPr="00D21EA1">
        <w:rPr>
          <w:rFonts w:asciiTheme="minorEastAsia" w:hAnsiTheme="minorEastAsia" w:hint="eastAsia"/>
          <w:sz w:val="24"/>
          <w:szCs w:val="24"/>
        </w:rPr>
        <w:t>中标方应在法定工作日提供9小时/日（8:00—17:00）的不间断人工咨询服务；</w:t>
      </w:r>
    </w:p>
    <w:p w14:paraId="3918B57A"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2）中标方应针对各类咨询服务及时响应，电话咨询服务</w:t>
      </w:r>
      <w:proofErr w:type="gramStart"/>
      <w:r w:rsidRPr="00D21EA1">
        <w:rPr>
          <w:rFonts w:asciiTheme="minorEastAsia" w:hAnsiTheme="minorEastAsia" w:hint="eastAsia"/>
          <w:sz w:val="24"/>
          <w:szCs w:val="24"/>
        </w:rPr>
        <w:t>座席</w:t>
      </w:r>
      <w:proofErr w:type="gramEnd"/>
      <w:r w:rsidRPr="00D21EA1">
        <w:rPr>
          <w:rFonts w:asciiTheme="minorEastAsia" w:hAnsiTheme="minorEastAsia" w:hint="eastAsia"/>
          <w:sz w:val="24"/>
          <w:szCs w:val="24"/>
        </w:rPr>
        <w:t>15秒接通率应在90%以上；</w:t>
      </w:r>
    </w:p>
    <w:p w14:paraId="03F6D36E"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lastRenderedPageBreak/>
        <w:t>3）中标方应于每月15日之前提交上月度各类咨询服务报告及相关文件；</w:t>
      </w:r>
    </w:p>
    <w:p w14:paraId="2F19DFBB"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4）中标方应对反馈问题及时整理分析，并于每月至少汇总提交一次；</w:t>
      </w:r>
    </w:p>
    <w:p w14:paraId="0EA8C854"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5）中标方应于项目完成后15天内（即2025年7月16日之前），提交项目期限内完整的项目总结报告。</w:t>
      </w:r>
    </w:p>
    <w:p w14:paraId="7C19E540" w14:textId="77777777" w:rsidR="003E73A5" w:rsidRPr="00D21EA1" w:rsidRDefault="00000000">
      <w:pPr>
        <w:ind w:firstLineChars="200" w:firstLine="480"/>
        <w:rPr>
          <w:rFonts w:asciiTheme="minorEastAsia" w:hAnsiTheme="minorEastAsia"/>
          <w:sz w:val="24"/>
          <w:szCs w:val="24"/>
        </w:rPr>
      </w:pPr>
      <w:bookmarkStart w:id="10" w:name="_Toc493250795"/>
      <w:r w:rsidRPr="00D21EA1">
        <w:rPr>
          <w:rFonts w:asciiTheme="minorEastAsia" w:hAnsiTheme="minorEastAsia" w:hint="eastAsia"/>
          <w:sz w:val="24"/>
          <w:szCs w:val="24"/>
        </w:rPr>
        <w:t>6.3完整性</w:t>
      </w:r>
      <w:bookmarkEnd w:id="10"/>
    </w:p>
    <w:p w14:paraId="087CC4EF"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中标方应提供包括技术服务内容中涵盖的全部服务需求，保证服务的完整性，确保所提供的专利咨询服务满足招标方各类业务需要。</w:t>
      </w:r>
    </w:p>
    <w:p w14:paraId="359BC1E4" w14:textId="77777777" w:rsidR="003E73A5" w:rsidRPr="00D21EA1" w:rsidRDefault="00000000">
      <w:pPr>
        <w:keepNext/>
        <w:keepLines/>
        <w:numPr>
          <w:ilvl w:val="0"/>
          <w:numId w:val="1"/>
        </w:numPr>
        <w:spacing w:before="260" w:after="260" w:line="415" w:lineRule="auto"/>
        <w:outlineLvl w:val="1"/>
        <w:rPr>
          <w:rFonts w:asciiTheme="minorEastAsia" w:hAnsiTheme="minorEastAsia"/>
          <w:b/>
          <w:bCs/>
          <w:sz w:val="24"/>
          <w:szCs w:val="24"/>
        </w:rPr>
      </w:pPr>
      <w:bookmarkStart w:id="11" w:name="_Toc493250796"/>
      <w:r w:rsidRPr="00D21EA1">
        <w:rPr>
          <w:rFonts w:asciiTheme="minorEastAsia" w:hAnsiTheme="minorEastAsia" w:hint="eastAsia"/>
          <w:b/>
          <w:bCs/>
          <w:sz w:val="24"/>
          <w:szCs w:val="24"/>
        </w:rPr>
        <w:t>项目管理要求</w:t>
      </w:r>
      <w:bookmarkEnd w:id="11"/>
    </w:p>
    <w:p w14:paraId="336A2318" w14:textId="77777777" w:rsidR="003E73A5" w:rsidRPr="00D21EA1" w:rsidRDefault="00000000">
      <w:pPr>
        <w:ind w:firstLine="420"/>
        <w:rPr>
          <w:rFonts w:asciiTheme="minorEastAsia" w:hAnsiTheme="minorEastAsia"/>
          <w:sz w:val="24"/>
          <w:szCs w:val="24"/>
        </w:rPr>
      </w:pPr>
      <w:r w:rsidRPr="00D21EA1">
        <w:rPr>
          <w:rFonts w:asciiTheme="minorEastAsia" w:hAnsiTheme="minorEastAsia" w:hint="eastAsia"/>
          <w:sz w:val="24"/>
          <w:szCs w:val="24"/>
        </w:rPr>
        <w:t xml:space="preserve"> 1）中标方应遵照</w:t>
      </w:r>
      <w:proofErr w:type="gramStart"/>
      <w:r w:rsidRPr="00D21EA1">
        <w:rPr>
          <w:rFonts w:asciiTheme="minorEastAsia" w:hAnsiTheme="minorEastAsia" w:hint="eastAsia"/>
          <w:sz w:val="24"/>
          <w:szCs w:val="24"/>
        </w:rPr>
        <w:t>招标方本项目</w:t>
      </w:r>
      <w:proofErr w:type="gramEnd"/>
      <w:r w:rsidRPr="00D21EA1">
        <w:rPr>
          <w:rFonts w:asciiTheme="minorEastAsia" w:hAnsiTheme="minorEastAsia" w:hint="eastAsia"/>
          <w:sz w:val="24"/>
          <w:szCs w:val="24"/>
        </w:rPr>
        <w:t>要求“</w:t>
      </w:r>
      <w:r w:rsidRPr="00D21EA1">
        <w:rPr>
          <w:rFonts w:asciiTheme="minorEastAsia" w:hAnsiTheme="minorEastAsia" w:hint="eastAsia"/>
          <w:b/>
          <w:sz w:val="24"/>
          <w:szCs w:val="24"/>
        </w:rPr>
        <w:t>1.</w:t>
      </w:r>
      <w:r w:rsidRPr="00D21EA1">
        <w:rPr>
          <w:rFonts w:asciiTheme="minorEastAsia" w:hAnsiTheme="minorEastAsia" w:hint="eastAsia"/>
          <w:sz w:val="24"/>
          <w:szCs w:val="24"/>
        </w:rPr>
        <w:t>”所述的服务标准或规范的要求，提供完善的咨询服务。</w:t>
      </w:r>
    </w:p>
    <w:p w14:paraId="09D10C57" w14:textId="77777777" w:rsidR="003E73A5" w:rsidRPr="00D21EA1" w:rsidRDefault="00000000">
      <w:pPr>
        <w:ind w:firstLine="420"/>
        <w:rPr>
          <w:rFonts w:asciiTheme="minorEastAsia" w:hAnsiTheme="minorEastAsia"/>
          <w:sz w:val="24"/>
          <w:szCs w:val="24"/>
        </w:rPr>
      </w:pPr>
      <w:r w:rsidRPr="00D21EA1">
        <w:rPr>
          <w:rFonts w:asciiTheme="minorEastAsia" w:hAnsiTheme="minorEastAsia" w:hint="eastAsia"/>
          <w:sz w:val="24"/>
          <w:szCs w:val="24"/>
        </w:rPr>
        <w:t xml:space="preserve"> 2）中标方应组建专职服务于本项目的由咨询人员、质检人员、管理人员、技术支持人员、项目支撑人员等组成的团队。</w:t>
      </w:r>
    </w:p>
    <w:p w14:paraId="33D3170F" w14:textId="77777777" w:rsidR="003E73A5" w:rsidRPr="00D21EA1" w:rsidRDefault="00000000">
      <w:pPr>
        <w:ind w:firstLine="420"/>
        <w:rPr>
          <w:rFonts w:asciiTheme="minorEastAsia" w:hAnsiTheme="minorEastAsia"/>
          <w:sz w:val="24"/>
          <w:szCs w:val="24"/>
        </w:rPr>
      </w:pPr>
      <w:r w:rsidRPr="00D21EA1">
        <w:rPr>
          <w:rFonts w:asciiTheme="minorEastAsia" w:hAnsiTheme="minorEastAsia" w:hint="eastAsia"/>
          <w:sz w:val="24"/>
          <w:szCs w:val="24"/>
        </w:rPr>
        <w:t xml:space="preserve"> 3）中标方应制</w:t>
      </w:r>
      <w:proofErr w:type="gramStart"/>
      <w:r w:rsidRPr="00D21EA1">
        <w:rPr>
          <w:rFonts w:asciiTheme="minorEastAsia" w:hAnsiTheme="minorEastAsia" w:hint="eastAsia"/>
          <w:sz w:val="24"/>
          <w:szCs w:val="24"/>
        </w:rPr>
        <w:t>定满足</w:t>
      </w:r>
      <w:proofErr w:type="gramEnd"/>
      <w:r w:rsidRPr="00D21EA1">
        <w:rPr>
          <w:rFonts w:asciiTheme="minorEastAsia" w:hAnsiTheme="minorEastAsia" w:hint="eastAsia"/>
          <w:sz w:val="24"/>
          <w:szCs w:val="24"/>
        </w:rPr>
        <w:t>本项目需求的咨询服务方案。上述方案至少包括服务流程、培训计划、质量控制、实施重点、反馈流程、更新维护、应急处理、安全与保密控制等内容，须经招标方审核。</w:t>
      </w:r>
    </w:p>
    <w:p w14:paraId="44286FCB" w14:textId="77777777" w:rsidR="003E73A5" w:rsidRPr="00D21EA1" w:rsidRDefault="00000000">
      <w:pPr>
        <w:ind w:firstLine="420"/>
        <w:rPr>
          <w:rFonts w:asciiTheme="minorEastAsia" w:hAnsiTheme="minorEastAsia"/>
          <w:sz w:val="24"/>
          <w:szCs w:val="24"/>
        </w:rPr>
      </w:pPr>
      <w:r w:rsidRPr="00D21EA1">
        <w:rPr>
          <w:rFonts w:asciiTheme="minorEastAsia" w:hAnsiTheme="minorEastAsia" w:hint="eastAsia"/>
          <w:sz w:val="24"/>
          <w:szCs w:val="24"/>
        </w:rPr>
        <w:t xml:space="preserve"> 4）本项目实施不接受转包、分包。</w:t>
      </w:r>
    </w:p>
    <w:p w14:paraId="5E559450" w14:textId="77777777" w:rsidR="003E73A5" w:rsidRPr="00D21EA1" w:rsidRDefault="00000000">
      <w:pPr>
        <w:keepNext/>
        <w:keepLines/>
        <w:spacing w:beforeLines="50" w:before="156" w:afterLines="50" w:after="156" w:line="576" w:lineRule="auto"/>
        <w:outlineLvl w:val="0"/>
        <w:rPr>
          <w:rFonts w:asciiTheme="minorEastAsia" w:hAnsiTheme="minorEastAsia"/>
          <w:b/>
          <w:bCs/>
          <w:kern w:val="44"/>
          <w:sz w:val="24"/>
          <w:szCs w:val="24"/>
        </w:rPr>
      </w:pPr>
      <w:bookmarkStart w:id="12" w:name="_Toc493250797"/>
      <w:r w:rsidRPr="00D21EA1">
        <w:rPr>
          <w:rFonts w:asciiTheme="minorEastAsia" w:hAnsiTheme="minorEastAsia" w:hint="eastAsia"/>
          <w:b/>
          <w:bCs/>
          <w:kern w:val="44"/>
          <w:sz w:val="24"/>
          <w:szCs w:val="24"/>
        </w:rPr>
        <w:t>二、考核和验收</w:t>
      </w:r>
      <w:bookmarkEnd w:id="12"/>
    </w:p>
    <w:p w14:paraId="1427AB8A" w14:textId="77777777" w:rsidR="003E73A5" w:rsidRPr="00D21EA1" w:rsidRDefault="00000000">
      <w:pPr>
        <w:keepNext/>
        <w:keepLines/>
        <w:numPr>
          <w:ilvl w:val="0"/>
          <w:numId w:val="4"/>
        </w:numPr>
        <w:spacing w:before="260" w:after="260" w:line="415" w:lineRule="auto"/>
        <w:outlineLvl w:val="1"/>
        <w:rPr>
          <w:rFonts w:asciiTheme="minorEastAsia" w:hAnsiTheme="minorEastAsia"/>
          <w:b/>
          <w:bCs/>
          <w:sz w:val="24"/>
          <w:szCs w:val="24"/>
        </w:rPr>
      </w:pPr>
      <w:bookmarkStart w:id="13" w:name="_Toc493250798"/>
      <w:r w:rsidRPr="00D21EA1">
        <w:rPr>
          <w:rFonts w:asciiTheme="minorEastAsia" w:hAnsiTheme="minorEastAsia" w:hint="eastAsia"/>
          <w:b/>
          <w:bCs/>
          <w:sz w:val="24"/>
          <w:szCs w:val="24"/>
        </w:rPr>
        <w:t>考核</w:t>
      </w:r>
      <w:bookmarkEnd w:id="13"/>
    </w:p>
    <w:p w14:paraId="50EC84E1"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招标方按照本项目需求按期对交付物进行时效考核和质量考核。</w:t>
      </w:r>
    </w:p>
    <w:p w14:paraId="1CB28AFA"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时效考核是指中标方应按照时限要求完成当期工作量，如逾期视为考核不合格。</w:t>
      </w:r>
    </w:p>
    <w:p w14:paraId="088A4721"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质量考核是指交付物应达到质量要求，质量考核项目至少包括但不限于答复准确率、电话咨询服务</w:t>
      </w:r>
      <w:proofErr w:type="gramStart"/>
      <w:r w:rsidRPr="00D21EA1">
        <w:rPr>
          <w:rFonts w:asciiTheme="minorEastAsia" w:hAnsiTheme="minorEastAsia" w:hint="eastAsia"/>
          <w:sz w:val="24"/>
          <w:szCs w:val="24"/>
        </w:rPr>
        <w:t>座席</w:t>
      </w:r>
      <w:proofErr w:type="gramEnd"/>
      <w:r w:rsidRPr="00D21EA1">
        <w:rPr>
          <w:rFonts w:asciiTheme="minorEastAsia" w:hAnsiTheme="minorEastAsia" w:hint="eastAsia"/>
          <w:sz w:val="24"/>
          <w:szCs w:val="24"/>
        </w:rPr>
        <w:t>的15秒接通率、咨询有责投诉率以及坐席咨询服务满意率（有评价数的）。答复准确率不低于98%，电话咨询服务</w:t>
      </w:r>
      <w:proofErr w:type="gramStart"/>
      <w:r w:rsidRPr="00D21EA1">
        <w:rPr>
          <w:rFonts w:asciiTheme="minorEastAsia" w:hAnsiTheme="minorEastAsia" w:hint="eastAsia"/>
          <w:sz w:val="24"/>
          <w:szCs w:val="24"/>
        </w:rPr>
        <w:t>座席</w:t>
      </w:r>
      <w:proofErr w:type="gramEnd"/>
      <w:r w:rsidRPr="00D21EA1">
        <w:rPr>
          <w:rFonts w:asciiTheme="minorEastAsia" w:hAnsiTheme="minorEastAsia" w:hint="eastAsia"/>
          <w:sz w:val="24"/>
          <w:szCs w:val="24"/>
        </w:rPr>
        <w:t>的15秒接通率不低于90%；坐席咨询服务满意率（有评价数的）不低于90%，咨询有责投诉率低于万分之一。</w:t>
      </w:r>
    </w:p>
    <w:p w14:paraId="3BD77A35"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如果未达到质量要求，中标方应于5个工作日内制定整改措施并提交招标方，如逾期视为考核不合格。</w:t>
      </w:r>
    </w:p>
    <w:p w14:paraId="54780617" w14:textId="77777777" w:rsidR="003E73A5" w:rsidRPr="00D21EA1" w:rsidRDefault="00000000">
      <w:pPr>
        <w:keepNext/>
        <w:keepLines/>
        <w:numPr>
          <w:ilvl w:val="0"/>
          <w:numId w:val="4"/>
        </w:numPr>
        <w:spacing w:before="260" w:after="260" w:line="415" w:lineRule="auto"/>
        <w:outlineLvl w:val="1"/>
        <w:rPr>
          <w:rFonts w:asciiTheme="minorEastAsia" w:hAnsiTheme="minorEastAsia"/>
          <w:b/>
          <w:bCs/>
          <w:sz w:val="24"/>
          <w:szCs w:val="24"/>
        </w:rPr>
      </w:pPr>
      <w:bookmarkStart w:id="14" w:name="_Toc493250799"/>
      <w:r w:rsidRPr="00D21EA1">
        <w:rPr>
          <w:rFonts w:asciiTheme="minorEastAsia" w:hAnsiTheme="minorEastAsia" w:hint="eastAsia"/>
          <w:b/>
          <w:bCs/>
          <w:sz w:val="24"/>
          <w:szCs w:val="24"/>
        </w:rPr>
        <w:t>验收</w:t>
      </w:r>
      <w:bookmarkEnd w:id="14"/>
    </w:p>
    <w:p w14:paraId="1B8E7B19"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1）中标方应提供验收文档的清单，至少包括但不限于：</w:t>
      </w:r>
    </w:p>
    <w:p w14:paraId="44152049"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sz w:val="24"/>
          <w:szCs w:val="24"/>
        </w:rPr>
        <w:fldChar w:fldCharType="begin"/>
      </w:r>
      <w:r w:rsidRPr="00D21EA1">
        <w:rPr>
          <w:rFonts w:asciiTheme="minorEastAsia" w:hAnsiTheme="minorEastAsia"/>
          <w:sz w:val="24"/>
          <w:szCs w:val="24"/>
        </w:rPr>
        <w:instrText xml:space="preserve"> </w:instrText>
      </w:r>
      <w:r w:rsidRPr="00D21EA1">
        <w:rPr>
          <w:rFonts w:asciiTheme="minorEastAsia" w:hAnsiTheme="minorEastAsia" w:hint="eastAsia"/>
          <w:sz w:val="24"/>
          <w:szCs w:val="24"/>
        </w:rPr>
        <w:instrText>= 1 \* GB3</w:instrText>
      </w:r>
      <w:r w:rsidRPr="00D21EA1">
        <w:rPr>
          <w:rFonts w:asciiTheme="minorEastAsia" w:hAnsiTheme="minorEastAsia"/>
          <w:sz w:val="24"/>
          <w:szCs w:val="24"/>
        </w:rPr>
        <w:instrText xml:space="preserve"> </w:instrText>
      </w:r>
      <w:r w:rsidRPr="00D21EA1">
        <w:rPr>
          <w:rFonts w:asciiTheme="minorEastAsia" w:hAnsiTheme="minorEastAsia"/>
          <w:sz w:val="24"/>
          <w:szCs w:val="24"/>
        </w:rPr>
        <w:fldChar w:fldCharType="separate"/>
      </w:r>
      <w:r w:rsidRPr="00D21EA1">
        <w:rPr>
          <w:rFonts w:asciiTheme="minorEastAsia" w:hAnsiTheme="minorEastAsia" w:hint="eastAsia"/>
          <w:sz w:val="24"/>
          <w:szCs w:val="24"/>
        </w:rPr>
        <w:t>①</w:t>
      </w:r>
      <w:r w:rsidRPr="00D21EA1">
        <w:rPr>
          <w:rFonts w:asciiTheme="minorEastAsia" w:hAnsiTheme="minorEastAsia"/>
          <w:sz w:val="24"/>
          <w:szCs w:val="24"/>
        </w:rPr>
        <w:fldChar w:fldCharType="end"/>
      </w:r>
      <w:r w:rsidRPr="00D21EA1">
        <w:rPr>
          <w:rFonts w:asciiTheme="minorEastAsia" w:hAnsiTheme="minorEastAsia" w:hint="eastAsia"/>
          <w:sz w:val="24"/>
          <w:szCs w:val="24"/>
        </w:rPr>
        <w:t xml:space="preserve"> 咨询服务工作的月报；</w:t>
      </w:r>
    </w:p>
    <w:p w14:paraId="79845ED1"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sz w:val="24"/>
          <w:szCs w:val="24"/>
        </w:rPr>
        <w:fldChar w:fldCharType="begin"/>
      </w:r>
      <w:r w:rsidRPr="00D21EA1">
        <w:rPr>
          <w:rFonts w:asciiTheme="minorEastAsia" w:hAnsiTheme="minorEastAsia"/>
          <w:sz w:val="24"/>
          <w:szCs w:val="24"/>
        </w:rPr>
        <w:instrText xml:space="preserve"> </w:instrText>
      </w:r>
      <w:r w:rsidRPr="00D21EA1">
        <w:rPr>
          <w:rFonts w:asciiTheme="minorEastAsia" w:hAnsiTheme="minorEastAsia" w:hint="eastAsia"/>
          <w:sz w:val="24"/>
          <w:szCs w:val="24"/>
        </w:rPr>
        <w:instrText>= 2 \* GB3</w:instrText>
      </w:r>
      <w:r w:rsidRPr="00D21EA1">
        <w:rPr>
          <w:rFonts w:asciiTheme="minorEastAsia" w:hAnsiTheme="minorEastAsia"/>
          <w:sz w:val="24"/>
          <w:szCs w:val="24"/>
        </w:rPr>
        <w:instrText xml:space="preserve"> </w:instrText>
      </w:r>
      <w:r w:rsidRPr="00D21EA1">
        <w:rPr>
          <w:rFonts w:asciiTheme="minorEastAsia" w:hAnsiTheme="minorEastAsia"/>
          <w:sz w:val="24"/>
          <w:szCs w:val="24"/>
        </w:rPr>
        <w:fldChar w:fldCharType="separate"/>
      </w:r>
      <w:r w:rsidRPr="00D21EA1">
        <w:rPr>
          <w:rFonts w:asciiTheme="minorEastAsia" w:hAnsiTheme="minorEastAsia" w:hint="eastAsia"/>
          <w:sz w:val="24"/>
          <w:szCs w:val="24"/>
        </w:rPr>
        <w:t>②</w:t>
      </w:r>
      <w:r w:rsidRPr="00D21EA1">
        <w:rPr>
          <w:rFonts w:asciiTheme="minorEastAsia" w:hAnsiTheme="minorEastAsia"/>
          <w:sz w:val="24"/>
          <w:szCs w:val="24"/>
        </w:rPr>
        <w:fldChar w:fldCharType="end"/>
      </w:r>
      <w:r w:rsidRPr="00D21EA1">
        <w:rPr>
          <w:rFonts w:asciiTheme="minorEastAsia" w:hAnsiTheme="minorEastAsia" w:hint="eastAsia"/>
          <w:sz w:val="24"/>
          <w:szCs w:val="24"/>
        </w:rPr>
        <w:t xml:space="preserve"> 项目总结报告。 </w:t>
      </w:r>
      <w:r w:rsidRPr="00D21EA1">
        <w:rPr>
          <w:rFonts w:asciiTheme="minorEastAsia" w:hAnsiTheme="minorEastAsia"/>
          <w:sz w:val="24"/>
          <w:szCs w:val="24"/>
        </w:rPr>
        <w:t xml:space="preserve"> </w:t>
      </w:r>
    </w:p>
    <w:p w14:paraId="66367102"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项目完成后的项目总结报告须中标</w:t>
      </w:r>
      <w:proofErr w:type="gramStart"/>
      <w:r w:rsidRPr="00D21EA1">
        <w:rPr>
          <w:rFonts w:asciiTheme="minorEastAsia" w:hAnsiTheme="minorEastAsia" w:hint="eastAsia"/>
          <w:sz w:val="24"/>
          <w:szCs w:val="24"/>
        </w:rPr>
        <w:t>方相关</w:t>
      </w:r>
      <w:proofErr w:type="gramEnd"/>
      <w:r w:rsidRPr="00D21EA1">
        <w:rPr>
          <w:rFonts w:asciiTheme="minorEastAsia" w:hAnsiTheme="minorEastAsia" w:hint="eastAsia"/>
          <w:sz w:val="24"/>
          <w:szCs w:val="24"/>
        </w:rPr>
        <w:t>负责人签字并加盖公章。项目总结报告应至少包括服务期内中标方详细工作总结，交付的咨询服务数量及质量情况等内容。</w:t>
      </w:r>
    </w:p>
    <w:p w14:paraId="519A47F2"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lastRenderedPageBreak/>
        <w:t>2）招标方按照本项目需求，参考中标方提供的项目总结报告，对交付物进行验收。验收时应邀请服务对象参与并出具意见。验收结果向社会公告，并作为支付项目合同相关款项的依据。</w:t>
      </w:r>
    </w:p>
    <w:p w14:paraId="26C6F02C" w14:textId="77777777" w:rsidR="003E73A5" w:rsidRPr="00D21EA1" w:rsidRDefault="00000000">
      <w:pPr>
        <w:ind w:firstLineChars="200" w:firstLine="480"/>
        <w:rPr>
          <w:rFonts w:asciiTheme="minorEastAsia" w:hAnsiTheme="minorEastAsia"/>
          <w:sz w:val="24"/>
          <w:szCs w:val="24"/>
        </w:rPr>
      </w:pPr>
      <w:r w:rsidRPr="00D21EA1">
        <w:rPr>
          <w:rFonts w:asciiTheme="minorEastAsia" w:hAnsiTheme="minorEastAsia" w:hint="eastAsia"/>
          <w:sz w:val="24"/>
          <w:szCs w:val="24"/>
        </w:rPr>
        <w:t>3）如验收未通过，招标方有权暂不签署验收报告并不支付相关款项。中标方应在5个工作日内按照验收意见进行弥补、改进或完善，待招标方重新组织验收并且验收合格后，招标方再向中标方支付相关款项。如果中标方在规定的验收日后的一个月内，经弥补、改进或完善后仍达不到验收标准的，招标方有权终止合同并拒绝支付相关款项。</w:t>
      </w:r>
    </w:p>
    <w:p w14:paraId="38F898FC" w14:textId="77777777" w:rsidR="003E73A5" w:rsidRPr="00D21EA1" w:rsidRDefault="00000000">
      <w:pPr>
        <w:keepNext/>
        <w:keepLines/>
        <w:spacing w:beforeLines="50" w:before="156" w:afterLines="50" w:after="156" w:line="576" w:lineRule="auto"/>
        <w:outlineLvl w:val="0"/>
        <w:rPr>
          <w:rFonts w:asciiTheme="minorEastAsia" w:hAnsiTheme="minorEastAsia"/>
          <w:b/>
          <w:bCs/>
          <w:kern w:val="44"/>
          <w:sz w:val="24"/>
          <w:szCs w:val="24"/>
        </w:rPr>
      </w:pPr>
      <w:bookmarkStart w:id="15" w:name="_Toc493250800"/>
      <w:r w:rsidRPr="00D21EA1">
        <w:rPr>
          <w:rFonts w:asciiTheme="minorEastAsia" w:hAnsiTheme="minorEastAsia" w:hint="eastAsia"/>
          <w:b/>
          <w:bCs/>
          <w:kern w:val="44"/>
          <w:sz w:val="24"/>
          <w:szCs w:val="24"/>
        </w:rPr>
        <w:t>三、知识产权要求</w:t>
      </w:r>
      <w:bookmarkEnd w:id="15"/>
    </w:p>
    <w:p w14:paraId="3411BC96"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1、本项目涉及的各类信息资源（包括查询系统、服务产品、咨询服务数据、分析报告等）的知识产权属于招标方所有，未经招标方书面授权许可，中标方不得擅自出售或使用、不得许可第三人使用、不得与第三人共同使用。</w:t>
      </w:r>
    </w:p>
    <w:p w14:paraId="277C9372"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2、中标方保证其所提供的全部工作成果均没有侵犯任何第三方的知识产权及其它权益。如招标方因采用中标方的工作成果而引起第三方提起有关侵权之指控、争议或索赔，由此产生的费用均由中标方自行承担，保护招标方的利益不受损害，并承担因此给招标方造成的全部损失和费用（包括但不限于法院诉讼的费用、合理的律师酬金和费用、损害赔偿费用、罚款以及其它所有的损失或损害等）。同时，中标方应自行承担费用采取补救措施，使所提供的工作成果不侵犯他人权利并符合本项目。</w:t>
      </w:r>
    </w:p>
    <w:p w14:paraId="713144CB" w14:textId="77777777" w:rsidR="003E73A5" w:rsidRPr="00D21EA1" w:rsidRDefault="00000000">
      <w:pPr>
        <w:keepNext/>
        <w:keepLines/>
        <w:spacing w:beforeLines="50" w:before="156" w:afterLines="50" w:after="156" w:line="576" w:lineRule="auto"/>
        <w:outlineLvl w:val="0"/>
        <w:rPr>
          <w:rFonts w:asciiTheme="minorEastAsia" w:hAnsiTheme="minorEastAsia"/>
          <w:b/>
          <w:bCs/>
          <w:kern w:val="44"/>
          <w:sz w:val="24"/>
          <w:szCs w:val="24"/>
        </w:rPr>
      </w:pPr>
      <w:bookmarkStart w:id="16" w:name="_Toc493250801"/>
      <w:bookmarkStart w:id="17" w:name="_Toc492281565"/>
      <w:r w:rsidRPr="00D21EA1">
        <w:rPr>
          <w:rFonts w:asciiTheme="minorEastAsia" w:hAnsiTheme="minorEastAsia" w:hint="eastAsia"/>
          <w:b/>
          <w:bCs/>
          <w:kern w:val="44"/>
          <w:sz w:val="24"/>
          <w:szCs w:val="24"/>
        </w:rPr>
        <w:t>四、保密</w:t>
      </w:r>
      <w:bookmarkEnd w:id="16"/>
      <w:bookmarkEnd w:id="17"/>
    </w:p>
    <w:p w14:paraId="0A290B6C"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1、投标方在中标之后对该项目所涉及的技术情报和资料负有保密责任。中标方在为招标方提供服务的过程中获得的有关招标方的任何属于保密协议范围内的信息、数据、资料（不论是招标方提供或披露的还是投标方偶然获得的）以及因本项目履行所取得的任何工作成果，均为保密信息。</w:t>
      </w:r>
    </w:p>
    <w:p w14:paraId="63A7E275"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2、中标方不得将该等信息自行使用或披露给任何第三方，包括但不限于在著作、会议、教学、媒体、论文等任何公开场合部分或全部引用、</w:t>
      </w:r>
      <w:proofErr w:type="gramStart"/>
      <w:r w:rsidRPr="00D21EA1">
        <w:rPr>
          <w:rFonts w:asciiTheme="minorEastAsia" w:hAnsiTheme="minorEastAsia" w:hint="eastAsia"/>
          <w:sz w:val="24"/>
          <w:szCs w:val="24"/>
        </w:rPr>
        <w:t>发表因</w:t>
      </w:r>
      <w:proofErr w:type="gramEnd"/>
      <w:r w:rsidRPr="00D21EA1">
        <w:rPr>
          <w:rFonts w:asciiTheme="minorEastAsia" w:hAnsiTheme="minorEastAsia" w:hint="eastAsia"/>
          <w:sz w:val="24"/>
          <w:szCs w:val="24"/>
        </w:rPr>
        <w:t>履行本项目所获得有关招标方的任何案例、资料、以及因本项目履行所产生的任何工作成果。</w:t>
      </w:r>
    </w:p>
    <w:p w14:paraId="3AA7937F"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3、中标方保证不向本项目项下提供服务的人员之外的其他人员披露本项目项下的保密信息。中标方应告知并采取必要的有效措施保证参与本项目项下服务项目之中标方人员履行本项目项下的保密义务。若中标方人员违反本项目项下的保密义务，中标方应承担连带责任。</w:t>
      </w:r>
    </w:p>
    <w:p w14:paraId="49D245AE"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4、中标方保证在项目验收后招标方在项目实施过程中提供的相关信息和资料全部返还给招标方，不得擅自留存。</w:t>
      </w:r>
    </w:p>
    <w:p w14:paraId="22C7F62F" w14:textId="77777777" w:rsidR="003E73A5" w:rsidRPr="00D21EA1" w:rsidRDefault="00000000">
      <w:pPr>
        <w:ind w:firstLineChars="100" w:firstLine="240"/>
        <w:rPr>
          <w:rFonts w:asciiTheme="minorEastAsia" w:hAnsiTheme="minorEastAsia"/>
          <w:sz w:val="24"/>
          <w:szCs w:val="24"/>
        </w:rPr>
      </w:pPr>
      <w:r w:rsidRPr="00D21EA1">
        <w:rPr>
          <w:rFonts w:asciiTheme="minorEastAsia" w:hAnsiTheme="minorEastAsia" w:hint="eastAsia"/>
          <w:sz w:val="24"/>
          <w:szCs w:val="24"/>
        </w:rPr>
        <w:t xml:space="preserve">  5、中标方做好保密工作，不得将咨询服务过程中涉及的未公开的专利审查信息披露给任何第三方。中标方应具有稳定的咨询人员队伍，为审查信息的安全性提供保障。</w:t>
      </w:r>
    </w:p>
    <w:bookmarkEnd w:id="0"/>
    <w:p w14:paraId="6C3C37F9" w14:textId="77777777" w:rsidR="003E73A5" w:rsidRPr="00D21EA1" w:rsidRDefault="003E73A5">
      <w:pPr>
        <w:pStyle w:val="a0"/>
        <w:rPr>
          <w:rFonts w:asciiTheme="minorEastAsia" w:hAnsiTheme="minorEastAsia"/>
          <w:szCs w:val="24"/>
        </w:rPr>
      </w:pPr>
    </w:p>
    <w:sectPr w:rsidR="003E73A5" w:rsidRPr="00D21EA1">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01D1C" w14:textId="77777777" w:rsidR="00DF10A8" w:rsidRDefault="00DF10A8">
      <w:r>
        <w:separator/>
      </w:r>
    </w:p>
  </w:endnote>
  <w:endnote w:type="continuationSeparator" w:id="0">
    <w:p w14:paraId="1F9F563F" w14:textId="77777777" w:rsidR="00DF10A8" w:rsidRDefault="00DF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铬..">
    <w:altName w:val="宋体"/>
    <w:charset w:val="00"/>
    <w:family w:val="roma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827DD" w14:textId="77777777" w:rsidR="003E73A5" w:rsidRDefault="00000000">
    <w:pPr>
      <w:autoSpaceDE w:val="0"/>
      <w:autoSpaceDN w:val="0"/>
      <w:adjustRightInd w:val="0"/>
      <w:spacing w:line="199" w:lineRule="exact"/>
      <w:jc w:val="left"/>
      <w:rPr>
        <w:rFonts w:ascii="Times New Roman" w:hAnsi="Times New Roman"/>
        <w:kern w:val="0"/>
        <w:sz w:val="19"/>
        <w:szCs w:val="19"/>
      </w:rPr>
    </w:pPr>
    <w:r>
      <w:rPr>
        <w:noProof/>
      </w:rPr>
      <mc:AlternateContent>
        <mc:Choice Requires="wps">
          <w:drawing>
            <wp:anchor distT="0" distB="0" distL="114300" distR="114300" simplePos="0" relativeHeight="251659264" behindDoc="1" locked="0" layoutInCell="0" allowOverlap="1" wp14:anchorId="62A7D85C" wp14:editId="5C24223A">
              <wp:simplePos x="0" y="0"/>
              <wp:positionH relativeFrom="page">
                <wp:posOffset>3582670</wp:posOffset>
              </wp:positionH>
              <wp:positionV relativeFrom="page">
                <wp:posOffset>9933940</wp:posOffset>
              </wp:positionV>
              <wp:extent cx="297815" cy="139700"/>
              <wp:effectExtent l="0" t="0" r="0" b="0"/>
              <wp:wrapNone/>
              <wp:docPr id="19" name="文本框 1"/>
              <wp:cNvGraphicFramePr/>
              <a:graphic xmlns:a="http://schemas.openxmlformats.org/drawingml/2006/main">
                <a:graphicData uri="http://schemas.microsoft.com/office/word/2010/wordprocessingShape">
                  <wps:wsp>
                    <wps:cNvSpPr txBox="1"/>
                    <wps:spPr>
                      <a:xfrm>
                        <a:off x="0" y="0"/>
                        <a:ext cx="297815" cy="139700"/>
                      </a:xfrm>
                      <a:prstGeom prst="rect">
                        <a:avLst/>
                      </a:prstGeom>
                      <a:noFill/>
                      <a:ln>
                        <a:noFill/>
                      </a:ln>
                      <a:effectLst/>
                    </wps:spPr>
                    <wps:txbx>
                      <w:txbxContent>
                        <w:p w14:paraId="7141FEFB" w14:textId="77777777" w:rsidR="003E73A5" w:rsidRDefault="00000000">
                          <w:pPr>
                            <w:autoSpaceDE w:val="0"/>
                            <w:autoSpaceDN w:val="0"/>
                            <w:adjustRightInd w:val="0"/>
                            <w:spacing w:line="194" w:lineRule="exact"/>
                            <w:ind w:left="232" w:right="-20"/>
                            <w:jc w:val="left"/>
                            <w:rPr>
                              <w:rFonts w:ascii="Times New Roman" w:hAnsi="Times New Roman"/>
                              <w:kern w:val="0"/>
                              <w:sz w:val="17"/>
                              <w:szCs w:val="17"/>
                            </w:rPr>
                          </w:pPr>
                          <w:r>
                            <w:rPr>
                              <w:rFonts w:ascii="Times New Roman" w:hAnsi="Times New Roman"/>
                              <w:w w:val="116"/>
                              <w:kern w:val="0"/>
                              <w:sz w:val="17"/>
                              <w:szCs w:val="17"/>
                            </w:rPr>
                            <w:fldChar w:fldCharType="begin"/>
                          </w:r>
                          <w:r>
                            <w:rPr>
                              <w:rFonts w:ascii="Times New Roman" w:hAnsi="Times New Roman"/>
                              <w:w w:val="116"/>
                              <w:kern w:val="0"/>
                              <w:sz w:val="17"/>
                              <w:szCs w:val="17"/>
                            </w:rPr>
                            <w:instrText xml:space="preserve"> PAGE </w:instrText>
                          </w:r>
                          <w:r>
                            <w:rPr>
                              <w:rFonts w:ascii="Times New Roman" w:hAnsi="Times New Roman"/>
                              <w:w w:val="116"/>
                              <w:kern w:val="0"/>
                              <w:sz w:val="17"/>
                              <w:szCs w:val="17"/>
                            </w:rPr>
                            <w:fldChar w:fldCharType="separate"/>
                          </w:r>
                          <w:r>
                            <w:rPr>
                              <w:rFonts w:ascii="Times New Roman" w:hAnsi="Times New Roman"/>
                              <w:w w:val="116"/>
                              <w:kern w:val="0"/>
                              <w:sz w:val="17"/>
                              <w:szCs w:val="17"/>
                            </w:rPr>
                            <w:t>2</w:t>
                          </w:r>
                          <w:r>
                            <w:rPr>
                              <w:rFonts w:ascii="Times New Roman" w:hAnsi="Times New Roman"/>
                              <w:w w:val="116"/>
                              <w:kern w:val="0"/>
                              <w:sz w:val="17"/>
                              <w:szCs w:val="17"/>
                            </w:rPr>
                            <w:fldChar w:fldCharType="end"/>
                          </w:r>
                        </w:p>
                      </w:txbxContent>
                    </wps:txbx>
                    <wps:bodyPr wrap="square" lIns="0" tIns="0" rIns="0" bIns="0" upright="1"/>
                  </wps:wsp>
                </a:graphicData>
              </a:graphic>
            </wp:anchor>
          </w:drawing>
        </mc:Choice>
        <mc:Fallback>
          <w:pict>
            <v:shapetype w14:anchorId="62A7D85C" id="_x0000_t202" coordsize="21600,21600" o:spt="202" path="m,l,21600r21600,l21600,xe">
              <v:stroke joinstyle="miter"/>
              <v:path gradientshapeok="t" o:connecttype="rect"/>
            </v:shapetype>
            <v:shape id="文本框 1" o:spid="_x0000_s1026" type="#_x0000_t202" style="position:absolute;margin-left:282.1pt;margin-top:782.2pt;width:23.45pt;height:11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" o:allowincell="f" filled="f" stroked="f">
              <v:textbox inset="0,0,0,0">
                <w:txbxContent>
                  <w:p w14:paraId="7141FEFB" w14:textId="77777777" w:rsidR="003E73A5" w:rsidRDefault="00000000">
                    <w:pPr>
                      <w:autoSpaceDE w:val="0"/>
                      <w:autoSpaceDN w:val="0"/>
                      <w:adjustRightInd w:val="0"/>
                      <w:spacing w:line="194" w:lineRule="exact"/>
                      <w:ind w:left="232" w:right="-20"/>
                      <w:jc w:val="left"/>
                      <w:rPr>
                        <w:rFonts w:ascii="Times New Roman" w:hAnsi="Times New Roman"/>
                        <w:kern w:val="0"/>
                        <w:sz w:val="17"/>
                        <w:szCs w:val="17"/>
                      </w:rPr>
                    </w:pPr>
                    <w:r>
                      <w:rPr>
                        <w:rFonts w:ascii="Times New Roman" w:hAnsi="Times New Roman"/>
                        <w:w w:val="116"/>
                        <w:kern w:val="0"/>
                        <w:sz w:val="17"/>
                        <w:szCs w:val="17"/>
                      </w:rPr>
                      <w:fldChar w:fldCharType="begin"/>
                    </w:r>
                    <w:r>
                      <w:rPr>
                        <w:rFonts w:ascii="Times New Roman" w:hAnsi="Times New Roman"/>
                        <w:w w:val="116"/>
                        <w:kern w:val="0"/>
                        <w:sz w:val="17"/>
                        <w:szCs w:val="17"/>
                      </w:rPr>
                      <w:instrText xml:space="preserve"> PAGE </w:instrText>
                    </w:r>
                    <w:r>
                      <w:rPr>
                        <w:rFonts w:ascii="Times New Roman" w:hAnsi="Times New Roman"/>
                        <w:w w:val="116"/>
                        <w:kern w:val="0"/>
                        <w:sz w:val="17"/>
                        <w:szCs w:val="17"/>
                      </w:rPr>
                      <w:fldChar w:fldCharType="separate"/>
                    </w:r>
                    <w:r>
                      <w:rPr>
                        <w:rFonts w:ascii="Times New Roman" w:hAnsi="Times New Roman"/>
                        <w:w w:val="116"/>
                        <w:kern w:val="0"/>
                        <w:sz w:val="17"/>
                        <w:szCs w:val="17"/>
                      </w:rPr>
                      <w:t>2</w:t>
                    </w:r>
                    <w:r>
                      <w:rPr>
                        <w:rFonts w:ascii="Times New Roman" w:hAnsi="Times New Roman"/>
                        <w:w w:val="116"/>
                        <w:kern w:val="0"/>
                        <w:sz w:val="17"/>
                        <w:szCs w:val="17"/>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3A780" w14:textId="77777777" w:rsidR="00DF10A8" w:rsidRDefault="00DF10A8">
      <w:r>
        <w:separator/>
      </w:r>
    </w:p>
  </w:footnote>
  <w:footnote w:type="continuationSeparator" w:id="0">
    <w:p w14:paraId="5657725F" w14:textId="77777777" w:rsidR="00DF10A8" w:rsidRDefault="00DF10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FDFE3AB"/>
    <w:multiLevelType w:val="singleLevel"/>
    <w:tmpl w:val="9FDFE3AB"/>
    <w:lvl w:ilvl="0">
      <w:start w:val="1"/>
      <w:numFmt w:val="bullet"/>
      <w:lvlText w:val=""/>
      <w:lvlJc w:val="left"/>
      <w:pPr>
        <w:ind w:left="420" w:hanging="420"/>
      </w:pPr>
      <w:rPr>
        <w:rFonts w:ascii="Wingdings" w:hAnsi="Wingdings" w:hint="default"/>
      </w:rPr>
    </w:lvl>
  </w:abstractNum>
  <w:abstractNum w:abstractNumId="1" w15:restartNumberingAfterBreak="0">
    <w:nsid w:val="57FDF091"/>
    <w:multiLevelType w:val="singleLevel"/>
    <w:tmpl w:val="57FDF091"/>
    <w:lvl w:ilvl="0">
      <w:start w:val="1"/>
      <w:numFmt w:val="decimal"/>
      <w:suff w:val="space"/>
      <w:lvlText w:val="%1）"/>
      <w:lvlJc w:val="left"/>
    </w:lvl>
  </w:abstractNum>
  <w:abstractNum w:abstractNumId="2" w15:restartNumberingAfterBreak="0">
    <w:nsid w:val="626A7058"/>
    <w:multiLevelType w:val="multilevel"/>
    <w:tmpl w:val="626A70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26A7079"/>
    <w:multiLevelType w:val="multilevel"/>
    <w:tmpl w:val="626A7079"/>
    <w:lvl w:ilvl="0">
      <w:start w:val="1"/>
      <w:numFmt w:val="decimal"/>
      <w:lvlText w:val="%1."/>
      <w:lvlJc w:val="left"/>
      <w:pPr>
        <w:ind w:left="420" w:hanging="420"/>
      </w:pPr>
      <w:rPr>
        <w:rFonts w:eastAsia="宋体"/>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66668338">
    <w:abstractNumId w:val="2"/>
    <w:lvlOverride w:ilvl="0">
      <w:startOverride w:val="1"/>
    </w:lvlOverride>
  </w:num>
  <w:num w:numId="2" w16cid:durableId="1675915088">
    <w:abstractNumId w:val="0"/>
  </w:num>
  <w:num w:numId="3" w16cid:durableId="335349191">
    <w:abstractNumId w:val="1"/>
  </w:num>
  <w:num w:numId="4" w16cid:durableId="28543263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U4YTJhYjYwOGMwODRlZmUxOTM2MTdlYjBmNmE1YzgifQ=="/>
  </w:docVars>
  <w:rsids>
    <w:rsidRoot w:val="CBFB37F3"/>
    <w:rsid w:val="BDAF2710"/>
    <w:rsid w:val="CBFB37F3"/>
    <w:rsid w:val="ECFFBE75"/>
    <w:rsid w:val="EDF79E67"/>
    <w:rsid w:val="EEF539D2"/>
    <w:rsid w:val="F66474C4"/>
    <w:rsid w:val="F7DF134C"/>
    <w:rsid w:val="F8E75ACE"/>
    <w:rsid w:val="FB7B6375"/>
    <w:rsid w:val="FF3C6948"/>
    <w:rsid w:val="FF7FAA25"/>
    <w:rsid w:val="FFEF87CB"/>
    <w:rsid w:val="000155EC"/>
    <w:rsid w:val="0013631B"/>
    <w:rsid w:val="00146B2E"/>
    <w:rsid w:val="00283535"/>
    <w:rsid w:val="003E73A5"/>
    <w:rsid w:val="005E44F0"/>
    <w:rsid w:val="005F6C77"/>
    <w:rsid w:val="0066746E"/>
    <w:rsid w:val="007A6E68"/>
    <w:rsid w:val="008437DA"/>
    <w:rsid w:val="00A35146"/>
    <w:rsid w:val="00D21EA1"/>
    <w:rsid w:val="00D36FBD"/>
    <w:rsid w:val="00DF10A8"/>
    <w:rsid w:val="00F85D9D"/>
    <w:rsid w:val="121E2104"/>
    <w:rsid w:val="390E386B"/>
    <w:rsid w:val="4A24405D"/>
    <w:rsid w:val="501E1ED7"/>
    <w:rsid w:val="57DFD0D0"/>
    <w:rsid w:val="60A3532C"/>
    <w:rsid w:val="77FF0E12"/>
    <w:rsid w:val="7BFC65F2"/>
    <w:rsid w:val="7DA15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30B881C"/>
  <w15:docId w15:val="{FDF3A194-83EE-4758-87E9-D812CFDCE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2"/>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line="440" w:lineRule="atLeast"/>
      <w:ind w:firstLine="240"/>
    </w:pPr>
    <w:rPr>
      <w:rFonts w:hAnsi="宋体"/>
      <w:sz w:val="24"/>
    </w:rPr>
  </w:style>
  <w:style w:type="paragraph" w:styleId="a4">
    <w:name w:val="annotation text"/>
    <w:basedOn w:val="a"/>
    <w:link w:val="a5"/>
    <w:qFormat/>
    <w:pPr>
      <w:jc w:val="left"/>
    </w:pPr>
  </w:style>
  <w:style w:type="paragraph" w:styleId="a6">
    <w:name w:val="footer"/>
    <w:basedOn w:val="a"/>
    <w:link w:val="a7"/>
    <w:qFormat/>
    <w:pPr>
      <w:tabs>
        <w:tab w:val="center" w:pos="4153"/>
        <w:tab w:val="right" w:pos="8306"/>
      </w:tabs>
      <w:snapToGrid w:val="0"/>
      <w:jc w:val="left"/>
    </w:pPr>
    <w:rPr>
      <w:sz w:val="18"/>
      <w:szCs w:val="18"/>
    </w:rPr>
  </w:style>
  <w:style w:type="paragraph" w:styleId="a8">
    <w:name w:val="header"/>
    <w:basedOn w:val="a"/>
    <w:link w:val="a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aa">
    <w:name w:val="annotation subject"/>
    <w:basedOn w:val="a4"/>
    <w:next w:val="a4"/>
    <w:link w:val="ab"/>
    <w:qFormat/>
    <w:rPr>
      <w:b/>
      <w:bCs/>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铬.." w:eastAsia="宋体..铬.." w:hAnsi="Calibri" w:cs="宋体..铬.."/>
      <w:color w:val="000000"/>
      <w:sz w:val="24"/>
      <w:szCs w:val="24"/>
    </w:rPr>
  </w:style>
  <w:style w:type="paragraph" w:customStyle="1" w:styleId="1">
    <w:name w:val="列出段落1"/>
    <w:basedOn w:val="a"/>
    <w:qFormat/>
    <w:pPr>
      <w:spacing w:beforeLines="50" w:afterLines="50" w:line="360" w:lineRule="auto"/>
      <w:ind w:firstLineChars="200" w:firstLine="420"/>
    </w:pPr>
    <w:rPr>
      <w:rFonts w:cs="黑体"/>
      <w:sz w:val="24"/>
    </w:rPr>
  </w:style>
  <w:style w:type="character" w:customStyle="1" w:styleId="a9">
    <w:name w:val="页眉 字符"/>
    <w:basedOn w:val="a1"/>
    <w:link w:val="a8"/>
    <w:qFormat/>
    <w:rPr>
      <w:kern w:val="2"/>
      <w:sz w:val="18"/>
      <w:szCs w:val="18"/>
    </w:rPr>
  </w:style>
  <w:style w:type="character" w:customStyle="1" w:styleId="a7">
    <w:name w:val="页脚 字符"/>
    <w:basedOn w:val="a1"/>
    <w:link w:val="a6"/>
    <w:qFormat/>
    <w:rPr>
      <w:kern w:val="2"/>
      <w:sz w:val="18"/>
      <w:szCs w:val="18"/>
    </w:rPr>
  </w:style>
  <w:style w:type="paragraph" w:styleId="ad">
    <w:name w:val="List Paragraph"/>
    <w:basedOn w:val="a"/>
    <w:uiPriority w:val="99"/>
    <w:qFormat/>
    <w:pPr>
      <w:ind w:firstLineChars="200" w:firstLine="420"/>
    </w:pPr>
  </w:style>
  <w:style w:type="character" w:customStyle="1" w:styleId="a5">
    <w:name w:val="批注文字 字符"/>
    <w:basedOn w:val="a1"/>
    <w:link w:val="a4"/>
    <w:qFormat/>
    <w:rPr>
      <w:kern w:val="2"/>
      <w:sz w:val="21"/>
      <w:szCs w:val="22"/>
    </w:rPr>
  </w:style>
  <w:style w:type="character" w:customStyle="1" w:styleId="ab">
    <w:name w:val="批注主题 字符"/>
    <w:basedOn w:val="a5"/>
    <w:link w:val="aa"/>
    <w:qFormat/>
    <w:rPr>
      <w:b/>
      <w:bCs/>
      <w:kern w:val="2"/>
      <w:sz w:val="21"/>
      <w:szCs w:val="22"/>
    </w:rPr>
  </w:style>
  <w:style w:type="paragraph" w:customStyle="1" w:styleId="10">
    <w:name w:val="修订1"/>
    <w:hidden/>
    <w:uiPriority w:val="99"/>
    <w:semiHidden/>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855</Words>
  <Characters>4874</Characters>
  <Application>Microsoft Office Word</Application>
  <DocSecurity>0</DocSecurity>
  <Lines>40</Lines>
  <Paragraphs>11</Paragraphs>
  <ScaleCrop>false</ScaleCrop>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hanzheng_1</dc:creator>
  <cp:lastModifiedBy>qiaosong yang</cp:lastModifiedBy>
  <cp:revision>8</cp:revision>
  <cp:lastPrinted>2023-03-25T00:49:00Z</cp:lastPrinted>
  <dcterms:created xsi:type="dcterms:W3CDTF">2022-04-26T01:38:00Z</dcterms:created>
  <dcterms:modified xsi:type="dcterms:W3CDTF">2024-03-28T04:57:00Z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2052-11.8.2.11788</vt:lpwstr>
  </property>
  <property fmtid="{D5CDD505-2E9C-101B-9397-08002B2CF9AE}" pid="3" name="ICV">
    <vt:lpwstr>8BDCDADAAAD219A57BA91B644F3CBCD6</vt:lpwstr>
  </property>
</Properties>
</file>