
<file path=[Content_Types].xml><?xml version="1.0" encoding="utf-8"?>
<Types xmlns="http://schemas.openxmlformats.org/package/2006/content-types">
  <Default Extension="xml" ContentType="application/xml"/>
  <Default Extension="gif" ContentType="image/gi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6"/>
      </w:pPr>
      <w:r>
        <w:t>窗体顶端</w:t>
      </w:r>
    </w:p>
    <w:p>
      <w:pPr>
        <w:pStyle w:val="3"/>
        <w:keepNext w:val="0"/>
        <w:keepLines w:val="0"/>
        <w:widowControl/>
        <w:suppressLineNumbers w:val="0"/>
        <w:spacing w:before="60" w:beforeAutospacing="0" w:after="60" w:afterAutospacing="0"/>
        <w:ind w:left="0" w:right="0" w:firstLine="0"/>
        <w:jc w:val="center"/>
      </w:pPr>
      <w:r>
        <w:rPr>
          <w:rStyle w:val="5"/>
          <w:rFonts w:ascii="宋体" w:hAnsi="宋体" w:eastAsia="宋体" w:cs="宋体"/>
          <w:spacing w:val="0"/>
          <w:sz w:val="57"/>
          <w:szCs w:val="57"/>
          <w:shd w:val="clear" w:fill="FFFFFF"/>
        </w:rPr>
        <w:t>福建省政府采购</w:t>
      </w:r>
    </w:p>
    <w:p>
      <w:pPr>
        <w:pStyle w:val="3"/>
        <w:keepNext w:val="0"/>
        <w:keepLines w:val="0"/>
        <w:widowControl/>
        <w:suppressLineNumbers w:val="0"/>
        <w:spacing w:before="60" w:beforeAutospacing="0" w:after="60" w:afterAutospacing="0"/>
        <w:ind w:left="0" w:right="0" w:firstLine="0"/>
        <w:jc w:val="center"/>
      </w:pPr>
      <w:r>
        <w:rPr>
          <w:rStyle w:val="5"/>
          <w:rFonts w:hint="eastAsia" w:ascii="宋体" w:hAnsi="宋体" w:eastAsia="宋体" w:cs="宋体"/>
          <w:spacing w:val="0"/>
          <w:sz w:val="57"/>
          <w:szCs w:val="57"/>
          <w:shd w:val="clear" w:fill="FFFFFF"/>
        </w:rPr>
        <w:t>货物和服务项目</w:t>
      </w:r>
    </w:p>
    <w:p>
      <w:pPr>
        <w:pStyle w:val="3"/>
        <w:keepNext w:val="0"/>
        <w:keepLines w:val="0"/>
        <w:widowControl/>
        <w:suppressLineNumbers w:val="0"/>
        <w:spacing w:before="60" w:beforeAutospacing="0" w:after="60" w:afterAutospacing="0"/>
        <w:ind w:left="0" w:right="0" w:firstLine="0"/>
        <w:jc w:val="center"/>
      </w:pPr>
      <w:r>
        <w:rPr>
          <w:rStyle w:val="5"/>
          <w:rFonts w:hint="eastAsia" w:ascii="宋体" w:hAnsi="宋体" w:eastAsia="宋体" w:cs="宋体"/>
          <w:spacing w:val="0"/>
          <w:sz w:val="57"/>
          <w:szCs w:val="57"/>
          <w:shd w:val="clear" w:fill="FFFFFF"/>
        </w:rPr>
        <w:t>公开招标文件</w:t>
      </w:r>
    </w:p>
    <w:p>
      <w:pPr>
        <w:pStyle w:val="3"/>
        <w:keepNext w:val="0"/>
        <w:keepLines w:val="0"/>
        <w:widowControl/>
        <w:suppressLineNumbers w:val="0"/>
        <w:spacing w:before="60" w:beforeAutospacing="0" w:after="60" w:afterAutospacing="0"/>
        <w:ind w:left="0" w:right="0" w:firstLine="840"/>
      </w:pPr>
      <w:r>
        <w:rPr>
          <w:rStyle w:val="5"/>
          <w:rFonts w:hint="eastAsia" w:ascii="宋体" w:hAnsi="宋体" w:eastAsia="宋体" w:cs="宋体"/>
          <w:spacing w:val="0"/>
          <w:sz w:val="24"/>
          <w:szCs w:val="24"/>
          <w:shd w:val="clear" w:fill="FFFFFF"/>
        </w:rPr>
        <w:t>项目名称：宁德师范学院机电一体化技术实验教学示范中心仪器设备采购项目</w:t>
      </w:r>
    </w:p>
    <w:p>
      <w:pPr>
        <w:pStyle w:val="3"/>
        <w:keepNext w:val="0"/>
        <w:keepLines w:val="0"/>
        <w:widowControl/>
        <w:suppressLineNumbers w:val="0"/>
        <w:spacing w:before="60" w:beforeAutospacing="0" w:after="60" w:afterAutospacing="0"/>
        <w:ind w:left="0" w:right="0" w:firstLine="840"/>
      </w:pPr>
      <w:r>
        <w:rPr>
          <w:rStyle w:val="5"/>
          <w:rFonts w:hint="eastAsia" w:ascii="宋体" w:hAnsi="宋体" w:eastAsia="宋体" w:cs="宋体"/>
          <w:spacing w:val="0"/>
          <w:sz w:val="24"/>
          <w:szCs w:val="24"/>
          <w:shd w:val="clear" w:fill="FFFFFF"/>
        </w:rPr>
        <w:t>备案编号：J-NDSY-GK-201804-B0387-IDN</w:t>
      </w:r>
    </w:p>
    <w:p>
      <w:pPr>
        <w:pStyle w:val="3"/>
        <w:keepNext w:val="0"/>
        <w:keepLines w:val="0"/>
        <w:widowControl/>
        <w:suppressLineNumbers w:val="0"/>
        <w:spacing w:before="60" w:beforeAutospacing="0" w:after="60" w:afterAutospacing="0"/>
        <w:ind w:left="0" w:right="0" w:firstLine="840"/>
      </w:pPr>
      <w:r>
        <w:rPr>
          <w:rStyle w:val="5"/>
          <w:rFonts w:hint="eastAsia" w:ascii="宋体" w:hAnsi="宋体" w:eastAsia="宋体" w:cs="宋体"/>
          <w:spacing w:val="0"/>
          <w:sz w:val="24"/>
          <w:szCs w:val="24"/>
          <w:shd w:val="clear" w:fill="FFFFFF"/>
        </w:rPr>
        <w:t>招标编号：[350900]ZDZB[GK]2018009</w:t>
      </w:r>
    </w:p>
    <w:p>
      <w:pPr>
        <w:pStyle w:val="3"/>
        <w:keepNext w:val="0"/>
        <w:keepLines w:val="0"/>
        <w:widowControl/>
        <w:suppressLineNumbers w:val="0"/>
        <w:spacing w:before="60" w:beforeAutospacing="0" w:after="60" w:afterAutospacing="0"/>
        <w:ind w:left="0" w:right="0" w:firstLine="0"/>
      </w:pPr>
      <w:r>
        <w:rPr>
          <w:rStyle w:val="5"/>
          <w:rFonts w:hint="eastAsia" w:ascii="宋体" w:hAnsi="宋体" w:eastAsia="宋体" w:cs="宋体"/>
          <w:spacing w:val="0"/>
          <w:sz w:val="21"/>
          <w:szCs w:val="21"/>
          <w:shd w:val="clear" w:fill="FFFFFF"/>
        </w:rPr>
        <w:t>采购人：</w:t>
      </w:r>
      <w:r>
        <w:rPr>
          <w:spacing w:val="0"/>
          <w:sz w:val="21"/>
          <w:szCs w:val="21"/>
          <w:shd w:val="clear" w:fill="FFFFFF"/>
        </w:rPr>
        <w:t xml:space="preserve"> </w:t>
      </w:r>
      <w:r>
        <w:rPr>
          <w:rStyle w:val="5"/>
          <w:rFonts w:hint="eastAsia" w:ascii="宋体" w:hAnsi="宋体" w:eastAsia="宋体" w:cs="宋体"/>
          <w:spacing w:val="0"/>
          <w:sz w:val="22"/>
          <w:szCs w:val="22"/>
          <w:shd w:val="clear" w:fill="FFFFFF"/>
        </w:rPr>
        <w:t>宁德师范学院</w:t>
      </w:r>
    </w:p>
    <w:p>
      <w:pPr>
        <w:pStyle w:val="3"/>
        <w:keepNext w:val="0"/>
        <w:keepLines w:val="0"/>
        <w:widowControl/>
        <w:suppressLineNumbers w:val="0"/>
        <w:spacing w:before="60" w:beforeAutospacing="0" w:after="60" w:afterAutospacing="0"/>
        <w:ind w:left="0" w:right="0" w:firstLine="0"/>
        <w:jc w:val="center"/>
      </w:pPr>
      <w:r>
        <w:rPr>
          <w:rStyle w:val="5"/>
          <w:rFonts w:hint="eastAsia" w:ascii="宋体" w:hAnsi="宋体" w:eastAsia="宋体" w:cs="宋体"/>
          <w:spacing w:val="0"/>
          <w:sz w:val="22"/>
          <w:szCs w:val="22"/>
          <w:shd w:val="clear" w:fill="FFFFFF"/>
        </w:rPr>
        <w:t>代理机构：福建省中达招标代理有限公司</w:t>
      </w:r>
    </w:p>
    <w:p>
      <w:pPr>
        <w:pStyle w:val="3"/>
        <w:keepNext w:val="0"/>
        <w:keepLines w:val="0"/>
        <w:widowControl/>
        <w:suppressLineNumbers w:val="0"/>
        <w:spacing w:before="60" w:beforeAutospacing="0" w:after="60" w:afterAutospacing="0" w:line="288" w:lineRule="atLeast"/>
        <w:ind w:left="0" w:right="576" w:firstLine="0"/>
        <w:jc w:val="center"/>
      </w:pPr>
      <w:r>
        <w:rPr>
          <w:rStyle w:val="5"/>
          <w:rFonts w:hint="eastAsia" w:ascii="宋体" w:hAnsi="宋体" w:eastAsia="宋体" w:cs="宋体"/>
          <w:spacing w:val="0"/>
          <w:sz w:val="22"/>
          <w:szCs w:val="22"/>
          <w:shd w:val="clear" w:fill="FFFFFF"/>
        </w:rPr>
        <w:t>2018年05月</w:t>
      </w:r>
    </w:p>
    <w:p>
      <w:pPr>
        <w:pStyle w:val="3"/>
        <w:keepNext w:val="0"/>
        <w:keepLines w:val="0"/>
        <w:widowControl/>
        <w:suppressLineNumbers w:val="0"/>
        <w:spacing w:before="60" w:beforeAutospacing="0" w:after="60" w:afterAutospacing="0"/>
        <w:ind w:left="0" w:right="0" w:firstLine="0"/>
        <w:jc w:val="center"/>
      </w:pPr>
      <w:r>
        <w:rPr>
          <w:rStyle w:val="5"/>
          <w:rFonts w:hint="eastAsia" w:ascii="宋体" w:hAnsi="宋体" w:eastAsia="宋体" w:cs="宋体"/>
          <w:spacing w:val="0"/>
          <w:sz w:val="25"/>
          <w:szCs w:val="25"/>
          <w:shd w:val="clear" w:fill="FFFFFF"/>
        </w:rPr>
        <w:t>第一章</w:t>
      </w:r>
      <w:r>
        <w:rPr>
          <w:rStyle w:val="5"/>
          <w:spacing w:val="0"/>
          <w:sz w:val="25"/>
          <w:szCs w:val="25"/>
          <w:shd w:val="clear" w:fill="FFFFFF"/>
        </w:rPr>
        <w:t xml:space="preserve"> </w:t>
      </w:r>
      <w:r>
        <w:rPr>
          <w:rStyle w:val="5"/>
          <w:rFonts w:hint="eastAsia" w:ascii="宋体" w:hAnsi="宋体" w:eastAsia="宋体" w:cs="宋体"/>
          <w:spacing w:val="0"/>
          <w:sz w:val="25"/>
          <w:szCs w:val="25"/>
          <w:shd w:val="clear" w:fill="FFFFFF"/>
        </w:rPr>
        <w:t>投标邀请</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u w:val="single"/>
          <w:shd w:val="clear" w:fill="FFFFFF"/>
        </w:rPr>
        <w:t>福建省中达招标代理有限公司</w:t>
      </w:r>
      <w:r>
        <w:rPr>
          <w:rFonts w:hint="eastAsia" w:ascii="宋体" w:hAnsi="宋体" w:eastAsia="宋体" w:cs="宋体"/>
          <w:spacing w:val="0"/>
          <w:sz w:val="19"/>
          <w:szCs w:val="19"/>
          <w:shd w:val="clear" w:fill="FFFFFF"/>
        </w:rPr>
        <w:t>采用</w:t>
      </w:r>
      <w:r>
        <w:rPr>
          <w:rFonts w:hint="eastAsia" w:ascii="宋体" w:hAnsi="宋体" w:eastAsia="宋体" w:cs="宋体"/>
          <w:spacing w:val="0"/>
          <w:sz w:val="19"/>
          <w:szCs w:val="19"/>
          <w:u w:val="single"/>
          <w:shd w:val="clear" w:fill="FFFFFF"/>
        </w:rPr>
        <w:t>公开招标方式</w:t>
      </w:r>
      <w:r>
        <w:rPr>
          <w:rFonts w:hint="eastAsia" w:ascii="宋体" w:hAnsi="宋体" w:eastAsia="宋体" w:cs="宋体"/>
          <w:spacing w:val="0"/>
          <w:sz w:val="19"/>
          <w:szCs w:val="19"/>
          <w:shd w:val="clear" w:fill="FFFFFF"/>
        </w:rPr>
        <w:t>组织</w:t>
      </w:r>
      <w:r>
        <w:rPr>
          <w:rFonts w:hint="eastAsia" w:ascii="宋体" w:hAnsi="宋体" w:eastAsia="宋体" w:cs="宋体"/>
          <w:spacing w:val="0"/>
          <w:sz w:val="19"/>
          <w:szCs w:val="19"/>
          <w:u w:val="none"/>
          <w:shd w:val="clear" w:fill="FFFFFF"/>
        </w:rPr>
        <w:t>宁德师范学院机电一体化技术实验教学示范中心仪器设备采购项目</w:t>
      </w:r>
      <w:r>
        <w:rPr>
          <w:rFonts w:hint="eastAsia" w:ascii="宋体" w:hAnsi="宋体" w:eastAsia="宋体" w:cs="宋体"/>
          <w:spacing w:val="0"/>
          <w:sz w:val="19"/>
          <w:szCs w:val="19"/>
          <w:shd w:val="clear" w:fill="FFFFFF"/>
        </w:rPr>
        <w:t>（以下简称：“本项目”）的政府采购活动，现邀请供应商参加投标。</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1、备案编号：</w:t>
      </w:r>
      <w:r>
        <w:rPr>
          <w:rFonts w:hint="eastAsia" w:ascii="宋体" w:hAnsi="宋体" w:eastAsia="宋体" w:cs="宋体"/>
          <w:spacing w:val="0"/>
          <w:sz w:val="19"/>
          <w:szCs w:val="19"/>
          <w:u w:val="single"/>
          <w:shd w:val="clear" w:fill="FFFFFF"/>
        </w:rPr>
        <w:t>J-NDSY-GK-201804-B0387-IDN</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2、招标编号：</w:t>
      </w:r>
      <w:r>
        <w:rPr>
          <w:rFonts w:hint="eastAsia" w:ascii="宋体" w:hAnsi="宋体" w:eastAsia="宋体" w:cs="宋体"/>
          <w:spacing w:val="0"/>
          <w:sz w:val="19"/>
          <w:szCs w:val="19"/>
          <w:u w:val="single"/>
          <w:shd w:val="clear" w:fill="FFFFFF"/>
        </w:rPr>
        <w:t>[350900]ZDZB[GK]2018009</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3、预算金额、最高限价：详见《采购标的一览表》。</w:t>
      </w:r>
      <w:r>
        <w:rPr>
          <w:rFonts w:hint="eastAsia" w:ascii="宋体" w:hAnsi="宋体" w:eastAsia="宋体" w:cs="宋体"/>
          <w:spacing w:val="0"/>
          <w:sz w:val="19"/>
          <w:szCs w:val="19"/>
          <w:shd w:val="clear" w:fill="FFFFFF"/>
        </w:rPr>
        <w:br w:type="textWrapping"/>
      </w:r>
      <w:r>
        <w:rPr>
          <w:rFonts w:hint="eastAsia" w:ascii="宋体" w:hAnsi="宋体" w:eastAsia="宋体" w:cs="宋体"/>
          <w:spacing w:val="0"/>
          <w:sz w:val="19"/>
          <w:szCs w:val="19"/>
          <w:shd w:val="clear" w:fill="FFFFFF"/>
        </w:rPr>
        <w:t>4、招标内容及要求：详见《采购标的一览表》及招标文件第五章。</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5、需要落实的政府采购政策：除特别说明外，下述政策适用于所有合同包。 (1)进口产品：执行《政府采购进口产品管理办法》，允许进口产品参加投标的品目详见《采购标的一览表》。(2)节能产品：执行第23期节能清单。(3)环境标志产品：执行第21期环境标志清单。(4)信息安全产品：执行《关于信息安全产品实施政府采购的通知（财库[2010]48号）》。(5)小型、微型企业：执行《政府采购促进中小企业发展暂行办法》。(6)监狱企业：执行《关于政府采购支持监狱企业发展有关问题的通知》（财库【2014】68号）。 (7)残疾人福利性单位：执行《关于促进残疾人就业政府采购政策的通知》（财库〔2017〕141号）。(8)信用记录，按照下列规定执行：①信用记录查询的截止时点：本项目招标公告发布后，投标截止时间前。②信用记录查询渠道：中国政府采购网（www.ccgp.gov.cn）及“信用中国”网站（www.creditchina.gov.cn）。③查询记录和证据留存的具体方式：投标人应同时提供在招标文件要求的截止时点前通过上述2个网站获取的信用信息查询结果，信用信息查询结果应为从上述网站获取的查询结果原始页面的打印件或完整截图，否则投标无效。④信用记录查询的具体办法及使用规则：投标人参加本项目采购活动(投标截止时间)前三年内被列入失信被执行人名单、重大税收违法案件当事人名单、政府采购严重违法失信行为记录名单，受到政府采购行政处罚，且相关信用惩戒期限未满，以及其他不符合《中华人民共和国政府采购法》第二十二条规定条件的供应商，投标无效。（9）查询结果的审查：①由资格审查小组通过上述网站查询并打印投标人信用记录（以下简称：“资格审查小组的查询结果”）。②投标人提供的查询结果与资格审查小组的查询结果不一致的，以资格审查小组的查询结果为准。③因上述网站原因导致资格审查小组无法查询投标人信用记录的（资格审查小组应将通过上述网站查询投标人信用记录时的原始页面打印后随采购文件一并存档），以投标人提供的查询结果为准。④查询结果存在投标人应被拒绝参与政府采购活动相关信息的，其资格审查不合格</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6、投标人的资格要求</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6.1法定条件：符合政府采购法第二十二条第一款规定的条件。</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6.2特定条件：</w:t>
      </w:r>
      <w:r>
        <w:rPr>
          <w:rFonts w:hint="eastAsia" w:ascii="宋体" w:hAnsi="宋体" w:eastAsia="宋体" w:cs="宋体"/>
          <w:spacing w:val="0"/>
          <w:sz w:val="19"/>
          <w:szCs w:val="19"/>
          <w:shd w:val="clear" w:fill="FFFFFF"/>
        </w:rPr>
        <w:br w:type="textWrapping"/>
      </w:r>
      <w:r>
        <w:rPr>
          <w:rStyle w:val="5"/>
          <w:rFonts w:hint="eastAsia" w:ascii="宋体" w:hAnsi="宋体" w:eastAsia="宋体" w:cs="宋体"/>
          <w:spacing w:val="0"/>
          <w:sz w:val="19"/>
          <w:szCs w:val="19"/>
          <w:shd w:val="clear" w:fill="FFFFFF"/>
        </w:rPr>
        <w:t>包：1</w:t>
      </w:r>
    </w:p>
    <w:tbl>
      <w:tblPr>
        <w:tblW w:w="8305" w:type="dxa"/>
        <w:tblCellSpacing w:w="0" w:type="dxa"/>
        <w:tblInd w:w="-129"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3737"/>
        <w:gridCol w:w="456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blHeader/>
          <w:tblCellSpacing w:w="0" w:type="dxa"/>
        </w:trPr>
        <w:tc>
          <w:tcPr>
            <w:tcW w:w="3737" w:type="dxa"/>
            <w:shd w:val="clear"/>
            <w:vAlign w:val="center"/>
          </w:tcPr>
          <w:p>
            <w:pPr>
              <w:keepNext w:val="0"/>
              <w:keepLines w:val="0"/>
              <w:widowControl/>
              <w:suppressLineNumbers w:val="0"/>
              <w:spacing w:line="18" w:lineRule="atLeast"/>
              <w:jc w:val="center"/>
              <w:rPr>
                <w:rFonts w:hint="eastAsia" w:ascii="微软雅黑" w:hAnsi="微软雅黑" w:eastAsia="微软雅黑" w:cs="微软雅黑"/>
                <w:b/>
                <w:color w:val="393939"/>
                <w:sz w:val="15"/>
                <w:szCs w:val="15"/>
              </w:rPr>
            </w:pPr>
            <w:r>
              <w:rPr>
                <w:rFonts w:hint="eastAsia" w:ascii="微软雅黑" w:hAnsi="微软雅黑" w:eastAsia="微软雅黑" w:cs="微软雅黑"/>
                <w:b/>
                <w:color w:val="393939"/>
                <w:kern w:val="0"/>
                <w:sz w:val="15"/>
                <w:szCs w:val="15"/>
                <w:bdr w:val="none" w:color="auto" w:sz="0" w:space="0"/>
                <w:lang w:val="en-US" w:eastAsia="zh-CN" w:bidi="ar"/>
              </w:rPr>
              <w:t>明细</w:t>
            </w:r>
          </w:p>
        </w:tc>
        <w:tc>
          <w:tcPr>
            <w:tcW w:w="4568" w:type="dxa"/>
            <w:shd w:val="clear"/>
            <w:vAlign w:val="center"/>
          </w:tcPr>
          <w:p>
            <w:pPr>
              <w:keepNext w:val="0"/>
              <w:keepLines w:val="0"/>
              <w:widowControl/>
              <w:suppressLineNumbers w:val="0"/>
              <w:spacing w:line="18" w:lineRule="atLeast"/>
              <w:jc w:val="center"/>
              <w:rPr>
                <w:rFonts w:hint="eastAsia" w:ascii="微软雅黑" w:hAnsi="微软雅黑" w:eastAsia="微软雅黑" w:cs="微软雅黑"/>
                <w:b/>
                <w:color w:val="393939"/>
                <w:sz w:val="15"/>
                <w:szCs w:val="15"/>
              </w:rPr>
            </w:pPr>
            <w:r>
              <w:rPr>
                <w:rFonts w:hint="eastAsia" w:ascii="微软雅黑" w:hAnsi="微软雅黑" w:eastAsia="微软雅黑" w:cs="微软雅黑"/>
                <w:b/>
                <w:color w:val="393939"/>
                <w:kern w:val="0"/>
                <w:sz w:val="15"/>
                <w:szCs w:val="15"/>
                <w:bdr w:val="none" w:color="auto" w:sz="0" w:space="0"/>
                <w:lang w:val="en-US" w:eastAsia="zh-CN" w:bidi="ar"/>
              </w:rPr>
              <w:t>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3737" w:type="dxa"/>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采购人提出特定条件的证明材料1</w:t>
            </w:r>
          </w:p>
        </w:tc>
        <w:tc>
          <w:tcPr>
            <w:tcW w:w="4568" w:type="dxa"/>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提供所投台式计算机、空调设备、电视设备、打印机的中国国家强制性产品认证3C证书复印件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3737" w:type="dxa"/>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检察机关行贿犯罪档案查询结果告知函(有效期内)</w:t>
            </w:r>
          </w:p>
        </w:tc>
        <w:tc>
          <w:tcPr>
            <w:tcW w:w="4568" w:type="dxa"/>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投标人由住所地或业务发生地检察院出具有效的检察机关行贿犯罪档案查询结果告知函（告知函中须体现投标人、法人代表和授权代表行贿犯罪记录）</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3737" w:type="dxa"/>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采购人提出特定条件的证明材料2</w:t>
            </w:r>
          </w:p>
        </w:tc>
        <w:tc>
          <w:tcPr>
            <w:tcW w:w="4568" w:type="dxa"/>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投标人所台式计算机、空调设备、电视设备应为最新期《节能产品政府采购清单》中产品，提供所投产品在《节能产品政府采购清单》（中国政府采购网下载）中所在页面。</w:t>
            </w:r>
          </w:p>
        </w:tc>
      </w:tr>
    </w:tbl>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6.3是否接受联合体投标：不接受。</w:t>
      </w:r>
    </w:p>
    <w:p>
      <w:pPr>
        <w:pStyle w:val="3"/>
        <w:keepNext w:val="0"/>
        <w:keepLines w:val="0"/>
        <w:widowControl/>
        <w:suppressLineNumbers w:val="0"/>
        <w:spacing w:before="60" w:beforeAutospacing="0" w:after="60" w:afterAutospacing="0"/>
        <w:ind w:left="0" w:right="0" w:firstLine="384"/>
      </w:pPr>
      <w:r>
        <w:rPr>
          <w:rStyle w:val="5"/>
          <w:rFonts w:hint="eastAsia" w:ascii="宋体" w:hAnsi="宋体" w:eastAsia="宋体" w:cs="宋体"/>
          <w:spacing w:val="0"/>
          <w:sz w:val="19"/>
          <w:szCs w:val="19"/>
          <w:shd w:val="clear" w:fill="FFFFFF"/>
        </w:rPr>
        <w:t>※根据上述资格要求，投标文件中应提交的“投标人的资格及资信证明文件”详见招标文件第四章。</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7、报名</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7.1报名期限：详见招标公告或更正公告（若有），若不一致，以更正公告（若有）为准。</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7.2报名期限内，供应商应通过福建省政府采购网上公开信息系统的注册会员账号（免费注册）对本项目进行报名(请根据项目所在地，登录对应的福建省政府采购网上公开信息系统报名(即省本级网址/地市分网))，否则</w:t>
      </w:r>
      <w:r>
        <w:rPr>
          <w:rStyle w:val="5"/>
          <w:rFonts w:hint="eastAsia" w:ascii="宋体" w:hAnsi="宋体" w:eastAsia="宋体" w:cs="宋体"/>
          <w:spacing w:val="0"/>
          <w:sz w:val="19"/>
          <w:szCs w:val="19"/>
          <w:shd w:val="clear" w:fill="FFFFFF"/>
        </w:rPr>
        <w:t>投标将被拒绝。</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8、招标文件的获取</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8.1招标文件提供期限：详见招标公告或更正公告（若有），若不一致，以更正公告（若有）为准。</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8.2获取地点及方式：报名后，通过福建省政府采购网上公开信息系统以下载方式获取。</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8.3、招标文件售价：</w:t>
      </w:r>
      <w:r>
        <w:rPr>
          <w:rFonts w:hint="default" w:ascii="Times New Roman" w:hAnsi="Times New Roman" w:cs="Times New Roman"/>
          <w:spacing w:val="0"/>
          <w:sz w:val="19"/>
          <w:szCs w:val="19"/>
          <w:shd w:val="clear" w:fill="FFFFFF"/>
        </w:rPr>
        <w:t>0</w:t>
      </w:r>
      <w:r>
        <w:rPr>
          <w:rFonts w:hint="eastAsia" w:ascii="宋体" w:hAnsi="宋体" w:eastAsia="宋体" w:cs="宋体"/>
          <w:spacing w:val="0"/>
          <w:sz w:val="19"/>
          <w:szCs w:val="19"/>
          <w:shd w:val="clear" w:fill="FFFFFF"/>
        </w:rPr>
        <w:t>元。</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9、投标截止</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9.1投标截止时间：详见招标公告或更正公告（若有），若不一致，以更正公告（若有）为准。</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9.2投标人应在投标截止时间前按照福建省政府采购网上公开信息系统设定的操作流程将电子投标文件上传至福建省政府采购网上公开信息系统，同时将</w:t>
      </w:r>
      <w:r>
        <w:rPr>
          <w:rStyle w:val="5"/>
          <w:rFonts w:hint="eastAsia" w:ascii="宋体" w:hAnsi="宋体" w:eastAsia="宋体" w:cs="宋体"/>
          <w:spacing w:val="0"/>
          <w:sz w:val="19"/>
          <w:szCs w:val="19"/>
          <w:shd w:val="clear" w:fill="FFFFFF"/>
        </w:rPr>
        <w:t>投标人的CA证书</w:t>
      </w:r>
      <w:r>
        <w:rPr>
          <w:rFonts w:hint="eastAsia" w:ascii="宋体" w:hAnsi="宋体" w:eastAsia="宋体" w:cs="宋体"/>
          <w:spacing w:val="0"/>
          <w:sz w:val="19"/>
          <w:szCs w:val="19"/>
          <w:shd w:val="clear" w:fill="FFFFFF"/>
        </w:rPr>
        <w:t>连同</w:t>
      </w:r>
      <w:r>
        <w:rPr>
          <w:rStyle w:val="5"/>
          <w:rFonts w:hint="eastAsia" w:ascii="宋体" w:hAnsi="宋体" w:eastAsia="宋体" w:cs="宋体"/>
          <w:spacing w:val="0"/>
          <w:sz w:val="19"/>
          <w:szCs w:val="19"/>
          <w:shd w:val="clear" w:fill="FFFFFF"/>
        </w:rPr>
        <w:t>密封的纸质投标文件</w:t>
      </w:r>
      <w:r>
        <w:rPr>
          <w:rFonts w:hint="eastAsia" w:ascii="宋体" w:hAnsi="宋体" w:eastAsia="宋体" w:cs="宋体"/>
          <w:spacing w:val="0"/>
          <w:sz w:val="19"/>
          <w:szCs w:val="19"/>
          <w:shd w:val="clear" w:fill="FFFFFF"/>
        </w:rPr>
        <w:t>送达招标文件第一章第10条载明的地点，否则</w:t>
      </w:r>
      <w:r>
        <w:rPr>
          <w:rStyle w:val="5"/>
          <w:rFonts w:hint="eastAsia" w:ascii="宋体" w:hAnsi="宋体" w:eastAsia="宋体" w:cs="宋体"/>
          <w:spacing w:val="0"/>
          <w:sz w:val="19"/>
          <w:szCs w:val="19"/>
          <w:shd w:val="clear" w:fill="FFFFFF"/>
        </w:rPr>
        <w:t>投标将被拒绝。</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10、开标时间及地点：详见招标公告或更正公告（若有），若不一致，以更正公告（若有）为准。</w:t>
      </w:r>
      <w:r>
        <w:rPr>
          <w:rStyle w:val="5"/>
          <w:rFonts w:hint="eastAsia" w:ascii="宋体" w:hAnsi="宋体" w:eastAsia="宋体" w:cs="宋体"/>
          <w:spacing w:val="0"/>
          <w:sz w:val="19"/>
          <w:szCs w:val="19"/>
          <w:shd w:val="clear" w:fill="FFFFFF"/>
        </w:rPr>
        <w:t xml:space="preserve"> </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11、公告期限</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11.1招标公告的公告期限：自财政部和福建省财政厅指定的政府采购信息发布媒体最先发布公告之日起</w:t>
      </w:r>
      <w:r>
        <w:rPr>
          <w:rFonts w:hint="default" w:ascii="Times New Roman" w:hAnsi="Times New Roman" w:cs="Times New Roman"/>
          <w:spacing w:val="0"/>
          <w:sz w:val="19"/>
          <w:szCs w:val="19"/>
          <w:shd w:val="clear" w:fill="FFFFFF"/>
        </w:rPr>
        <w:t>5</w:t>
      </w:r>
      <w:r>
        <w:rPr>
          <w:rFonts w:hint="eastAsia" w:ascii="宋体" w:hAnsi="宋体" w:eastAsia="宋体" w:cs="宋体"/>
          <w:spacing w:val="0"/>
          <w:sz w:val="19"/>
          <w:szCs w:val="19"/>
          <w:shd w:val="clear" w:fill="FFFFFF"/>
        </w:rPr>
        <w:t>个工作日。</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11.2招标文件公告期限：招标文件随同招标公告一并发布，其公告期限与本章第</w:t>
      </w:r>
      <w:r>
        <w:rPr>
          <w:rFonts w:hint="default" w:ascii="Times New Roman" w:hAnsi="Times New Roman" w:cs="Times New Roman"/>
          <w:spacing w:val="0"/>
          <w:sz w:val="19"/>
          <w:szCs w:val="19"/>
          <w:shd w:val="clear" w:fill="FFFFFF"/>
        </w:rPr>
        <w:t>11.1</w:t>
      </w:r>
      <w:r>
        <w:rPr>
          <w:rFonts w:hint="eastAsia" w:ascii="宋体" w:hAnsi="宋体" w:eastAsia="宋体" w:cs="宋体"/>
          <w:spacing w:val="0"/>
          <w:sz w:val="19"/>
          <w:szCs w:val="19"/>
          <w:shd w:val="clear" w:fill="FFFFFF"/>
        </w:rPr>
        <w:t>条载明的期限保持一致。</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12、采购人：宁德师范学院</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地址：宁德市东侨经济开发区学院路1号</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联系方法：18959307802</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13、代理机构：福建省中达招标代理有限公司</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地址：福州市马尾区福州保税区管委会综合大楼12层023区间（自贸试验区内）</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联系方法：0591-88231280</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br w:type="textWrapping"/>
      </w:r>
      <w:r>
        <w:rPr>
          <w:rFonts w:hint="eastAsia" w:ascii="宋体" w:hAnsi="宋体" w:eastAsia="宋体" w:cs="宋体"/>
          <w:spacing w:val="0"/>
          <w:sz w:val="19"/>
          <w:szCs w:val="19"/>
          <w:shd w:val="clear" w:fill="FFFFFF"/>
        </w:rPr>
        <w:t>附1：账户信息</w:t>
      </w:r>
    </w:p>
    <w:tbl>
      <w:tblPr>
        <w:tblW w:w="9216"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921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9156"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jc w:val="center"/>
            </w:pPr>
            <w:r>
              <w:rPr>
                <w:rStyle w:val="5"/>
                <w:rFonts w:hint="eastAsia" w:ascii="宋体" w:hAnsi="宋体" w:eastAsia="宋体" w:cs="宋体"/>
                <w:color w:val="393939"/>
                <w:spacing w:val="0"/>
                <w:sz w:val="19"/>
                <w:szCs w:val="19"/>
              </w:rPr>
              <w:t>投标保证金账户</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156" w:type="dxa"/>
            <w:tcBorders>
              <w:top w:val="nil"/>
              <w:left w:val="nil"/>
              <w:bottom w:val="nil"/>
              <w:right w:val="nil"/>
            </w:tcBorders>
            <w:shd w:val="clear"/>
            <w:tcMar>
              <w:top w:w="0" w:type="dxa"/>
              <w:left w:w="84" w:type="dxa"/>
              <w:bottom w:w="0" w:type="dxa"/>
              <w:right w:w="84" w:type="dxa"/>
            </w:tcMar>
            <w:vAlign w:val="top"/>
          </w:tcPr>
          <w:p>
            <w:pPr>
              <w:pStyle w:val="3"/>
              <w:keepNext w:val="0"/>
              <w:keepLines w:val="0"/>
              <w:widowControl/>
              <w:suppressLineNumbers w:val="0"/>
              <w:spacing w:before="0" w:beforeAutospacing="0" w:after="0" w:afterAutospacing="0" w:line="18" w:lineRule="atLeast"/>
              <w:ind w:left="0" w:right="0"/>
            </w:pPr>
            <w:r>
              <w:rPr>
                <w:rFonts w:hint="eastAsia" w:ascii="宋体" w:hAnsi="宋体" w:eastAsia="宋体" w:cs="宋体"/>
                <w:color w:val="393939"/>
                <w:spacing w:val="0"/>
                <w:sz w:val="19"/>
                <w:szCs w:val="19"/>
              </w:rPr>
              <w:t>开户名称：</w:t>
            </w:r>
            <w:r>
              <w:rPr>
                <w:rFonts w:hint="eastAsia" w:ascii="宋体" w:hAnsi="宋体" w:eastAsia="宋体" w:cs="宋体"/>
                <w:color w:val="393939"/>
                <w:spacing w:val="0"/>
                <w:sz w:val="19"/>
                <w:szCs w:val="19"/>
                <w:u w:val="single"/>
                <w:shd w:val="clear" w:fill="FFFFFF"/>
              </w:rPr>
              <w:t>福建省中达招标代理有限公司</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156" w:type="dxa"/>
            <w:tcBorders>
              <w:top w:val="nil"/>
              <w:left w:val="nil"/>
              <w:bottom w:val="nil"/>
              <w:right w:val="nil"/>
            </w:tcBorders>
            <w:shd w:val="clear"/>
            <w:tcMar>
              <w:top w:w="0" w:type="dxa"/>
              <w:left w:w="84" w:type="dxa"/>
              <w:bottom w:w="0" w:type="dxa"/>
              <w:right w:w="84" w:type="dxa"/>
            </w:tcMar>
            <w:vAlign w:val="top"/>
          </w:tcPr>
          <w:p>
            <w:pPr>
              <w:pStyle w:val="3"/>
              <w:keepNext w:val="0"/>
              <w:keepLines w:val="0"/>
              <w:widowControl/>
              <w:suppressLineNumbers w:val="0"/>
              <w:spacing w:before="0" w:beforeAutospacing="0" w:after="0" w:afterAutospacing="0" w:line="18" w:lineRule="atLeast"/>
              <w:ind w:left="0" w:right="0"/>
            </w:pPr>
            <w:r>
              <w:rPr>
                <w:rFonts w:hint="eastAsia" w:ascii="宋体" w:hAnsi="宋体" w:eastAsia="宋体" w:cs="宋体"/>
                <w:color w:val="393939"/>
                <w:spacing w:val="0"/>
                <w:sz w:val="19"/>
                <w:szCs w:val="19"/>
              </w:rPr>
              <w:t>开户银行：</w:t>
            </w:r>
            <w:r>
              <w:rPr>
                <w:rFonts w:hint="eastAsia" w:ascii="宋体" w:hAnsi="宋体" w:eastAsia="宋体" w:cs="宋体"/>
                <w:color w:val="393939"/>
                <w:spacing w:val="0"/>
                <w:sz w:val="19"/>
                <w:szCs w:val="19"/>
                <w:u w:val="none"/>
              </w:rPr>
              <w:t>供应商在福建省政府采购网上公开信息系统报名后，根据其提示自行选择要缴交的投标保证金托管银行</w:t>
            </w:r>
            <w:r>
              <w:rPr>
                <w:rFonts w:hint="eastAsia" w:ascii="宋体" w:hAnsi="宋体" w:eastAsia="宋体" w:cs="宋体"/>
                <w:color w:val="393939"/>
                <w:spacing w:val="0"/>
                <w:sz w:val="19"/>
                <w:szCs w:val="19"/>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156" w:type="dxa"/>
            <w:tcBorders>
              <w:top w:val="nil"/>
              <w:left w:val="nil"/>
              <w:bottom w:val="nil"/>
              <w:right w:val="nil"/>
            </w:tcBorders>
            <w:shd w:val="clear"/>
            <w:tcMar>
              <w:top w:w="0" w:type="dxa"/>
              <w:left w:w="84" w:type="dxa"/>
              <w:bottom w:w="0" w:type="dxa"/>
              <w:right w:w="84" w:type="dxa"/>
            </w:tcMar>
            <w:vAlign w:val="top"/>
          </w:tcPr>
          <w:p>
            <w:pPr>
              <w:pStyle w:val="3"/>
              <w:keepNext w:val="0"/>
              <w:keepLines w:val="0"/>
              <w:widowControl/>
              <w:suppressLineNumbers w:val="0"/>
              <w:spacing w:before="0" w:beforeAutospacing="0" w:after="0" w:afterAutospacing="0" w:line="18" w:lineRule="atLeast"/>
              <w:ind w:left="0" w:right="0"/>
            </w:pPr>
            <w:r>
              <w:rPr>
                <w:rFonts w:hint="eastAsia" w:ascii="宋体" w:hAnsi="宋体" w:eastAsia="宋体" w:cs="宋体"/>
                <w:color w:val="393939"/>
                <w:spacing w:val="0"/>
                <w:sz w:val="19"/>
                <w:szCs w:val="19"/>
              </w:rPr>
              <w:t>银行账号：</w:t>
            </w:r>
            <w:r>
              <w:rPr>
                <w:rFonts w:hint="eastAsia" w:ascii="宋体" w:hAnsi="宋体" w:eastAsia="宋体" w:cs="宋体"/>
                <w:color w:val="393939"/>
                <w:spacing w:val="0"/>
                <w:sz w:val="19"/>
                <w:szCs w:val="19"/>
                <w:u w:val="none"/>
              </w:rPr>
              <w:t>福建省政府采购网上公开信息系统根据供应商选择的投标保证金托管银行，以合同包为单位，自动生成供应商所投合同包的缴交银行账号（即多个合同包将对应生成多个缴交账号）。供应商应按照所投合同包的投标保证金要求，缴交相应的投标保证金。</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156"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jc w:val="center"/>
            </w:pPr>
            <w:r>
              <w:rPr>
                <w:rStyle w:val="5"/>
                <w:rFonts w:hint="eastAsia" w:ascii="宋体" w:hAnsi="宋体" w:eastAsia="宋体" w:cs="宋体"/>
                <w:color w:val="393939"/>
                <w:spacing w:val="0"/>
                <w:sz w:val="19"/>
                <w:szCs w:val="19"/>
              </w:rPr>
              <w:t>特别提示</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156" w:type="dxa"/>
            <w:tcBorders>
              <w:top w:val="nil"/>
              <w:left w:val="nil"/>
              <w:bottom w:val="nil"/>
              <w:right w:val="nil"/>
            </w:tcBorders>
            <w:shd w:val="clear"/>
            <w:tcMar>
              <w:top w:w="0" w:type="dxa"/>
              <w:left w:w="84" w:type="dxa"/>
              <w:bottom w:w="0" w:type="dxa"/>
              <w:right w:w="84" w:type="dxa"/>
            </w:tcMar>
            <w:vAlign w:val="top"/>
          </w:tcPr>
          <w:p>
            <w:pPr>
              <w:pStyle w:val="3"/>
              <w:keepNext w:val="0"/>
              <w:keepLines w:val="0"/>
              <w:widowControl/>
              <w:suppressLineNumbers w:val="0"/>
              <w:spacing w:before="0" w:beforeAutospacing="0" w:after="0" w:afterAutospacing="0" w:line="18" w:lineRule="atLeast"/>
              <w:ind w:left="0" w:right="0"/>
            </w:pPr>
            <w:r>
              <w:rPr>
                <w:rFonts w:hint="eastAsia" w:ascii="宋体" w:hAnsi="宋体" w:eastAsia="宋体" w:cs="宋体"/>
                <w:color w:val="393939"/>
                <w:spacing w:val="0"/>
                <w:sz w:val="19"/>
                <w:szCs w:val="19"/>
              </w:rPr>
              <w:t>1、投标人应认真核对账户信息，将投标保证金汇入以上账户，并自行承担因汇错投标保证金而产生的一切后果。</w:t>
            </w:r>
          </w:p>
          <w:p>
            <w:pPr>
              <w:pStyle w:val="3"/>
              <w:keepNext w:val="0"/>
              <w:keepLines w:val="0"/>
              <w:widowControl/>
              <w:suppressLineNumbers w:val="0"/>
              <w:spacing w:before="0" w:beforeAutospacing="0" w:after="0" w:afterAutospacing="0" w:line="18" w:lineRule="atLeast"/>
              <w:ind w:left="0" w:right="0"/>
            </w:pPr>
            <w:r>
              <w:rPr>
                <w:rFonts w:hint="eastAsia" w:ascii="宋体" w:hAnsi="宋体" w:eastAsia="宋体" w:cs="宋体"/>
                <w:color w:val="393939"/>
                <w:spacing w:val="0"/>
                <w:sz w:val="19"/>
                <w:szCs w:val="19"/>
              </w:rPr>
              <w:t>2、投标人在转账或电汇的凭证上应按照以下格式注明，以便核对：“（招标编号：</w:t>
            </w:r>
            <w:r>
              <w:rPr>
                <w:rFonts w:hint="default" w:ascii="Times New Roman" w:hAnsi="Times New Roman" w:eastAsia="微软雅黑" w:cs="Times New Roman"/>
                <w:color w:val="393939"/>
                <w:spacing w:val="0"/>
                <w:sz w:val="19"/>
                <w:szCs w:val="19"/>
              </w:rPr>
              <w:t>***</w:t>
            </w:r>
            <w:r>
              <w:rPr>
                <w:rFonts w:hint="eastAsia" w:ascii="宋体" w:hAnsi="宋体" w:eastAsia="宋体" w:cs="宋体"/>
                <w:color w:val="393939"/>
                <w:spacing w:val="0"/>
                <w:sz w:val="19"/>
                <w:szCs w:val="19"/>
              </w:rPr>
              <w:t>、合同包：</w:t>
            </w:r>
            <w:r>
              <w:rPr>
                <w:rFonts w:hint="default" w:ascii="Times New Roman" w:hAnsi="Times New Roman" w:eastAsia="微软雅黑" w:cs="Times New Roman"/>
                <w:color w:val="393939"/>
                <w:spacing w:val="0"/>
                <w:sz w:val="19"/>
                <w:szCs w:val="19"/>
              </w:rPr>
              <w:t>***</w:t>
            </w:r>
            <w:r>
              <w:rPr>
                <w:rFonts w:hint="eastAsia" w:ascii="宋体" w:hAnsi="宋体" w:eastAsia="宋体" w:cs="宋体"/>
                <w:color w:val="393939"/>
                <w:spacing w:val="0"/>
                <w:sz w:val="19"/>
                <w:szCs w:val="19"/>
              </w:rPr>
              <w:t>）的投标保证金”。</w:t>
            </w:r>
          </w:p>
        </w:tc>
      </w:tr>
    </w:tbl>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附</w:t>
      </w:r>
      <w:r>
        <w:rPr>
          <w:spacing w:val="0"/>
          <w:sz w:val="19"/>
          <w:szCs w:val="19"/>
          <w:shd w:val="clear" w:fill="FFFFFF"/>
        </w:rPr>
        <w:t>2</w:t>
      </w:r>
      <w:r>
        <w:rPr>
          <w:rFonts w:hint="eastAsia" w:ascii="宋体" w:hAnsi="宋体" w:eastAsia="宋体" w:cs="宋体"/>
          <w:spacing w:val="0"/>
          <w:sz w:val="19"/>
          <w:szCs w:val="19"/>
          <w:shd w:val="clear" w:fill="FFFFFF"/>
        </w:rPr>
        <w:t>：采购标的一览表</w:t>
      </w:r>
    </w:p>
    <w:p>
      <w:pPr>
        <w:pStyle w:val="3"/>
        <w:keepNext w:val="0"/>
        <w:keepLines w:val="0"/>
        <w:widowControl/>
        <w:suppressLineNumbers w:val="0"/>
        <w:spacing w:before="0" w:beforeAutospacing="0" w:after="0" w:afterAutospacing="0"/>
        <w:ind w:left="0" w:right="0"/>
        <w:jc w:val="right"/>
      </w:pPr>
      <w:r>
        <w:rPr>
          <w:rFonts w:hint="eastAsia" w:ascii="宋体" w:hAnsi="宋体" w:eastAsia="宋体" w:cs="宋体"/>
          <w:bdr w:val="none" w:color="auto" w:sz="0" w:space="0"/>
          <w:shd w:val="clear" w:fill="FFFFFF"/>
        </w:rPr>
        <w:t>金额单位：人民币元</w:t>
      </w:r>
    </w:p>
    <w:tbl>
      <w:tblPr>
        <w:tblW w:w="8302" w:type="dxa"/>
        <w:tblInd w:w="-144"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830"/>
        <w:gridCol w:w="830"/>
        <w:gridCol w:w="1661"/>
        <w:gridCol w:w="830"/>
        <w:gridCol w:w="830"/>
        <w:gridCol w:w="830"/>
        <w:gridCol w:w="830"/>
        <w:gridCol w:w="1661"/>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blHeader/>
        </w:trPr>
        <w:tc>
          <w:tcPr>
            <w:tcW w:w="830"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center"/>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合同包</w:t>
            </w:r>
          </w:p>
        </w:tc>
        <w:tc>
          <w:tcPr>
            <w:tcW w:w="830"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center"/>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品目号</w:t>
            </w:r>
          </w:p>
        </w:tc>
        <w:tc>
          <w:tcPr>
            <w:tcW w:w="1661"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center"/>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采购标的</w:t>
            </w:r>
          </w:p>
        </w:tc>
        <w:tc>
          <w:tcPr>
            <w:tcW w:w="830"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center"/>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允许进口</w:t>
            </w:r>
          </w:p>
        </w:tc>
        <w:tc>
          <w:tcPr>
            <w:tcW w:w="830"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center"/>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数量</w:t>
            </w:r>
          </w:p>
        </w:tc>
        <w:tc>
          <w:tcPr>
            <w:tcW w:w="830"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center"/>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品目号预算</w:t>
            </w:r>
          </w:p>
        </w:tc>
        <w:tc>
          <w:tcPr>
            <w:tcW w:w="830"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center"/>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合同包预算</w:t>
            </w:r>
          </w:p>
        </w:tc>
        <w:tc>
          <w:tcPr>
            <w:tcW w:w="1661"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center"/>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投标保证金</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c>
          <w:tcPr>
            <w:tcW w:w="830"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center"/>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1</w:t>
            </w:r>
          </w:p>
        </w:tc>
        <w:tc>
          <w:tcPr>
            <w:tcW w:w="4981" w:type="dxa"/>
            <w:gridSpan w:val="5"/>
            <w:tcBorders>
              <w:top w:val="outset" w:color="auto" w:sz="6" w:space="0"/>
              <w:left w:val="outset" w:color="auto" w:sz="6" w:space="0"/>
              <w:bottom w:val="outset" w:color="auto" w:sz="6" w:space="0"/>
              <w:right w:val="outset" w:color="auto" w:sz="6" w:space="0"/>
            </w:tcBorders>
            <w:shd w:val="clear"/>
            <w:vAlign w:val="center"/>
          </w:tcPr>
          <w:tbl>
            <w:tblPr>
              <w:tblW w:w="4949" w:type="dxa"/>
              <w:jc w:val="center"/>
              <w:tblInd w:w="2" w:type="dxa"/>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742"/>
              <w:gridCol w:w="1485"/>
              <w:gridCol w:w="742"/>
              <w:gridCol w:w="742"/>
              <w:gridCol w:w="1238"/>
            </w:tblGrid>
            <w:tr>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jc w:val="center"/>
              </w:trPr>
              <w:tc>
                <w:tcPr>
                  <w:tcW w:w="742"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1-1</w:t>
                  </w:r>
                </w:p>
              </w:tc>
              <w:tc>
                <w:tcPr>
                  <w:tcW w:w="1485"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教学专用仪器</w:t>
                  </w:r>
                </w:p>
              </w:tc>
              <w:tc>
                <w:tcPr>
                  <w:tcW w:w="742"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否</w:t>
                  </w:r>
                </w:p>
              </w:tc>
              <w:tc>
                <w:tcPr>
                  <w:tcW w:w="742"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1（1批）</w:t>
                  </w:r>
                </w:p>
              </w:tc>
              <w:tc>
                <w:tcPr>
                  <w:tcW w:w="1238"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2707600</w:t>
                  </w:r>
                </w:p>
              </w:tc>
            </w:tr>
          </w:tbl>
          <w:p>
            <w:pPr>
              <w:jc w:val="center"/>
              <w:rPr>
                <w:rFonts w:hint="eastAsia" w:ascii="微软雅黑" w:hAnsi="微软雅黑" w:eastAsia="微软雅黑" w:cs="微软雅黑"/>
                <w:color w:val="393939"/>
                <w:sz w:val="15"/>
                <w:szCs w:val="15"/>
              </w:rPr>
            </w:pPr>
          </w:p>
        </w:tc>
        <w:tc>
          <w:tcPr>
            <w:tcW w:w="830"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center"/>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2707600</w:t>
            </w:r>
          </w:p>
        </w:tc>
        <w:tc>
          <w:tcPr>
            <w:tcW w:w="1661"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center"/>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54152</w:t>
            </w:r>
          </w:p>
        </w:tc>
      </w:tr>
    </w:tbl>
    <w:p>
      <w:pPr>
        <w:pStyle w:val="3"/>
        <w:keepNext w:val="0"/>
        <w:keepLines w:val="0"/>
        <w:widowControl/>
        <w:suppressLineNumbers w:val="0"/>
        <w:spacing w:before="60" w:beforeAutospacing="0" w:after="60" w:afterAutospacing="0"/>
        <w:ind w:left="0" w:right="0" w:firstLine="0"/>
        <w:jc w:val="center"/>
      </w:pPr>
      <w:r>
        <w:rPr>
          <w:rStyle w:val="5"/>
          <w:rFonts w:hint="eastAsia" w:ascii="宋体" w:hAnsi="宋体" w:eastAsia="宋体" w:cs="宋体"/>
          <w:spacing w:val="0"/>
          <w:sz w:val="25"/>
          <w:szCs w:val="25"/>
          <w:shd w:val="clear" w:fill="FFFFFF"/>
        </w:rPr>
        <w:t>第二章</w:t>
      </w:r>
      <w:r>
        <w:rPr>
          <w:rStyle w:val="5"/>
          <w:spacing w:val="0"/>
          <w:sz w:val="25"/>
          <w:szCs w:val="25"/>
          <w:shd w:val="clear" w:fill="FFFFFF"/>
        </w:rPr>
        <w:t xml:space="preserve"> </w:t>
      </w:r>
      <w:r>
        <w:rPr>
          <w:rStyle w:val="5"/>
          <w:rFonts w:hint="eastAsia" w:ascii="宋体" w:hAnsi="宋体" w:eastAsia="宋体" w:cs="宋体"/>
          <w:spacing w:val="0"/>
          <w:sz w:val="25"/>
          <w:szCs w:val="25"/>
          <w:shd w:val="clear" w:fill="FFFFFF"/>
        </w:rPr>
        <w:t>投标人须知前附表（表1、</w:t>
      </w:r>
      <w:r>
        <w:rPr>
          <w:rStyle w:val="5"/>
          <w:rFonts w:hint="default" w:ascii="Times New Roman" w:hAnsi="Times New Roman" w:cs="Times New Roman"/>
          <w:spacing w:val="0"/>
          <w:sz w:val="25"/>
          <w:szCs w:val="25"/>
          <w:shd w:val="clear" w:fill="FFFFFF"/>
        </w:rPr>
        <w:t>2</w:t>
      </w:r>
      <w:r>
        <w:rPr>
          <w:rStyle w:val="5"/>
          <w:rFonts w:hint="eastAsia" w:ascii="宋体" w:hAnsi="宋体" w:eastAsia="宋体" w:cs="宋体"/>
          <w:spacing w:val="0"/>
          <w:sz w:val="25"/>
          <w:szCs w:val="25"/>
          <w:shd w:val="clear" w:fill="FFFFFF"/>
        </w:rPr>
        <w:t>）</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表</w:t>
      </w:r>
      <w:r>
        <w:rPr>
          <w:spacing w:val="0"/>
          <w:sz w:val="19"/>
          <w:szCs w:val="19"/>
          <w:shd w:val="clear" w:fill="FFFFFF"/>
        </w:rPr>
        <w:t>1</w:t>
      </w:r>
    </w:p>
    <w:tbl>
      <w:tblPr>
        <w:tblW w:w="8534"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477"/>
        <w:gridCol w:w="1292"/>
        <w:gridCol w:w="676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8474" w:type="dxa"/>
            <w:gridSpan w:val="3"/>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jc w:val="center"/>
            </w:pPr>
            <w:r>
              <w:rPr>
                <w:rStyle w:val="5"/>
                <w:rFonts w:hint="eastAsia" w:ascii="宋体" w:hAnsi="宋体" w:eastAsia="宋体" w:cs="宋体"/>
                <w:color w:val="393939"/>
                <w:spacing w:val="0"/>
                <w:sz w:val="19"/>
                <w:szCs w:val="19"/>
              </w:rPr>
              <w:t>特别提示：本表与招标文件对应章节的内容若不一致，以本表为准。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43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jc w:val="center"/>
            </w:pPr>
            <w:r>
              <w:rPr>
                <w:rFonts w:hint="eastAsia" w:ascii="宋体" w:hAnsi="宋体" w:eastAsia="宋体" w:cs="宋体"/>
                <w:color w:val="393939"/>
                <w:spacing w:val="0"/>
                <w:sz w:val="19"/>
                <w:szCs w:val="19"/>
              </w:rPr>
              <w:t>项号</w:t>
            </w:r>
          </w:p>
        </w:tc>
        <w:tc>
          <w:tcPr>
            <w:tcW w:w="126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jc w:val="center"/>
            </w:pPr>
            <w:r>
              <w:rPr>
                <w:rFonts w:hint="eastAsia" w:ascii="宋体" w:hAnsi="宋体" w:eastAsia="宋体" w:cs="宋体"/>
                <w:color w:val="393939"/>
                <w:spacing w:val="0"/>
                <w:sz w:val="19"/>
                <w:szCs w:val="19"/>
              </w:rPr>
              <w:t>招标文件</w:t>
            </w:r>
          </w:p>
          <w:p>
            <w:pPr>
              <w:pStyle w:val="3"/>
              <w:keepNext w:val="0"/>
              <w:keepLines w:val="0"/>
              <w:widowControl/>
              <w:suppressLineNumbers w:val="0"/>
              <w:spacing w:before="0" w:beforeAutospacing="0" w:after="0" w:afterAutospacing="0" w:line="18" w:lineRule="atLeast"/>
              <w:ind w:left="0" w:right="0"/>
              <w:jc w:val="center"/>
            </w:pPr>
            <w:r>
              <w:rPr>
                <w:rFonts w:hint="eastAsia" w:ascii="宋体" w:hAnsi="宋体" w:eastAsia="宋体" w:cs="宋体"/>
                <w:color w:val="393939"/>
                <w:spacing w:val="0"/>
                <w:sz w:val="19"/>
                <w:szCs w:val="19"/>
              </w:rPr>
              <w:t>（第三章）</w:t>
            </w:r>
          </w:p>
        </w:tc>
        <w:tc>
          <w:tcPr>
            <w:tcW w:w="6720"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jc w:val="center"/>
            </w:pPr>
            <w:r>
              <w:rPr>
                <w:rFonts w:hint="eastAsia" w:ascii="宋体" w:hAnsi="宋体" w:eastAsia="宋体" w:cs="宋体"/>
                <w:color w:val="393939"/>
                <w:spacing w:val="0"/>
                <w:sz w:val="19"/>
                <w:szCs w:val="19"/>
              </w:rPr>
              <w:t>编列内容</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43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jc w:val="center"/>
            </w:pPr>
            <w:r>
              <w:rPr>
                <w:rFonts w:hint="eastAsia" w:ascii="宋体" w:hAnsi="宋体" w:eastAsia="宋体" w:cs="宋体"/>
                <w:color w:val="393939"/>
                <w:spacing w:val="0"/>
                <w:sz w:val="19"/>
                <w:szCs w:val="19"/>
              </w:rPr>
              <w:t>1</w:t>
            </w:r>
          </w:p>
        </w:tc>
        <w:tc>
          <w:tcPr>
            <w:tcW w:w="126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jc w:val="center"/>
            </w:pPr>
            <w:r>
              <w:rPr>
                <w:rFonts w:hint="eastAsia" w:ascii="宋体" w:hAnsi="宋体" w:eastAsia="宋体" w:cs="宋体"/>
                <w:color w:val="393939"/>
                <w:spacing w:val="0"/>
                <w:sz w:val="19"/>
                <w:szCs w:val="19"/>
              </w:rPr>
              <w:t>6.1</w:t>
            </w:r>
          </w:p>
        </w:tc>
        <w:tc>
          <w:tcPr>
            <w:tcW w:w="6720"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pPr>
            <w:r>
              <w:rPr>
                <w:rStyle w:val="5"/>
                <w:rFonts w:hint="eastAsia" w:ascii="宋体" w:hAnsi="宋体" w:eastAsia="宋体" w:cs="宋体"/>
                <w:color w:val="393939"/>
                <w:spacing w:val="0"/>
                <w:sz w:val="19"/>
                <w:szCs w:val="19"/>
              </w:rPr>
              <w:t>是否组织现场考察或召开开标前答疑会：</w:t>
            </w:r>
            <w:r>
              <w:rPr>
                <w:rFonts w:hint="eastAsia" w:ascii="宋体" w:hAnsi="宋体" w:eastAsia="宋体" w:cs="宋体"/>
                <w:color w:val="393939"/>
                <w:spacing w:val="0"/>
                <w:sz w:val="19"/>
                <w:szCs w:val="19"/>
              </w:rPr>
              <w:t>本项目投标人应对项目实施场地进行实地踏勘。现场勘察：本项目采购人将统一组织勘察现场。现场勘查时间：报名截止期后的第一个工作日9 :00-11:30 15:00-17:00。逾期采购人将不再组织。投标人进行现场勘察时应随带的资料：福建省政府采购网上公开信息系统报名成功页面截图、现场勘查证明。★现场勘察完毕，采购人将在已勘察过的潜在投标人的现场勘查证明上盖系章或签字确认已勘察过现场，确认后的现场勘查证明原件应胶装在纸质投标文件技术商务部分正本中，网上技术部分上传扫描件，否则投标无效。未提供现场勘察证明原件的将导致投标无效。联系人：赖联锋 联系电话：18959307802。</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43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jc w:val="center"/>
            </w:pPr>
            <w:r>
              <w:rPr>
                <w:rFonts w:hint="eastAsia" w:ascii="宋体" w:hAnsi="宋体" w:eastAsia="宋体" w:cs="宋体"/>
                <w:color w:val="393939"/>
                <w:spacing w:val="0"/>
                <w:sz w:val="19"/>
                <w:szCs w:val="19"/>
              </w:rPr>
              <w:t>2</w:t>
            </w:r>
          </w:p>
        </w:tc>
        <w:tc>
          <w:tcPr>
            <w:tcW w:w="126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jc w:val="center"/>
            </w:pPr>
            <w:r>
              <w:rPr>
                <w:rFonts w:hint="eastAsia" w:ascii="宋体" w:hAnsi="宋体" w:eastAsia="宋体" w:cs="宋体"/>
                <w:color w:val="393939"/>
                <w:spacing w:val="0"/>
                <w:sz w:val="19"/>
                <w:szCs w:val="19"/>
              </w:rPr>
              <w:t>10.4</w:t>
            </w:r>
          </w:p>
        </w:tc>
        <w:tc>
          <w:tcPr>
            <w:tcW w:w="6720"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wordWrap w:val="0"/>
              <w:spacing w:before="0" w:beforeAutospacing="0" w:after="0" w:afterAutospacing="0" w:line="18" w:lineRule="atLeast"/>
              <w:ind w:left="0" w:right="0"/>
            </w:pPr>
            <w:r>
              <w:rPr>
                <w:rStyle w:val="5"/>
                <w:rFonts w:hint="eastAsia" w:ascii="宋体" w:hAnsi="宋体" w:eastAsia="宋体" w:cs="宋体"/>
                <w:color w:val="393939"/>
                <w:spacing w:val="0"/>
                <w:sz w:val="19"/>
                <w:szCs w:val="19"/>
              </w:rPr>
              <w:t>投标文件的份数：</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（1）纸质投标文件：</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①资格及资信证明部分的正本</w:t>
            </w:r>
            <w:r>
              <w:rPr>
                <w:rFonts w:hint="eastAsia" w:ascii="宋体" w:hAnsi="宋体" w:eastAsia="宋体" w:cs="宋体"/>
                <w:color w:val="393939"/>
                <w:spacing w:val="0"/>
                <w:sz w:val="19"/>
                <w:szCs w:val="19"/>
                <w:u w:val="single"/>
              </w:rPr>
              <w:t>1</w:t>
            </w:r>
            <w:r>
              <w:rPr>
                <w:rFonts w:hint="eastAsia" w:ascii="宋体" w:hAnsi="宋体" w:eastAsia="宋体" w:cs="宋体"/>
                <w:color w:val="393939"/>
                <w:spacing w:val="0"/>
                <w:sz w:val="19"/>
                <w:szCs w:val="19"/>
              </w:rPr>
              <w:t>份、副本</w:t>
            </w:r>
            <w:r>
              <w:rPr>
                <w:rFonts w:hint="eastAsia" w:ascii="宋体" w:hAnsi="宋体" w:eastAsia="宋体" w:cs="宋体"/>
                <w:color w:val="393939"/>
                <w:spacing w:val="0"/>
                <w:sz w:val="19"/>
                <w:szCs w:val="19"/>
                <w:u w:val="single"/>
              </w:rPr>
              <w:t>3</w:t>
            </w:r>
            <w:r>
              <w:rPr>
                <w:rFonts w:hint="eastAsia" w:ascii="宋体" w:hAnsi="宋体" w:eastAsia="宋体" w:cs="宋体"/>
                <w:color w:val="393939"/>
                <w:spacing w:val="0"/>
                <w:sz w:val="19"/>
                <w:szCs w:val="19"/>
              </w:rPr>
              <w:t>份，报价部分的正本</w:t>
            </w:r>
            <w:r>
              <w:rPr>
                <w:rFonts w:hint="eastAsia" w:ascii="宋体" w:hAnsi="宋体" w:eastAsia="宋体" w:cs="宋体"/>
                <w:color w:val="393939"/>
                <w:spacing w:val="0"/>
                <w:sz w:val="19"/>
                <w:szCs w:val="19"/>
                <w:u w:val="single"/>
              </w:rPr>
              <w:t>1</w:t>
            </w:r>
            <w:r>
              <w:rPr>
                <w:rFonts w:hint="eastAsia" w:ascii="宋体" w:hAnsi="宋体" w:eastAsia="宋体" w:cs="宋体"/>
                <w:color w:val="393939"/>
                <w:spacing w:val="0"/>
                <w:sz w:val="19"/>
                <w:szCs w:val="19"/>
              </w:rPr>
              <w:t>份、副本</w:t>
            </w:r>
            <w:r>
              <w:rPr>
                <w:rFonts w:hint="eastAsia" w:ascii="宋体" w:hAnsi="宋体" w:eastAsia="宋体" w:cs="宋体"/>
                <w:color w:val="393939"/>
                <w:spacing w:val="0"/>
                <w:sz w:val="19"/>
                <w:szCs w:val="19"/>
                <w:u w:val="single"/>
              </w:rPr>
              <w:t>3</w:t>
            </w:r>
            <w:r>
              <w:rPr>
                <w:rFonts w:hint="eastAsia" w:ascii="宋体" w:hAnsi="宋体" w:eastAsia="宋体" w:cs="宋体"/>
                <w:color w:val="393939"/>
                <w:spacing w:val="0"/>
                <w:sz w:val="19"/>
                <w:szCs w:val="19"/>
              </w:rPr>
              <w:t>份，技术商务部分的正本</w:t>
            </w:r>
            <w:r>
              <w:rPr>
                <w:rFonts w:hint="eastAsia" w:ascii="宋体" w:hAnsi="宋体" w:eastAsia="宋体" w:cs="宋体"/>
                <w:color w:val="393939"/>
                <w:spacing w:val="0"/>
                <w:sz w:val="19"/>
                <w:szCs w:val="19"/>
                <w:u w:val="single"/>
              </w:rPr>
              <w:t>1</w:t>
            </w:r>
            <w:r>
              <w:rPr>
                <w:rFonts w:hint="eastAsia" w:ascii="宋体" w:hAnsi="宋体" w:eastAsia="宋体" w:cs="宋体"/>
                <w:color w:val="393939"/>
                <w:spacing w:val="0"/>
                <w:sz w:val="19"/>
                <w:szCs w:val="19"/>
              </w:rPr>
              <w:t>份、副本</w:t>
            </w:r>
            <w:r>
              <w:rPr>
                <w:rFonts w:hint="eastAsia" w:ascii="宋体" w:hAnsi="宋体" w:eastAsia="宋体" w:cs="宋体"/>
                <w:color w:val="393939"/>
                <w:spacing w:val="0"/>
                <w:sz w:val="19"/>
                <w:szCs w:val="19"/>
                <w:u w:val="single"/>
              </w:rPr>
              <w:t>3</w:t>
            </w:r>
            <w:r>
              <w:rPr>
                <w:rFonts w:hint="eastAsia" w:ascii="宋体" w:hAnsi="宋体" w:eastAsia="宋体" w:cs="宋体"/>
                <w:color w:val="393939"/>
                <w:spacing w:val="0"/>
                <w:sz w:val="19"/>
                <w:szCs w:val="19"/>
              </w:rPr>
              <w:t>份。</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②可读介质（光盘或</w:t>
            </w:r>
            <w:r>
              <w:rPr>
                <w:rFonts w:hint="default" w:ascii="Times New Roman" w:hAnsi="Times New Roman" w:eastAsia="微软雅黑" w:cs="Times New Roman"/>
                <w:color w:val="393939"/>
                <w:spacing w:val="0"/>
                <w:sz w:val="19"/>
                <w:szCs w:val="19"/>
              </w:rPr>
              <w:t>U</w:t>
            </w:r>
            <w:r>
              <w:rPr>
                <w:rFonts w:hint="eastAsia" w:ascii="宋体" w:hAnsi="宋体" w:eastAsia="宋体" w:cs="宋体"/>
                <w:color w:val="393939"/>
                <w:spacing w:val="0"/>
                <w:sz w:val="19"/>
                <w:szCs w:val="19"/>
              </w:rPr>
              <w:t>盘）</w:t>
            </w:r>
            <w:r>
              <w:rPr>
                <w:rFonts w:hint="eastAsia" w:ascii="宋体" w:hAnsi="宋体" w:eastAsia="宋体" w:cs="宋体"/>
                <w:color w:val="393939"/>
                <w:spacing w:val="0"/>
                <w:sz w:val="19"/>
                <w:szCs w:val="19"/>
                <w:u w:val="single"/>
              </w:rPr>
              <w:t>1</w:t>
            </w:r>
            <w:r>
              <w:rPr>
                <w:rFonts w:hint="eastAsia" w:ascii="宋体" w:hAnsi="宋体" w:eastAsia="宋体" w:cs="宋体"/>
                <w:color w:val="393939"/>
                <w:spacing w:val="0"/>
                <w:sz w:val="19"/>
                <w:szCs w:val="19"/>
              </w:rPr>
              <w:t>份：投标人应将其上传至福建省政府采购网上公开信息系统的电子投标文件在该可读介质中另存</w:t>
            </w:r>
            <w:r>
              <w:rPr>
                <w:rFonts w:hint="eastAsia" w:ascii="宋体" w:hAnsi="宋体" w:eastAsia="宋体" w:cs="宋体"/>
                <w:color w:val="393939"/>
                <w:spacing w:val="0"/>
                <w:sz w:val="19"/>
                <w:szCs w:val="19"/>
                <w:u w:val="single"/>
              </w:rPr>
              <w:t>1</w:t>
            </w:r>
            <w:r>
              <w:rPr>
                <w:rFonts w:hint="eastAsia" w:ascii="宋体" w:hAnsi="宋体" w:eastAsia="宋体" w:cs="宋体"/>
                <w:color w:val="393939"/>
                <w:spacing w:val="0"/>
                <w:sz w:val="19"/>
                <w:szCs w:val="19"/>
              </w:rPr>
              <w:t>份。</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（2）电子投标文件：详见表</w:t>
            </w:r>
            <w:r>
              <w:rPr>
                <w:rFonts w:hint="default" w:ascii="Times New Roman" w:hAnsi="Times New Roman" w:eastAsia="微软雅黑" w:cs="Times New Roman"/>
                <w:color w:val="393939"/>
                <w:spacing w:val="0"/>
                <w:sz w:val="19"/>
                <w:szCs w:val="19"/>
              </w:rPr>
              <w:t>2</w:t>
            </w:r>
            <w:r>
              <w:rPr>
                <w:rFonts w:hint="eastAsia" w:ascii="宋体" w:hAnsi="宋体" w:eastAsia="宋体" w:cs="宋体"/>
                <w:color w:val="393939"/>
                <w:spacing w:val="0"/>
                <w:sz w:val="19"/>
                <w:szCs w:val="19"/>
              </w:rPr>
              <w:t>《关于电子招标投标活动的专门规定》。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43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jc w:val="center"/>
            </w:pPr>
            <w:r>
              <w:rPr>
                <w:rFonts w:hint="eastAsia" w:ascii="宋体" w:hAnsi="宋体" w:eastAsia="宋体" w:cs="宋体"/>
                <w:color w:val="393939"/>
                <w:spacing w:val="0"/>
                <w:sz w:val="19"/>
                <w:szCs w:val="19"/>
              </w:rPr>
              <w:t>3</w:t>
            </w:r>
          </w:p>
        </w:tc>
        <w:tc>
          <w:tcPr>
            <w:tcW w:w="126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pPr>
            <w:r>
              <w:rPr>
                <w:rFonts w:hint="eastAsia" w:ascii="宋体" w:hAnsi="宋体" w:eastAsia="宋体" w:cs="宋体"/>
                <w:color w:val="393939"/>
                <w:spacing w:val="0"/>
                <w:sz w:val="19"/>
                <w:szCs w:val="19"/>
              </w:rPr>
              <w:t>10.5-（</w:t>
            </w:r>
            <w:r>
              <w:rPr>
                <w:rFonts w:hint="default" w:ascii="Times New Roman" w:hAnsi="Times New Roman" w:eastAsia="微软雅黑" w:cs="Times New Roman"/>
                <w:color w:val="393939"/>
                <w:spacing w:val="0"/>
                <w:sz w:val="19"/>
                <w:szCs w:val="19"/>
              </w:rPr>
              <w:t>2</w:t>
            </w:r>
            <w:r>
              <w:rPr>
                <w:rFonts w:hint="eastAsia" w:ascii="宋体" w:hAnsi="宋体" w:eastAsia="宋体" w:cs="宋体"/>
                <w:color w:val="393939"/>
                <w:spacing w:val="0"/>
                <w:sz w:val="19"/>
                <w:szCs w:val="19"/>
              </w:rPr>
              <w:t>）</w:t>
            </w:r>
            <w:r>
              <w:rPr>
                <w:rFonts w:hint="default" w:ascii="Times New Roman" w:hAnsi="Times New Roman" w:eastAsia="微软雅黑" w:cs="Times New Roman"/>
                <w:color w:val="393939"/>
                <w:spacing w:val="0"/>
                <w:sz w:val="19"/>
                <w:szCs w:val="19"/>
              </w:rPr>
              <w:t>-</w:t>
            </w:r>
            <w:r>
              <w:rPr>
                <w:rFonts w:hint="eastAsia" w:ascii="宋体" w:hAnsi="宋体" w:eastAsia="宋体" w:cs="宋体"/>
                <w:color w:val="393939"/>
                <w:spacing w:val="0"/>
                <w:sz w:val="19"/>
                <w:szCs w:val="19"/>
              </w:rPr>
              <w:t>③</w:t>
            </w:r>
          </w:p>
        </w:tc>
        <w:tc>
          <w:tcPr>
            <w:tcW w:w="6720"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pPr>
            <w:r>
              <w:rPr>
                <w:rStyle w:val="5"/>
                <w:rFonts w:hint="eastAsia" w:ascii="宋体" w:hAnsi="宋体" w:eastAsia="宋体" w:cs="宋体"/>
                <w:color w:val="393939"/>
                <w:spacing w:val="0"/>
                <w:sz w:val="19"/>
                <w:szCs w:val="19"/>
              </w:rPr>
              <w:t>允许散装或活页装订的内容或材料：</w:t>
            </w:r>
          </w:p>
          <w:p>
            <w:pPr>
              <w:pStyle w:val="3"/>
              <w:keepNext w:val="0"/>
              <w:keepLines w:val="0"/>
              <w:widowControl/>
              <w:suppressLineNumbers w:val="0"/>
              <w:spacing w:before="0" w:beforeAutospacing="0" w:after="0" w:afterAutospacing="0" w:line="18" w:lineRule="atLeast"/>
              <w:ind w:left="0" w:right="0"/>
            </w:pPr>
            <w:r>
              <w:rPr>
                <w:rFonts w:hint="eastAsia" w:ascii="宋体" w:hAnsi="宋体" w:eastAsia="宋体" w:cs="宋体"/>
                <w:color w:val="393939"/>
                <w:spacing w:val="0"/>
                <w:sz w:val="19"/>
                <w:szCs w:val="19"/>
              </w:rPr>
              <w:t>（1）投标文件的补充、修改或撤回；</w:t>
            </w:r>
          </w:p>
          <w:p>
            <w:pPr>
              <w:pStyle w:val="3"/>
              <w:keepNext w:val="0"/>
              <w:keepLines w:val="0"/>
              <w:widowControl/>
              <w:suppressLineNumbers w:val="0"/>
              <w:spacing w:before="0" w:beforeAutospacing="0" w:after="0" w:afterAutospacing="0" w:line="18" w:lineRule="atLeast"/>
              <w:ind w:left="0" w:right="0"/>
            </w:pPr>
            <w:r>
              <w:rPr>
                <w:rFonts w:hint="eastAsia" w:ascii="宋体" w:hAnsi="宋体" w:eastAsia="宋体" w:cs="宋体"/>
                <w:color w:val="393939"/>
                <w:spacing w:val="0"/>
                <w:sz w:val="19"/>
                <w:szCs w:val="19"/>
              </w:rPr>
              <w:t>（2）其他内容或材料：无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43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jc w:val="center"/>
            </w:pPr>
            <w:r>
              <w:rPr>
                <w:rFonts w:hint="eastAsia" w:ascii="宋体" w:hAnsi="宋体" w:eastAsia="宋体" w:cs="宋体"/>
                <w:color w:val="393939"/>
                <w:spacing w:val="0"/>
                <w:sz w:val="19"/>
                <w:szCs w:val="19"/>
              </w:rPr>
              <w:t>4</w:t>
            </w:r>
          </w:p>
        </w:tc>
        <w:tc>
          <w:tcPr>
            <w:tcW w:w="126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pPr>
            <w:r>
              <w:rPr>
                <w:rFonts w:hint="eastAsia" w:ascii="宋体" w:hAnsi="宋体" w:eastAsia="宋体" w:cs="宋体"/>
                <w:color w:val="393939"/>
                <w:spacing w:val="0"/>
                <w:sz w:val="19"/>
                <w:szCs w:val="19"/>
              </w:rPr>
              <w:t>10.7-（</w:t>
            </w:r>
            <w:r>
              <w:rPr>
                <w:rFonts w:hint="default" w:ascii="Times New Roman" w:hAnsi="Times New Roman" w:eastAsia="微软雅黑" w:cs="Times New Roman"/>
                <w:color w:val="393939"/>
                <w:spacing w:val="0"/>
                <w:sz w:val="19"/>
                <w:szCs w:val="19"/>
              </w:rPr>
              <w:t>1</w:t>
            </w:r>
            <w:r>
              <w:rPr>
                <w:rFonts w:hint="eastAsia" w:ascii="宋体" w:hAnsi="宋体" w:eastAsia="宋体" w:cs="宋体"/>
                <w:color w:val="393939"/>
                <w:spacing w:val="0"/>
                <w:sz w:val="19"/>
                <w:szCs w:val="19"/>
              </w:rPr>
              <w:t>）</w:t>
            </w:r>
          </w:p>
        </w:tc>
        <w:tc>
          <w:tcPr>
            <w:tcW w:w="6720"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pPr>
            <w:r>
              <w:rPr>
                <w:rStyle w:val="5"/>
                <w:rFonts w:hint="eastAsia" w:ascii="宋体" w:hAnsi="宋体" w:eastAsia="宋体" w:cs="宋体"/>
                <w:color w:val="393939"/>
                <w:spacing w:val="0"/>
                <w:sz w:val="19"/>
                <w:szCs w:val="19"/>
              </w:rPr>
              <w:t>是否允许中标人将本项目的非主体、非关键性工作进行分包：</w:t>
            </w:r>
          </w:p>
          <w:p>
            <w:pPr>
              <w:pStyle w:val="3"/>
              <w:keepNext w:val="0"/>
              <w:keepLines w:val="0"/>
              <w:widowControl/>
              <w:suppressLineNumbers w:val="0"/>
              <w:spacing w:before="0" w:beforeAutospacing="0" w:after="0" w:afterAutospacing="0" w:line="18" w:lineRule="atLeast"/>
              <w:ind w:left="0" w:right="0"/>
            </w:pPr>
            <w:r>
              <w:rPr>
                <w:rFonts w:hint="eastAsia" w:ascii="宋体" w:hAnsi="宋体" w:eastAsia="宋体" w:cs="宋体"/>
                <w:color w:val="393939"/>
                <w:spacing w:val="0"/>
                <w:sz w:val="19"/>
                <w:szCs w:val="19"/>
              </w:rPr>
              <w:t>不允许。</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43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jc w:val="center"/>
            </w:pPr>
            <w:r>
              <w:rPr>
                <w:rFonts w:hint="eastAsia" w:ascii="宋体" w:hAnsi="宋体" w:eastAsia="宋体" w:cs="宋体"/>
                <w:color w:val="393939"/>
                <w:spacing w:val="0"/>
                <w:sz w:val="19"/>
                <w:szCs w:val="19"/>
              </w:rPr>
              <w:t>5</w:t>
            </w:r>
          </w:p>
        </w:tc>
        <w:tc>
          <w:tcPr>
            <w:tcW w:w="126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jc w:val="center"/>
            </w:pPr>
            <w:r>
              <w:rPr>
                <w:rFonts w:hint="eastAsia" w:ascii="宋体" w:hAnsi="宋体" w:eastAsia="宋体" w:cs="宋体"/>
                <w:color w:val="393939"/>
                <w:spacing w:val="0"/>
                <w:sz w:val="19"/>
                <w:szCs w:val="19"/>
              </w:rPr>
              <w:t>10.8-（</w:t>
            </w:r>
            <w:r>
              <w:rPr>
                <w:rFonts w:ascii="Calibri" w:hAnsi="Calibri" w:eastAsia="微软雅黑" w:cs="Calibri"/>
                <w:color w:val="393939"/>
                <w:spacing w:val="0"/>
                <w:sz w:val="19"/>
                <w:szCs w:val="19"/>
              </w:rPr>
              <w:t>1</w:t>
            </w:r>
            <w:r>
              <w:rPr>
                <w:rFonts w:hint="eastAsia" w:ascii="宋体" w:hAnsi="宋体" w:eastAsia="宋体" w:cs="宋体"/>
                <w:color w:val="393939"/>
                <w:spacing w:val="0"/>
                <w:sz w:val="19"/>
                <w:szCs w:val="19"/>
              </w:rPr>
              <w:t>）</w:t>
            </w:r>
          </w:p>
        </w:tc>
        <w:tc>
          <w:tcPr>
            <w:tcW w:w="6720"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pPr>
            <w:r>
              <w:rPr>
                <w:rStyle w:val="5"/>
                <w:rFonts w:hint="eastAsia" w:ascii="宋体" w:hAnsi="宋体" w:eastAsia="宋体" w:cs="宋体"/>
                <w:color w:val="393939"/>
                <w:spacing w:val="0"/>
                <w:sz w:val="19"/>
                <w:szCs w:val="19"/>
              </w:rPr>
              <w:t>投标有效期</w:t>
            </w:r>
            <w:r>
              <w:rPr>
                <w:rFonts w:hint="eastAsia" w:ascii="宋体" w:hAnsi="宋体" w:eastAsia="宋体" w:cs="宋体"/>
                <w:color w:val="393939"/>
                <w:spacing w:val="0"/>
                <w:sz w:val="19"/>
                <w:szCs w:val="19"/>
              </w:rPr>
              <w:t>：投标截止时间起90个日历日。</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43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jc w:val="center"/>
            </w:pPr>
            <w:r>
              <w:rPr>
                <w:rFonts w:hint="eastAsia" w:ascii="宋体" w:hAnsi="宋体" w:eastAsia="宋体" w:cs="宋体"/>
                <w:color w:val="393939"/>
                <w:spacing w:val="0"/>
                <w:sz w:val="19"/>
                <w:szCs w:val="19"/>
              </w:rPr>
              <w:t>6</w:t>
            </w:r>
          </w:p>
        </w:tc>
        <w:tc>
          <w:tcPr>
            <w:tcW w:w="126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jc w:val="center"/>
            </w:pPr>
            <w:r>
              <w:rPr>
                <w:rFonts w:hint="eastAsia" w:ascii="宋体" w:hAnsi="宋体" w:eastAsia="宋体" w:cs="宋体"/>
                <w:color w:val="393939"/>
                <w:spacing w:val="0"/>
                <w:sz w:val="19"/>
                <w:szCs w:val="19"/>
              </w:rPr>
              <w:t>10.10-（</w:t>
            </w:r>
            <w:r>
              <w:rPr>
                <w:rFonts w:hint="default" w:ascii="Calibri" w:hAnsi="Calibri" w:eastAsia="微软雅黑" w:cs="Calibri"/>
                <w:color w:val="393939"/>
                <w:spacing w:val="0"/>
                <w:sz w:val="19"/>
                <w:szCs w:val="19"/>
              </w:rPr>
              <w:t>2</w:t>
            </w:r>
            <w:r>
              <w:rPr>
                <w:rFonts w:hint="eastAsia" w:ascii="宋体" w:hAnsi="宋体" w:eastAsia="宋体" w:cs="宋体"/>
                <w:color w:val="393939"/>
                <w:spacing w:val="0"/>
                <w:sz w:val="19"/>
                <w:szCs w:val="19"/>
              </w:rPr>
              <w:t>）</w:t>
            </w:r>
          </w:p>
        </w:tc>
        <w:tc>
          <w:tcPr>
            <w:tcW w:w="6720"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pPr>
            <w:r>
              <w:rPr>
                <w:rStyle w:val="5"/>
                <w:rFonts w:hint="eastAsia" w:ascii="宋体" w:hAnsi="宋体" w:eastAsia="宋体" w:cs="宋体"/>
                <w:color w:val="393939"/>
                <w:spacing w:val="0"/>
                <w:sz w:val="19"/>
                <w:szCs w:val="19"/>
              </w:rPr>
              <w:t>密封及其标记的具体形式：</w:t>
            </w:r>
          </w:p>
          <w:p>
            <w:pPr>
              <w:pStyle w:val="3"/>
              <w:keepNext w:val="0"/>
              <w:keepLines w:val="0"/>
              <w:widowControl/>
              <w:suppressLineNumbers w:val="0"/>
              <w:spacing w:before="0" w:beforeAutospacing="0" w:after="0" w:afterAutospacing="0" w:line="18" w:lineRule="atLeast"/>
              <w:ind w:left="0" w:right="0"/>
            </w:pPr>
            <w:r>
              <w:rPr>
                <w:rFonts w:hint="eastAsia" w:ascii="宋体" w:hAnsi="宋体" w:eastAsia="宋体" w:cs="宋体"/>
                <w:color w:val="393939"/>
                <w:spacing w:val="0"/>
                <w:sz w:val="19"/>
                <w:szCs w:val="19"/>
              </w:rPr>
              <w:t>（1）全部纸质投标文件（包括正本、副本及可读介质）均应密封，否则</w:t>
            </w:r>
            <w:r>
              <w:rPr>
                <w:rStyle w:val="5"/>
                <w:rFonts w:hint="eastAsia" w:ascii="宋体" w:hAnsi="宋体" w:eastAsia="宋体" w:cs="宋体"/>
                <w:color w:val="393939"/>
                <w:spacing w:val="0"/>
                <w:sz w:val="19"/>
                <w:szCs w:val="19"/>
              </w:rPr>
              <w:t>投标将被拒绝。</w:t>
            </w:r>
          </w:p>
          <w:p>
            <w:pPr>
              <w:pStyle w:val="3"/>
              <w:keepNext w:val="0"/>
              <w:keepLines w:val="0"/>
              <w:widowControl/>
              <w:suppressLineNumbers w:val="0"/>
              <w:spacing w:before="0" w:beforeAutospacing="0" w:after="0" w:afterAutospacing="0" w:line="18" w:lineRule="atLeast"/>
              <w:ind w:left="0" w:right="0"/>
            </w:pPr>
            <w:r>
              <w:rPr>
                <w:rFonts w:hint="eastAsia" w:ascii="宋体" w:hAnsi="宋体" w:eastAsia="宋体" w:cs="宋体"/>
                <w:color w:val="393939"/>
                <w:spacing w:val="0"/>
                <w:sz w:val="19"/>
                <w:szCs w:val="19"/>
              </w:rPr>
              <w:t>（2）密封的外包装应至少标记“项目名称、招标编号、所投合同包、投标人的全称”等内容，否则造成投标文件误投、遗漏或提前拆封的，</w:t>
            </w:r>
            <w:r>
              <w:rPr>
                <w:rFonts w:hint="eastAsia" w:ascii="宋体" w:hAnsi="宋体" w:eastAsia="宋体" w:cs="宋体"/>
                <w:color w:val="393939"/>
                <w:spacing w:val="0"/>
                <w:sz w:val="19"/>
                <w:szCs w:val="19"/>
                <w:u w:val="single"/>
              </w:rPr>
              <w:t>福建省中达招标代理有限公司</w:t>
            </w:r>
            <w:r>
              <w:rPr>
                <w:rFonts w:hint="eastAsia" w:ascii="宋体" w:hAnsi="宋体" w:eastAsia="宋体" w:cs="宋体"/>
                <w:color w:val="393939"/>
                <w:spacing w:val="0"/>
                <w:sz w:val="19"/>
                <w:szCs w:val="19"/>
              </w:rPr>
              <w:t>不承担责任。</w:t>
            </w:r>
          </w:p>
          <w:p>
            <w:pPr>
              <w:pStyle w:val="3"/>
              <w:keepNext w:val="0"/>
              <w:keepLines w:val="0"/>
              <w:widowControl/>
              <w:suppressLineNumbers w:val="0"/>
              <w:spacing w:before="0" w:beforeAutospacing="0" w:after="0" w:afterAutospacing="0" w:line="18" w:lineRule="atLeast"/>
              <w:ind w:left="0" w:right="0"/>
            </w:pPr>
            <w:r>
              <w:rPr>
                <w:rFonts w:hint="eastAsia" w:ascii="宋体" w:hAnsi="宋体" w:eastAsia="宋体" w:cs="宋体"/>
                <w:color w:val="393939"/>
                <w:spacing w:val="0"/>
                <w:sz w:val="19"/>
                <w:szCs w:val="19"/>
              </w:rPr>
              <w:t>（3）其他：无</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43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jc w:val="center"/>
            </w:pPr>
            <w:r>
              <w:rPr>
                <w:rFonts w:hint="eastAsia" w:ascii="宋体" w:hAnsi="宋体" w:eastAsia="宋体" w:cs="宋体"/>
                <w:color w:val="393939"/>
                <w:spacing w:val="0"/>
                <w:sz w:val="19"/>
                <w:szCs w:val="19"/>
              </w:rPr>
              <w:t>7</w:t>
            </w:r>
          </w:p>
        </w:tc>
        <w:tc>
          <w:tcPr>
            <w:tcW w:w="126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jc w:val="center"/>
            </w:pPr>
            <w:r>
              <w:rPr>
                <w:rFonts w:hint="eastAsia" w:ascii="宋体" w:hAnsi="宋体" w:eastAsia="宋体" w:cs="宋体"/>
                <w:color w:val="393939"/>
                <w:spacing w:val="0"/>
                <w:sz w:val="19"/>
                <w:szCs w:val="19"/>
              </w:rPr>
              <w:t>12.1</w:t>
            </w:r>
          </w:p>
        </w:tc>
        <w:tc>
          <w:tcPr>
            <w:tcW w:w="6720"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本项目推荐合同包1中标候选人数为3家。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432" w:type="dxa"/>
            <w:tcBorders>
              <w:top w:val="nil"/>
              <w:left w:val="nil"/>
              <w:bottom w:val="nil"/>
              <w:right w:val="nil"/>
            </w:tcBorders>
            <w:shd w:val="clear"/>
            <w:tcMar>
              <w:top w:w="60" w:type="dxa"/>
              <w:left w:w="120" w:type="dxa"/>
              <w:bottom w:w="60" w:type="dxa"/>
              <w:right w:w="120" w:type="dxa"/>
            </w:tcMar>
            <w:vAlign w:val="center"/>
          </w:tcPr>
          <w:p>
            <w:pPr>
              <w:pStyle w:val="3"/>
              <w:keepNext w:val="0"/>
              <w:keepLines w:val="0"/>
              <w:widowControl/>
              <w:suppressLineNumbers w:val="0"/>
              <w:spacing w:before="0" w:beforeAutospacing="0" w:after="0" w:afterAutospacing="0" w:line="18" w:lineRule="atLeast"/>
              <w:ind w:left="0" w:right="0" w:firstLine="0"/>
            </w:pPr>
            <w:r>
              <w:rPr>
                <w:rFonts w:hint="eastAsia" w:ascii="微软雅黑" w:hAnsi="微软雅黑" w:eastAsia="微软雅黑" w:cs="微软雅黑"/>
                <w:color w:val="393939"/>
                <w:spacing w:val="0"/>
                <w:sz w:val="19"/>
                <w:szCs w:val="19"/>
              </w:rPr>
              <w:t>8</w:t>
            </w:r>
          </w:p>
        </w:tc>
        <w:tc>
          <w:tcPr>
            <w:tcW w:w="1262" w:type="dxa"/>
            <w:tcBorders>
              <w:top w:val="nil"/>
              <w:left w:val="nil"/>
              <w:bottom w:val="nil"/>
              <w:right w:val="nil"/>
            </w:tcBorders>
            <w:shd w:val="clear"/>
            <w:tcMar>
              <w:top w:w="60" w:type="dxa"/>
              <w:left w:w="120" w:type="dxa"/>
              <w:bottom w:w="60" w:type="dxa"/>
              <w:right w:w="120" w:type="dxa"/>
            </w:tcMar>
            <w:vAlign w:val="center"/>
          </w:tcPr>
          <w:p>
            <w:pPr>
              <w:pStyle w:val="3"/>
              <w:keepNext w:val="0"/>
              <w:keepLines w:val="0"/>
              <w:widowControl/>
              <w:suppressLineNumbers w:val="0"/>
              <w:spacing w:before="0" w:beforeAutospacing="0" w:after="0" w:afterAutospacing="0" w:line="18" w:lineRule="atLeast"/>
              <w:ind w:left="0" w:right="0" w:firstLine="0"/>
            </w:pPr>
            <w:r>
              <w:rPr>
                <w:rFonts w:hint="eastAsia" w:ascii="宋体" w:hAnsi="宋体" w:eastAsia="宋体" w:cs="宋体"/>
                <w:color w:val="393939"/>
                <w:spacing w:val="0"/>
                <w:sz w:val="19"/>
                <w:szCs w:val="19"/>
              </w:rPr>
              <w:t>12.2</w:t>
            </w:r>
          </w:p>
        </w:tc>
        <w:tc>
          <w:tcPr>
            <w:tcW w:w="6720" w:type="dxa"/>
            <w:tcBorders>
              <w:top w:val="nil"/>
              <w:left w:val="nil"/>
              <w:bottom w:val="nil"/>
              <w:right w:val="nil"/>
            </w:tcBorders>
            <w:shd w:val="clear"/>
            <w:tcMar>
              <w:top w:w="60" w:type="dxa"/>
              <w:left w:w="120" w:type="dxa"/>
              <w:bottom w:w="60" w:type="dxa"/>
              <w:right w:w="120" w:type="dxa"/>
            </w:tcMar>
            <w:vAlign w:val="center"/>
          </w:tcPr>
          <w:p>
            <w:pPr>
              <w:pStyle w:val="3"/>
              <w:keepNext w:val="0"/>
              <w:keepLines w:val="0"/>
              <w:widowControl/>
              <w:suppressLineNumbers w:val="0"/>
              <w:wordWrap w:val="0"/>
              <w:spacing w:before="0" w:beforeAutospacing="0" w:after="0" w:afterAutospacing="0" w:line="18" w:lineRule="atLeast"/>
              <w:ind w:left="0" w:right="0" w:firstLine="0"/>
            </w:pPr>
            <w:r>
              <w:rPr>
                <w:rStyle w:val="5"/>
                <w:rFonts w:hint="eastAsia" w:ascii="宋体" w:hAnsi="宋体" w:eastAsia="宋体" w:cs="宋体"/>
                <w:color w:val="393939"/>
                <w:spacing w:val="0"/>
                <w:sz w:val="19"/>
                <w:szCs w:val="19"/>
              </w:rPr>
              <w:t>本项目中标人的确定（以合同包为单位）：</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（1）采购人应在政府采购招投标管理办法规定的时限内确定中标人。</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（2）若出现中标候选人并列情形，则按照下列方式确定中标人：</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①招标文件规定的方式：</w:t>
            </w:r>
            <w:r>
              <w:rPr>
                <w:rFonts w:hint="eastAsia" w:ascii="微软雅黑" w:hAnsi="微软雅黑" w:eastAsia="微软雅黑" w:cs="微软雅黑"/>
                <w:color w:val="393939"/>
                <w:spacing w:val="0"/>
                <w:sz w:val="19"/>
                <w:szCs w:val="19"/>
              </w:rPr>
              <w:t>出现并列情形的，按技术指标优劣、商务指标优劣（采用综合评分法的，即根据F2、F3项的得分高低，采用最低评标价法的根据指标优劣情形）依序择优排序。如技术商务指标均无法区分排序的，应优先采购列入节能清单或环保清单的产品（列入多项清单的产品优先于只列入其中一个清单的产品，认证数量多的优先于认证数量少的）， 若还是无法排出先后顺序的，以随机抽取方式确定</w:t>
            </w:r>
            <w:r>
              <w:rPr>
                <w:rFonts w:hint="eastAsia" w:ascii="宋体" w:hAnsi="宋体" w:eastAsia="宋体" w:cs="宋体"/>
                <w:color w:val="393939"/>
                <w:spacing w:val="0"/>
                <w:sz w:val="19"/>
                <w:szCs w:val="19"/>
              </w:rPr>
              <w:t>。</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②若本款第①点规定方式为“无”，则按照下列方式确定：无。</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③若本款第①、②点规定方式均为“无”，则按照下列方式确定：随机抽取。</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（3）本项目确定的中标人家数：</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①本项目确定合同包1中标人数为1家；</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②若出现中标候选人符合法定家数但不足本款第①点规定中标人家数情形，则按照中标候选人的实际家数确定中标人。</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43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jc w:val="center"/>
            </w:pPr>
            <w:r>
              <w:rPr>
                <w:rFonts w:hint="eastAsia" w:ascii="宋体" w:hAnsi="宋体" w:eastAsia="宋体" w:cs="宋体"/>
                <w:color w:val="393939"/>
                <w:spacing w:val="0"/>
                <w:sz w:val="19"/>
                <w:szCs w:val="19"/>
              </w:rPr>
              <w:t>9</w:t>
            </w:r>
          </w:p>
        </w:tc>
        <w:tc>
          <w:tcPr>
            <w:tcW w:w="126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pPr>
            <w:r>
              <w:rPr>
                <w:rFonts w:hint="eastAsia" w:ascii="宋体" w:hAnsi="宋体" w:eastAsia="宋体" w:cs="宋体"/>
                <w:color w:val="393939"/>
                <w:spacing w:val="0"/>
                <w:sz w:val="19"/>
                <w:szCs w:val="19"/>
              </w:rPr>
              <w:t>15.1-（</w:t>
            </w:r>
            <w:r>
              <w:rPr>
                <w:rFonts w:hint="default" w:ascii="Times New Roman" w:hAnsi="Times New Roman" w:eastAsia="微软雅黑" w:cs="Times New Roman"/>
                <w:color w:val="393939"/>
                <w:spacing w:val="0"/>
                <w:sz w:val="19"/>
                <w:szCs w:val="19"/>
              </w:rPr>
              <w:t>2</w:t>
            </w:r>
            <w:r>
              <w:rPr>
                <w:rFonts w:hint="eastAsia" w:ascii="宋体" w:hAnsi="宋体" w:eastAsia="宋体" w:cs="宋体"/>
                <w:color w:val="393939"/>
                <w:spacing w:val="0"/>
                <w:sz w:val="19"/>
                <w:szCs w:val="19"/>
              </w:rPr>
              <w:t>）</w:t>
            </w:r>
          </w:p>
        </w:tc>
        <w:tc>
          <w:tcPr>
            <w:tcW w:w="6720"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wordWrap w:val="0"/>
              <w:spacing w:before="0" w:beforeAutospacing="0" w:after="0" w:afterAutospacing="0" w:line="18" w:lineRule="atLeast"/>
              <w:ind w:left="0" w:right="0"/>
            </w:pPr>
            <w:r>
              <w:rPr>
                <w:rStyle w:val="5"/>
                <w:rFonts w:hint="eastAsia" w:ascii="宋体" w:hAnsi="宋体" w:eastAsia="宋体" w:cs="宋体"/>
                <w:color w:val="393939"/>
                <w:spacing w:val="0"/>
                <w:sz w:val="19"/>
                <w:szCs w:val="19"/>
              </w:rPr>
              <w:t>质疑函原件应采用下列方式提交：</w:t>
            </w:r>
            <w:r>
              <w:rPr>
                <w:rFonts w:hint="eastAsia" w:ascii="宋体" w:hAnsi="宋体" w:eastAsia="宋体" w:cs="宋体"/>
                <w:color w:val="393939"/>
                <w:spacing w:val="0"/>
                <w:sz w:val="19"/>
                <w:szCs w:val="19"/>
              </w:rPr>
              <w:t>现场方式。</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43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jc w:val="center"/>
            </w:pPr>
            <w:r>
              <w:rPr>
                <w:rFonts w:hint="eastAsia" w:ascii="宋体" w:hAnsi="宋体" w:eastAsia="宋体" w:cs="宋体"/>
                <w:color w:val="393939"/>
                <w:spacing w:val="0"/>
                <w:sz w:val="19"/>
                <w:szCs w:val="19"/>
              </w:rPr>
              <w:t>10</w:t>
            </w:r>
          </w:p>
        </w:tc>
        <w:tc>
          <w:tcPr>
            <w:tcW w:w="126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pPr>
            <w:r>
              <w:rPr>
                <w:rFonts w:hint="eastAsia" w:ascii="宋体" w:hAnsi="宋体" w:eastAsia="宋体" w:cs="宋体"/>
                <w:color w:val="393939"/>
                <w:spacing w:val="0"/>
                <w:sz w:val="19"/>
                <w:szCs w:val="19"/>
              </w:rPr>
              <w:t>15.4</w:t>
            </w:r>
          </w:p>
        </w:tc>
        <w:tc>
          <w:tcPr>
            <w:tcW w:w="6720"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wordWrap w:val="0"/>
              <w:spacing w:before="0" w:beforeAutospacing="0" w:after="0" w:afterAutospacing="0" w:line="18" w:lineRule="atLeast"/>
              <w:ind w:left="0" w:right="0"/>
            </w:pPr>
            <w:r>
              <w:rPr>
                <w:rStyle w:val="5"/>
                <w:rFonts w:hint="eastAsia" w:ascii="宋体" w:hAnsi="宋体" w:eastAsia="宋体" w:cs="宋体"/>
                <w:color w:val="393939"/>
                <w:spacing w:val="0"/>
                <w:sz w:val="19"/>
                <w:szCs w:val="19"/>
              </w:rPr>
              <w:t>招标文件的质疑</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（1）潜在投标人可在质疑时效期间内对招标文件以书面形式提出质疑。</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（2）质疑时效期间：</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①在招标文件公告期限内：自招标文件首次下载之日起</w:t>
            </w:r>
            <w:r>
              <w:rPr>
                <w:rFonts w:hint="default" w:ascii="Times New Roman" w:hAnsi="Times New Roman" w:eastAsia="微软雅黑" w:cs="Times New Roman"/>
                <w:color w:val="393939"/>
                <w:spacing w:val="0"/>
                <w:sz w:val="19"/>
                <w:szCs w:val="19"/>
              </w:rPr>
              <w:t>7</w:t>
            </w:r>
            <w:r>
              <w:rPr>
                <w:rFonts w:hint="eastAsia" w:ascii="宋体" w:hAnsi="宋体" w:eastAsia="宋体" w:cs="宋体"/>
                <w:color w:val="393939"/>
                <w:spacing w:val="0"/>
                <w:sz w:val="19"/>
                <w:szCs w:val="19"/>
              </w:rPr>
              <w:t>个工作日内向</w:t>
            </w:r>
            <w:r>
              <w:rPr>
                <w:rFonts w:hint="eastAsia" w:ascii="宋体" w:hAnsi="宋体" w:eastAsia="宋体" w:cs="宋体"/>
                <w:color w:val="393939"/>
                <w:spacing w:val="0"/>
                <w:sz w:val="19"/>
                <w:szCs w:val="19"/>
                <w:u w:val="single"/>
              </w:rPr>
              <w:t>福建省中达招标代理有限公司</w:t>
            </w:r>
            <w:r>
              <w:rPr>
                <w:rFonts w:hint="eastAsia" w:ascii="宋体" w:hAnsi="宋体" w:eastAsia="宋体" w:cs="宋体"/>
                <w:color w:val="393939"/>
                <w:spacing w:val="0"/>
                <w:sz w:val="19"/>
                <w:szCs w:val="19"/>
              </w:rPr>
              <w:t>提出，招标文件公告期限、首次下载之日均以福建省政府采购网上公开信息系统记载的为准。</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②在招标文件公告期限截止后至招标文件提供期限届满前的期间内：自招标文件公告期限届满之日起</w:t>
            </w:r>
            <w:r>
              <w:rPr>
                <w:rFonts w:hint="default" w:ascii="Times New Roman" w:hAnsi="Times New Roman" w:eastAsia="微软雅黑" w:cs="Times New Roman"/>
                <w:color w:val="393939"/>
                <w:spacing w:val="0"/>
                <w:sz w:val="19"/>
                <w:szCs w:val="19"/>
              </w:rPr>
              <w:t>7</w:t>
            </w:r>
            <w:r>
              <w:rPr>
                <w:rFonts w:hint="eastAsia" w:ascii="宋体" w:hAnsi="宋体" w:eastAsia="宋体" w:cs="宋体"/>
                <w:color w:val="393939"/>
                <w:spacing w:val="0"/>
                <w:sz w:val="19"/>
                <w:szCs w:val="19"/>
              </w:rPr>
              <w:t>个工作日内向</w:t>
            </w:r>
            <w:r>
              <w:rPr>
                <w:rFonts w:hint="eastAsia" w:ascii="宋体" w:hAnsi="宋体" w:eastAsia="宋体" w:cs="宋体"/>
                <w:color w:val="393939"/>
                <w:spacing w:val="0"/>
                <w:sz w:val="19"/>
                <w:szCs w:val="19"/>
                <w:u w:val="single"/>
              </w:rPr>
              <w:t>福建省中达招标代理有限公司</w:t>
            </w:r>
            <w:r>
              <w:rPr>
                <w:rFonts w:hint="eastAsia" w:ascii="宋体" w:hAnsi="宋体" w:eastAsia="宋体" w:cs="宋体"/>
                <w:color w:val="393939"/>
                <w:spacing w:val="0"/>
                <w:sz w:val="19"/>
                <w:szCs w:val="19"/>
              </w:rPr>
              <w:t>提出，招标文件公告期限、招标文件提供期限均以福建省政府采购网上公开信息系统记载的为准。</w:t>
            </w:r>
          </w:p>
          <w:p>
            <w:pPr>
              <w:pStyle w:val="3"/>
              <w:keepNext w:val="0"/>
              <w:keepLines w:val="0"/>
              <w:widowControl/>
              <w:suppressLineNumbers w:val="0"/>
              <w:wordWrap w:val="0"/>
              <w:spacing w:before="0" w:beforeAutospacing="0" w:after="0" w:afterAutospacing="0" w:line="18" w:lineRule="atLeast"/>
              <w:ind w:left="0" w:right="0"/>
            </w:pPr>
            <w:r>
              <w:rPr>
                <w:rStyle w:val="5"/>
                <w:rFonts w:hint="eastAsia" w:ascii="宋体" w:hAnsi="宋体" w:eastAsia="宋体" w:cs="宋体"/>
                <w:color w:val="393939"/>
                <w:spacing w:val="0"/>
                <w:sz w:val="19"/>
                <w:szCs w:val="19"/>
              </w:rPr>
              <w:t>※除上述规定外，对招标文件提出的质疑还应符合招标文件第三章第</w:t>
            </w:r>
            <w:r>
              <w:rPr>
                <w:rStyle w:val="5"/>
                <w:rFonts w:hint="default" w:ascii="Times New Roman" w:hAnsi="Times New Roman" w:eastAsia="微软雅黑" w:cs="Times New Roman"/>
                <w:color w:val="393939"/>
                <w:spacing w:val="0"/>
                <w:sz w:val="19"/>
                <w:szCs w:val="19"/>
              </w:rPr>
              <w:t>15.1</w:t>
            </w:r>
            <w:r>
              <w:rPr>
                <w:rStyle w:val="5"/>
                <w:rFonts w:hint="eastAsia" w:ascii="宋体" w:hAnsi="宋体" w:eastAsia="宋体" w:cs="宋体"/>
                <w:color w:val="393939"/>
                <w:spacing w:val="0"/>
                <w:sz w:val="19"/>
                <w:szCs w:val="19"/>
              </w:rPr>
              <w:t>条的有关规定。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43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jc w:val="center"/>
            </w:pPr>
            <w:r>
              <w:rPr>
                <w:rFonts w:hint="eastAsia" w:ascii="宋体" w:hAnsi="宋体" w:eastAsia="宋体" w:cs="宋体"/>
                <w:color w:val="393939"/>
                <w:spacing w:val="0"/>
                <w:sz w:val="19"/>
                <w:szCs w:val="19"/>
              </w:rPr>
              <w:t>11</w:t>
            </w:r>
          </w:p>
        </w:tc>
        <w:tc>
          <w:tcPr>
            <w:tcW w:w="126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jc w:val="center"/>
            </w:pPr>
            <w:r>
              <w:rPr>
                <w:rFonts w:hint="eastAsia" w:ascii="宋体" w:hAnsi="宋体" w:eastAsia="宋体" w:cs="宋体"/>
                <w:color w:val="393939"/>
                <w:spacing w:val="0"/>
                <w:sz w:val="19"/>
                <w:szCs w:val="19"/>
              </w:rPr>
              <w:t>16.1</w:t>
            </w:r>
          </w:p>
        </w:tc>
        <w:tc>
          <w:tcPr>
            <w:tcW w:w="6720"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wordWrap w:val="0"/>
              <w:spacing w:before="0" w:beforeAutospacing="0" w:after="0" w:afterAutospacing="0" w:line="18" w:lineRule="atLeast"/>
              <w:ind w:left="0" w:right="0"/>
            </w:pPr>
            <w:r>
              <w:rPr>
                <w:rStyle w:val="5"/>
                <w:rFonts w:hint="eastAsia" w:ascii="宋体" w:hAnsi="宋体" w:eastAsia="宋体" w:cs="宋体"/>
                <w:color w:val="393939"/>
                <w:spacing w:val="0"/>
                <w:sz w:val="19"/>
                <w:szCs w:val="19"/>
              </w:rPr>
              <w:t>监督管理部门：</w:t>
            </w:r>
            <w:r>
              <w:rPr>
                <w:rFonts w:hint="eastAsia" w:ascii="宋体" w:hAnsi="宋体" w:eastAsia="宋体" w:cs="宋体"/>
                <w:color w:val="393939"/>
                <w:spacing w:val="0"/>
                <w:sz w:val="19"/>
                <w:szCs w:val="19"/>
              </w:rPr>
              <w:t>宁德市财政局</w:t>
            </w:r>
            <w:r>
              <w:rPr>
                <w:rStyle w:val="5"/>
                <w:rFonts w:hint="eastAsia" w:ascii="宋体" w:hAnsi="宋体" w:eastAsia="宋体" w:cs="宋体"/>
                <w:color w:val="393939"/>
                <w:spacing w:val="0"/>
                <w:sz w:val="19"/>
                <w:szCs w:val="19"/>
              </w:rPr>
              <w:t>（仅限依法进行政府采购的货物或服务类项目）</w:t>
            </w:r>
            <w:r>
              <w:rPr>
                <w:rFonts w:hint="eastAsia" w:ascii="宋体" w:hAnsi="宋体" w:eastAsia="宋体" w:cs="宋体"/>
                <w:color w:val="393939"/>
                <w:spacing w:val="0"/>
                <w:sz w:val="15"/>
                <w:szCs w:val="15"/>
              </w:rPr>
              <w: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43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jc w:val="center"/>
            </w:pPr>
            <w:r>
              <w:rPr>
                <w:rFonts w:hint="eastAsia" w:ascii="宋体" w:hAnsi="宋体" w:eastAsia="宋体" w:cs="宋体"/>
                <w:color w:val="393939"/>
                <w:spacing w:val="0"/>
                <w:sz w:val="19"/>
                <w:szCs w:val="19"/>
              </w:rPr>
              <w:t>12</w:t>
            </w:r>
          </w:p>
        </w:tc>
        <w:tc>
          <w:tcPr>
            <w:tcW w:w="126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jc w:val="center"/>
            </w:pPr>
            <w:r>
              <w:rPr>
                <w:rFonts w:hint="eastAsia" w:ascii="宋体" w:hAnsi="宋体" w:eastAsia="宋体" w:cs="宋体"/>
                <w:color w:val="393939"/>
                <w:spacing w:val="0"/>
                <w:sz w:val="19"/>
                <w:szCs w:val="19"/>
              </w:rPr>
              <w:t>18.1</w:t>
            </w:r>
          </w:p>
        </w:tc>
        <w:tc>
          <w:tcPr>
            <w:tcW w:w="6720"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wordWrap w:val="0"/>
              <w:spacing w:before="0" w:beforeAutospacing="0" w:after="0" w:afterAutospacing="0" w:line="18" w:lineRule="atLeast"/>
              <w:ind w:left="0" w:right="0"/>
            </w:pPr>
            <w:r>
              <w:rPr>
                <w:rStyle w:val="5"/>
                <w:rFonts w:hint="eastAsia" w:ascii="宋体" w:hAnsi="宋体" w:eastAsia="宋体" w:cs="宋体"/>
                <w:color w:val="393939"/>
                <w:spacing w:val="0"/>
                <w:sz w:val="19"/>
                <w:szCs w:val="19"/>
              </w:rPr>
              <w:t>财政部和福建省财政厅指定的政府采购信息发布媒体（以下简称：“指定媒体”）：</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（1）中国政府采购网，网址</w:t>
            </w:r>
            <w:r>
              <w:rPr>
                <w:rFonts w:hint="eastAsia" w:ascii="微软雅黑" w:hAnsi="微软雅黑" w:eastAsia="微软雅黑" w:cs="微软雅黑"/>
                <w:spacing w:val="0"/>
                <w:sz w:val="19"/>
                <w:szCs w:val="19"/>
              </w:rPr>
              <w:fldChar w:fldCharType="begin"/>
            </w:r>
            <w:r>
              <w:rPr>
                <w:rFonts w:hint="eastAsia" w:ascii="微软雅黑" w:hAnsi="微软雅黑" w:eastAsia="微软雅黑" w:cs="微软雅黑"/>
                <w:spacing w:val="0"/>
                <w:sz w:val="19"/>
                <w:szCs w:val="19"/>
              </w:rPr>
              <w:instrText xml:space="preserve"> HYPERLINK "http://www.ccgp.gov.cn/" </w:instrText>
            </w:r>
            <w:r>
              <w:rPr>
                <w:rFonts w:hint="eastAsia" w:ascii="微软雅黑" w:hAnsi="微软雅黑" w:eastAsia="微软雅黑" w:cs="微软雅黑"/>
                <w:spacing w:val="0"/>
                <w:sz w:val="19"/>
                <w:szCs w:val="19"/>
              </w:rPr>
              <w:fldChar w:fldCharType="separate"/>
            </w:r>
            <w:r>
              <w:rPr>
                <w:rStyle w:val="6"/>
                <w:rFonts w:hint="eastAsia" w:ascii="微软雅黑" w:hAnsi="微软雅黑" w:eastAsia="微软雅黑" w:cs="微软雅黑"/>
                <w:spacing w:val="0"/>
                <w:sz w:val="19"/>
                <w:szCs w:val="19"/>
              </w:rPr>
              <w:t>http://www.ccgp.gov.cn</w:t>
            </w:r>
            <w:r>
              <w:rPr>
                <w:rFonts w:hint="eastAsia" w:ascii="微软雅黑" w:hAnsi="微软雅黑" w:eastAsia="微软雅黑" w:cs="微软雅黑"/>
                <w:spacing w:val="0"/>
                <w:sz w:val="19"/>
                <w:szCs w:val="19"/>
              </w:rPr>
              <w:fldChar w:fldCharType="end"/>
            </w:r>
            <w:r>
              <w:rPr>
                <w:rFonts w:hint="eastAsia" w:ascii="微软雅黑" w:hAnsi="微软雅黑" w:eastAsia="微软雅黑" w:cs="微软雅黑"/>
                <w:color w:val="393939"/>
                <w:sz w:val="15"/>
                <w:szCs w:val="15"/>
              </w:rPr>
              <w:t>。</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（2）中国政府采购网福建分网（福建省政府采购网），网址</w:t>
            </w:r>
            <w:r>
              <w:rPr>
                <w:rFonts w:hint="eastAsia" w:ascii="微软雅黑" w:hAnsi="微软雅黑" w:eastAsia="微软雅黑" w:cs="微软雅黑"/>
                <w:spacing w:val="0"/>
                <w:sz w:val="19"/>
                <w:szCs w:val="19"/>
              </w:rPr>
              <w:fldChar w:fldCharType="begin"/>
            </w:r>
            <w:r>
              <w:rPr>
                <w:rFonts w:hint="eastAsia" w:ascii="微软雅黑" w:hAnsi="微软雅黑" w:eastAsia="微软雅黑" w:cs="微软雅黑"/>
                <w:spacing w:val="0"/>
                <w:sz w:val="19"/>
                <w:szCs w:val="19"/>
              </w:rPr>
              <w:instrText xml:space="preserve"> HYPERLINK "http://cz.fjzfcg.gov.cn/" </w:instrText>
            </w:r>
            <w:r>
              <w:rPr>
                <w:rFonts w:hint="eastAsia" w:ascii="微软雅黑" w:hAnsi="微软雅黑" w:eastAsia="微软雅黑" w:cs="微软雅黑"/>
                <w:spacing w:val="0"/>
                <w:sz w:val="19"/>
                <w:szCs w:val="19"/>
              </w:rPr>
              <w:fldChar w:fldCharType="separate"/>
            </w:r>
            <w:r>
              <w:rPr>
                <w:rStyle w:val="6"/>
                <w:rFonts w:hint="eastAsia" w:ascii="微软雅黑" w:hAnsi="微软雅黑" w:eastAsia="微软雅黑" w:cs="微软雅黑"/>
                <w:spacing w:val="0"/>
                <w:sz w:val="19"/>
                <w:szCs w:val="19"/>
              </w:rPr>
              <w:t>http://cz.fjzfcg.gov.cn</w:t>
            </w:r>
            <w:r>
              <w:rPr>
                <w:rFonts w:hint="eastAsia" w:ascii="微软雅黑" w:hAnsi="微软雅黑" w:eastAsia="微软雅黑" w:cs="微软雅黑"/>
                <w:spacing w:val="0"/>
                <w:sz w:val="19"/>
                <w:szCs w:val="19"/>
              </w:rPr>
              <w:fldChar w:fldCharType="end"/>
            </w:r>
            <w:r>
              <w:rPr>
                <w:rFonts w:hint="eastAsia" w:ascii="微软雅黑" w:hAnsi="微软雅黑" w:eastAsia="微软雅黑" w:cs="微软雅黑"/>
                <w:color w:val="393939"/>
                <w:sz w:val="15"/>
                <w:szCs w:val="15"/>
              </w:rPr>
              <w:t>。</w:t>
            </w:r>
          </w:p>
          <w:p>
            <w:pPr>
              <w:pStyle w:val="3"/>
              <w:keepNext w:val="0"/>
              <w:keepLines w:val="0"/>
              <w:widowControl/>
              <w:suppressLineNumbers w:val="0"/>
              <w:wordWrap w:val="0"/>
              <w:spacing w:before="0" w:beforeAutospacing="0" w:after="0" w:afterAutospacing="0" w:line="18" w:lineRule="atLeast"/>
              <w:ind w:left="0" w:right="0"/>
            </w:pPr>
            <w:r>
              <w:rPr>
                <w:rStyle w:val="5"/>
                <w:rFonts w:hint="eastAsia" w:ascii="宋体" w:hAnsi="宋体" w:eastAsia="宋体" w:cs="宋体"/>
                <w:color w:val="393939"/>
                <w:spacing w:val="0"/>
                <w:sz w:val="19"/>
                <w:szCs w:val="19"/>
              </w:rPr>
              <w:t>※除招标文件第一章第</w:t>
            </w:r>
            <w:r>
              <w:rPr>
                <w:rStyle w:val="5"/>
                <w:rFonts w:hint="default" w:ascii="Times New Roman" w:hAnsi="Times New Roman" w:eastAsia="微软雅黑" w:cs="Times New Roman"/>
                <w:color w:val="393939"/>
                <w:spacing w:val="0"/>
                <w:sz w:val="19"/>
                <w:szCs w:val="19"/>
              </w:rPr>
              <w:t>11.1</w:t>
            </w:r>
            <w:r>
              <w:rPr>
                <w:rStyle w:val="5"/>
                <w:rFonts w:hint="eastAsia" w:ascii="宋体" w:hAnsi="宋体" w:eastAsia="宋体" w:cs="宋体"/>
                <w:color w:val="393939"/>
                <w:spacing w:val="0"/>
                <w:sz w:val="19"/>
                <w:szCs w:val="19"/>
              </w:rPr>
              <w:t>条规定情形外，若出现上述指定媒体信息不一致情形，应以中国政府采购网福建分网（福建省政府采购网）发布的为准。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43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jc w:val="center"/>
            </w:pPr>
            <w:r>
              <w:rPr>
                <w:rFonts w:hint="eastAsia" w:ascii="宋体" w:hAnsi="宋体" w:eastAsia="宋体" w:cs="宋体"/>
                <w:color w:val="393939"/>
                <w:spacing w:val="0"/>
                <w:sz w:val="19"/>
                <w:szCs w:val="19"/>
              </w:rPr>
              <w:t>13</w:t>
            </w:r>
          </w:p>
        </w:tc>
        <w:tc>
          <w:tcPr>
            <w:tcW w:w="126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jc w:val="center"/>
            </w:pPr>
            <w:r>
              <w:rPr>
                <w:rFonts w:hint="eastAsia" w:ascii="宋体" w:hAnsi="宋体" w:eastAsia="宋体" w:cs="宋体"/>
                <w:color w:val="393939"/>
                <w:spacing w:val="0"/>
                <w:sz w:val="19"/>
                <w:szCs w:val="19"/>
              </w:rPr>
              <w:t>19</w:t>
            </w:r>
          </w:p>
        </w:tc>
        <w:tc>
          <w:tcPr>
            <w:tcW w:w="6720"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wordWrap w:val="0"/>
              <w:spacing w:before="0" w:beforeAutospacing="0" w:after="0" w:afterAutospacing="0" w:line="18" w:lineRule="atLeast"/>
              <w:ind w:left="0" w:right="0"/>
            </w:pPr>
            <w:r>
              <w:rPr>
                <w:rStyle w:val="5"/>
                <w:rFonts w:hint="eastAsia" w:ascii="宋体" w:hAnsi="宋体" w:eastAsia="宋体" w:cs="宋体"/>
                <w:color w:val="393939"/>
                <w:spacing w:val="0"/>
                <w:sz w:val="19"/>
                <w:szCs w:val="19"/>
              </w:rPr>
              <w:t>其他事项：</w:t>
            </w:r>
          </w:p>
          <w:p>
            <w:pPr>
              <w:pStyle w:val="3"/>
              <w:keepNext w:val="0"/>
              <w:keepLines w:val="0"/>
              <w:widowControl/>
              <w:suppressLineNumbers w:val="0"/>
              <w:wordWrap w:val="0"/>
              <w:spacing w:before="0" w:beforeAutospacing="0" w:after="0" w:afterAutospacing="0" w:line="18" w:lineRule="atLeast"/>
              <w:ind w:left="0" w:right="0"/>
            </w:pPr>
            <w:r>
              <w:rPr>
                <w:rStyle w:val="5"/>
                <w:rFonts w:hint="eastAsia" w:ascii="宋体" w:hAnsi="宋体" w:eastAsia="宋体" w:cs="宋体"/>
                <w:color w:val="393939"/>
                <w:spacing w:val="0"/>
                <w:sz w:val="19"/>
                <w:szCs w:val="19"/>
              </w:rPr>
              <w:t>(1)本项目代理服务费由</w:t>
            </w:r>
            <w:r>
              <w:rPr>
                <w:rFonts w:hint="eastAsia" w:ascii="宋体" w:hAnsi="宋体" w:eastAsia="宋体" w:cs="宋体"/>
                <w:color w:val="393939"/>
                <w:spacing w:val="0"/>
                <w:sz w:val="19"/>
                <w:szCs w:val="19"/>
              </w:rPr>
              <w:t>中标人</w:t>
            </w:r>
            <w:r>
              <w:rPr>
                <w:rStyle w:val="5"/>
                <w:rFonts w:hint="eastAsia" w:ascii="宋体" w:hAnsi="宋体" w:eastAsia="宋体" w:cs="宋体"/>
                <w:color w:val="393939"/>
                <w:spacing w:val="0"/>
                <w:sz w:val="19"/>
                <w:szCs w:val="19"/>
              </w:rPr>
              <w:t>支付。</w:t>
            </w:r>
            <w:r>
              <w:rPr>
                <w:rStyle w:val="5"/>
                <w:rFonts w:hint="eastAsia" w:ascii="宋体" w:hAnsi="宋体" w:eastAsia="宋体" w:cs="宋体"/>
                <w:color w:val="393939"/>
                <w:spacing w:val="0"/>
                <w:sz w:val="19"/>
                <w:szCs w:val="19"/>
              </w:rPr>
              <w:br w:type="textWrapping"/>
            </w:r>
            <w:r>
              <w:rPr>
                <w:rStyle w:val="5"/>
                <w:rFonts w:hint="eastAsia" w:ascii="宋体" w:hAnsi="宋体" w:eastAsia="宋体" w:cs="宋体"/>
                <w:color w:val="393939"/>
                <w:spacing w:val="0"/>
                <w:sz w:val="19"/>
                <w:szCs w:val="19"/>
              </w:rPr>
              <w:t>(2)其他：</w:t>
            </w:r>
            <w:r>
              <w:rPr>
                <w:rFonts w:hint="eastAsia" w:ascii="宋体" w:hAnsi="宋体" w:eastAsia="宋体" w:cs="宋体"/>
                <w:color w:val="393939"/>
                <w:spacing w:val="0"/>
                <w:sz w:val="19"/>
                <w:szCs w:val="19"/>
              </w:rPr>
              <w:t>1、第三章投标人须知补充条款（与招标文件其它地方有区别的，以本条为准）： 2.6 解释权：采购代理机构拥有本项目招标文件的最终解释权。 10.4- 投标人提交的电子文本应用不可改写光盘制作后提交，其内容与投标人在福建省政府采购网上公开信息系统上提交的内容存在矛盾的，以网上提交的内容为准。 10.5-（5）所有资格证明文件应是最新、有效、完整、清晰的。有年检要求的应符合规定。有变更事宜的，变更文件应附齐全。资格审查小组对投标人所提供的资格类文件仅负审核责任。即使投标人所提交的资格类文件通过了审核，在评标过程中乃至确定中标人后，如发现投标人所提供的资格类文件不合法或不真实，仍可废除中标人中标资格并追究中标人的法律责任。 ★10.5-（6）投标文件必须严格按照招标文件格式要求制作并提供，否则不符合文件将被视为未提供或不满足，资格类证明文件不符的，投标无效，涉及评分的相应评分项不得分。招标文件有不同表述的以本条为准。15.1-（3）-⑦：质疑受理的其它要求： a、质疑人递交质疑函时还应出具质疑人已在福建省政府采购网上公开信息系统上已对本项目进行报名的证明文件（体现报名时间），否则将不被认定为潜在投标人，其质疑将不予受理。【招标文件首次下载之日为质疑人在福建省政府采购网上公开信息系统成功报名之日。】b、质疑人为法人或其他组织的，质疑函需逐页加盖质疑人单位公章；若本项目接受自然人投标且质疑人为自然人的，质疑函需质疑人本人逐页签名。否则质疑将不予受理。15.1-(4)在法定质疑期内供应商须一次性提出针对同一采购程序环节的质疑，二（多）次质疑不予受理。 15.1-(5)投标人对本项目招标文件有任何疑议或不认同之处，需在法定时间内按规定提出质疑，否则视为投标人接受招标文件的规定。2、本项目代理服务费向中标人收取。 收取标准及收取方式：中标金额在100万以下的，按中标金额的1.5%收取；中标金额在100万-500万之间的，其中100万按中标金额的1.5%收取，差额部分按中标金额的1.1%收取；中标人在领取中标通知书前，以转账或汇款方式提交，请投标人报价时予以充分考虑。代理服务费缴交帐户信息： 账户名：福建省中达招标代理有限公司，账号：3500 1890 0070 5251 5459，开户行：建设银行福州城北支行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1724" w:type="dxa"/>
            <w:gridSpan w:val="2"/>
            <w:tcBorders>
              <w:top w:val="nil"/>
              <w:left w:val="nil"/>
              <w:bottom w:val="nil"/>
              <w:right w:val="nil"/>
            </w:tcBorders>
            <w:shd w:val="clear"/>
            <w:tcMar>
              <w:top w:w="60" w:type="dxa"/>
              <w:left w:w="120" w:type="dxa"/>
              <w:bottom w:w="60" w:type="dxa"/>
              <w:right w:w="120" w:type="dxa"/>
            </w:tcMar>
            <w:vAlign w:val="center"/>
          </w:tcPr>
          <w:p>
            <w:pPr>
              <w:pStyle w:val="3"/>
              <w:keepNext w:val="0"/>
              <w:keepLines w:val="0"/>
              <w:widowControl/>
              <w:suppressLineNumbers w:val="0"/>
              <w:spacing w:before="0" w:beforeAutospacing="0" w:after="0" w:afterAutospacing="0" w:line="18" w:lineRule="atLeast"/>
              <w:ind w:left="0" w:right="0" w:firstLine="0"/>
            </w:pPr>
            <w:r>
              <w:rPr>
                <w:rFonts w:hint="eastAsia" w:ascii="宋体" w:hAnsi="宋体" w:eastAsia="宋体" w:cs="宋体"/>
                <w:color w:val="393939"/>
                <w:spacing w:val="0"/>
                <w:sz w:val="19"/>
                <w:szCs w:val="19"/>
              </w:rPr>
              <w:t>备注</w:t>
            </w:r>
          </w:p>
        </w:tc>
        <w:tc>
          <w:tcPr>
            <w:tcW w:w="6720" w:type="dxa"/>
            <w:tcBorders>
              <w:top w:val="nil"/>
              <w:left w:val="nil"/>
              <w:bottom w:val="nil"/>
              <w:right w:val="nil"/>
            </w:tcBorders>
            <w:shd w:val="clear"/>
            <w:tcMar>
              <w:top w:w="60" w:type="dxa"/>
              <w:left w:w="120" w:type="dxa"/>
              <w:bottom w:w="60" w:type="dxa"/>
              <w:right w:w="120" w:type="dxa"/>
            </w:tcMar>
            <w:vAlign w:val="center"/>
          </w:tcPr>
          <w:p>
            <w:pPr>
              <w:pStyle w:val="3"/>
              <w:keepNext w:val="0"/>
              <w:keepLines w:val="0"/>
              <w:widowControl/>
              <w:suppressLineNumbers w:val="0"/>
              <w:spacing w:before="0" w:beforeAutospacing="0" w:after="0" w:afterAutospacing="0" w:line="18" w:lineRule="atLeast"/>
              <w:ind w:left="0" w:right="0" w:firstLine="0"/>
            </w:pPr>
            <w:r>
              <w:rPr>
                <w:rStyle w:val="5"/>
                <w:rFonts w:hint="eastAsia" w:ascii="宋体" w:hAnsi="宋体" w:eastAsia="宋体" w:cs="宋体"/>
                <w:color w:val="393939"/>
                <w:spacing w:val="0"/>
                <w:sz w:val="19"/>
                <w:szCs w:val="19"/>
              </w:rPr>
              <w:t>后有表</w:t>
            </w:r>
            <w:r>
              <w:rPr>
                <w:rStyle w:val="5"/>
                <w:rFonts w:hint="default" w:ascii="Times New Roman" w:hAnsi="Times New Roman" w:eastAsia="微软雅黑" w:cs="Times New Roman"/>
                <w:color w:val="393939"/>
                <w:spacing w:val="0"/>
                <w:sz w:val="19"/>
                <w:szCs w:val="19"/>
              </w:rPr>
              <w:t>2</w:t>
            </w:r>
            <w:r>
              <w:rPr>
                <w:rStyle w:val="5"/>
                <w:rFonts w:hint="eastAsia" w:ascii="宋体" w:hAnsi="宋体" w:eastAsia="宋体" w:cs="宋体"/>
                <w:color w:val="393939"/>
                <w:spacing w:val="0"/>
                <w:sz w:val="19"/>
                <w:szCs w:val="19"/>
              </w:rPr>
              <w:t>，请勿遗漏。</w:t>
            </w:r>
          </w:p>
        </w:tc>
      </w:tr>
    </w:tbl>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表2</w:t>
      </w:r>
    </w:p>
    <w:tbl>
      <w:tblPr>
        <w:tblW w:w="8533"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428"/>
        <w:gridCol w:w="810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8473" w:type="dxa"/>
            <w:gridSpan w:val="2"/>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jc w:val="center"/>
            </w:pPr>
            <w:r>
              <w:rPr>
                <w:rStyle w:val="5"/>
                <w:rFonts w:hint="eastAsia" w:ascii="宋体" w:hAnsi="宋体" w:eastAsia="宋体" w:cs="宋体"/>
                <w:color w:val="393939"/>
                <w:spacing w:val="0"/>
                <w:sz w:val="19"/>
                <w:szCs w:val="19"/>
              </w:rPr>
              <w:t>关于电子招标投标活动的专门规定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38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jc w:val="center"/>
            </w:pPr>
            <w:r>
              <w:rPr>
                <w:rFonts w:hint="eastAsia" w:ascii="宋体" w:hAnsi="宋体" w:eastAsia="宋体" w:cs="宋体"/>
                <w:color w:val="393939"/>
                <w:spacing w:val="0"/>
                <w:sz w:val="19"/>
                <w:szCs w:val="19"/>
              </w:rPr>
              <w:t>序号</w:t>
            </w:r>
          </w:p>
        </w:tc>
        <w:tc>
          <w:tcPr>
            <w:tcW w:w="8060"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jc w:val="center"/>
            </w:pPr>
            <w:r>
              <w:rPr>
                <w:rFonts w:hint="eastAsia" w:ascii="宋体" w:hAnsi="宋体" w:eastAsia="宋体" w:cs="宋体"/>
                <w:color w:val="393939"/>
                <w:spacing w:val="0"/>
                <w:sz w:val="19"/>
                <w:szCs w:val="19"/>
              </w:rPr>
              <w:t>编列内容</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38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0" w:beforeAutospacing="0" w:after="0" w:afterAutospacing="0" w:line="18" w:lineRule="atLeast"/>
              <w:ind w:left="0" w:right="0"/>
              <w:jc w:val="center"/>
            </w:pPr>
            <w:r>
              <w:rPr>
                <w:rFonts w:hint="eastAsia" w:ascii="宋体" w:hAnsi="宋体" w:eastAsia="宋体" w:cs="宋体"/>
                <w:color w:val="393939"/>
                <w:spacing w:val="0"/>
                <w:sz w:val="19"/>
                <w:szCs w:val="19"/>
              </w:rPr>
              <w:t>1</w:t>
            </w:r>
          </w:p>
        </w:tc>
        <w:tc>
          <w:tcPr>
            <w:tcW w:w="8060"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（1）招标文件中除下述第（</w:t>
            </w:r>
            <w:r>
              <w:rPr>
                <w:rFonts w:hint="default" w:ascii="Calibri" w:hAnsi="Calibri" w:eastAsia="微软雅黑" w:cs="Calibri"/>
                <w:color w:val="393939"/>
                <w:spacing w:val="0"/>
                <w:sz w:val="19"/>
                <w:szCs w:val="19"/>
              </w:rPr>
              <w:t>2</w:t>
            </w:r>
            <w:r>
              <w:rPr>
                <w:rFonts w:hint="eastAsia" w:ascii="宋体" w:hAnsi="宋体" w:eastAsia="宋体" w:cs="宋体"/>
                <w:color w:val="393939"/>
                <w:spacing w:val="0"/>
                <w:sz w:val="19"/>
                <w:szCs w:val="19"/>
              </w:rPr>
              <w:t>）、（</w:t>
            </w:r>
            <w:r>
              <w:rPr>
                <w:rFonts w:hint="default" w:ascii="Calibri" w:hAnsi="Calibri" w:eastAsia="微软雅黑" w:cs="Calibri"/>
                <w:color w:val="393939"/>
                <w:spacing w:val="0"/>
                <w:sz w:val="19"/>
                <w:szCs w:val="19"/>
              </w:rPr>
              <w:t>3</w:t>
            </w:r>
            <w:r>
              <w:rPr>
                <w:rFonts w:hint="eastAsia" w:ascii="宋体" w:hAnsi="宋体" w:eastAsia="宋体" w:cs="宋体"/>
                <w:color w:val="393939"/>
                <w:spacing w:val="0"/>
                <w:sz w:val="19"/>
                <w:szCs w:val="19"/>
              </w:rPr>
              <w:t>）款所述内容外的其他内容及规定适用本项目的电子招标投标活动。</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（2）将招标文件</w:t>
            </w:r>
            <w:r>
              <w:rPr>
                <w:rFonts w:hint="eastAsia" w:ascii="宋体" w:hAnsi="宋体" w:eastAsia="宋体" w:cs="宋体"/>
                <w:color w:val="393939"/>
                <w:spacing w:val="0"/>
                <w:sz w:val="19"/>
                <w:szCs w:val="19"/>
                <w:u w:val="single"/>
              </w:rPr>
              <w:t>无</w:t>
            </w:r>
            <w:r>
              <w:rPr>
                <w:rFonts w:hint="eastAsia" w:ascii="宋体" w:hAnsi="宋体" w:eastAsia="宋体" w:cs="宋体"/>
                <w:color w:val="393939"/>
                <w:spacing w:val="0"/>
                <w:sz w:val="19"/>
                <w:szCs w:val="19"/>
              </w:rPr>
              <w:t>的内容</w:t>
            </w:r>
            <w:r>
              <w:rPr>
                <w:rStyle w:val="5"/>
                <w:rFonts w:hint="eastAsia" w:ascii="宋体" w:hAnsi="宋体" w:eastAsia="宋体" w:cs="宋体"/>
                <w:color w:val="393939"/>
                <w:spacing w:val="0"/>
                <w:sz w:val="19"/>
                <w:szCs w:val="19"/>
              </w:rPr>
              <w:t>修正为</w:t>
            </w:r>
            <w:r>
              <w:rPr>
                <w:rFonts w:hint="eastAsia" w:ascii="宋体" w:hAnsi="宋体" w:eastAsia="宋体" w:cs="宋体"/>
                <w:color w:val="393939"/>
                <w:spacing w:val="0"/>
                <w:sz w:val="19"/>
                <w:szCs w:val="19"/>
              </w:rPr>
              <w:t>下列内容：</w:t>
            </w:r>
            <w:r>
              <w:rPr>
                <w:rFonts w:hint="eastAsia" w:ascii="宋体" w:hAnsi="宋体" w:eastAsia="宋体" w:cs="宋体"/>
                <w:color w:val="393939"/>
                <w:spacing w:val="0"/>
                <w:sz w:val="19"/>
                <w:szCs w:val="19"/>
                <w:u w:val="single"/>
              </w:rPr>
              <w:t>无</w:t>
            </w:r>
            <w:r>
              <w:rPr>
                <w:rFonts w:hint="eastAsia" w:ascii="宋体" w:hAnsi="宋体" w:eastAsia="宋体" w:cs="宋体"/>
                <w:color w:val="393939"/>
                <w:spacing w:val="0"/>
                <w:sz w:val="19"/>
                <w:szCs w:val="19"/>
              </w:rPr>
              <w:t>后适用本项目的电子招标投标活动。</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（3）将下列内容</w:t>
            </w:r>
            <w:r>
              <w:rPr>
                <w:rStyle w:val="5"/>
                <w:rFonts w:hint="eastAsia" w:ascii="宋体" w:hAnsi="宋体" w:eastAsia="宋体" w:cs="宋体"/>
                <w:color w:val="393939"/>
                <w:spacing w:val="0"/>
                <w:sz w:val="19"/>
                <w:szCs w:val="19"/>
              </w:rPr>
              <w:t>增列为</w:t>
            </w:r>
            <w:r>
              <w:rPr>
                <w:rFonts w:hint="eastAsia" w:ascii="宋体" w:hAnsi="宋体" w:eastAsia="宋体" w:cs="宋体"/>
                <w:color w:val="393939"/>
                <w:spacing w:val="0"/>
                <w:sz w:val="19"/>
                <w:szCs w:val="19"/>
              </w:rPr>
              <w:t>招标文件的组成部分（以下简称：“增列内容”）适用本项目的电子招标投标活动，若增列内容与招标文件其他章节内容有冲突，应以增列内容为准：</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①电子招标投标活动的具体操作流程以福建省政府采购网上公开信息系统设定的为准。</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②关于投标文件：</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a.投标人应按照福建省政府采购网上公开信息系统设定的评审节点编制电子投标文件，否则</w:t>
            </w:r>
            <w:r>
              <w:rPr>
                <w:rStyle w:val="5"/>
                <w:rFonts w:hint="eastAsia" w:ascii="宋体" w:hAnsi="宋体" w:eastAsia="宋体" w:cs="宋体"/>
                <w:color w:val="393939"/>
                <w:spacing w:val="0"/>
                <w:sz w:val="19"/>
                <w:szCs w:val="19"/>
              </w:rPr>
              <w:t>资格审查小组、评标委员会将按照不利于投标人的内容进行认定。</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b.投标人应在投标截止时间前按照福建省政府采购网上公开信息系统设定的操作流程将电子投标文件</w:t>
            </w:r>
            <w:r>
              <w:rPr>
                <w:rStyle w:val="5"/>
                <w:rFonts w:hint="eastAsia" w:ascii="宋体" w:hAnsi="宋体" w:eastAsia="宋体" w:cs="宋体"/>
                <w:color w:val="393939"/>
                <w:spacing w:val="0"/>
                <w:sz w:val="19"/>
                <w:szCs w:val="19"/>
                <w:u w:val="single"/>
              </w:rPr>
              <w:t>1</w:t>
            </w:r>
            <w:r>
              <w:rPr>
                <w:rFonts w:hint="eastAsia" w:ascii="宋体" w:hAnsi="宋体" w:eastAsia="宋体" w:cs="宋体"/>
                <w:color w:val="393939"/>
                <w:spacing w:val="0"/>
                <w:sz w:val="19"/>
                <w:szCs w:val="19"/>
              </w:rPr>
              <w:t>份上传至福建省政府采购网上公开信息系统，电子投标文件应与纸质投标文件保持一致，并以电子投标文件为准。</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c.若出现福建省政府采购网上公开信息系统设定的意外情形（如：系统故障等），经本项目监督管理部门同意使用纸质投标文件的，应以纸质投标文件为准。</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③关于证明材料或资料：</w:t>
            </w:r>
          </w:p>
          <w:p>
            <w:pPr>
              <w:pStyle w:val="3"/>
              <w:keepNext w:val="0"/>
              <w:keepLines w:val="0"/>
              <w:widowControl/>
              <w:suppressLineNumbers w:val="0"/>
              <w:wordWrap w:val="0"/>
              <w:spacing w:line="18" w:lineRule="atLeast"/>
            </w:pPr>
            <w:r>
              <w:rPr>
                <w:rFonts w:hint="eastAsia" w:ascii="宋体" w:hAnsi="宋体" w:eastAsia="宋体" w:cs="宋体"/>
                <w:color w:val="393939"/>
                <w:sz w:val="19"/>
                <w:szCs w:val="19"/>
                <w:bdr w:val="none" w:color="auto" w:sz="0" w:space="0"/>
              </w:rPr>
              <w:t>a.除《检察机关行贿犯罪档案查询结果告知函》外，招标文件要求原件的，投标人在电子投标文件中可提供复印件（含扫描件），但在纸质投标文件正本中应提供原件</w:t>
            </w:r>
            <w:r>
              <w:rPr>
                <w:rStyle w:val="5"/>
                <w:rFonts w:hint="eastAsia" w:ascii="宋体" w:hAnsi="宋体" w:eastAsia="宋体" w:cs="宋体"/>
                <w:color w:val="393939"/>
                <w:sz w:val="19"/>
                <w:szCs w:val="19"/>
                <w:bdr w:val="none" w:color="auto" w:sz="0" w:space="0"/>
              </w:rPr>
              <w:t>（资格审查小组、评标委员会将核对纸质投标文件正本，未提供原件的证明材料或资料将导致投标无效）</w:t>
            </w:r>
            <w:r>
              <w:rPr>
                <w:rFonts w:hint="eastAsia" w:ascii="宋体" w:hAnsi="宋体" w:eastAsia="宋体" w:cs="宋体"/>
                <w:color w:val="393939"/>
                <w:sz w:val="19"/>
                <w:szCs w:val="19"/>
                <w:bdr w:val="none" w:color="auto" w:sz="0" w:space="0"/>
              </w:rPr>
              <w:t>；招标文件要求复印件的，投标人在纸质投标文件中提供原件、复印件（含扫描件）皆可；招标文件对原件、复印件未作要求的，投标人在纸质投标文件中提供原件、复印件（含扫描件）皆可。</w:t>
            </w:r>
          </w:p>
          <w:p>
            <w:pPr>
              <w:pStyle w:val="3"/>
              <w:keepNext w:val="0"/>
              <w:keepLines w:val="0"/>
              <w:widowControl/>
              <w:suppressLineNumbers w:val="0"/>
              <w:wordWrap w:val="0"/>
              <w:spacing w:line="18" w:lineRule="atLeast"/>
            </w:pPr>
            <w:r>
              <w:rPr>
                <w:rFonts w:hint="eastAsia" w:ascii="宋体" w:hAnsi="宋体" w:eastAsia="宋体" w:cs="宋体"/>
                <w:color w:val="393939"/>
                <w:sz w:val="19"/>
                <w:szCs w:val="19"/>
                <w:bdr w:val="none" w:color="auto" w:sz="0" w:space="0"/>
              </w:rPr>
              <w:t>b.除《检察机关行贿犯罪档案查询结果告知函》外，若投标人提供注明“复印件无效”的证明材料或资料，其纸质投标文件正本中应提供原件</w:t>
            </w:r>
            <w:r>
              <w:rPr>
                <w:rStyle w:val="5"/>
                <w:rFonts w:hint="eastAsia" w:ascii="宋体" w:hAnsi="宋体" w:eastAsia="宋体" w:cs="宋体"/>
                <w:color w:val="393939"/>
                <w:sz w:val="19"/>
                <w:szCs w:val="19"/>
                <w:bdr w:val="none" w:color="auto" w:sz="0" w:space="0"/>
              </w:rPr>
              <w:t>（资格审查小组、评标委员会将核对纸质投标文件正本，未提供原件的证明材料或资料将导致投标无效）。</w:t>
            </w:r>
          </w:p>
          <w:p>
            <w:pPr>
              <w:pStyle w:val="3"/>
              <w:keepNext w:val="0"/>
              <w:keepLines w:val="0"/>
              <w:widowControl/>
              <w:suppressLineNumbers w:val="0"/>
              <w:wordWrap w:val="0"/>
              <w:spacing w:line="18" w:lineRule="atLeast"/>
            </w:pPr>
            <w:r>
              <w:rPr>
                <w:rFonts w:hint="eastAsia" w:ascii="宋体" w:hAnsi="宋体" w:eastAsia="宋体" w:cs="宋体"/>
                <w:color w:val="393939"/>
                <w:sz w:val="19"/>
                <w:szCs w:val="19"/>
                <w:bdr w:val="none" w:color="auto" w:sz="0" w:space="0"/>
              </w:rPr>
              <w:t>c.《检察机关行贿犯罪档案查询结果告知函》</w:t>
            </w:r>
          </w:p>
          <w:p>
            <w:pPr>
              <w:pStyle w:val="3"/>
              <w:keepNext w:val="0"/>
              <w:keepLines w:val="0"/>
              <w:widowControl/>
              <w:suppressLineNumbers w:val="0"/>
              <w:wordWrap w:val="0"/>
              <w:spacing w:line="18" w:lineRule="atLeast"/>
            </w:pPr>
            <w:r>
              <w:rPr>
                <w:rFonts w:hint="eastAsia" w:ascii="宋体" w:hAnsi="宋体" w:eastAsia="宋体" w:cs="宋体"/>
                <w:color w:val="393939"/>
                <w:sz w:val="19"/>
                <w:szCs w:val="19"/>
                <w:bdr w:val="none" w:color="auto" w:sz="0" w:space="0"/>
              </w:rPr>
              <w:t>c1投标人在电子投标文件中可提供复印件（含扫描件）、符合招标文件第七章规定的打印件（或截图），在纸质投标文件正本中提供原件、复印件（含扫描件）、符合招标文件第七章规定的打印件（或截图）皆可。</w:t>
            </w:r>
          </w:p>
          <w:p>
            <w:pPr>
              <w:pStyle w:val="3"/>
              <w:keepNext w:val="0"/>
              <w:keepLines w:val="0"/>
              <w:widowControl/>
              <w:suppressLineNumbers w:val="0"/>
              <w:wordWrap w:val="0"/>
              <w:spacing w:line="18" w:lineRule="atLeast"/>
            </w:pPr>
            <w:r>
              <w:rPr>
                <w:rFonts w:hint="eastAsia" w:ascii="宋体" w:hAnsi="宋体" w:eastAsia="宋体" w:cs="宋体"/>
                <w:color w:val="393939"/>
                <w:sz w:val="19"/>
                <w:szCs w:val="19"/>
                <w:bdr w:val="none" w:color="auto" w:sz="0" w:space="0"/>
              </w:rPr>
              <w:t>c2《检察机关行贿犯罪档案查询结果告知函》应在有效期内且内容完整、清晰、整洁，否则</w:t>
            </w:r>
            <w:r>
              <w:rPr>
                <w:rStyle w:val="5"/>
                <w:rFonts w:hint="eastAsia" w:ascii="宋体" w:hAnsi="宋体" w:eastAsia="宋体" w:cs="宋体"/>
                <w:color w:val="393939"/>
                <w:sz w:val="19"/>
                <w:szCs w:val="19"/>
                <w:bdr w:val="none" w:color="auto" w:sz="0" w:space="0"/>
              </w:rPr>
              <w:t>投标无效。</w:t>
            </w:r>
          </w:p>
          <w:p>
            <w:pPr>
              <w:pStyle w:val="3"/>
              <w:keepNext w:val="0"/>
              <w:keepLines w:val="0"/>
              <w:widowControl/>
              <w:suppressLineNumbers w:val="0"/>
              <w:wordWrap w:val="0"/>
              <w:spacing w:line="18" w:lineRule="atLeast"/>
            </w:pPr>
            <w:r>
              <w:rPr>
                <w:rFonts w:hint="eastAsia" w:ascii="宋体" w:hAnsi="宋体" w:eastAsia="宋体" w:cs="宋体"/>
                <w:color w:val="393939"/>
                <w:sz w:val="19"/>
                <w:szCs w:val="19"/>
                <w:bdr w:val="none" w:color="auto" w:sz="0" w:space="0"/>
              </w:rPr>
              <w:t>c3有效期内的《检察机关行贿犯罪档案查询结果告知函》复印件（含扫描件）及符合招标文件第七章规定的打印件（或截图），无论内容中是否注明“复印件无效”，</w:t>
            </w:r>
            <w:r>
              <w:rPr>
                <w:rStyle w:val="5"/>
                <w:rFonts w:hint="eastAsia" w:ascii="宋体" w:hAnsi="宋体" w:eastAsia="宋体" w:cs="宋体"/>
                <w:color w:val="393939"/>
                <w:sz w:val="19"/>
                <w:szCs w:val="19"/>
                <w:bdr w:val="none" w:color="auto" w:sz="0" w:space="0"/>
              </w:rPr>
              <w:t>均视同有效。</w:t>
            </w:r>
          </w:p>
          <w:p>
            <w:pPr>
              <w:pStyle w:val="3"/>
              <w:keepNext w:val="0"/>
              <w:keepLines w:val="0"/>
              <w:widowControl/>
              <w:suppressLineNumbers w:val="0"/>
              <w:wordWrap w:val="0"/>
              <w:spacing w:before="0" w:beforeAutospacing="0" w:after="0" w:afterAutospacing="0" w:line="18" w:lineRule="atLeast"/>
              <w:ind w:left="0" w:right="0"/>
            </w:pP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④关于“全称”、“投标人代表签字”及“加盖单位公章”：</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a.在电子投标文件中，涉及“全称”和“投标人代表签字”的内容可使用打字录入方式完成。</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b.在电子投标文件中，涉及“加盖单位公章”的内容应使用投标人的</w:t>
            </w:r>
            <w:r>
              <w:rPr>
                <w:rFonts w:hint="default" w:ascii="Calibri" w:hAnsi="Calibri" w:eastAsia="微软雅黑" w:cs="Calibri"/>
                <w:color w:val="393939"/>
                <w:spacing w:val="0"/>
                <w:sz w:val="19"/>
                <w:szCs w:val="19"/>
              </w:rPr>
              <w:t>CA</w:t>
            </w:r>
            <w:r>
              <w:rPr>
                <w:rFonts w:hint="eastAsia" w:ascii="宋体" w:hAnsi="宋体" w:eastAsia="宋体" w:cs="宋体"/>
                <w:color w:val="393939"/>
                <w:spacing w:val="0"/>
                <w:sz w:val="19"/>
                <w:szCs w:val="19"/>
              </w:rPr>
              <w:t>证书完成，否则</w:t>
            </w:r>
            <w:r>
              <w:rPr>
                <w:rStyle w:val="5"/>
                <w:rFonts w:hint="eastAsia" w:ascii="宋体" w:hAnsi="宋体" w:eastAsia="宋体" w:cs="宋体"/>
                <w:color w:val="393939"/>
                <w:spacing w:val="0"/>
                <w:sz w:val="19"/>
                <w:szCs w:val="19"/>
              </w:rPr>
              <w:t>投标无效。</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c.在电子投标文件中，若投标人按照本增列内容第④点第</w:t>
            </w:r>
            <w:r>
              <w:rPr>
                <w:rFonts w:hint="default" w:ascii="Calibri" w:hAnsi="Calibri" w:eastAsia="微软雅黑" w:cs="Calibri"/>
                <w:color w:val="393939"/>
                <w:spacing w:val="0"/>
                <w:sz w:val="19"/>
                <w:szCs w:val="19"/>
              </w:rPr>
              <w:t>b</w:t>
            </w:r>
            <w:r>
              <w:rPr>
                <w:rFonts w:hint="eastAsia" w:ascii="宋体" w:hAnsi="宋体" w:eastAsia="宋体" w:cs="宋体"/>
                <w:color w:val="393939"/>
                <w:spacing w:val="0"/>
                <w:sz w:val="19"/>
                <w:szCs w:val="19"/>
              </w:rPr>
              <w:t>项规定加盖其单位公章，则出现无全称、或投标人代表未签字等情形，</w:t>
            </w:r>
            <w:r>
              <w:rPr>
                <w:rStyle w:val="5"/>
                <w:rFonts w:hint="eastAsia" w:ascii="宋体" w:hAnsi="宋体" w:eastAsia="宋体" w:cs="宋体"/>
                <w:color w:val="393939"/>
                <w:spacing w:val="0"/>
                <w:sz w:val="19"/>
                <w:szCs w:val="19"/>
              </w:rPr>
              <w:t>不视为投标无效。</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⑤关于投标人的</w:t>
            </w:r>
            <w:r>
              <w:rPr>
                <w:rFonts w:hint="default" w:ascii="Calibri" w:hAnsi="Calibri" w:eastAsia="微软雅黑" w:cs="Calibri"/>
                <w:color w:val="393939"/>
                <w:spacing w:val="0"/>
                <w:sz w:val="19"/>
                <w:szCs w:val="19"/>
              </w:rPr>
              <w:t>CA</w:t>
            </w:r>
            <w:r>
              <w:rPr>
                <w:rFonts w:hint="eastAsia" w:ascii="宋体" w:hAnsi="宋体" w:eastAsia="宋体" w:cs="宋体"/>
                <w:color w:val="393939"/>
                <w:spacing w:val="0"/>
                <w:sz w:val="19"/>
                <w:szCs w:val="19"/>
              </w:rPr>
              <w:t>证书：</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a.投标人的</w:t>
            </w:r>
            <w:r>
              <w:rPr>
                <w:rFonts w:hint="default" w:ascii="Calibri" w:hAnsi="Calibri" w:eastAsia="微软雅黑" w:cs="Calibri"/>
                <w:color w:val="393939"/>
                <w:spacing w:val="0"/>
                <w:sz w:val="19"/>
                <w:szCs w:val="19"/>
              </w:rPr>
              <w:t>CA</w:t>
            </w:r>
            <w:r>
              <w:rPr>
                <w:rFonts w:hint="eastAsia" w:ascii="宋体" w:hAnsi="宋体" w:eastAsia="宋体" w:cs="宋体"/>
                <w:color w:val="393939"/>
                <w:spacing w:val="0"/>
                <w:sz w:val="19"/>
                <w:szCs w:val="19"/>
              </w:rPr>
              <w:t>证书应在投标截止时间前连同密封的纸质投标文件送达招标文件第一章第</w:t>
            </w:r>
            <w:r>
              <w:rPr>
                <w:rFonts w:hint="default" w:ascii="Calibri" w:hAnsi="Calibri" w:eastAsia="微软雅黑" w:cs="Calibri"/>
                <w:color w:val="393939"/>
                <w:spacing w:val="0"/>
                <w:sz w:val="19"/>
                <w:szCs w:val="19"/>
              </w:rPr>
              <w:t>10</w:t>
            </w:r>
            <w:r>
              <w:rPr>
                <w:rFonts w:hint="eastAsia" w:ascii="宋体" w:hAnsi="宋体" w:eastAsia="宋体" w:cs="宋体"/>
                <w:color w:val="393939"/>
                <w:spacing w:val="0"/>
                <w:sz w:val="19"/>
                <w:szCs w:val="19"/>
              </w:rPr>
              <w:t>条载明的地点，否则</w:t>
            </w:r>
            <w:r>
              <w:rPr>
                <w:rStyle w:val="5"/>
                <w:rFonts w:hint="eastAsia" w:ascii="宋体" w:hAnsi="宋体" w:eastAsia="宋体" w:cs="宋体"/>
                <w:color w:val="393939"/>
                <w:spacing w:val="0"/>
                <w:sz w:val="19"/>
                <w:szCs w:val="19"/>
              </w:rPr>
              <w:t>投标将被拒绝。</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b.投标人的</w:t>
            </w:r>
            <w:r>
              <w:rPr>
                <w:rFonts w:hint="default" w:ascii="Calibri" w:hAnsi="Calibri" w:eastAsia="微软雅黑" w:cs="Calibri"/>
                <w:color w:val="393939"/>
                <w:spacing w:val="0"/>
                <w:sz w:val="19"/>
                <w:szCs w:val="19"/>
              </w:rPr>
              <w:t>CA</w:t>
            </w:r>
            <w:r>
              <w:rPr>
                <w:rFonts w:hint="eastAsia" w:ascii="宋体" w:hAnsi="宋体" w:eastAsia="宋体" w:cs="宋体"/>
                <w:color w:val="393939"/>
                <w:spacing w:val="0"/>
                <w:sz w:val="19"/>
                <w:szCs w:val="19"/>
              </w:rPr>
              <w:t>证书可采用信封（包括但不限于：信封、档案袋、文件袋等）作为外包装进行单独包装。外包装密封、不密封皆可。</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c.投标人的</w:t>
            </w:r>
            <w:r>
              <w:rPr>
                <w:rFonts w:hint="default" w:ascii="Calibri" w:hAnsi="Calibri" w:eastAsia="微软雅黑" w:cs="Calibri"/>
                <w:color w:val="393939"/>
                <w:spacing w:val="0"/>
                <w:sz w:val="19"/>
                <w:szCs w:val="19"/>
              </w:rPr>
              <w:t>CA</w:t>
            </w:r>
            <w:r>
              <w:rPr>
                <w:rFonts w:hint="eastAsia" w:ascii="宋体" w:hAnsi="宋体" w:eastAsia="宋体" w:cs="宋体"/>
                <w:color w:val="393939"/>
                <w:spacing w:val="0"/>
                <w:sz w:val="19"/>
                <w:szCs w:val="19"/>
              </w:rPr>
              <w:t>证书或外包装应标记“项目名称、招标编号、投标人的全称”等内容，以方便识别、使用。</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d.投标人的</w:t>
            </w:r>
            <w:r>
              <w:rPr>
                <w:rFonts w:hint="default" w:ascii="Calibri" w:hAnsi="Calibri" w:eastAsia="微软雅黑" w:cs="Calibri"/>
                <w:color w:val="393939"/>
                <w:spacing w:val="0"/>
                <w:sz w:val="19"/>
                <w:szCs w:val="19"/>
              </w:rPr>
              <w:t>CA</w:t>
            </w:r>
            <w:r>
              <w:rPr>
                <w:rFonts w:hint="eastAsia" w:ascii="宋体" w:hAnsi="宋体" w:eastAsia="宋体" w:cs="宋体"/>
                <w:color w:val="393939"/>
                <w:spacing w:val="0"/>
                <w:sz w:val="19"/>
                <w:szCs w:val="19"/>
              </w:rPr>
              <w:t>证书应能正常、有效使用，否则产生不利后果由投标人承担责任。</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⑥关于投标截止时间过后</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a.被福建省政府采购网上公开信息系统判定为投标保证金未提交（即未于投标截止时间前到达招标文件载明的投标保证金账户）的投标人，</w:t>
            </w:r>
            <w:r>
              <w:rPr>
                <w:rStyle w:val="5"/>
                <w:rFonts w:hint="eastAsia" w:ascii="宋体" w:hAnsi="宋体" w:eastAsia="宋体" w:cs="宋体"/>
                <w:color w:val="393939"/>
                <w:spacing w:val="0"/>
                <w:sz w:val="19"/>
                <w:szCs w:val="19"/>
              </w:rPr>
              <w:t>投标将被拒绝。</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b.有下列情形之一的，视为投标人串通投标，</w:t>
            </w:r>
            <w:r>
              <w:rPr>
                <w:rStyle w:val="5"/>
                <w:rFonts w:hint="eastAsia" w:ascii="宋体" w:hAnsi="宋体" w:eastAsia="宋体" w:cs="宋体"/>
                <w:color w:val="393939"/>
                <w:spacing w:val="0"/>
                <w:sz w:val="19"/>
                <w:szCs w:val="19"/>
              </w:rPr>
              <w:t>其投标无效：</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b1不同投标人的电子投标文件被福建省政府采购网上公开信息系统判定为具有相同内部识别码；</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b2不同投标人的投标保证金被福建省政府采购网上公开信息系统判定为从同一单位或个人的账户转出；</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b3投标人的投标保证金被福建省政府采购网上公开信息系统判定为同一合同项下有其他投标人提交的投标保证金</w:t>
            </w:r>
          </w:p>
          <w:p>
            <w:pPr>
              <w:pStyle w:val="3"/>
              <w:keepNext w:val="0"/>
              <w:keepLines w:val="0"/>
              <w:widowControl/>
              <w:suppressLineNumbers w:val="0"/>
              <w:wordWrap w:val="0"/>
              <w:spacing w:line="18" w:lineRule="atLeast"/>
            </w:pPr>
            <w:r>
              <w:rPr>
                <w:rFonts w:hint="eastAsia" w:ascii="宋体" w:hAnsi="宋体" w:eastAsia="宋体" w:cs="宋体"/>
                <w:color w:val="393939"/>
                <w:sz w:val="19"/>
                <w:szCs w:val="19"/>
                <w:bdr w:val="none" w:color="auto" w:sz="0" w:space="0"/>
              </w:rPr>
              <w:t>b4不同投标人被福建省政府采购网上公开信息系统判定为串通投标的其他情形。</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⑦接受联合体投标且投标人为联合体的，投标人应由“联合体牵头方”完成福建省政府采购网上公开信息系统设定的具体操作流程（包括但不限于：报名、提交投标保证金、编制电子投标文件等）。</w:t>
            </w:r>
          </w:p>
          <w:p>
            <w:pPr>
              <w:pStyle w:val="3"/>
              <w:keepNext w:val="0"/>
              <w:keepLines w:val="0"/>
              <w:widowControl/>
              <w:suppressLineNumbers w:val="0"/>
              <w:wordWrap w:val="0"/>
              <w:spacing w:before="0" w:beforeAutospacing="0" w:after="0" w:afterAutospacing="0" w:line="18" w:lineRule="atLeast"/>
              <w:ind w:left="0" w:right="0"/>
            </w:pPr>
            <w:r>
              <w:rPr>
                <w:rFonts w:hint="eastAsia" w:ascii="宋体" w:hAnsi="宋体" w:eastAsia="宋体" w:cs="宋体"/>
                <w:color w:val="393939"/>
                <w:spacing w:val="0"/>
                <w:sz w:val="19"/>
                <w:szCs w:val="19"/>
              </w:rPr>
              <w:t>⑧其他：</w:t>
            </w:r>
            <w:r>
              <w:rPr>
                <w:rFonts w:hint="eastAsia" w:ascii="微软雅黑" w:hAnsi="微软雅黑" w:eastAsia="微软雅黑" w:cs="微软雅黑"/>
                <w:color w:val="393939"/>
                <w:spacing w:val="0"/>
                <w:sz w:val="19"/>
                <w:szCs w:val="19"/>
              </w:rPr>
              <w:t>a、潜在供应商在福建省政府采购网上公开信息系统注册报名时应录入供应商中文全称，不应使用简称、字母、符号等，否则有可能造成电子投标无法进行或核验保证金未能通过而导致投标失败。 b、投标人在开标现场用于解密的CA必须与制作该项目电子投标文件时所用CA为同一把CA，否则无法解密。 解密完成后，CA将退还投标人。 c、福建省政府采购网上公开信息系统对投标保证金实行一个项目（合同包）一个帐号的制度，系统平台自动生成供应商所投合同包的缴交银行账号，同一项目不同合同包同一投标人或不同投标人系统自动生成的帐号均不相同，不得混用。 同一项目再次采购时将采用不同的帐号，投标人需重新缴交投标保证金，否则会造成开标前核验保证金不能通过而导致投标失败。投标截止时间前投标人缴交的投标保证金处于保密状态，招标代理机构无法查询投标保证金的到帐情况，请供应商务必留意</w:t>
            </w:r>
            <w:r>
              <w:rPr>
                <w:rFonts w:hint="eastAsia" w:ascii="宋体" w:hAnsi="宋体" w:eastAsia="宋体" w:cs="宋体"/>
                <w:color w:val="393939"/>
                <w:spacing w:val="0"/>
                <w:sz w:val="19"/>
                <w:szCs w:val="19"/>
              </w:rPr>
              <w:t>。</w:t>
            </w:r>
          </w:p>
        </w:tc>
      </w:tr>
    </w:tbl>
    <w:p>
      <w:pPr>
        <w:pStyle w:val="3"/>
        <w:keepNext w:val="0"/>
        <w:keepLines w:val="0"/>
        <w:widowControl/>
        <w:suppressLineNumbers w:val="0"/>
        <w:spacing w:before="60" w:beforeAutospacing="0" w:after="60" w:afterAutospacing="0"/>
        <w:ind w:left="0" w:right="0" w:firstLine="0"/>
        <w:jc w:val="center"/>
      </w:pPr>
      <w:r>
        <w:rPr>
          <w:rStyle w:val="5"/>
          <w:rFonts w:hint="eastAsia" w:ascii="宋体" w:hAnsi="宋体" w:eastAsia="宋体" w:cs="宋体"/>
          <w:spacing w:val="0"/>
          <w:sz w:val="25"/>
          <w:szCs w:val="25"/>
          <w:shd w:val="clear" w:fill="FFFFFF"/>
        </w:rPr>
        <w:t>第三章 投标人须知</w:t>
      </w:r>
    </w:p>
    <w:p>
      <w:pPr>
        <w:pStyle w:val="3"/>
        <w:keepNext w:val="0"/>
        <w:keepLines w:val="0"/>
        <w:widowControl/>
        <w:suppressLineNumbers w:val="0"/>
        <w:spacing w:before="60" w:beforeAutospacing="0" w:after="60" w:afterAutospacing="0"/>
        <w:ind w:left="0" w:right="0" w:firstLine="0"/>
        <w:jc w:val="center"/>
      </w:pPr>
      <w:r>
        <w:rPr>
          <w:rStyle w:val="5"/>
          <w:rFonts w:hint="eastAsia" w:ascii="宋体" w:hAnsi="宋体" w:eastAsia="宋体" w:cs="宋体"/>
          <w:spacing w:val="0"/>
          <w:sz w:val="19"/>
          <w:szCs w:val="19"/>
          <w:shd w:val="clear" w:fill="FFFFFF"/>
        </w:rPr>
        <w:t>一、总则</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1、适用范围</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1.1适用于招标文件载明项目的政府采购活动（以下简称：“本次采购活动”）。</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2、定义</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2.1“采购标的”指招标文件载明的需要采购的货物或服务。</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2.2“潜在投标人”指按照招标文件第一章第</w:t>
      </w:r>
      <w:r>
        <w:rPr>
          <w:rFonts w:hint="default" w:ascii="Calibri" w:hAnsi="Calibri" w:cs="Calibri"/>
          <w:spacing w:val="0"/>
          <w:sz w:val="19"/>
          <w:szCs w:val="19"/>
          <w:shd w:val="clear" w:fill="FFFFFF"/>
        </w:rPr>
        <w:t>7</w:t>
      </w:r>
      <w:r>
        <w:rPr>
          <w:rFonts w:hint="eastAsia" w:ascii="宋体" w:hAnsi="宋体" w:eastAsia="宋体" w:cs="宋体"/>
          <w:spacing w:val="0"/>
          <w:sz w:val="19"/>
          <w:szCs w:val="19"/>
          <w:shd w:val="clear" w:fill="FFFFFF"/>
        </w:rPr>
        <w:t>条规定进行报名且有意向参加本项目投标的供应商。</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2.3“投标人”指按照招标文件第一章第</w:t>
      </w:r>
      <w:r>
        <w:rPr>
          <w:rFonts w:hint="default" w:ascii="Calibri" w:hAnsi="Calibri" w:cs="Calibri"/>
          <w:spacing w:val="0"/>
          <w:sz w:val="19"/>
          <w:szCs w:val="19"/>
          <w:shd w:val="clear" w:fill="FFFFFF"/>
        </w:rPr>
        <w:t>7</w:t>
      </w:r>
      <w:r>
        <w:rPr>
          <w:rFonts w:hint="eastAsia" w:ascii="宋体" w:hAnsi="宋体" w:eastAsia="宋体" w:cs="宋体"/>
          <w:spacing w:val="0"/>
          <w:sz w:val="19"/>
          <w:szCs w:val="19"/>
          <w:shd w:val="clear" w:fill="FFFFFF"/>
        </w:rPr>
        <w:t>条规定进行报名并参加本项目投标的供应商。</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2.4“单位负责人”指单位法定代表人或法律、法规规定代表单位行使职权的主要负责人。</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2.5“投标人代表”指投标人的单位负责人或“单位负责人授权书”中载明的接受授权方。</w:t>
      </w:r>
    </w:p>
    <w:p>
      <w:pPr>
        <w:pStyle w:val="3"/>
        <w:keepNext w:val="0"/>
        <w:keepLines w:val="0"/>
        <w:widowControl/>
        <w:suppressLineNumbers w:val="0"/>
        <w:spacing w:before="60" w:beforeAutospacing="0" w:after="60" w:afterAutospacing="0"/>
        <w:ind w:left="0" w:right="0" w:firstLine="0"/>
        <w:jc w:val="center"/>
      </w:pPr>
      <w:r>
        <w:rPr>
          <w:rStyle w:val="5"/>
          <w:rFonts w:hint="eastAsia" w:ascii="宋体" w:hAnsi="宋体" w:eastAsia="宋体" w:cs="宋体"/>
          <w:spacing w:val="0"/>
          <w:sz w:val="19"/>
          <w:szCs w:val="19"/>
          <w:shd w:val="clear" w:fill="FFFFFF"/>
        </w:rPr>
        <w:t>二、投标人</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3、合格投标人</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3.1一般规定</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（1）投标人应遵守政府采购法及实施条例、政府采购招投标管理办法、</w:t>
      </w:r>
      <w:r>
        <w:rPr>
          <w:rFonts w:hint="eastAsia" w:ascii="宋体" w:hAnsi="宋体" w:eastAsia="宋体" w:cs="宋体"/>
          <w:shd w:val="clear" w:fill="FFFFFF"/>
        </w:rPr>
        <w:t>政府采购质疑和投诉办法及财政部、</w:t>
      </w:r>
      <w:r>
        <w:rPr>
          <w:rFonts w:hint="eastAsia" w:ascii="宋体" w:hAnsi="宋体" w:eastAsia="宋体" w:cs="宋体"/>
          <w:spacing w:val="0"/>
          <w:shd w:val="clear" w:fill="FFFFFF"/>
        </w:rPr>
        <w:t>福建省财政厅有关政府采购文件的规定，同时还应遵守有关法律、法规和规章的强制性规定。</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（2）投标人的资格要求：详见招标文件第一章。</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3.2若本项目接受联合体投标且投标人为联合体，则联合体各方应遵守本章第3.1条规定，同时还应遵守下列规定：</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（1）联合体各方应提交联合体协议，联合体协议应符合招标文件规定。</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（2）联合体各方不得再单独参加或与其他供应商另外组成联合体参加同一合同项下的投标。</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（3）联合体各方应共同与采购人签订政府采购合同，就政府采购合同约定的事项对采购人承担连带责任。</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4、投标费用</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4.1除招标文件另有规定外，投标人应自行承担其参加本项目投标所涉及的一切费用。</w:t>
      </w:r>
    </w:p>
    <w:p>
      <w:pPr>
        <w:pStyle w:val="3"/>
        <w:keepNext w:val="0"/>
        <w:keepLines w:val="0"/>
        <w:widowControl/>
        <w:suppressLineNumbers w:val="0"/>
        <w:spacing w:before="60" w:beforeAutospacing="0" w:after="60" w:afterAutospacing="0"/>
        <w:ind w:left="0" w:right="0" w:firstLine="0"/>
        <w:jc w:val="center"/>
      </w:pPr>
      <w:r>
        <w:rPr>
          <w:rStyle w:val="5"/>
          <w:rFonts w:hint="eastAsia" w:ascii="宋体" w:hAnsi="宋体" w:eastAsia="宋体" w:cs="宋体"/>
          <w:spacing w:val="0"/>
          <w:sz w:val="19"/>
          <w:szCs w:val="19"/>
          <w:shd w:val="clear" w:fill="FFFFFF"/>
        </w:rPr>
        <w:t>三、招标</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5、招标文件</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5.1招标文件由下述部分组成：</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（1）投标邀请</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（2）投标人须知前附表（表</w:t>
      </w:r>
      <w:r>
        <w:rPr>
          <w:rFonts w:hint="default" w:ascii="Calibri" w:hAnsi="Calibri" w:cs="Calibri"/>
          <w:spacing w:val="0"/>
          <w:sz w:val="19"/>
          <w:szCs w:val="19"/>
          <w:shd w:val="clear" w:fill="FFFFFF"/>
        </w:rPr>
        <w:t>1</w:t>
      </w:r>
      <w:r>
        <w:rPr>
          <w:rFonts w:hint="eastAsia" w:ascii="宋体" w:hAnsi="宋体" w:eastAsia="宋体" w:cs="宋体"/>
          <w:spacing w:val="0"/>
          <w:sz w:val="19"/>
          <w:szCs w:val="19"/>
          <w:shd w:val="clear" w:fill="FFFFFF"/>
        </w:rPr>
        <w:t>、</w:t>
      </w:r>
      <w:r>
        <w:rPr>
          <w:rFonts w:hint="default" w:ascii="Calibri" w:hAnsi="Calibri" w:cs="Calibri"/>
          <w:spacing w:val="0"/>
          <w:sz w:val="19"/>
          <w:szCs w:val="19"/>
          <w:shd w:val="clear" w:fill="FFFFFF"/>
        </w:rPr>
        <w:t>2</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（3）投标人须知</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（4）资格审查与评标</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（5）招标内容及要求</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（6）政府采购合同（参考文本）</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（7）投标文件格式</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（8）按照招标文件规定作为招标文件组成部分的其他内容（若有）</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5.2招标文件的澄清或修改</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w:t>
      </w:r>
      <w:r>
        <w:rPr>
          <w:spacing w:val="0"/>
          <w:sz w:val="19"/>
          <w:szCs w:val="19"/>
          <w:u w:val="single"/>
          <w:shd w:val="clear" w:fill="FFFFFF"/>
        </w:rPr>
        <w:t>福建省中达招标代理有限公司</w:t>
      </w:r>
      <w:r>
        <w:rPr>
          <w:rFonts w:hint="eastAsia" w:ascii="宋体" w:hAnsi="宋体" w:eastAsia="宋体" w:cs="宋体"/>
          <w:spacing w:val="0"/>
          <w:sz w:val="19"/>
          <w:szCs w:val="19"/>
          <w:shd w:val="clear" w:fill="FFFFFF"/>
        </w:rPr>
        <w:t>可对已发出的招标文件进行必要的澄清或修改，但不得对招标文件载明的采购标的和投标人的资格要求进行改变。</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（2）除本章第</w:t>
      </w:r>
      <w:r>
        <w:rPr>
          <w:rFonts w:hint="default" w:ascii="Calibri" w:hAnsi="Calibri" w:cs="Calibri"/>
          <w:spacing w:val="0"/>
          <w:sz w:val="19"/>
          <w:szCs w:val="19"/>
          <w:shd w:val="clear" w:fill="FFFFFF"/>
        </w:rPr>
        <w:t>5.2</w:t>
      </w:r>
      <w:r>
        <w:rPr>
          <w:rFonts w:hint="eastAsia" w:ascii="宋体" w:hAnsi="宋体" w:eastAsia="宋体" w:cs="宋体"/>
          <w:spacing w:val="0"/>
          <w:sz w:val="19"/>
          <w:szCs w:val="19"/>
          <w:shd w:val="clear" w:fill="FFFFFF"/>
        </w:rPr>
        <w:t>条第（</w:t>
      </w:r>
      <w:r>
        <w:rPr>
          <w:rFonts w:hint="default" w:ascii="Calibri" w:hAnsi="Calibri" w:cs="Calibri"/>
          <w:spacing w:val="0"/>
          <w:sz w:val="19"/>
          <w:szCs w:val="19"/>
          <w:shd w:val="clear" w:fill="FFFFFF"/>
        </w:rPr>
        <w:t>3</w:t>
      </w:r>
      <w:r>
        <w:rPr>
          <w:rFonts w:hint="eastAsia" w:ascii="宋体" w:hAnsi="宋体" w:eastAsia="宋体" w:cs="宋体"/>
          <w:spacing w:val="0"/>
          <w:sz w:val="19"/>
          <w:szCs w:val="19"/>
          <w:shd w:val="clear" w:fill="FFFFFF"/>
        </w:rPr>
        <w:t>）款规定情形外，澄清或修改的内容可能影响投标文件编制的，</w:t>
      </w:r>
      <w:r>
        <w:rPr>
          <w:rFonts w:hint="eastAsia" w:ascii="宋体" w:hAnsi="宋体" w:eastAsia="宋体" w:cs="宋体"/>
          <w:spacing w:val="0"/>
          <w:sz w:val="19"/>
          <w:szCs w:val="19"/>
          <w:u w:val="single"/>
          <w:shd w:val="clear" w:fill="FFFFFF"/>
        </w:rPr>
        <w:t>福建省中达招标代理有限公司</w:t>
      </w:r>
      <w:r>
        <w:rPr>
          <w:rFonts w:hint="eastAsia" w:ascii="宋体" w:hAnsi="宋体" w:eastAsia="宋体" w:cs="宋体"/>
          <w:spacing w:val="0"/>
          <w:sz w:val="19"/>
          <w:szCs w:val="19"/>
          <w:shd w:val="clear" w:fill="FFFFFF"/>
        </w:rPr>
        <w:t>将在投标截止时间至少15个日历日前，在招标文件载明的指定媒体以更正公告的形式发布澄清或修改的内容。不足</w:t>
      </w:r>
      <w:r>
        <w:rPr>
          <w:rFonts w:hint="default" w:ascii="Calibri" w:hAnsi="Calibri" w:cs="Calibri"/>
          <w:spacing w:val="0"/>
          <w:sz w:val="19"/>
          <w:szCs w:val="19"/>
          <w:shd w:val="clear" w:fill="FFFFFF"/>
        </w:rPr>
        <w:t>15</w:t>
      </w:r>
      <w:r>
        <w:rPr>
          <w:rFonts w:hint="eastAsia" w:ascii="宋体" w:hAnsi="宋体" w:eastAsia="宋体" w:cs="宋体"/>
          <w:spacing w:val="0"/>
          <w:sz w:val="19"/>
          <w:szCs w:val="19"/>
          <w:shd w:val="clear" w:fill="FFFFFF"/>
        </w:rPr>
        <w:t>个日历日的，</w:t>
      </w:r>
      <w:r>
        <w:rPr>
          <w:rFonts w:hint="eastAsia" w:ascii="宋体" w:hAnsi="宋体" w:eastAsia="宋体" w:cs="宋体"/>
          <w:spacing w:val="0"/>
          <w:sz w:val="19"/>
          <w:szCs w:val="19"/>
          <w:u w:val="single"/>
          <w:shd w:val="clear" w:fill="FFFFFF"/>
        </w:rPr>
        <w:t>福建省中达招标代理有限公司</w:t>
      </w:r>
      <w:r>
        <w:rPr>
          <w:rFonts w:hint="eastAsia" w:ascii="宋体" w:hAnsi="宋体" w:eastAsia="宋体" w:cs="宋体"/>
          <w:spacing w:val="0"/>
          <w:sz w:val="19"/>
          <w:szCs w:val="19"/>
          <w:shd w:val="clear" w:fill="FFFFFF"/>
        </w:rPr>
        <w:t>将顺延投标截止时间及开标时间，</w:t>
      </w:r>
      <w:r>
        <w:rPr>
          <w:rFonts w:hint="eastAsia" w:ascii="宋体" w:hAnsi="宋体" w:eastAsia="宋体" w:cs="宋体"/>
          <w:spacing w:val="0"/>
          <w:sz w:val="19"/>
          <w:szCs w:val="19"/>
          <w:u w:val="single"/>
          <w:shd w:val="clear" w:fill="FFFFFF"/>
        </w:rPr>
        <w:t>福建省中达招标代理有限公司</w:t>
      </w:r>
      <w:r>
        <w:rPr>
          <w:rFonts w:hint="eastAsia" w:ascii="宋体" w:hAnsi="宋体" w:eastAsia="宋体" w:cs="宋体"/>
          <w:spacing w:val="0"/>
          <w:sz w:val="19"/>
          <w:szCs w:val="19"/>
          <w:shd w:val="clear" w:fill="FFFFFF"/>
        </w:rPr>
        <w:t>和投标人受原投标截止时间及开标时间制约的所有权利和义务均延长至新的投标截止时间及开标时间。</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（3）澄清或修改的内容可能改变招标文件载明的采购标的和投标人的资格要求的，本次采购活动结束，</w:t>
      </w:r>
      <w:r>
        <w:rPr>
          <w:rFonts w:hint="eastAsia" w:ascii="宋体" w:hAnsi="宋体" w:eastAsia="宋体" w:cs="宋体"/>
          <w:spacing w:val="0"/>
          <w:sz w:val="19"/>
          <w:szCs w:val="19"/>
          <w:u w:val="single"/>
          <w:shd w:val="clear" w:fill="FFFFFF"/>
        </w:rPr>
        <w:t>福建省中达招标代理有限公司</w:t>
      </w:r>
      <w:r>
        <w:rPr>
          <w:rFonts w:hint="eastAsia" w:ascii="宋体" w:hAnsi="宋体" w:eastAsia="宋体" w:cs="宋体"/>
          <w:spacing w:val="0"/>
          <w:sz w:val="19"/>
          <w:szCs w:val="19"/>
          <w:shd w:val="clear" w:fill="FFFFFF"/>
        </w:rPr>
        <w:t>将依法组织后续采购活动（包括但不限于：重新招标、采用其他方式采购等）。</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6、现场考察或开标前答疑会</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6.1是否组织现场考察或召开开标前答疑会：详见招标文件第二章。</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7、更正公告</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7.1若</w:t>
      </w:r>
      <w:r>
        <w:rPr>
          <w:rFonts w:hint="eastAsia" w:ascii="宋体" w:hAnsi="宋体" w:eastAsia="宋体" w:cs="宋体"/>
          <w:spacing w:val="0"/>
          <w:sz w:val="19"/>
          <w:szCs w:val="19"/>
          <w:u w:val="single"/>
          <w:shd w:val="clear" w:fill="FFFFFF"/>
        </w:rPr>
        <w:t>福建省中达招标代理有限公司</w:t>
      </w:r>
      <w:r>
        <w:rPr>
          <w:rFonts w:hint="eastAsia" w:ascii="宋体" w:hAnsi="宋体" w:eastAsia="宋体" w:cs="宋体"/>
          <w:spacing w:val="0"/>
          <w:sz w:val="19"/>
          <w:szCs w:val="19"/>
          <w:shd w:val="clear" w:fill="FFFFFF"/>
        </w:rPr>
        <w:t>发布更正公告，则更正公告及其所发布的内容或信息（包括但不限于：招标文件的澄清或修改、现场考察或答疑会的有关事宜等）</w:t>
      </w:r>
      <w:r>
        <w:rPr>
          <w:rStyle w:val="5"/>
          <w:rFonts w:hint="eastAsia" w:ascii="宋体" w:hAnsi="宋体" w:eastAsia="宋体" w:cs="宋体"/>
          <w:spacing w:val="0"/>
          <w:sz w:val="19"/>
          <w:szCs w:val="19"/>
          <w:shd w:val="clear" w:fill="FFFFFF"/>
        </w:rPr>
        <w:t>作为招标文件组成部分</w:t>
      </w:r>
      <w:r>
        <w:rPr>
          <w:rFonts w:hint="eastAsia" w:ascii="宋体" w:hAnsi="宋体" w:eastAsia="宋体" w:cs="宋体"/>
          <w:spacing w:val="0"/>
          <w:sz w:val="19"/>
          <w:szCs w:val="19"/>
          <w:shd w:val="clear" w:fill="FFFFFF"/>
        </w:rPr>
        <w:t>，对投标人具有约束力。</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7.2更正公告作为</w:t>
      </w:r>
      <w:r>
        <w:rPr>
          <w:rFonts w:hint="eastAsia" w:ascii="宋体" w:hAnsi="宋体" w:eastAsia="宋体" w:cs="宋体"/>
          <w:spacing w:val="0"/>
          <w:sz w:val="19"/>
          <w:szCs w:val="19"/>
          <w:u w:val="single"/>
          <w:shd w:val="clear" w:fill="FFFFFF"/>
        </w:rPr>
        <w:t>福建省中达招标代理有限公司</w:t>
      </w:r>
      <w:r>
        <w:rPr>
          <w:rFonts w:hint="eastAsia" w:ascii="宋体" w:hAnsi="宋体" w:eastAsia="宋体" w:cs="宋体"/>
          <w:spacing w:val="0"/>
          <w:sz w:val="19"/>
          <w:szCs w:val="19"/>
          <w:shd w:val="clear" w:fill="FFFFFF"/>
        </w:rPr>
        <w:t>通知所有潜在投标人的书面形式。</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8、终止公告</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8.1若出现因重大变故导致采购任务取消情形，</w:t>
      </w:r>
      <w:r>
        <w:rPr>
          <w:rFonts w:hint="eastAsia" w:ascii="宋体" w:hAnsi="宋体" w:eastAsia="宋体" w:cs="宋体"/>
          <w:spacing w:val="0"/>
          <w:sz w:val="19"/>
          <w:szCs w:val="19"/>
          <w:u w:val="none"/>
          <w:shd w:val="clear" w:fill="FFFFFF"/>
        </w:rPr>
        <w:t>福建省中达招标代理有限公司可终止招标并发布终止公告。</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u w:val="none"/>
          <w:shd w:val="clear" w:fill="FFFFFF"/>
        </w:rPr>
        <w:t>8.2终止公告作为福建省中达招标代理有限公司</w:t>
      </w:r>
      <w:r>
        <w:rPr>
          <w:rFonts w:hint="eastAsia" w:ascii="宋体" w:hAnsi="宋体" w:eastAsia="宋体" w:cs="宋体"/>
          <w:spacing w:val="0"/>
          <w:sz w:val="19"/>
          <w:szCs w:val="19"/>
          <w:shd w:val="clear" w:fill="FFFFFF"/>
        </w:rPr>
        <w:t>通知所有潜在投标人的书面形式。</w:t>
      </w:r>
    </w:p>
    <w:p>
      <w:pPr>
        <w:pStyle w:val="3"/>
        <w:keepNext w:val="0"/>
        <w:keepLines w:val="0"/>
        <w:widowControl/>
        <w:suppressLineNumbers w:val="0"/>
        <w:spacing w:before="60" w:beforeAutospacing="0" w:after="60" w:afterAutospacing="0"/>
        <w:ind w:left="0" w:right="0" w:firstLine="0"/>
        <w:jc w:val="center"/>
      </w:pPr>
      <w:r>
        <w:rPr>
          <w:rStyle w:val="5"/>
          <w:rFonts w:hint="eastAsia" w:ascii="宋体" w:hAnsi="宋体" w:eastAsia="宋体" w:cs="宋体"/>
          <w:spacing w:val="0"/>
          <w:sz w:val="19"/>
          <w:szCs w:val="19"/>
          <w:shd w:val="clear" w:fill="FFFFFF"/>
        </w:rPr>
        <w:t>四、投标</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9、投标</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9.1投标人可对招标文件载明的全部或部分合同包进行投标。</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9.2投标人应对同一个合同包内的所有内容进行完整投标，否则</w:t>
      </w:r>
      <w:r>
        <w:rPr>
          <w:rStyle w:val="5"/>
          <w:rFonts w:hint="eastAsia" w:ascii="宋体" w:hAnsi="宋体" w:eastAsia="宋体" w:cs="宋体"/>
          <w:spacing w:val="0"/>
          <w:sz w:val="19"/>
          <w:szCs w:val="19"/>
          <w:shd w:val="clear" w:fill="FFFFFF"/>
        </w:rPr>
        <w:t>投标无效</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9.3投标人代表只能接受一个投标人的授权参加投标，否则</w:t>
      </w:r>
      <w:r>
        <w:rPr>
          <w:rStyle w:val="5"/>
          <w:rFonts w:hint="eastAsia" w:ascii="宋体" w:hAnsi="宋体" w:eastAsia="宋体" w:cs="宋体"/>
          <w:spacing w:val="0"/>
          <w:sz w:val="19"/>
          <w:szCs w:val="19"/>
          <w:shd w:val="clear" w:fill="FFFFFF"/>
        </w:rPr>
        <w:t>投标无效</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9.4单位负责人为同一人或存在直接控股、管理关系的不同供应商，不得同时参加同一合同项下的投标，否则</w:t>
      </w:r>
      <w:r>
        <w:rPr>
          <w:rStyle w:val="5"/>
          <w:rFonts w:hint="eastAsia" w:ascii="宋体" w:hAnsi="宋体" w:eastAsia="宋体" w:cs="宋体"/>
          <w:spacing w:val="0"/>
          <w:sz w:val="19"/>
          <w:szCs w:val="19"/>
          <w:shd w:val="clear" w:fill="FFFFFF"/>
        </w:rPr>
        <w:t>投标无效</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9.5为本项目提供整体设计、规范编制或项目管理、监理、检测等服务的供应商，不得参加本项目除整体设计、规范编制和项目管理、监理、检测等服务外的采购活动，否则</w:t>
      </w:r>
      <w:r>
        <w:rPr>
          <w:rStyle w:val="5"/>
          <w:rFonts w:hint="eastAsia" w:ascii="宋体" w:hAnsi="宋体" w:eastAsia="宋体" w:cs="宋体"/>
          <w:spacing w:val="0"/>
          <w:sz w:val="19"/>
          <w:szCs w:val="19"/>
          <w:shd w:val="clear" w:fill="FFFFFF"/>
        </w:rPr>
        <w:t>投标无效</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9.6列入失信被执行人、重大税收违法案件当事人名单、政府采购严重违法失信行为记录名单及其他不符合政府采购法第二十二条规定条件的供应商，不得参加投标，否则</w:t>
      </w:r>
      <w:r>
        <w:rPr>
          <w:rStyle w:val="5"/>
          <w:rFonts w:hint="eastAsia" w:ascii="宋体" w:hAnsi="宋体" w:eastAsia="宋体" w:cs="宋体"/>
          <w:spacing w:val="0"/>
          <w:sz w:val="19"/>
          <w:szCs w:val="19"/>
          <w:shd w:val="clear" w:fill="FFFFFF"/>
        </w:rPr>
        <w:t>投标无效</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9.7有下列情形之一的，视为投标人串通投标，</w:t>
      </w:r>
      <w:r>
        <w:rPr>
          <w:rStyle w:val="5"/>
          <w:rFonts w:hint="eastAsia" w:ascii="宋体" w:hAnsi="宋体" w:eastAsia="宋体" w:cs="宋体"/>
          <w:spacing w:val="0"/>
          <w:sz w:val="19"/>
          <w:szCs w:val="19"/>
          <w:shd w:val="clear" w:fill="FFFFFF"/>
        </w:rPr>
        <w:t>其投标无效：</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（1）不同投标人的投标文件由同一单位或个人编制；</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（2）不同投标人委托同一单位或个人办理投标事宜；</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（3）不同投标人的投标文件载明的项目管理成员或联系人员为同一人；</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（4）不同投标人的投标文件异常一致或投标报价呈规律性差异；</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（5）不同投标人的投标文件相互混装；</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（6）不同投标人的投标保证金从同一单位或个人的账户转出；</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（7）有关法律、法规和规章及招标文件规定的其他串通投标情形。</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10、投标文件</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10.1投标文件的编制</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（1）投标人应先仔细阅读招标文件的全部内容后，再进行投标文件的编制。</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（2）投标文件应按照本章第</w:t>
      </w:r>
      <w:r>
        <w:rPr>
          <w:rFonts w:hint="default" w:ascii="Calibri" w:hAnsi="Calibri" w:cs="Calibri"/>
          <w:spacing w:val="0"/>
          <w:sz w:val="19"/>
          <w:szCs w:val="19"/>
          <w:shd w:val="clear" w:fill="FFFFFF"/>
        </w:rPr>
        <w:t>10.2</w:t>
      </w:r>
      <w:r>
        <w:rPr>
          <w:rFonts w:hint="eastAsia" w:ascii="宋体" w:hAnsi="宋体" w:eastAsia="宋体" w:cs="宋体"/>
          <w:spacing w:val="0"/>
          <w:sz w:val="19"/>
          <w:szCs w:val="19"/>
          <w:shd w:val="clear" w:fill="FFFFFF"/>
        </w:rPr>
        <w:t>条规定编制其组成部分。</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（3）投标文件应满足招标文件提出的实质性要求和条件，并保证其所提交的全部资料是不可割离且真实、有效、准确、完整和不具有任何误导性的，否则造成不利后果由投标人承担责任。</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10.2投标文件由下述部分组成：</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（1）资格及资信证明部分</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①投标函</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②投标人的资格及资信证明文件</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③投标保证金</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（2）报价部分</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①开标一览表</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②投标分项报价表</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③招标文件规定的价格扣除证明材料（若有）</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④招标文件规定的加分证明材料（若有）</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（3）技术商务部分</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①标的说明一览表</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②技术和服务要求响应表</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③商务条件响应表</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④投标人提交的其他资料（若有）</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⑤招标文件规定作为投标文件组成部分的其他内容（若有）</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10.3投标文件的语言</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（1）除招标文件另有规定外，投标文件应使用中文文本，若有不同文本，以中文文本为准。</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10.4投标文件的份数：详见招标文件第二章。</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10.5投标文件的格式</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（1）除招标文件另有规定外，投标文件应使用招标文件第七章规定的格式。</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（2）除招标文件另有规定外，投标文件的正本和全部副本均应使用不能擦去的墨料或墨水打印、书写或复印，其中：</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①正本应用</w:t>
      </w:r>
      <w:r>
        <w:rPr>
          <w:rFonts w:hint="default" w:ascii="Calibri" w:hAnsi="Calibri" w:cs="Calibri"/>
          <w:spacing w:val="0"/>
          <w:sz w:val="19"/>
          <w:szCs w:val="19"/>
          <w:shd w:val="clear" w:fill="FFFFFF"/>
        </w:rPr>
        <w:t>A4</w:t>
      </w:r>
      <w:r>
        <w:rPr>
          <w:rFonts w:hint="eastAsia" w:ascii="宋体" w:hAnsi="宋体" w:eastAsia="宋体" w:cs="宋体"/>
          <w:spacing w:val="0"/>
          <w:sz w:val="19"/>
          <w:szCs w:val="19"/>
          <w:shd w:val="clear" w:fill="FFFFFF"/>
        </w:rPr>
        <w:t>幅面纸张打印装订，编制封面（封面标明“正本”字样）、索引、页码，并用胶装装订成册。</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②副本应用</w:t>
      </w:r>
      <w:r>
        <w:rPr>
          <w:rFonts w:hint="default" w:ascii="Calibri" w:hAnsi="Calibri" w:cs="Calibri"/>
          <w:spacing w:val="0"/>
          <w:sz w:val="19"/>
          <w:szCs w:val="19"/>
          <w:shd w:val="clear" w:fill="FFFFFF"/>
        </w:rPr>
        <w:t>A4</w:t>
      </w:r>
      <w:r>
        <w:rPr>
          <w:rFonts w:hint="eastAsia" w:ascii="宋体" w:hAnsi="宋体" w:eastAsia="宋体" w:cs="宋体"/>
          <w:spacing w:val="0"/>
          <w:sz w:val="19"/>
          <w:szCs w:val="19"/>
          <w:shd w:val="clear" w:fill="FFFFFF"/>
        </w:rPr>
        <w:t>幅面纸张打印装订，编制封面（封面标明“副本”字样）、索引、页码，并用胶装装订成册；副本可用正本的完整复印件，并与正本保持一致（若不一致，以正本为准）。</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③允许散装或活页装订的内容或材料：详见招标文件第二章。</w:t>
      </w:r>
    </w:p>
    <w:p>
      <w:pPr>
        <w:pStyle w:val="3"/>
        <w:keepNext w:val="0"/>
        <w:keepLines w:val="0"/>
        <w:widowControl/>
        <w:suppressLineNumbers w:val="0"/>
        <w:spacing w:before="60" w:beforeAutospacing="0" w:after="60" w:afterAutospacing="0"/>
        <w:ind w:left="0" w:right="0" w:firstLine="384"/>
      </w:pPr>
      <w:r>
        <w:rPr>
          <w:rStyle w:val="5"/>
          <w:rFonts w:hint="eastAsia" w:ascii="宋体" w:hAnsi="宋体" w:eastAsia="宋体" w:cs="宋体"/>
          <w:spacing w:val="0"/>
          <w:sz w:val="19"/>
          <w:szCs w:val="19"/>
          <w:shd w:val="clear" w:fill="FFFFFF"/>
        </w:rPr>
        <w:t>※除本章第</w:t>
      </w:r>
      <w:r>
        <w:rPr>
          <w:rStyle w:val="5"/>
          <w:rFonts w:hint="default" w:ascii="Calibri" w:hAnsi="Calibri" w:cs="Calibri"/>
          <w:spacing w:val="0"/>
          <w:sz w:val="19"/>
          <w:szCs w:val="19"/>
          <w:shd w:val="clear" w:fill="FFFFFF"/>
        </w:rPr>
        <w:t>10.5</w:t>
      </w:r>
      <w:r>
        <w:rPr>
          <w:rStyle w:val="5"/>
          <w:rFonts w:hint="eastAsia" w:ascii="宋体" w:hAnsi="宋体" w:eastAsia="宋体" w:cs="宋体"/>
          <w:spacing w:val="0"/>
          <w:sz w:val="19"/>
          <w:szCs w:val="19"/>
          <w:shd w:val="clear" w:fill="FFFFFF"/>
        </w:rPr>
        <w:t>条第（</w:t>
      </w:r>
      <w:r>
        <w:rPr>
          <w:rStyle w:val="5"/>
          <w:rFonts w:hint="default" w:ascii="Calibri" w:hAnsi="Calibri" w:cs="Calibri"/>
          <w:spacing w:val="0"/>
          <w:sz w:val="19"/>
          <w:szCs w:val="19"/>
          <w:shd w:val="clear" w:fill="FFFFFF"/>
        </w:rPr>
        <w:t>2</w:t>
      </w:r>
      <w:r>
        <w:rPr>
          <w:rStyle w:val="5"/>
          <w:rFonts w:hint="eastAsia" w:ascii="宋体" w:hAnsi="宋体" w:eastAsia="宋体" w:cs="宋体"/>
          <w:spacing w:val="0"/>
          <w:sz w:val="19"/>
          <w:szCs w:val="19"/>
          <w:shd w:val="clear" w:fill="FFFFFF"/>
        </w:rPr>
        <w:t>）款第③点规定情形外，投标文件散装或活页装订将导致投标无效。</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（3）除招标文件另有规定外，投标文件应使用人民币作为计量货币。</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（4）除招标文件另有规定外，签署、盖章应遵守下列规定：</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①投标文件应由投标人代表签字并加盖投标人的单位公章。若投标人代表为单位负责人授权的委托代理人，应提供“单位负责人授权书”。</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②投标文件应没有涂改或行间插字，除非这些改动是根据</w:t>
      </w:r>
      <w:r>
        <w:rPr>
          <w:rFonts w:hint="eastAsia" w:ascii="宋体" w:hAnsi="宋体" w:eastAsia="宋体" w:cs="宋体"/>
          <w:spacing w:val="0"/>
          <w:sz w:val="19"/>
          <w:szCs w:val="19"/>
          <w:u w:val="single"/>
          <w:shd w:val="clear" w:fill="FFFFFF"/>
        </w:rPr>
        <w:t>福建省中达招标代理有限公司</w:t>
      </w:r>
      <w:r>
        <w:rPr>
          <w:rFonts w:hint="eastAsia" w:ascii="宋体" w:hAnsi="宋体" w:eastAsia="宋体" w:cs="宋体"/>
          <w:spacing w:val="0"/>
          <w:sz w:val="19"/>
          <w:szCs w:val="19"/>
          <w:shd w:val="clear" w:fill="FFFFFF"/>
        </w:rPr>
        <w:t>的指示进行的，或是为改正投标人造成的应修改的错误而进行的。若有前述改动，应按照下列规定之一对改动处进行处理：</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a.投标人代表签字确认；</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b.加盖投标人的单位公章或校正章。</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10.6投标报价</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（1）投标报价超出最高限价将导致</w:t>
      </w:r>
      <w:r>
        <w:rPr>
          <w:rStyle w:val="5"/>
          <w:rFonts w:hint="eastAsia" w:ascii="宋体" w:hAnsi="宋体" w:eastAsia="宋体" w:cs="宋体"/>
          <w:spacing w:val="0"/>
          <w:sz w:val="19"/>
          <w:szCs w:val="19"/>
          <w:shd w:val="clear" w:fill="FFFFFF"/>
        </w:rPr>
        <w:t>投标无效。</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（2）最高限价由采购人根据价格测算情况，在预算金额的额度内合理设定。最高限价不得超出预算金额。</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（3）除招标文件另有规定外，投标文件不能出现任何选择性的投标报价，即每一个合同包和品目号的采购标的都只能有一个投标报价。任何选择性的投标报价将导致</w:t>
      </w:r>
      <w:r>
        <w:rPr>
          <w:rStyle w:val="5"/>
          <w:rFonts w:hint="eastAsia" w:ascii="宋体" w:hAnsi="宋体" w:eastAsia="宋体" w:cs="宋体"/>
          <w:spacing w:val="0"/>
          <w:sz w:val="19"/>
          <w:szCs w:val="19"/>
          <w:shd w:val="clear" w:fill="FFFFFF"/>
        </w:rPr>
        <w:t>投标无效。</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10.7分包</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（1）是否允许中标人将本项目的非主体、非关键性工作进行分包：详见招标文件第二章。</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（2）若允许中标人将本项目的非主体、非关键性工作进行分包且投标人拟在中标后进行分包，则投标人应在投标文件中载明分包承担主体，分包承担主体应具备相应资质条件（若有）且不得再次分包。</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（3）招标文件允许中标人将非主体、非关键性工作进行分包的项目，有下列情形之一的，中标人不得分包：</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①投标文件中未载明分包承担主体；</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②投标文件载明的分包承担主体不具备相应资质条件；</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③投标文件载明的分包承担主体拟再次分包。</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10.8投标有效期</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（1）招标文件载明的投标有效期：详见招标文件第二章。</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（2）投标文件承诺的投标有效期不得少于招标文件载明的投标有效期，否则</w:t>
      </w:r>
      <w:r>
        <w:rPr>
          <w:rStyle w:val="5"/>
          <w:rFonts w:hint="eastAsia" w:ascii="宋体" w:hAnsi="宋体" w:eastAsia="宋体" w:cs="宋体"/>
          <w:spacing w:val="0"/>
          <w:sz w:val="19"/>
          <w:szCs w:val="19"/>
          <w:shd w:val="clear" w:fill="FFFFFF"/>
        </w:rPr>
        <w:t>投标无效</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（3）根据本次采购活动的需要，</w:t>
      </w:r>
      <w:r>
        <w:rPr>
          <w:rFonts w:hint="eastAsia" w:ascii="宋体" w:hAnsi="宋体" w:eastAsia="宋体" w:cs="宋体"/>
          <w:spacing w:val="0"/>
          <w:sz w:val="19"/>
          <w:szCs w:val="19"/>
          <w:u w:val="single"/>
          <w:shd w:val="clear" w:fill="FFFFFF"/>
        </w:rPr>
        <w:t>福建省中达招标代理有限公司</w:t>
      </w:r>
      <w:r>
        <w:rPr>
          <w:rFonts w:hint="eastAsia" w:ascii="宋体" w:hAnsi="宋体" w:eastAsia="宋体" w:cs="宋体"/>
          <w:spacing w:val="0"/>
          <w:sz w:val="19"/>
          <w:szCs w:val="19"/>
          <w:shd w:val="clear" w:fill="FFFFFF"/>
        </w:rPr>
        <w:t>可于投标有效期届满之前书面要求投标人延长投标有效期，投标人应在</w:t>
      </w:r>
      <w:r>
        <w:rPr>
          <w:rFonts w:hint="eastAsia" w:ascii="宋体" w:hAnsi="宋体" w:eastAsia="宋体" w:cs="宋体"/>
          <w:spacing w:val="0"/>
          <w:sz w:val="19"/>
          <w:szCs w:val="19"/>
          <w:u w:val="single"/>
          <w:shd w:val="clear" w:fill="FFFFFF"/>
        </w:rPr>
        <w:t>福建省中达招标代理有限公司</w:t>
      </w:r>
      <w:r>
        <w:rPr>
          <w:rFonts w:hint="eastAsia" w:ascii="宋体" w:hAnsi="宋体" w:eastAsia="宋体" w:cs="宋体"/>
          <w:spacing w:val="0"/>
          <w:sz w:val="19"/>
          <w:szCs w:val="19"/>
          <w:shd w:val="clear" w:fill="FFFFFF"/>
        </w:rPr>
        <w:t>规定的期限内以书面形式予以答复。对于延长投标有效期的要求，投标人可以拒绝也可以接受，投标人答复不明确或逾期未答复的，均视为拒绝该要求。对于接受延长投标有效期的投标人，既不要求也不允许修改投标文件。</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10.9投标保证金</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（1）投标保证金作为投标人按照招标文件规定履行相应投标责任、义务的约束及担保。</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（2）投标保证金的有效期应与投标文件承诺的投标有效期保持一致，否则</w:t>
      </w:r>
      <w:r>
        <w:rPr>
          <w:rStyle w:val="5"/>
          <w:rFonts w:hint="eastAsia" w:ascii="宋体" w:hAnsi="宋体" w:eastAsia="宋体" w:cs="宋体"/>
          <w:spacing w:val="0"/>
          <w:sz w:val="19"/>
          <w:szCs w:val="19"/>
          <w:shd w:val="clear" w:fill="FFFFFF"/>
        </w:rPr>
        <w:t>投标无效</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（3）提交</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①投标人应从其银行账户</w:t>
      </w:r>
      <w:r>
        <w:rPr>
          <w:rStyle w:val="5"/>
          <w:rFonts w:hint="eastAsia" w:ascii="宋体" w:hAnsi="宋体" w:eastAsia="宋体" w:cs="宋体"/>
          <w:spacing w:val="0"/>
          <w:sz w:val="19"/>
          <w:szCs w:val="19"/>
          <w:shd w:val="clear" w:fill="FFFFFF"/>
        </w:rPr>
        <w:t>（基本存款账户）</w:t>
      </w:r>
      <w:r>
        <w:rPr>
          <w:rFonts w:hint="eastAsia" w:ascii="宋体" w:hAnsi="宋体" w:eastAsia="宋体" w:cs="宋体"/>
          <w:spacing w:val="0"/>
          <w:sz w:val="19"/>
          <w:szCs w:val="19"/>
          <w:shd w:val="clear" w:fill="FFFFFF"/>
        </w:rPr>
        <w:t>按照下列方式：</w:t>
      </w:r>
      <w:r>
        <w:rPr>
          <w:rStyle w:val="5"/>
          <w:rFonts w:hint="eastAsia" w:ascii="宋体" w:hAnsi="宋体" w:eastAsia="宋体" w:cs="宋体"/>
          <w:spacing w:val="0"/>
          <w:sz w:val="19"/>
          <w:szCs w:val="19"/>
          <w:shd w:val="clear" w:fill="FFFFFF"/>
        </w:rPr>
        <w:t>公对公转账方式</w:t>
      </w:r>
      <w:r>
        <w:rPr>
          <w:rFonts w:hint="eastAsia" w:ascii="宋体" w:hAnsi="宋体" w:eastAsia="宋体" w:cs="宋体"/>
          <w:spacing w:val="0"/>
          <w:sz w:val="19"/>
          <w:szCs w:val="19"/>
          <w:shd w:val="clear" w:fill="FFFFFF"/>
        </w:rPr>
        <w:t>向招标文件载明的投标保证金账户提交投标保证金，具体金额详见招标文件第一章。</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②投标保证金应于投标截止时间前到达招标文件载明的投标保证金账户，否则视为投标保证金未提交；是否到达按照下列方式认定：</w:t>
      </w:r>
      <w:r>
        <w:rPr>
          <w:rStyle w:val="5"/>
          <w:rFonts w:hint="eastAsia" w:ascii="宋体" w:hAnsi="宋体" w:eastAsia="宋体" w:cs="宋体"/>
          <w:spacing w:val="0"/>
          <w:sz w:val="19"/>
          <w:szCs w:val="19"/>
          <w:shd w:val="clear" w:fill="FFFFFF"/>
        </w:rPr>
        <w:t>以福建省政府采购网上公开信息系统记载的为准。</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③若本项目接受联合体投标且投标人为联合体，则联合体中的牵头方应按照本章第</w:t>
      </w:r>
      <w:r>
        <w:rPr>
          <w:rFonts w:hint="default" w:ascii="Calibri" w:hAnsi="Calibri" w:cs="Calibri"/>
          <w:spacing w:val="0"/>
          <w:sz w:val="19"/>
          <w:szCs w:val="19"/>
          <w:shd w:val="clear" w:fill="FFFFFF"/>
        </w:rPr>
        <w:t>10.9</w:t>
      </w:r>
      <w:r>
        <w:rPr>
          <w:rFonts w:hint="eastAsia" w:ascii="宋体" w:hAnsi="宋体" w:eastAsia="宋体" w:cs="宋体"/>
          <w:spacing w:val="0"/>
          <w:sz w:val="19"/>
          <w:szCs w:val="19"/>
          <w:shd w:val="clear" w:fill="FFFFFF"/>
        </w:rPr>
        <w:t>条第（</w:t>
      </w:r>
      <w:r>
        <w:rPr>
          <w:rFonts w:hint="default" w:ascii="Calibri" w:hAnsi="Calibri" w:cs="Calibri"/>
          <w:spacing w:val="0"/>
          <w:sz w:val="19"/>
          <w:szCs w:val="19"/>
          <w:shd w:val="clear" w:fill="FFFFFF"/>
        </w:rPr>
        <w:t>3</w:t>
      </w:r>
      <w:r>
        <w:rPr>
          <w:rFonts w:hint="eastAsia" w:ascii="宋体" w:hAnsi="宋体" w:eastAsia="宋体" w:cs="宋体"/>
          <w:spacing w:val="0"/>
          <w:sz w:val="19"/>
          <w:szCs w:val="19"/>
          <w:shd w:val="clear" w:fill="FFFFFF"/>
        </w:rPr>
        <w:t>）款第①、②点规定提交投标保证金。</w:t>
      </w:r>
    </w:p>
    <w:p>
      <w:pPr>
        <w:pStyle w:val="3"/>
        <w:keepNext w:val="0"/>
        <w:keepLines w:val="0"/>
        <w:widowControl/>
        <w:suppressLineNumbers w:val="0"/>
        <w:spacing w:before="60" w:beforeAutospacing="0" w:after="60" w:afterAutospacing="0"/>
        <w:ind w:left="0" w:right="0" w:firstLine="384"/>
      </w:pPr>
      <w:r>
        <w:rPr>
          <w:rStyle w:val="5"/>
          <w:rFonts w:hint="eastAsia" w:ascii="宋体" w:hAnsi="宋体" w:eastAsia="宋体" w:cs="宋体"/>
          <w:spacing w:val="0"/>
          <w:sz w:val="19"/>
          <w:szCs w:val="19"/>
          <w:shd w:val="clear" w:fill="FFFFFF"/>
        </w:rPr>
        <w:t>※除招标文件另有规定外，未按照上述规定提交投标保证金将导致资格审查不合格。</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（4）退还</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①在投标截止时间前撤回已提交的投标文件的投标人，其投标保证金将在</w:t>
      </w:r>
      <w:r>
        <w:rPr>
          <w:rFonts w:hint="eastAsia" w:ascii="宋体" w:hAnsi="宋体" w:eastAsia="宋体" w:cs="宋体"/>
          <w:spacing w:val="0"/>
          <w:sz w:val="19"/>
          <w:szCs w:val="19"/>
          <w:u w:val="single"/>
          <w:shd w:val="clear" w:fill="FFFFFF"/>
        </w:rPr>
        <w:t>福建省中达招标代理有限公司</w:t>
      </w:r>
      <w:r>
        <w:rPr>
          <w:rFonts w:hint="eastAsia" w:ascii="宋体" w:hAnsi="宋体" w:eastAsia="宋体" w:cs="宋体"/>
          <w:spacing w:val="0"/>
          <w:sz w:val="19"/>
          <w:szCs w:val="19"/>
          <w:shd w:val="clear" w:fill="FFFFFF"/>
        </w:rPr>
        <w:t>收到投标人书面撤回通知之日起5个工作日内退回原账户。</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②未中标人的投标保证金将在中标通知书发出之日起</w:t>
      </w:r>
      <w:r>
        <w:rPr>
          <w:rFonts w:hint="default" w:ascii="Calibri" w:hAnsi="Calibri" w:cs="Calibri"/>
          <w:spacing w:val="0"/>
          <w:sz w:val="19"/>
          <w:szCs w:val="19"/>
          <w:shd w:val="clear" w:fill="FFFFFF"/>
        </w:rPr>
        <w:t>5</w:t>
      </w:r>
      <w:r>
        <w:rPr>
          <w:rFonts w:hint="eastAsia" w:ascii="宋体" w:hAnsi="宋体" w:eastAsia="宋体" w:cs="宋体"/>
          <w:spacing w:val="0"/>
          <w:sz w:val="19"/>
          <w:szCs w:val="19"/>
          <w:shd w:val="clear" w:fill="FFFFFF"/>
        </w:rPr>
        <w:t>个工作日内退回原账户。</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③中标人的投标保证金将在政府采购合同签订之日起</w:t>
      </w:r>
      <w:r>
        <w:rPr>
          <w:rFonts w:hint="default" w:ascii="Calibri" w:hAnsi="Calibri" w:cs="Calibri"/>
          <w:spacing w:val="0"/>
          <w:sz w:val="19"/>
          <w:szCs w:val="19"/>
          <w:shd w:val="clear" w:fill="FFFFFF"/>
        </w:rPr>
        <w:t>5</w:t>
      </w:r>
      <w:r>
        <w:rPr>
          <w:rFonts w:hint="eastAsia" w:ascii="宋体" w:hAnsi="宋体" w:eastAsia="宋体" w:cs="宋体"/>
          <w:spacing w:val="0"/>
          <w:sz w:val="19"/>
          <w:szCs w:val="19"/>
          <w:shd w:val="clear" w:fill="FFFFFF"/>
        </w:rPr>
        <w:t>个工作日内退回原账户；合同签订之日按照下列方式认定：</w:t>
      </w:r>
      <w:r>
        <w:rPr>
          <w:rStyle w:val="5"/>
          <w:rFonts w:hint="eastAsia" w:ascii="宋体" w:hAnsi="宋体" w:eastAsia="宋体" w:cs="宋体"/>
          <w:spacing w:val="0"/>
          <w:sz w:val="19"/>
          <w:szCs w:val="19"/>
          <w:shd w:val="clear" w:fill="FFFFFF"/>
        </w:rPr>
        <w:t>以福建省政府采购网上公开信息系统记载的为准。</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④终止招标的，</w:t>
      </w:r>
      <w:r>
        <w:rPr>
          <w:rFonts w:hint="eastAsia" w:ascii="宋体" w:hAnsi="宋体" w:eastAsia="宋体" w:cs="宋体"/>
          <w:spacing w:val="0"/>
          <w:sz w:val="19"/>
          <w:szCs w:val="19"/>
          <w:u w:val="single"/>
          <w:shd w:val="clear" w:fill="FFFFFF"/>
        </w:rPr>
        <w:t>福建省中达招标代理有限公司</w:t>
      </w:r>
      <w:r>
        <w:rPr>
          <w:rFonts w:hint="eastAsia" w:ascii="宋体" w:hAnsi="宋体" w:eastAsia="宋体" w:cs="宋体"/>
          <w:spacing w:val="0"/>
          <w:sz w:val="19"/>
          <w:szCs w:val="19"/>
          <w:shd w:val="clear" w:fill="FFFFFF"/>
        </w:rPr>
        <w:t>将在终止公告发布之日起5个工作日内退回已收取的投标保证金及其在银行产生的孳息。</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⑤除招标文件另有规定外，质疑或投诉涉及的投标人，若投标保证金尚未退还，则待质疑或投诉处理完毕后不计利息原额退还。</w:t>
      </w:r>
    </w:p>
    <w:p>
      <w:pPr>
        <w:pStyle w:val="3"/>
        <w:keepNext w:val="0"/>
        <w:keepLines w:val="0"/>
        <w:widowControl/>
        <w:suppressLineNumbers w:val="0"/>
        <w:spacing w:before="60" w:beforeAutospacing="0" w:after="60" w:afterAutospacing="0"/>
        <w:ind w:left="0" w:right="0" w:firstLine="384"/>
      </w:pPr>
      <w:r>
        <w:rPr>
          <w:rStyle w:val="5"/>
          <w:rFonts w:hint="eastAsia" w:ascii="宋体" w:hAnsi="宋体" w:eastAsia="宋体" w:cs="宋体"/>
          <w:spacing w:val="0"/>
          <w:sz w:val="19"/>
          <w:szCs w:val="19"/>
          <w:shd w:val="clear" w:fill="FFFFFF"/>
        </w:rPr>
        <w:t>※本章第</w:t>
      </w:r>
      <w:r>
        <w:rPr>
          <w:rStyle w:val="5"/>
          <w:rFonts w:hint="default" w:ascii="Calibri" w:hAnsi="Calibri" w:cs="Calibri"/>
          <w:spacing w:val="0"/>
          <w:sz w:val="19"/>
          <w:szCs w:val="19"/>
          <w:shd w:val="clear" w:fill="FFFFFF"/>
        </w:rPr>
        <w:t>10.9</w:t>
      </w:r>
      <w:r>
        <w:rPr>
          <w:rStyle w:val="5"/>
          <w:rFonts w:hint="eastAsia" w:ascii="宋体" w:hAnsi="宋体" w:eastAsia="宋体" w:cs="宋体"/>
          <w:spacing w:val="0"/>
          <w:sz w:val="19"/>
          <w:szCs w:val="19"/>
          <w:shd w:val="clear" w:fill="FFFFFF"/>
        </w:rPr>
        <w:t>条第（</w:t>
      </w:r>
      <w:r>
        <w:rPr>
          <w:rStyle w:val="5"/>
          <w:rFonts w:hint="default" w:ascii="Calibri" w:hAnsi="Calibri" w:cs="Calibri"/>
          <w:spacing w:val="0"/>
          <w:sz w:val="19"/>
          <w:szCs w:val="19"/>
          <w:shd w:val="clear" w:fill="FFFFFF"/>
        </w:rPr>
        <w:t>4</w:t>
      </w:r>
      <w:r>
        <w:rPr>
          <w:rStyle w:val="5"/>
          <w:rFonts w:hint="eastAsia" w:ascii="宋体" w:hAnsi="宋体" w:eastAsia="宋体" w:cs="宋体"/>
          <w:spacing w:val="0"/>
          <w:sz w:val="19"/>
          <w:szCs w:val="19"/>
          <w:shd w:val="clear" w:fill="FFFFFF"/>
        </w:rPr>
        <w:t>）款第①、②、③点规定的投标保证金退还时限不包括因投标人自身原因导致无法及时退还而增加的时间。</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（5）若出现本章第</w:t>
      </w:r>
      <w:r>
        <w:rPr>
          <w:rFonts w:hint="default" w:ascii="Calibri" w:hAnsi="Calibri" w:cs="Calibri"/>
          <w:spacing w:val="0"/>
          <w:sz w:val="19"/>
          <w:szCs w:val="19"/>
          <w:shd w:val="clear" w:fill="FFFFFF"/>
        </w:rPr>
        <w:t>10.8</w:t>
      </w:r>
      <w:r>
        <w:rPr>
          <w:rFonts w:hint="eastAsia" w:ascii="宋体" w:hAnsi="宋体" w:eastAsia="宋体" w:cs="宋体"/>
          <w:spacing w:val="0"/>
          <w:sz w:val="19"/>
          <w:szCs w:val="19"/>
          <w:shd w:val="clear" w:fill="FFFFFF"/>
        </w:rPr>
        <w:t>条第（</w:t>
      </w:r>
      <w:r>
        <w:rPr>
          <w:rFonts w:hint="default" w:ascii="Calibri" w:hAnsi="Calibri" w:cs="Calibri"/>
          <w:spacing w:val="0"/>
          <w:sz w:val="19"/>
          <w:szCs w:val="19"/>
          <w:shd w:val="clear" w:fill="FFFFFF"/>
        </w:rPr>
        <w:t>3</w:t>
      </w:r>
      <w:r>
        <w:rPr>
          <w:rFonts w:hint="eastAsia" w:ascii="宋体" w:hAnsi="宋体" w:eastAsia="宋体" w:cs="宋体"/>
          <w:spacing w:val="0"/>
          <w:sz w:val="19"/>
          <w:szCs w:val="19"/>
          <w:shd w:val="clear" w:fill="FFFFFF"/>
        </w:rPr>
        <w:t>）款规定情形，对于拒绝延长投标有效期的投标人，投标保证金仍可退还。对于接受延长投标有效期的投标人，相应延长投标保证金有效期，招标文件关于退还和不予退还投标保证金的规定继续适用。</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（6）有下列情形之一的，投标保证金将不予退还：</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①投标人串通投标；</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②投标人提供虚假材料；</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③投标人采取不正当手段诋毁、排挤其他投标人；</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④投标截止时间后，投标人在投标有效期内撤销投标文件；</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⑤投标人不接受评标委员会按照招标文件规定对投标报价错误之处进行修正；</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⑥投标人违反招标文件第三章第</w:t>
      </w:r>
      <w:r>
        <w:rPr>
          <w:rFonts w:hint="default" w:ascii="Calibri" w:hAnsi="Calibri" w:cs="Calibri"/>
          <w:spacing w:val="0"/>
          <w:sz w:val="19"/>
          <w:szCs w:val="19"/>
          <w:shd w:val="clear" w:fill="FFFFFF"/>
        </w:rPr>
        <w:t>9.4</w:t>
      </w:r>
      <w:r>
        <w:rPr>
          <w:rFonts w:hint="eastAsia" w:ascii="宋体" w:hAnsi="宋体" w:eastAsia="宋体" w:cs="宋体"/>
          <w:spacing w:val="0"/>
          <w:sz w:val="19"/>
          <w:szCs w:val="19"/>
          <w:shd w:val="clear" w:fill="FFFFFF"/>
        </w:rPr>
        <w:t>、</w:t>
      </w:r>
      <w:r>
        <w:rPr>
          <w:rFonts w:hint="default" w:ascii="Calibri" w:hAnsi="Calibri" w:cs="Calibri"/>
          <w:spacing w:val="0"/>
          <w:sz w:val="19"/>
          <w:szCs w:val="19"/>
          <w:shd w:val="clear" w:fill="FFFFFF"/>
        </w:rPr>
        <w:t>9.5</w:t>
      </w:r>
      <w:r>
        <w:rPr>
          <w:rFonts w:hint="eastAsia" w:ascii="宋体" w:hAnsi="宋体" w:eastAsia="宋体" w:cs="宋体"/>
          <w:spacing w:val="0"/>
          <w:sz w:val="19"/>
          <w:szCs w:val="19"/>
          <w:shd w:val="clear" w:fill="FFFFFF"/>
        </w:rPr>
        <w:t>、</w:t>
      </w:r>
      <w:r>
        <w:rPr>
          <w:rFonts w:hint="default" w:ascii="Calibri" w:hAnsi="Calibri" w:cs="Calibri"/>
          <w:spacing w:val="0"/>
          <w:sz w:val="19"/>
          <w:szCs w:val="19"/>
          <w:shd w:val="clear" w:fill="FFFFFF"/>
        </w:rPr>
        <w:t>9.6</w:t>
      </w:r>
      <w:r>
        <w:rPr>
          <w:rFonts w:hint="eastAsia" w:ascii="宋体" w:hAnsi="宋体" w:eastAsia="宋体" w:cs="宋体"/>
          <w:spacing w:val="0"/>
          <w:sz w:val="19"/>
          <w:szCs w:val="19"/>
          <w:shd w:val="clear" w:fill="FFFFFF"/>
        </w:rPr>
        <w:t>条规定之一；</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⑦招标文件规定的其他不予退还情形；</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⑧中标人有下列情形之一的：</w:t>
      </w:r>
    </w:p>
    <w:p>
      <w:pPr>
        <w:pStyle w:val="3"/>
        <w:keepNext w:val="0"/>
        <w:keepLines w:val="0"/>
        <w:widowControl/>
        <w:suppressLineNumbers w:val="0"/>
        <w:spacing w:before="60" w:beforeAutospacing="0" w:after="60" w:afterAutospacing="0"/>
        <w:ind w:left="0" w:right="0" w:firstLine="384"/>
      </w:pPr>
      <w:r>
        <w:rPr>
          <w:rFonts w:hint="default" w:ascii="Calibri" w:hAnsi="Calibri" w:cs="Calibri"/>
          <w:spacing w:val="0"/>
          <w:sz w:val="19"/>
          <w:szCs w:val="19"/>
          <w:shd w:val="clear" w:fill="FFFFFF"/>
        </w:rPr>
        <w:t>a</w:t>
      </w:r>
      <w:r>
        <w:rPr>
          <w:rFonts w:hint="eastAsia" w:ascii="宋体" w:hAnsi="宋体" w:eastAsia="宋体" w:cs="宋体"/>
          <w:spacing w:val="0"/>
          <w:sz w:val="19"/>
          <w:szCs w:val="19"/>
          <w:shd w:val="clear" w:fill="FFFFFF"/>
        </w:rPr>
        <w:t>.除不可抗力外，因中标人自身原因未在中标通知书要求的期限内与采购人签订政府采购合同；</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b.未按照招标文件、投标文件的约定签订政府采购合同或提交履约保证金。</w:t>
      </w:r>
    </w:p>
    <w:p>
      <w:pPr>
        <w:pStyle w:val="3"/>
        <w:keepNext w:val="0"/>
        <w:keepLines w:val="0"/>
        <w:widowControl/>
        <w:suppressLineNumbers w:val="0"/>
        <w:spacing w:before="60" w:beforeAutospacing="0" w:after="60" w:afterAutospacing="0"/>
        <w:ind w:left="0" w:right="0" w:firstLine="384"/>
      </w:pPr>
      <w:r>
        <w:rPr>
          <w:rStyle w:val="5"/>
          <w:rFonts w:hint="eastAsia" w:ascii="宋体" w:hAnsi="宋体" w:eastAsia="宋体" w:cs="宋体"/>
          <w:spacing w:val="0"/>
          <w:sz w:val="19"/>
          <w:szCs w:val="19"/>
          <w:shd w:val="clear" w:fill="FFFFFF"/>
        </w:rPr>
        <w:t>※若上述投标保证金不予退还情形给采购人（采购代理机构）造成损失，则投标人还要承担相应的赔偿责任。</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10.10投标文件的提交</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（1）一个投标人只能提交一个投标文件，并按照招标文件第一章规定将其送达。</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（2）密封及其标记的具体形式：详见招标文件第二章。</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10.11投标文件的补充、修改或撤回</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（1）投标截止时间前，投标人可对所提交的投标文件进行补充、修改或撤回，并书面通知</w:t>
      </w:r>
      <w:r>
        <w:rPr>
          <w:rFonts w:hint="eastAsia" w:ascii="宋体" w:hAnsi="宋体" w:eastAsia="宋体" w:cs="宋体"/>
          <w:spacing w:val="0"/>
          <w:sz w:val="19"/>
          <w:szCs w:val="19"/>
          <w:u w:val="single"/>
          <w:shd w:val="clear" w:fill="FFFFFF"/>
        </w:rPr>
        <w:t>福建省中达招标代理有限公司</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（2）补充、修改的内容应按照本章第</w:t>
      </w:r>
      <w:r>
        <w:rPr>
          <w:rFonts w:hint="default" w:ascii="Calibri" w:hAnsi="Calibri" w:cs="Calibri"/>
          <w:spacing w:val="0"/>
          <w:sz w:val="19"/>
          <w:szCs w:val="19"/>
          <w:shd w:val="clear" w:fill="FFFFFF"/>
        </w:rPr>
        <w:t>10.5</w:t>
      </w:r>
      <w:r>
        <w:rPr>
          <w:rFonts w:hint="eastAsia" w:ascii="宋体" w:hAnsi="宋体" w:eastAsia="宋体" w:cs="宋体"/>
          <w:spacing w:val="0"/>
          <w:sz w:val="19"/>
          <w:szCs w:val="19"/>
          <w:shd w:val="clear" w:fill="FFFFFF"/>
        </w:rPr>
        <w:t>条第（</w:t>
      </w:r>
      <w:r>
        <w:rPr>
          <w:rFonts w:hint="default" w:ascii="Calibri" w:hAnsi="Calibri" w:cs="Calibri"/>
          <w:spacing w:val="0"/>
          <w:sz w:val="19"/>
          <w:szCs w:val="19"/>
          <w:shd w:val="clear" w:fill="FFFFFF"/>
        </w:rPr>
        <w:t>4</w:t>
      </w:r>
      <w:r>
        <w:rPr>
          <w:rFonts w:hint="eastAsia" w:ascii="宋体" w:hAnsi="宋体" w:eastAsia="宋体" w:cs="宋体"/>
          <w:spacing w:val="0"/>
          <w:sz w:val="19"/>
          <w:szCs w:val="19"/>
          <w:shd w:val="clear" w:fill="FFFFFF"/>
        </w:rPr>
        <w:t>）款规定进行签署、盖章，并按照本章第</w:t>
      </w:r>
      <w:r>
        <w:rPr>
          <w:rFonts w:hint="default" w:ascii="Calibri" w:hAnsi="Calibri" w:cs="Calibri"/>
          <w:spacing w:val="0"/>
          <w:sz w:val="19"/>
          <w:szCs w:val="19"/>
          <w:shd w:val="clear" w:fill="FFFFFF"/>
        </w:rPr>
        <w:t>10.10</w:t>
      </w:r>
      <w:r>
        <w:rPr>
          <w:rFonts w:hint="eastAsia" w:ascii="宋体" w:hAnsi="宋体" w:eastAsia="宋体" w:cs="宋体"/>
          <w:spacing w:val="0"/>
          <w:sz w:val="19"/>
          <w:szCs w:val="19"/>
          <w:shd w:val="clear" w:fill="FFFFFF"/>
        </w:rPr>
        <w:t>条规定提交，</w:t>
      </w:r>
      <w:r>
        <w:rPr>
          <w:rStyle w:val="5"/>
          <w:rFonts w:hint="eastAsia" w:ascii="宋体" w:hAnsi="宋体" w:eastAsia="宋体" w:cs="宋体"/>
          <w:spacing w:val="0"/>
          <w:sz w:val="19"/>
          <w:szCs w:val="19"/>
          <w:shd w:val="clear" w:fill="FFFFFF"/>
        </w:rPr>
        <w:t>否则将被拒收。</w:t>
      </w:r>
    </w:p>
    <w:p>
      <w:pPr>
        <w:pStyle w:val="3"/>
        <w:keepNext w:val="0"/>
        <w:keepLines w:val="0"/>
        <w:widowControl/>
        <w:suppressLineNumbers w:val="0"/>
        <w:spacing w:before="60" w:beforeAutospacing="0" w:after="60" w:afterAutospacing="0"/>
        <w:ind w:left="0" w:right="0" w:firstLine="384"/>
      </w:pPr>
      <w:r>
        <w:rPr>
          <w:rStyle w:val="5"/>
          <w:rFonts w:hint="eastAsia" w:ascii="宋体" w:hAnsi="宋体" w:eastAsia="宋体" w:cs="宋体"/>
          <w:spacing w:val="0"/>
          <w:sz w:val="19"/>
          <w:szCs w:val="19"/>
          <w:shd w:val="clear" w:fill="FFFFFF"/>
        </w:rPr>
        <w:t>※按照上述规定提交的补充、修改内容作为投标文件组成部分。</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10.12除招标文件另有规定外，有下列情形之一的，</w:t>
      </w:r>
      <w:r>
        <w:rPr>
          <w:rStyle w:val="5"/>
          <w:rFonts w:hint="eastAsia" w:ascii="宋体" w:hAnsi="宋体" w:eastAsia="宋体" w:cs="宋体"/>
          <w:spacing w:val="0"/>
          <w:sz w:val="19"/>
          <w:szCs w:val="19"/>
          <w:shd w:val="clear" w:fill="FFFFFF"/>
        </w:rPr>
        <w:t>投标无效</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（1）投标文件未按照招标文件要求签署、盖章；</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（2）不符合招标文件中规定的资格要求；</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（3）投标报价超过招标文件中规定的预算金额或最高限价；</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（4）投标文件含有采购人不能接受的附加条件；</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（5）有关法律、法规和规章及招标文件规定的其他无效情形。</w:t>
      </w:r>
    </w:p>
    <w:p>
      <w:pPr>
        <w:pStyle w:val="3"/>
        <w:keepNext w:val="0"/>
        <w:keepLines w:val="0"/>
        <w:widowControl/>
        <w:suppressLineNumbers w:val="0"/>
        <w:spacing w:before="60" w:beforeAutospacing="0" w:after="60" w:afterAutospacing="0"/>
        <w:ind w:left="0" w:right="0" w:firstLine="0"/>
        <w:jc w:val="center"/>
      </w:pPr>
      <w:r>
        <w:rPr>
          <w:rStyle w:val="5"/>
          <w:rFonts w:hint="eastAsia" w:ascii="宋体" w:hAnsi="宋体" w:eastAsia="宋体" w:cs="宋体"/>
          <w:spacing w:val="0"/>
          <w:sz w:val="19"/>
          <w:szCs w:val="19"/>
          <w:shd w:val="clear" w:fill="FFFFFF"/>
        </w:rPr>
        <w:t>五、开标</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11、开标</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11.1</w:t>
      </w:r>
      <w:r>
        <w:rPr>
          <w:rFonts w:hint="eastAsia" w:ascii="宋体" w:hAnsi="宋体" w:eastAsia="宋体" w:cs="宋体"/>
          <w:spacing w:val="0"/>
          <w:sz w:val="19"/>
          <w:szCs w:val="19"/>
          <w:u w:val="single"/>
          <w:shd w:val="clear" w:fill="FFFFFF"/>
        </w:rPr>
        <w:t>福建省中达招标代理有限公司</w:t>
      </w:r>
      <w:r>
        <w:rPr>
          <w:rFonts w:hint="eastAsia" w:ascii="宋体" w:hAnsi="宋体" w:eastAsia="宋体" w:cs="宋体"/>
          <w:spacing w:val="0"/>
          <w:sz w:val="19"/>
          <w:szCs w:val="19"/>
          <w:shd w:val="clear" w:fill="FFFFFF"/>
        </w:rPr>
        <w:t>将在招标文件载明的开标时间及地点主持召开开标会，并邀请投标人参加。</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11.2开标会的主持人、唱标人、记录人及其他工作人员（若有）均由</w:t>
      </w:r>
      <w:r>
        <w:rPr>
          <w:rFonts w:hint="eastAsia" w:ascii="宋体" w:hAnsi="宋体" w:eastAsia="宋体" w:cs="宋体"/>
          <w:spacing w:val="0"/>
          <w:sz w:val="19"/>
          <w:szCs w:val="19"/>
          <w:u w:val="single"/>
          <w:shd w:val="clear" w:fill="FFFFFF"/>
        </w:rPr>
        <w:t>福建省中达招标代理有限公司</w:t>
      </w:r>
      <w:r>
        <w:rPr>
          <w:rFonts w:hint="eastAsia" w:ascii="宋体" w:hAnsi="宋体" w:eastAsia="宋体" w:cs="宋体"/>
          <w:spacing w:val="0"/>
          <w:sz w:val="19"/>
          <w:szCs w:val="19"/>
          <w:shd w:val="clear" w:fill="FFFFFF"/>
        </w:rPr>
        <w:t>派出，现场监督人员（若有）可由有关方面派出。</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11.3参加开标会的投标人应签到，非投标人不参加开标会。</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11.4开标会应遵守下列规定：</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（1）首先由主持人宣布开标会须知，然后由投标人代表对投标文件的密封情况进行检查，经确认无误后，由工作人员对密封的投标文件当众拆封。</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唱标时，唱标人将依次宣布“投标人名称”、“各投标人关于投标文件补充、修改或撤回的书面通知（若有）”、“各投标人的投标报价”和招标文件规定的需要宣布的其他内容（包括但不限于：开标一览表中的内容、唱标人认为需要宣布的内容等）。</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（3）记录人对唱标人宣布的内容作开标记录。</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4）唱标结束后，投标人代表应对开标记录进行签字确认。投标人代表的签字确认，视为投标人对开标过程和开标记录予以认可。投标人代表拒绝签字确认且无正当理由，亦视为投标人对开标过程和开标记录予以认可。</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（5）投标人代表对开标过程和开标记录有疑义，以及认为采购人（采购代理机构）相关工作人员有需要回避情形的，应当场提出询问或回避申请。否则，视为投标人对开标过程和开标记录予以认可。</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（6）若投标人未参加开标会（包括但不限于投标人派出的人员不是投标人代表），视同其对开标过程和开标记录予以认可。</w:t>
      </w:r>
    </w:p>
    <w:p>
      <w:pPr>
        <w:pStyle w:val="3"/>
        <w:keepNext w:val="0"/>
        <w:keepLines w:val="0"/>
        <w:widowControl/>
        <w:suppressLineNumbers w:val="0"/>
        <w:spacing w:before="60" w:beforeAutospacing="0" w:after="60" w:afterAutospacing="0"/>
        <w:ind w:left="0" w:right="0" w:firstLine="384"/>
      </w:pPr>
      <w:r>
        <w:rPr>
          <w:rStyle w:val="5"/>
          <w:rFonts w:hint="eastAsia" w:ascii="宋体" w:hAnsi="宋体" w:eastAsia="宋体" w:cs="宋体"/>
          <w:spacing w:val="0"/>
          <w:sz w:val="19"/>
          <w:szCs w:val="19"/>
          <w:shd w:val="clear" w:fill="FFFFFF"/>
        </w:rPr>
        <w:t>※若出现本章第</w:t>
      </w:r>
      <w:r>
        <w:rPr>
          <w:rStyle w:val="5"/>
          <w:rFonts w:hint="default" w:ascii="Calibri" w:hAnsi="Calibri" w:cs="Calibri"/>
          <w:spacing w:val="0"/>
          <w:sz w:val="19"/>
          <w:szCs w:val="19"/>
          <w:shd w:val="clear" w:fill="FFFFFF"/>
        </w:rPr>
        <w:t>11.4</w:t>
      </w:r>
      <w:r>
        <w:rPr>
          <w:rStyle w:val="5"/>
          <w:rFonts w:hint="eastAsia" w:ascii="宋体" w:hAnsi="宋体" w:eastAsia="宋体" w:cs="宋体"/>
          <w:spacing w:val="0"/>
          <w:sz w:val="19"/>
          <w:szCs w:val="19"/>
          <w:shd w:val="clear" w:fill="FFFFFF"/>
        </w:rPr>
        <w:t>条第（</w:t>
      </w:r>
      <w:r>
        <w:rPr>
          <w:rStyle w:val="5"/>
          <w:rFonts w:hint="default" w:ascii="Calibri" w:hAnsi="Calibri" w:cs="Calibri"/>
          <w:spacing w:val="0"/>
          <w:sz w:val="19"/>
          <w:szCs w:val="19"/>
          <w:shd w:val="clear" w:fill="FFFFFF"/>
        </w:rPr>
        <w:t>4</w:t>
      </w:r>
      <w:r>
        <w:rPr>
          <w:rStyle w:val="5"/>
          <w:rFonts w:hint="eastAsia" w:ascii="宋体" w:hAnsi="宋体" w:eastAsia="宋体" w:cs="宋体"/>
          <w:spacing w:val="0"/>
          <w:sz w:val="19"/>
          <w:szCs w:val="19"/>
          <w:shd w:val="clear" w:fill="FFFFFF"/>
        </w:rPr>
        <w:t>）、（</w:t>
      </w:r>
      <w:r>
        <w:rPr>
          <w:rStyle w:val="5"/>
          <w:rFonts w:hint="default" w:ascii="Calibri" w:hAnsi="Calibri" w:cs="Calibri"/>
          <w:spacing w:val="0"/>
          <w:sz w:val="19"/>
          <w:szCs w:val="19"/>
          <w:shd w:val="clear" w:fill="FFFFFF"/>
        </w:rPr>
        <w:t>5</w:t>
      </w:r>
      <w:r>
        <w:rPr>
          <w:rStyle w:val="5"/>
          <w:rFonts w:hint="eastAsia" w:ascii="宋体" w:hAnsi="宋体" w:eastAsia="宋体" w:cs="宋体"/>
          <w:spacing w:val="0"/>
          <w:sz w:val="19"/>
          <w:szCs w:val="19"/>
          <w:shd w:val="clear" w:fill="FFFFFF"/>
        </w:rPr>
        <w:t>）、（</w:t>
      </w:r>
      <w:r>
        <w:rPr>
          <w:rStyle w:val="5"/>
          <w:rFonts w:hint="default" w:ascii="Calibri" w:hAnsi="Calibri" w:cs="Calibri"/>
          <w:spacing w:val="0"/>
          <w:sz w:val="19"/>
          <w:szCs w:val="19"/>
          <w:shd w:val="clear" w:fill="FFFFFF"/>
        </w:rPr>
        <w:t>6</w:t>
      </w:r>
      <w:r>
        <w:rPr>
          <w:rStyle w:val="5"/>
          <w:rFonts w:hint="eastAsia" w:ascii="宋体" w:hAnsi="宋体" w:eastAsia="宋体" w:cs="宋体"/>
          <w:spacing w:val="0"/>
          <w:sz w:val="19"/>
          <w:szCs w:val="19"/>
          <w:shd w:val="clear" w:fill="FFFFFF"/>
        </w:rPr>
        <w:t>）款规定情形之一</w:t>
      </w:r>
      <w:r>
        <w:rPr>
          <w:rFonts w:hint="eastAsia" w:ascii="宋体" w:hAnsi="宋体" w:eastAsia="宋体" w:cs="宋体"/>
          <w:spacing w:val="0"/>
          <w:sz w:val="19"/>
          <w:szCs w:val="19"/>
          <w:shd w:val="clear" w:fill="FFFFFF"/>
        </w:rPr>
        <w:t>，</w:t>
      </w:r>
      <w:r>
        <w:rPr>
          <w:rStyle w:val="5"/>
          <w:rFonts w:hint="eastAsia" w:ascii="宋体" w:hAnsi="宋体" w:eastAsia="宋体" w:cs="宋体"/>
          <w:spacing w:val="0"/>
          <w:sz w:val="19"/>
          <w:szCs w:val="19"/>
          <w:shd w:val="clear" w:fill="FFFFFF"/>
        </w:rPr>
        <w:t>则投标人不得在开标会后就开标过程和开标记录涉及或可能涉及的有关事由（包括但不限于：“投标报价”、“投标文件的格式”、“投标文件的提交”、“投标文件的补充、修改或撤回”等）向</w:t>
      </w:r>
      <w:r>
        <w:rPr>
          <w:rFonts w:hint="eastAsia" w:ascii="宋体" w:hAnsi="宋体" w:eastAsia="宋体" w:cs="宋体"/>
          <w:spacing w:val="0"/>
          <w:sz w:val="19"/>
          <w:szCs w:val="19"/>
          <w:u w:val="single"/>
          <w:shd w:val="clear" w:fill="FFFFFF"/>
        </w:rPr>
        <w:t>福建省中达招标代理有限公司</w:t>
      </w:r>
      <w:r>
        <w:rPr>
          <w:rStyle w:val="5"/>
          <w:rFonts w:hint="eastAsia" w:ascii="宋体" w:hAnsi="宋体" w:eastAsia="宋体" w:cs="宋体"/>
          <w:spacing w:val="0"/>
          <w:sz w:val="19"/>
          <w:szCs w:val="19"/>
          <w:shd w:val="clear" w:fill="FFFFFF"/>
        </w:rPr>
        <w:t>提出任何疑义或要求（包括质疑）。</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11.5投标截止时间后，参加投标的投标人不足三家的，不进行开标。同时，本次采购活动结束，</w:t>
      </w:r>
      <w:r>
        <w:rPr>
          <w:rFonts w:hint="eastAsia" w:ascii="宋体" w:hAnsi="宋体" w:eastAsia="宋体" w:cs="宋体"/>
          <w:spacing w:val="0"/>
          <w:sz w:val="19"/>
          <w:szCs w:val="19"/>
          <w:u w:val="single"/>
          <w:shd w:val="clear" w:fill="FFFFFF"/>
        </w:rPr>
        <w:t>福建省中达招标代理有限公司</w:t>
      </w:r>
      <w:r>
        <w:rPr>
          <w:rFonts w:hint="eastAsia" w:ascii="宋体" w:hAnsi="宋体" w:eastAsia="宋体" w:cs="宋体"/>
          <w:spacing w:val="0"/>
          <w:sz w:val="19"/>
          <w:szCs w:val="19"/>
          <w:shd w:val="clear" w:fill="FFFFFF"/>
        </w:rPr>
        <w:t>将依法组织后续采购活动（包括但不限于：重新招标、采用其他方式采购等）。</w:t>
      </w:r>
    </w:p>
    <w:p>
      <w:pPr>
        <w:pStyle w:val="3"/>
        <w:keepNext w:val="0"/>
        <w:keepLines w:val="0"/>
        <w:widowControl/>
        <w:suppressLineNumbers w:val="0"/>
        <w:spacing w:before="60" w:beforeAutospacing="0" w:after="60" w:afterAutospacing="0"/>
        <w:ind w:left="0" w:right="0" w:firstLine="0"/>
        <w:jc w:val="center"/>
      </w:pPr>
      <w:r>
        <w:rPr>
          <w:rStyle w:val="5"/>
          <w:rFonts w:hint="eastAsia" w:ascii="宋体" w:hAnsi="宋体" w:eastAsia="宋体" w:cs="宋体"/>
          <w:spacing w:val="0"/>
          <w:sz w:val="19"/>
          <w:szCs w:val="19"/>
          <w:shd w:val="clear" w:fill="FFFFFF"/>
        </w:rPr>
        <w:t>六、中标与政府采购合同</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12、中标</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12.1本项目推荐的中标候选人家数：详见招标文件第二章。</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12.2本项目中标人的确定：详见招标文件第二章。</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12.3中标公告</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（1）中标人确定之日起</w:t>
      </w:r>
      <w:r>
        <w:rPr>
          <w:rFonts w:hint="default" w:ascii="Calibri" w:hAnsi="Calibri" w:cs="Calibri"/>
          <w:spacing w:val="0"/>
          <w:sz w:val="19"/>
          <w:szCs w:val="19"/>
          <w:shd w:val="clear" w:fill="FFFFFF"/>
        </w:rPr>
        <w:t>2</w:t>
      </w:r>
      <w:r>
        <w:rPr>
          <w:rFonts w:hint="eastAsia" w:ascii="宋体" w:hAnsi="宋体" w:eastAsia="宋体" w:cs="宋体"/>
          <w:spacing w:val="0"/>
          <w:sz w:val="19"/>
          <w:szCs w:val="19"/>
          <w:shd w:val="clear" w:fill="FFFFFF"/>
        </w:rPr>
        <w:t>个工作日内，</w:t>
      </w:r>
      <w:r>
        <w:rPr>
          <w:rFonts w:hint="eastAsia" w:ascii="宋体" w:hAnsi="宋体" w:eastAsia="宋体" w:cs="宋体"/>
          <w:spacing w:val="0"/>
          <w:sz w:val="19"/>
          <w:szCs w:val="19"/>
          <w:u w:val="single"/>
          <w:shd w:val="clear" w:fill="FFFFFF"/>
        </w:rPr>
        <w:t>福建省中达招标代理有限公司</w:t>
      </w:r>
      <w:r>
        <w:rPr>
          <w:rFonts w:hint="eastAsia" w:ascii="宋体" w:hAnsi="宋体" w:eastAsia="宋体" w:cs="宋体"/>
          <w:spacing w:val="0"/>
          <w:sz w:val="19"/>
          <w:szCs w:val="19"/>
          <w:shd w:val="clear" w:fill="FFFFFF"/>
        </w:rPr>
        <w:t>将在招标文件载明的指定媒体以中标公告的形式发布中标结果。</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（2）中标公告的公告期限为</w:t>
      </w:r>
      <w:r>
        <w:rPr>
          <w:rFonts w:hint="default" w:ascii="Calibri" w:hAnsi="Calibri" w:cs="Calibri"/>
          <w:spacing w:val="0"/>
          <w:sz w:val="19"/>
          <w:szCs w:val="19"/>
          <w:shd w:val="clear" w:fill="FFFFFF"/>
        </w:rPr>
        <w:t>1</w:t>
      </w:r>
      <w:r>
        <w:rPr>
          <w:rFonts w:hint="eastAsia" w:ascii="宋体" w:hAnsi="宋体" w:eastAsia="宋体" w:cs="宋体"/>
          <w:spacing w:val="0"/>
          <w:sz w:val="19"/>
          <w:szCs w:val="19"/>
          <w:shd w:val="clear" w:fill="FFFFFF"/>
        </w:rPr>
        <w:t>个工作日。</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（3）中标公告同时作为</w:t>
      </w:r>
      <w:r>
        <w:rPr>
          <w:rFonts w:hint="eastAsia" w:ascii="宋体" w:hAnsi="宋体" w:eastAsia="宋体" w:cs="宋体"/>
          <w:spacing w:val="0"/>
          <w:sz w:val="19"/>
          <w:szCs w:val="19"/>
          <w:u w:val="single"/>
          <w:shd w:val="clear" w:fill="FFFFFF"/>
        </w:rPr>
        <w:t>福建省中达招标代理有限公司</w:t>
      </w:r>
      <w:r>
        <w:rPr>
          <w:rFonts w:hint="eastAsia" w:ascii="宋体" w:hAnsi="宋体" w:eastAsia="宋体" w:cs="宋体"/>
          <w:spacing w:val="0"/>
          <w:sz w:val="19"/>
          <w:szCs w:val="19"/>
          <w:shd w:val="clear" w:fill="FFFFFF"/>
        </w:rPr>
        <w:t>通知除中标人外的其他投标人没有中标的书面形式。</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12.4中标通知书</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（1）中标公告发布的同时，</w:t>
      </w:r>
      <w:r>
        <w:rPr>
          <w:rFonts w:hint="eastAsia" w:ascii="宋体" w:hAnsi="宋体" w:eastAsia="宋体" w:cs="宋体"/>
          <w:spacing w:val="0"/>
          <w:sz w:val="19"/>
          <w:szCs w:val="19"/>
          <w:u w:val="single"/>
          <w:shd w:val="clear" w:fill="FFFFFF"/>
        </w:rPr>
        <w:t>福建省中达招标代理有限公司</w:t>
      </w:r>
      <w:r>
        <w:rPr>
          <w:rFonts w:hint="eastAsia" w:ascii="宋体" w:hAnsi="宋体" w:eastAsia="宋体" w:cs="宋体"/>
          <w:spacing w:val="0"/>
          <w:sz w:val="19"/>
          <w:szCs w:val="19"/>
          <w:shd w:val="clear" w:fill="FFFFFF"/>
        </w:rPr>
        <w:t>将向中标人发出中标通知书。</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（2）中标通知书发出后，采购人不得违法改变中标结果，中标人无正当理由不得放弃中标。</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13、政府采购合同</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13.1签订政府采购合同应遵守政府采购法及实施条例的规定，不得对招标文件确定的事项和中标人的投标文件作实质性修改。采购人不得向中标人提出任何不合理的要求作为政府采购合同的签订条件。</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13.2签订时限：自中标通知书发出之日起</w:t>
      </w:r>
      <w:r>
        <w:rPr>
          <w:rFonts w:hint="default" w:ascii="Calibri" w:hAnsi="Calibri" w:cs="Calibri"/>
          <w:spacing w:val="0"/>
          <w:sz w:val="19"/>
          <w:szCs w:val="19"/>
          <w:shd w:val="clear" w:fill="FFFFFF"/>
        </w:rPr>
        <w:t>30</w:t>
      </w:r>
      <w:r>
        <w:rPr>
          <w:rFonts w:hint="eastAsia" w:ascii="宋体" w:hAnsi="宋体" w:eastAsia="宋体" w:cs="宋体"/>
          <w:spacing w:val="0"/>
          <w:sz w:val="19"/>
          <w:szCs w:val="19"/>
          <w:shd w:val="clear" w:fill="FFFFFF"/>
        </w:rPr>
        <w:t>个日历日内。</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13.3政府采购合同的履行、违约责任和解决争议的方法等适用合同法。</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13.4采购人与中标人应根据政府采购合同的约定依法履行合同义务。</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13.5政府采购合同履行过程中，采购人若需追加与合同标的相同的货物或服务，则追加采购金额不得超过原合同采购金额的</w:t>
      </w:r>
      <w:r>
        <w:rPr>
          <w:rFonts w:hint="default" w:ascii="Calibri" w:hAnsi="Calibri" w:cs="Calibri"/>
          <w:spacing w:val="0"/>
          <w:sz w:val="19"/>
          <w:szCs w:val="19"/>
          <w:shd w:val="clear" w:fill="FFFFFF"/>
        </w:rPr>
        <w:t>10%</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13.6中标人在政府采购合同履行过程中应遵守有关法律、法规和规章的强制性规定（即使前述强制性规定有可能在招标文件中未予列明）。</w:t>
      </w:r>
    </w:p>
    <w:p>
      <w:pPr>
        <w:pStyle w:val="3"/>
        <w:keepNext w:val="0"/>
        <w:keepLines w:val="0"/>
        <w:widowControl/>
        <w:suppressLineNumbers w:val="0"/>
        <w:spacing w:before="60" w:beforeAutospacing="0" w:after="60" w:afterAutospacing="0"/>
        <w:ind w:left="0" w:right="0" w:firstLine="0"/>
        <w:jc w:val="center"/>
      </w:pPr>
      <w:r>
        <w:rPr>
          <w:rStyle w:val="5"/>
          <w:rFonts w:hint="eastAsia" w:ascii="宋体" w:hAnsi="宋体" w:eastAsia="宋体" w:cs="宋体"/>
          <w:spacing w:val="0"/>
          <w:sz w:val="19"/>
          <w:szCs w:val="19"/>
          <w:shd w:val="clear" w:fill="FFFFFF"/>
        </w:rPr>
        <w:t>七、询问、质疑与投诉</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14、询问</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14.1潜在投标人或投标人对本次采购活动的有关事项若有疑问，可向福建省中达招标代理有限公司提出询问，福建省中达招标代理有限公司将按照政府采购法及实施条例的有关规定进行答复。</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15、质疑</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15.1</w:t>
      </w:r>
      <w:r>
        <w:rPr>
          <w:rFonts w:hint="eastAsia" w:ascii="宋体" w:hAnsi="宋体" w:eastAsia="宋体" w:cs="宋体"/>
          <w:shd w:val="clear" w:fill="FFFFFF"/>
        </w:rPr>
        <w:t>针对同一采购程序环节的质疑应在政府采购法及实施条例规定的时限内一次性提出</w:t>
      </w:r>
      <w:r>
        <w:rPr>
          <w:rFonts w:hint="eastAsia" w:ascii="宋体" w:hAnsi="宋体" w:eastAsia="宋体" w:cs="宋体"/>
          <w:spacing w:val="0"/>
          <w:shd w:val="clear" w:fill="FFFFFF"/>
        </w:rPr>
        <w:t>，并同时符合下列条件：</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（1）对招标文件提出质疑的，质疑人应为潜在投标人，且两者的身份、名称等均应保持一致。对采购过程、结果提出质疑的，质疑人应为投标人，且两者的身份、名称等均应保持一致。</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（2）质疑人应按照招标文件第二章规定方式提交质疑函。</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（3）质疑函应包括下列主要内容：</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①质疑人的基本信息，至少包括：全称、地址、邮政编码等；</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②所质疑项目的基本信息，至少包括：招标编号、项目名称等；</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③所质疑的具体事项（以下简称：“质疑事项”）；</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④针对质疑事项提出的明确请求，前述明确请求指质疑人提出质疑的目的以及希望福建省中达招标代理有限公司对其质疑作出的处理结果，如：暂停招标投标活动、修改招标文件、停止或纠正违法违规行为、中标结果无效、废标、重新招标等；</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⑤针对质疑事项导致质疑人自身权益受到损害的必要证明材料，至少包括：</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a.质疑人代表的身份证明材料：</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a1</w:t>
      </w:r>
      <w:r>
        <w:rPr>
          <w:rFonts w:hint="eastAsia" w:ascii="宋体" w:hAnsi="宋体" w:eastAsia="宋体" w:cs="宋体"/>
          <w:shd w:val="clear" w:fill="FFFFFF"/>
        </w:rPr>
        <w:t>质疑人为法人或其他组织的，提供统一社会信用代码营业执照等证明文件的副本复印件、单位负责人的身份证复印件；质疑人代表为委托代理人的，还应同时提供单位负责人授权书（应载明代理人的姓名或者名称、代理事项、具体权限、期限和相关事项，授权书应由单位负责人签字或盖章，并加盖投标人的单位公章）和委托代理人的身份证复印件</w:t>
      </w:r>
      <w:r>
        <w:rPr>
          <w:rFonts w:hint="eastAsia" w:ascii="宋体" w:hAnsi="宋体" w:eastAsia="宋体" w:cs="宋体"/>
          <w:spacing w:val="0"/>
          <w:shd w:val="clear" w:fill="FFFFFF"/>
        </w:rPr>
        <w:t>。</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a2若本项目接受自然人投标且质疑人为自然人的，提供本人的身份证复印件。</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b.</w:t>
      </w:r>
      <w:r>
        <w:rPr>
          <w:rFonts w:hint="eastAsia" w:ascii="宋体" w:hAnsi="宋体" w:eastAsia="宋体" w:cs="宋体"/>
          <w:shd w:val="clear" w:fill="FFFFFF"/>
        </w:rPr>
        <w:t>其他证明材料（即事实依据和必要的法律依据）</w:t>
      </w:r>
      <w:r>
        <w:rPr>
          <w:rFonts w:hint="eastAsia" w:ascii="宋体" w:hAnsi="宋体" w:eastAsia="宋体" w:cs="宋体"/>
          <w:spacing w:val="0"/>
          <w:shd w:val="clear" w:fill="FFFFFF"/>
        </w:rPr>
        <w:t>包括但不限于下列材料：</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b1所质疑的具体事项是与自已有利害关系的证明材料；</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b2质疑函所述事实存在的证明材料，如：采购文件、采购过程或中标结果违法违规或不符合采购文件要求等证明材料；</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b3依法应终止采购程序的证明材料；</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b4应重新采购的证明材料；</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b5采购文件、采购过程或中标、成交结果损害自已合法权益的证明材料等；</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b6若质疑的具体事项按照有关法律、法规和规章规定处于保密阶段，则应提供信息或证明材料为合法或公开渠道获得的有效证据（若证据无法有效表明信息或证明材料为合法或公开渠道获得，则前述信息或证明材料</w:t>
      </w:r>
      <w:r>
        <w:rPr>
          <w:rStyle w:val="5"/>
          <w:rFonts w:hint="eastAsia" w:ascii="宋体" w:hAnsi="宋体" w:eastAsia="宋体" w:cs="宋体"/>
          <w:spacing w:val="0"/>
          <w:sz w:val="19"/>
          <w:szCs w:val="19"/>
          <w:shd w:val="clear" w:fill="FFFFFF"/>
        </w:rPr>
        <w:t>视为无效</w:t>
      </w:r>
      <w:r>
        <w:rPr>
          <w:rFonts w:hint="eastAsia" w:ascii="宋体" w:hAnsi="宋体" w:eastAsia="宋体" w:cs="宋体"/>
          <w:spacing w:val="0"/>
          <w:sz w:val="19"/>
          <w:szCs w:val="19"/>
          <w:shd w:val="clear" w:fill="FFFFFF"/>
        </w:rPr>
        <w:t>）。</w:t>
      </w:r>
      <w:r>
        <w:rPr>
          <w:rFonts w:hint="eastAsia" w:ascii="宋体" w:hAnsi="宋体" w:eastAsia="宋体" w:cs="宋体"/>
          <w:spacing w:val="0"/>
          <w:sz w:val="19"/>
          <w:szCs w:val="19"/>
          <w:shd w:val="clear" w:fill="FFFFFF"/>
        </w:rPr>
        <w:br w:type="textWrapping"/>
      </w:r>
      <w:r>
        <w:rPr>
          <w:rFonts w:hint="eastAsia" w:ascii="宋体" w:hAnsi="宋体" w:eastAsia="宋体" w:cs="宋体"/>
          <w:shd w:val="clear" w:fill="FFFFFF"/>
        </w:rPr>
        <w:t>⑥质疑人代表及其联系方法的信息，至少包括：姓名、手机、电子信箱、邮寄地址等。</w:t>
      </w:r>
      <w:r>
        <w:rPr>
          <w:rFonts w:hint="eastAsia" w:ascii="宋体" w:hAnsi="宋体" w:eastAsia="宋体" w:cs="宋体"/>
          <w:shd w:val="clear" w:fill="FFFFFF"/>
        </w:rPr>
        <w:br w:type="textWrapping"/>
      </w:r>
      <w:r>
        <w:rPr>
          <w:rFonts w:hint="eastAsia" w:ascii="宋体" w:hAnsi="宋体" w:eastAsia="宋体" w:cs="宋体"/>
          <w:shd w:val="clear" w:fill="FFFFFF"/>
        </w:rPr>
        <w:t>⑦提出质疑的日期。</w:t>
      </w:r>
    </w:p>
    <w:p>
      <w:pPr>
        <w:pStyle w:val="3"/>
        <w:keepNext w:val="0"/>
        <w:keepLines w:val="0"/>
        <w:widowControl/>
        <w:suppressLineNumbers w:val="0"/>
        <w:spacing w:before="0" w:beforeAutospacing="0" w:after="0" w:afterAutospacing="0"/>
        <w:ind w:left="0" w:right="0" w:firstLine="384"/>
      </w:pPr>
      <w:r>
        <w:rPr>
          <w:rStyle w:val="5"/>
          <w:rFonts w:hint="eastAsia" w:ascii="宋体" w:hAnsi="宋体" w:eastAsia="宋体" w:cs="宋体"/>
          <w:sz w:val="19"/>
          <w:szCs w:val="19"/>
          <w:bdr w:val="none" w:color="auto" w:sz="0" w:space="0"/>
          <w:shd w:val="clear" w:fill="FFFFFF"/>
        </w:rPr>
        <w:t>※质疑人为法人或其他组织的，质疑函应由单位负责人或委托代理人签字或盖章，并加盖投标人的单位公章。质疑人为自然人的，质疑函应由本人签字。</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15.2对不符合本章第</w:t>
      </w:r>
      <w:r>
        <w:rPr>
          <w:rFonts w:hint="default" w:ascii="Calibri" w:hAnsi="Calibri" w:cs="Calibri"/>
          <w:spacing w:val="0"/>
          <w:sz w:val="19"/>
          <w:szCs w:val="19"/>
          <w:shd w:val="clear" w:fill="FFFFFF"/>
        </w:rPr>
        <w:t>15.1</w:t>
      </w:r>
      <w:r>
        <w:rPr>
          <w:rFonts w:hint="eastAsia" w:ascii="宋体" w:hAnsi="宋体" w:eastAsia="宋体" w:cs="宋体"/>
          <w:spacing w:val="0"/>
          <w:sz w:val="19"/>
          <w:szCs w:val="19"/>
          <w:shd w:val="clear" w:fill="FFFFFF"/>
        </w:rPr>
        <w:t>条规定的质疑，将按照下列规定进行处理：</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（1）不符合其中第（</w:t>
      </w:r>
      <w:r>
        <w:rPr>
          <w:rFonts w:hint="default" w:ascii="Calibri" w:hAnsi="Calibri" w:cs="Calibri"/>
          <w:spacing w:val="0"/>
          <w:sz w:val="19"/>
          <w:szCs w:val="19"/>
          <w:shd w:val="clear" w:fill="FFFFFF"/>
        </w:rPr>
        <w:t>1</w:t>
      </w:r>
      <w:r>
        <w:rPr>
          <w:rFonts w:hint="eastAsia" w:ascii="宋体" w:hAnsi="宋体" w:eastAsia="宋体" w:cs="宋体"/>
          <w:spacing w:val="0"/>
          <w:sz w:val="19"/>
          <w:szCs w:val="19"/>
          <w:shd w:val="clear" w:fill="FFFFFF"/>
        </w:rPr>
        <w:t>）、（</w:t>
      </w:r>
      <w:r>
        <w:rPr>
          <w:rFonts w:hint="default" w:ascii="Calibri" w:hAnsi="Calibri" w:cs="Calibri"/>
          <w:spacing w:val="0"/>
          <w:sz w:val="19"/>
          <w:szCs w:val="19"/>
          <w:shd w:val="clear" w:fill="FFFFFF"/>
        </w:rPr>
        <w:t>2</w:t>
      </w:r>
      <w:r>
        <w:rPr>
          <w:rFonts w:hint="eastAsia" w:ascii="宋体" w:hAnsi="宋体" w:eastAsia="宋体" w:cs="宋体"/>
          <w:spacing w:val="0"/>
          <w:sz w:val="19"/>
          <w:szCs w:val="19"/>
          <w:shd w:val="clear" w:fill="FFFFFF"/>
        </w:rPr>
        <w:t>）条规定的，书面告知质疑人不予受理及其理由。</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（2）不符合其中第（</w:t>
      </w:r>
      <w:r>
        <w:rPr>
          <w:rFonts w:hint="default" w:ascii="Calibri" w:hAnsi="Calibri" w:cs="Calibri"/>
          <w:spacing w:val="0"/>
          <w:sz w:val="19"/>
          <w:szCs w:val="19"/>
          <w:shd w:val="clear" w:fill="FFFFFF"/>
        </w:rPr>
        <w:t>3</w:t>
      </w:r>
      <w:r>
        <w:rPr>
          <w:rFonts w:hint="eastAsia" w:ascii="宋体" w:hAnsi="宋体" w:eastAsia="宋体" w:cs="宋体"/>
          <w:spacing w:val="0"/>
          <w:sz w:val="19"/>
          <w:szCs w:val="19"/>
          <w:shd w:val="clear" w:fill="FFFFFF"/>
        </w:rPr>
        <w:t>）条规定的，书面告知质疑人修改、补充后在规定时限内重新提交质疑函。</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15.3对符合本章第</w:t>
      </w:r>
      <w:r>
        <w:rPr>
          <w:rFonts w:hint="default" w:ascii="Calibri" w:hAnsi="Calibri" w:cs="Calibri"/>
          <w:spacing w:val="0"/>
          <w:sz w:val="19"/>
          <w:szCs w:val="19"/>
          <w:shd w:val="clear" w:fill="FFFFFF"/>
        </w:rPr>
        <w:t>15.1</w:t>
      </w:r>
      <w:r>
        <w:rPr>
          <w:rFonts w:hint="eastAsia" w:ascii="宋体" w:hAnsi="宋体" w:eastAsia="宋体" w:cs="宋体"/>
          <w:spacing w:val="0"/>
          <w:sz w:val="19"/>
          <w:szCs w:val="19"/>
          <w:shd w:val="clear" w:fill="FFFFFF"/>
        </w:rPr>
        <w:t>条规定的质疑，将按照政府采购法及实施条例</w:t>
      </w:r>
      <w:r>
        <w:rPr>
          <w:rFonts w:hint="eastAsia" w:ascii="宋体" w:hAnsi="宋体" w:eastAsia="宋体" w:cs="宋体"/>
          <w:shd w:val="clear" w:fill="FFFFFF"/>
        </w:rPr>
        <w:t>、政府采购质疑和投诉办法</w:t>
      </w:r>
      <w:r>
        <w:rPr>
          <w:rFonts w:hint="eastAsia" w:ascii="宋体" w:hAnsi="宋体" w:eastAsia="宋体" w:cs="宋体"/>
          <w:spacing w:val="0"/>
          <w:shd w:val="clear" w:fill="FFFFFF"/>
        </w:rPr>
        <w:t>的有关规定进行答复。</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15.4招标文件的质疑：详见招标文件第二章。</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16、投诉</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9"/>
          <w:szCs w:val="19"/>
          <w:bdr w:val="none" w:color="auto" w:sz="0" w:space="0"/>
          <w:shd w:val="clear" w:fill="FFFFFF"/>
        </w:rPr>
        <w:t>16.1若对质疑答复不满意或质疑答复未在答复期限内作出，质疑人可在答复期限届满之日起</w:t>
      </w:r>
      <w:r>
        <w:rPr>
          <w:rFonts w:hint="default" w:ascii="Calibri" w:hAnsi="Calibri" w:eastAsia="宋体" w:cs="Calibri"/>
          <w:sz w:val="19"/>
          <w:szCs w:val="19"/>
          <w:bdr w:val="none" w:color="auto" w:sz="0" w:space="0"/>
          <w:shd w:val="clear" w:fill="FFFFFF"/>
        </w:rPr>
        <w:t>15</w:t>
      </w:r>
      <w:r>
        <w:rPr>
          <w:rFonts w:hint="eastAsia" w:ascii="宋体" w:hAnsi="宋体" w:eastAsia="宋体" w:cs="宋体"/>
          <w:sz w:val="19"/>
          <w:szCs w:val="19"/>
          <w:bdr w:val="none" w:color="auto" w:sz="0" w:space="0"/>
          <w:shd w:val="clear" w:fill="FFFFFF"/>
        </w:rPr>
        <w:t>个工作日内按照政府采购质疑和投诉办法的有关规定向招标文件第二章载明的本项目监督管理部门提起投诉。</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16.2投诉应有明确的请求和必要的证明材料，投诉的事项不得超出已质疑事项的范围。</w:t>
      </w:r>
    </w:p>
    <w:p>
      <w:pPr>
        <w:pStyle w:val="3"/>
        <w:keepNext w:val="0"/>
        <w:keepLines w:val="0"/>
        <w:widowControl/>
        <w:suppressLineNumbers w:val="0"/>
        <w:spacing w:before="60" w:beforeAutospacing="0" w:after="60" w:afterAutospacing="0"/>
        <w:ind w:left="0" w:right="0" w:firstLine="0"/>
        <w:jc w:val="center"/>
      </w:pPr>
      <w:r>
        <w:rPr>
          <w:rStyle w:val="5"/>
          <w:rFonts w:hint="eastAsia" w:ascii="宋体" w:hAnsi="宋体" w:eastAsia="宋体" w:cs="宋体"/>
          <w:spacing w:val="0"/>
          <w:sz w:val="19"/>
          <w:szCs w:val="19"/>
          <w:shd w:val="clear" w:fill="FFFFFF"/>
        </w:rPr>
        <w:t>八、政府采购政策</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17、政府采购政策由财政部根据国家的经济和社会发展政策并会同国家有关部委制定，包括但不限于下列具体政策要求：</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17.1进口产品指通过中国海关报关验放进入中国境内且产自关境外的产品，其中：</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（2）凡在海关特殊监管区域内企业生产或加工（包括从境外进口料件）销往境内其他地区的产品，不作为政府采购项下进口产品。</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（3）对从境外进入海关特殊监管区域，再经办理报关手续后从海关特殊监管区进入境内其他地区的产品，认定为进口产品。</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（4）招标文件列明不允许或未列明允许进口产品参加投标的，均视为拒绝进口产品参加投标。</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17.2节能产品指列入财政部、国家发改委《节能产品政府采购清单》（以下简称：“节能清单”）的产品。环境标志产品指列入财政部、环保部《环境标志产品政府采购清单》（以下简称：“环保清单”）的产品。其中：</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节能清单所列产品包括政府强制采购和优先采购的节能产品。未列入节能清单的产品，不属于政府强制采购、优先采购的节能产品（以下分别简称：“强制类节能产品”、“优先类节能产品”）范围。节能清单中的产品，其制造商名称或地址在清单执行期内依法变更的，经有关认证机构核准并办理认证证书变更手续后，仍属于节能清单的范围。节能清单中的台式计算机产品的性能参数应与节能清单所列性能参数一致，否则不属于节能清单的范围。</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环保清单所列产品为政府优先采购产品。未列入环保清单的产品，不属于政府优先采购的环境标志产品范围。环保清单中的产品，其制造商名称或地址在清单执行期内依法变更的，经有关认证机构核准并办理认证证书变更手续后，仍属于环保清单的范围。环保清单中的台式计算机产品的性能参数应与环保清单所列性能参数一致，否则不属于环保清单的范围。</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（3）对于同时列入节能清单和环保清单的产品，优先于只列入其中一个清单的产品。</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（4）在财政部会同上述国家部委调整公布最新一期节能或环保清单通知发布之前已经开展但尚未进入评审环节的采购活动，按照招标文件约定的期数执行。在发布之后开展的采购活动，按照最新一期执行。</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17.3列入国家质检总局、国家认监委《第一批信息安全产品强制性认证目录》（以下简称“信息安全产品目录”）内的信息安全产品，应获得强制性产品认证证书（即中国信息安全认证中心颁发的《中国国家信息安全产品认证证书》）和加施中国强制性认证标志。未列入信息安全产品目录的产品，不属于政府强制采购的信息安全产品范围。</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17.4符合财政部、工信部文件（财库</w:t>
      </w:r>
      <w:r>
        <w:rPr>
          <w:rFonts w:hint="default" w:ascii="Calibri" w:hAnsi="Calibri" w:cs="Calibri"/>
          <w:spacing w:val="0"/>
          <w:sz w:val="19"/>
          <w:szCs w:val="19"/>
          <w:shd w:val="clear" w:fill="FFFFFF"/>
        </w:rPr>
        <w:t>[2011]181</w:t>
      </w:r>
      <w:r>
        <w:rPr>
          <w:rFonts w:hint="eastAsia" w:ascii="宋体" w:hAnsi="宋体" w:eastAsia="宋体" w:cs="宋体"/>
          <w:spacing w:val="0"/>
          <w:sz w:val="19"/>
          <w:szCs w:val="19"/>
          <w:shd w:val="clear" w:fill="FFFFFF"/>
        </w:rPr>
        <w:t>号）规定的</w:t>
      </w:r>
      <w:r>
        <w:rPr>
          <w:rStyle w:val="5"/>
          <w:rFonts w:hint="eastAsia" w:ascii="宋体" w:hAnsi="宋体" w:eastAsia="宋体" w:cs="宋体"/>
          <w:spacing w:val="0"/>
          <w:sz w:val="19"/>
          <w:szCs w:val="19"/>
          <w:shd w:val="clear" w:fill="FFFFFF"/>
        </w:rPr>
        <w:t>小型、微型企业</w:t>
      </w:r>
      <w:r>
        <w:rPr>
          <w:rFonts w:hint="eastAsia" w:ascii="宋体" w:hAnsi="宋体" w:eastAsia="宋体" w:cs="宋体"/>
          <w:spacing w:val="0"/>
          <w:sz w:val="19"/>
          <w:szCs w:val="19"/>
          <w:shd w:val="clear" w:fill="FFFFFF"/>
        </w:rPr>
        <w:t>可享受扶持政策（如：预留份额、评审中价格扣除等）。符合财政部、司法部文件（财库[2014]68号）规定的监狱企业（以下简称：</w:t>
      </w:r>
      <w:r>
        <w:rPr>
          <w:rStyle w:val="5"/>
          <w:rFonts w:hint="eastAsia" w:ascii="宋体" w:hAnsi="宋体" w:eastAsia="宋体" w:cs="宋体"/>
          <w:spacing w:val="0"/>
          <w:sz w:val="19"/>
          <w:szCs w:val="19"/>
          <w:shd w:val="clear" w:fill="FFFFFF"/>
        </w:rPr>
        <w:t>“监狱企业”</w:t>
      </w:r>
      <w:r>
        <w:rPr>
          <w:rFonts w:hint="eastAsia" w:ascii="宋体" w:hAnsi="宋体" w:eastAsia="宋体" w:cs="宋体"/>
          <w:spacing w:val="0"/>
          <w:sz w:val="19"/>
          <w:szCs w:val="19"/>
          <w:shd w:val="clear" w:fill="FFFFFF"/>
        </w:rPr>
        <w:t>）亦可享受前述扶持政策。符合财政部、民政部、中国残联文件（财库[2017]141号）规定的残疾人福利性单位（以下简称：</w:t>
      </w:r>
      <w:r>
        <w:rPr>
          <w:rStyle w:val="5"/>
          <w:rFonts w:hint="eastAsia" w:ascii="宋体" w:hAnsi="宋体" w:eastAsia="宋体" w:cs="宋体"/>
          <w:spacing w:val="0"/>
          <w:sz w:val="19"/>
          <w:szCs w:val="19"/>
          <w:shd w:val="clear" w:fill="FFFFFF"/>
        </w:rPr>
        <w:t>“残疾人福利性单位”</w:t>
      </w:r>
      <w:r>
        <w:rPr>
          <w:rFonts w:hint="eastAsia" w:ascii="宋体" w:hAnsi="宋体" w:eastAsia="宋体" w:cs="宋体"/>
          <w:spacing w:val="0"/>
          <w:sz w:val="19"/>
          <w:szCs w:val="19"/>
          <w:shd w:val="clear" w:fill="FFFFFF"/>
        </w:rPr>
        <w:t>）亦可享受前述扶持政策。其中：</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（1）中小企业指同时符合下列条件的中型、小型、微型企业：</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①符合《工业和信息化部、国家统计局、国家发展和改革委员会、财政部关于印发中小企业划型标准规定的通知》（工信部联企业</w:t>
      </w:r>
      <w:r>
        <w:rPr>
          <w:rFonts w:hint="default" w:ascii="Calibri" w:hAnsi="Calibri" w:cs="Calibri"/>
          <w:spacing w:val="0"/>
          <w:sz w:val="19"/>
          <w:szCs w:val="19"/>
          <w:shd w:val="clear" w:fill="FFFFFF"/>
        </w:rPr>
        <w:t>[2011]300</w:t>
      </w:r>
      <w:r>
        <w:rPr>
          <w:rFonts w:hint="eastAsia" w:ascii="宋体" w:hAnsi="宋体" w:eastAsia="宋体" w:cs="宋体"/>
          <w:spacing w:val="0"/>
          <w:sz w:val="19"/>
          <w:szCs w:val="19"/>
          <w:shd w:val="clear" w:fill="FFFFFF"/>
        </w:rPr>
        <w:t>号）规定的划分标准；</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②提供本企业制造的货物、承担的工程或服务，或提供其他中小企业制造的货物。本项所称货物不包括使用大型企业注册商标的货物。小型、微型企业提供中型企业制造的货物，视同中型企业。</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①监狱企业参加采购活动时，应提供由省级以上监狱管理局、戒毒管理局（含新疆生产建设兵团）出具的属于监狱企业的证明文件。</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②监狱企业视同小型、微型企业。</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（3）残疾人福利性单位指同时符合下列条件的单位：</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①安置的残疾人占本单位在职职工人数的比例不低于</w:t>
      </w:r>
      <w:r>
        <w:rPr>
          <w:rFonts w:hint="default" w:ascii="Calibri" w:hAnsi="Calibri" w:cs="Calibri"/>
          <w:spacing w:val="0"/>
          <w:sz w:val="19"/>
          <w:szCs w:val="19"/>
          <w:shd w:val="clear" w:fill="FFFFFF"/>
        </w:rPr>
        <w:t>25%</w:t>
      </w:r>
      <w:r>
        <w:rPr>
          <w:rFonts w:hint="eastAsia" w:ascii="宋体" w:hAnsi="宋体" w:eastAsia="宋体" w:cs="宋体"/>
          <w:spacing w:val="0"/>
          <w:sz w:val="19"/>
          <w:szCs w:val="19"/>
          <w:shd w:val="clear" w:fill="FFFFFF"/>
        </w:rPr>
        <w:t>（含</w:t>
      </w:r>
      <w:r>
        <w:rPr>
          <w:rFonts w:hint="default" w:ascii="Calibri" w:hAnsi="Calibri" w:cs="Calibri"/>
          <w:spacing w:val="0"/>
          <w:sz w:val="19"/>
          <w:szCs w:val="19"/>
          <w:shd w:val="clear" w:fill="FFFFFF"/>
        </w:rPr>
        <w:t>25%</w:t>
      </w:r>
      <w:r>
        <w:rPr>
          <w:rFonts w:hint="eastAsia" w:ascii="宋体" w:hAnsi="宋体" w:eastAsia="宋体" w:cs="宋体"/>
          <w:spacing w:val="0"/>
          <w:sz w:val="19"/>
          <w:szCs w:val="19"/>
          <w:shd w:val="clear" w:fill="FFFFFF"/>
        </w:rPr>
        <w:t>），并且安置的残疾人人数不少于</w:t>
      </w:r>
      <w:r>
        <w:rPr>
          <w:rFonts w:hint="default" w:ascii="Calibri" w:hAnsi="Calibri" w:cs="Calibri"/>
          <w:spacing w:val="0"/>
          <w:sz w:val="19"/>
          <w:szCs w:val="19"/>
          <w:shd w:val="clear" w:fill="FFFFFF"/>
        </w:rPr>
        <w:t>10</w:t>
      </w:r>
      <w:r>
        <w:rPr>
          <w:rFonts w:hint="eastAsia" w:ascii="宋体" w:hAnsi="宋体" w:eastAsia="宋体" w:cs="宋体"/>
          <w:spacing w:val="0"/>
          <w:sz w:val="19"/>
          <w:szCs w:val="19"/>
          <w:shd w:val="clear" w:fill="FFFFFF"/>
        </w:rPr>
        <w:t>人（含</w:t>
      </w:r>
      <w:r>
        <w:rPr>
          <w:rFonts w:hint="default" w:ascii="Calibri" w:hAnsi="Calibri" w:cs="Calibri"/>
          <w:spacing w:val="0"/>
          <w:sz w:val="19"/>
          <w:szCs w:val="19"/>
          <w:shd w:val="clear" w:fill="FFFFFF"/>
        </w:rPr>
        <w:t>10</w:t>
      </w:r>
      <w:r>
        <w:rPr>
          <w:rFonts w:hint="eastAsia" w:ascii="宋体" w:hAnsi="宋体" w:eastAsia="宋体" w:cs="宋体"/>
          <w:spacing w:val="0"/>
          <w:sz w:val="19"/>
          <w:szCs w:val="19"/>
          <w:shd w:val="clear" w:fill="FFFFFF"/>
        </w:rPr>
        <w:t>人）；</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②依法与安置的每位残疾人签订了一年以上（含一年）的劳动合同或服务协议；</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③为安置的每位残疾人按月足额缴纳了基本养老保险、基本医疗保险、失业保险、工伤保险和生育保险等社会保险费；</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④通过银行等金融机构向安置的每位残疾人，按月支付了不低于单位所在区县适用的经省级人民政府批准的月最低工资标准的工资；</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⑤提供本单位制造的货物、承担的工程或服务，或提供其他残疾人福利性单位制造的货物（不包括使用非残疾人福利性单位注册商标的货物）。</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前款所称残疾人指法定劳动年龄内，持有《中华人民共和国残疾人证》或《中华人民共和国残疾军人证（1至</w:t>
      </w:r>
      <w:r>
        <w:rPr>
          <w:rFonts w:hint="default" w:ascii="Calibri" w:hAnsi="Calibri" w:cs="Calibri"/>
          <w:spacing w:val="0"/>
          <w:sz w:val="19"/>
          <w:szCs w:val="19"/>
          <w:shd w:val="clear" w:fill="FFFFFF"/>
        </w:rPr>
        <w:t>8</w:t>
      </w:r>
      <w:r>
        <w:rPr>
          <w:rFonts w:hint="eastAsia" w:ascii="宋体" w:hAnsi="宋体" w:eastAsia="宋体" w:cs="宋体"/>
          <w:spacing w:val="0"/>
          <w:sz w:val="19"/>
          <w:szCs w:val="19"/>
          <w:shd w:val="clear" w:fill="FFFFFF"/>
        </w:rPr>
        <w:t>级）》的自然人，包括具有劳动条件和劳动意愿的精神残疾人。在职职工人数是指与残疾人福利性单位建立劳动关系并依法签订劳动合同或服务协议的雇员人数。</w:t>
      </w:r>
    </w:p>
    <w:p>
      <w:pPr>
        <w:pStyle w:val="3"/>
        <w:keepNext w:val="0"/>
        <w:keepLines w:val="0"/>
        <w:widowControl/>
        <w:suppressLineNumbers w:val="0"/>
        <w:spacing w:before="60" w:beforeAutospacing="0" w:after="60" w:afterAutospacing="0"/>
        <w:ind w:left="0" w:right="0" w:firstLine="384"/>
      </w:pPr>
      <w:r>
        <w:rPr>
          <w:rStyle w:val="5"/>
          <w:rFonts w:hint="eastAsia" w:ascii="宋体" w:hAnsi="宋体" w:eastAsia="宋体" w:cs="宋体"/>
          <w:spacing w:val="0"/>
          <w:sz w:val="19"/>
          <w:szCs w:val="19"/>
          <w:shd w:val="clear" w:fill="FFFFFF"/>
        </w:rPr>
        <w:t>※符合上述条件的残疾人福利性单位参加采购活动时，应提供《残疾人福利性单位声明函》，并对声明的真实性负责。残疾人福利性单位视同小型、微型企业。残疾人福利性单位属于小型、微型企业的，不重复享受政策。</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17.5信用记录指由财政部确定的有关网站提供的相关主体信用信息。信用记录的查询及使用应符合财政部文件（财库</w:t>
      </w:r>
      <w:r>
        <w:rPr>
          <w:rFonts w:hint="default" w:ascii="Calibri" w:hAnsi="Calibri" w:cs="Calibri"/>
          <w:spacing w:val="0"/>
          <w:sz w:val="19"/>
          <w:szCs w:val="19"/>
          <w:shd w:val="clear" w:fill="FFFFFF"/>
        </w:rPr>
        <w:t>[2016]125</w:t>
      </w:r>
      <w:r>
        <w:rPr>
          <w:rFonts w:hint="eastAsia" w:ascii="宋体" w:hAnsi="宋体" w:eastAsia="宋体" w:cs="宋体"/>
          <w:spacing w:val="0"/>
          <w:sz w:val="19"/>
          <w:szCs w:val="19"/>
          <w:shd w:val="clear" w:fill="FFFFFF"/>
        </w:rPr>
        <w:t>号）规定。</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17.6为落实政府采购政策需满足的要求：详见招标文件第一章。</w:t>
      </w:r>
    </w:p>
    <w:p>
      <w:pPr>
        <w:pStyle w:val="3"/>
        <w:keepNext w:val="0"/>
        <w:keepLines w:val="0"/>
        <w:widowControl/>
        <w:suppressLineNumbers w:val="0"/>
        <w:spacing w:before="60" w:beforeAutospacing="0" w:after="60" w:afterAutospacing="0"/>
        <w:ind w:left="0" w:right="0" w:firstLine="0"/>
        <w:jc w:val="center"/>
      </w:pPr>
      <w:r>
        <w:rPr>
          <w:rStyle w:val="5"/>
          <w:rFonts w:hint="eastAsia" w:ascii="宋体" w:hAnsi="宋体" w:eastAsia="宋体" w:cs="宋体"/>
          <w:spacing w:val="0"/>
          <w:sz w:val="19"/>
          <w:szCs w:val="19"/>
          <w:shd w:val="clear" w:fill="FFFFFF"/>
        </w:rPr>
        <w:t>九、本项目的有关信息</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18、本项目的有关信息，包括但不限于：招标公告、更正公告（若有）、招标文件、招标文件的澄清或修改（若有）、中标公告、终止公告（若有）、废标公告（若有）等都将在招标文件载明的指定媒体发布。</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18.1指定媒体：详见招标文件第二章。</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18.2本项目的潜在投标人或投标人应随时关注指定媒体，否则产生不利后果由其自行承担。</w:t>
      </w:r>
    </w:p>
    <w:p>
      <w:pPr>
        <w:pStyle w:val="3"/>
        <w:keepNext w:val="0"/>
        <w:keepLines w:val="0"/>
        <w:widowControl/>
        <w:suppressLineNumbers w:val="0"/>
        <w:spacing w:before="60" w:beforeAutospacing="0" w:after="60" w:afterAutospacing="0"/>
        <w:ind w:left="0" w:right="0" w:firstLine="0"/>
        <w:jc w:val="center"/>
      </w:pPr>
      <w:r>
        <w:rPr>
          <w:rStyle w:val="5"/>
          <w:rFonts w:hint="eastAsia" w:ascii="宋体" w:hAnsi="宋体" w:eastAsia="宋体" w:cs="宋体"/>
          <w:spacing w:val="0"/>
          <w:sz w:val="19"/>
          <w:szCs w:val="19"/>
          <w:shd w:val="clear" w:fill="FFFFFF"/>
        </w:rPr>
        <w:t>十、其他事项</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19、其他事项：详见招标文件第二章。</w:t>
      </w:r>
    </w:p>
    <w:p>
      <w:pPr>
        <w:pStyle w:val="3"/>
        <w:keepNext w:val="0"/>
        <w:keepLines w:val="0"/>
        <w:widowControl/>
        <w:suppressLineNumbers w:val="0"/>
        <w:spacing w:before="60" w:beforeAutospacing="0" w:after="60" w:afterAutospacing="0"/>
        <w:ind w:left="0" w:right="0" w:firstLine="0"/>
        <w:jc w:val="center"/>
      </w:pPr>
      <w:r>
        <w:rPr>
          <w:rStyle w:val="5"/>
          <w:rFonts w:hint="eastAsia" w:ascii="宋体" w:hAnsi="宋体" w:eastAsia="宋体" w:cs="宋体"/>
          <w:spacing w:val="0"/>
          <w:sz w:val="25"/>
          <w:szCs w:val="25"/>
          <w:shd w:val="clear" w:fill="FFFFFF"/>
        </w:rPr>
        <w:t>第四章 资格审查与评标</w:t>
      </w:r>
    </w:p>
    <w:p>
      <w:pPr>
        <w:pStyle w:val="3"/>
        <w:keepNext w:val="0"/>
        <w:keepLines w:val="0"/>
        <w:widowControl/>
        <w:suppressLineNumbers w:val="0"/>
        <w:spacing w:before="60" w:beforeAutospacing="0" w:after="60" w:afterAutospacing="0"/>
        <w:ind w:left="0" w:right="0" w:firstLine="0"/>
        <w:jc w:val="center"/>
      </w:pPr>
      <w:r>
        <w:rPr>
          <w:rStyle w:val="5"/>
          <w:rFonts w:hint="eastAsia" w:ascii="宋体" w:hAnsi="宋体" w:eastAsia="宋体" w:cs="宋体"/>
          <w:spacing w:val="0"/>
          <w:sz w:val="19"/>
          <w:szCs w:val="19"/>
          <w:shd w:val="clear" w:fill="FFFFFF"/>
        </w:rPr>
        <w:t>一、资格审查</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1、开标结束后，由</w:t>
      </w:r>
      <w:r>
        <w:rPr>
          <w:rFonts w:hint="eastAsia" w:ascii="宋体" w:hAnsi="宋体" w:eastAsia="宋体" w:cs="宋体"/>
          <w:spacing w:val="0"/>
          <w:sz w:val="19"/>
          <w:szCs w:val="19"/>
          <w:u w:val="single"/>
          <w:shd w:val="clear" w:fill="FFFFFF"/>
        </w:rPr>
        <w:t>福建省中达招标代理有限公司</w:t>
      </w:r>
      <w:r>
        <w:rPr>
          <w:rFonts w:hint="eastAsia" w:ascii="宋体" w:hAnsi="宋体" w:eastAsia="宋体" w:cs="宋体"/>
          <w:spacing w:val="0"/>
          <w:sz w:val="19"/>
          <w:szCs w:val="19"/>
          <w:shd w:val="clear" w:fill="FFFFFF"/>
        </w:rPr>
        <w:t>负责资格审查小组的组建及资格审查工作的组织。</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1.1资格审查小组由</w:t>
      </w:r>
      <w:r>
        <w:rPr>
          <w:rFonts w:hint="default" w:ascii="Calibri" w:hAnsi="Calibri" w:cs="Calibri"/>
          <w:spacing w:val="0"/>
          <w:sz w:val="19"/>
          <w:szCs w:val="19"/>
          <w:shd w:val="clear" w:fill="FFFFFF"/>
        </w:rPr>
        <w:t>3</w:t>
      </w:r>
      <w:r>
        <w:rPr>
          <w:rFonts w:hint="eastAsia" w:ascii="宋体" w:hAnsi="宋体" w:eastAsia="宋体" w:cs="宋体"/>
          <w:spacing w:val="0"/>
          <w:sz w:val="19"/>
          <w:szCs w:val="19"/>
          <w:shd w:val="clear" w:fill="FFFFFF"/>
        </w:rPr>
        <w:t>人组成，并负责具体审查事务，其中：由采购人派出的采购人代表至少</w:t>
      </w:r>
      <w:r>
        <w:rPr>
          <w:rFonts w:hint="eastAsia" w:ascii="宋体" w:hAnsi="宋体" w:eastAsia="宋体" w:cs="宋体"/>
          <w:spacing w:val="0"/>
          <w:sz w:val="19"/>
          <w:szCs w:val="19"/>
          <w:u w:val="single"/>
          <w:shd w:val="clear" w:fill="FFFFFF"/>
        </w:rPr>
        <w:t>1</w:t>
      </w:r>
      <w:r>
        <w:rPr>
          <w:rFonts w:hint="eastAsia" w:ascii="宋体" w:hAnsi="宋体" w:eastAsia="宋体" w:cs="宋体"/>
          <w:spacing w:val="0"/>
          <w:sz w:val="19"/>
          <w:szCs w:val="19"/>
          <w:shd w:val="clear" w:fill="FFFFFF"/>
        </w:rPr>
        <w:t>人，由</w:t>
      </w:r>
      <w:r>
        <w:rPr>
          <w:rFonts w:hint="eastAsia" w:ascii="宋体" w:hAnsi="宋体" w:eastAsia="宋体" w:cs="宋体"/>
          <w:spacing w:val="0"/>
          <w:sz w:val="19"/>
          <w:szCs w:val="19"/>
          <w:u w:val="single"/>
          <w:shd w:val="clear" w:fill="FFFFFF"/>
        </w:rPr>
        <w:t>福建省中达招标代理有限公司</w:t>
      </w:r>
      <w:r>
        <w:rPr>
          <w:rFonts w:hint="eastAsia" w:ascii="宋体" w:hAnsi="宋体" w:eastAsia="宋体" w:cs="宋体"/>
          <w:spacing w:val="0"/>
          <w:sz w:val="19"/>
          <w:szCs w:val="19"/>
          <w:shd w:val="clear" w:fill="FFFFFF"/>
        </w:rPr>
        <w:t>派出的工作人员至少</w:t>
      </w:r>
      <w:r>
        <w:rPr>
          <w:rFonts w:hint="eastAsia" w:ascii="宋体" w:hAnsi="宋体" w:eastAsia="宋体" w:cs="宋体"/>
          <w:spacing w:val="0"/>
          <w:sz w:val="19"/>
          <w:szCs w:val="19"/>
          <w:u w:val="single"/>
          <w:shd w:val="clear" w:fill="FFFFFF"/>
        </w:rPr>
        <w:t>1</w:t>
      </w:r>
      <w:r>
        <w:rPr>
          <w:rFonts w:hint="eastAsia" w:ascii="宋体" w:hAnsi="宋体" w:eastAsia="宋体" w:cs="宋体"/>
          <w:spacing w:val="0"/>
          <w:sz w:val="19"/>
          <w:szCs w:val="19"/>
          <w:shd w:val="clear" w:fill="FFFFFF"/>
        </w:rPr>
        <w:t>人，其余</w:t>
      </w:r>
      <w:r>
        <w:rPr>
          <w:rFonts w:hint="eastAsia" w:ascii="宋体" w:hAnsi="宋体" w:eastAsia="宋体" w:cs="宋体"/>
          <w:spacing w:val="0"/>
          <w:sz w:val="19"/>
          <w:szCs w:val="19"/>
          <w:u w:val="single"/>
          <w:shd w:val="clear" w:fill="FFFFFF"/>
        </w:rPr>
        <w:t>1</w:t>
      </w:r>
      <w:r>
        <w:rPr>
          <w:rFonts w:hint="eastAsia" w:ascii="宋体" w:hAnsi="宋体" w:eastAsia="宋体" w:cs="宋体"/>
          <w:spacing w:val="0"/>
          <w:sz w:val="19"/>
          <w:szCs w:val="19"/>
          <w:shd w:val="clear" w:fill="FFFFFF"/>
        </w:rPr>
        <w:t>人可为采购人代表或</w:t>
      </w:r>
      <w:r>
        <w:rPr>
          <w:rFonts w:hint="eastAsia" w:ascii="宋体" w:hAnsi="宋体" w:eastAsia="宋体" w:cs="宋体"/>
          <w:spacing w:val="0"/>
          <w:sz w:val="19"/>
          <w:szCs w:val="19"/>
          <w:u w:val="single"/>
          <w:shd w:val="clear" w:fill="FFFFFF"/>
        </w:rPr>
        <w:t>福建省中达招标代理有限公司</w:t>
      </w:r>
      <w:r>
        <w:rPr>
          <w:rFonts w:hint="eastAsia" w:ascii="宋体" w:hAnsi="宋体" w:eastAsia="宋体" w:cs="宋体"/>
          <w:spacing w:val="0"/>
          <w:sz w:val="19"/>
          <w:szCs w:val="19"/>
          <w:shd w:val="clear" w:fill="FFFFFF"/>
        </w:rPr>
        <w:t>的工作人员。</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1.2资格审查的依据是招标文件和投标文件。</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1.3资格审查的范围及内容：投标文件（资格及资信证明部分），具体如下：</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9"/>
          <w:szCs w:val="19"/>
          <w:bdr w:val="none" w:color="auto" w:sz="0" w:space="0"/>
          <w:shd w:val="clear" w:fill="FFFFFF"/>
        </w:rPr>
        <w:t>（1）</w:t>
      </w:r>
      <w:r>
        <w:rPr>
          <w:rFonts w:hint="eastAsia" w:ascii="宋体" w:hAnsi="宋体" w:eastAsia="宋体" w:cs="宋体"/>
          <w:spacing w:val="0"/>
          <w:bdr w:val="none" w:color="auto" w:sz="0" w:space="0"/>
          <w:shd w:val="clear" w:fill="FFFFFF"/>
        </w:rPr>
        <w:t>“投标函”；</w:t>
      </w:r>
      <w:r>
        <w:rPr>
          <w:rFonts w:hint="eastAsia" w:ascii="宋体" w:hAnsi="宋体" w:eastAsia="宋体" w:cs="宋体"/>
          <w:spacing w:val="0"/>
          <w:bdr w:val="none" w:color="auto" w:sz="0" w:space="0"/>
          <w:shd w:val="clear" w:fill="FFFFFF"/>
        </w:rPr>
        <w:br w:type="textWrapping"/>
      </w:r>
      <w:r>
        <w:rPr>
          <w:rFonts w:hint="eastAsia" w:ascii="宋体" w:hAnsi="宋体" w:eastAsia="宋体" w:cs="宋体"/>
          <w:spacing w:val="0"/>
          <w:bdr w:val="none" w:color="auto" w:sz="0" w:space="0"/>
          <w:shd w:val="clear" w:fill="FFFFFF"/>
        </w:rPr>
        <w:t>（2）“投标人的资格及资信证明文件”</w:t>
      </w:r>
      <w:r>
        <w:rPr>
          <w:rFonts w:hint="eastAsia" w:ascii="宋体" w:hAnsi="宋体" w:eastAsia="宋体" w:cs="宋体"/>
          <w:spacing w:val="0"/>
          <w:bdr w:val="none" w:color="auto" w:sz="0" w:space="0"/>
          <w:shd w:val="clear" w:fill="FFFFFF"/>
        </w:rPr>
        <w:br w:type="textWrapping"/>
      </w:r>
      <w:r>
        <w:rPr>
          <w:rFonts w:hint="eastAsia" w:ascii="宋体" w:hAnsi="宋体" w:eastAsia="宋体" w:cs="宋体"/>
          <w:bdr w:val="none" w:color="auto" w:sz="0" w:space="0"/>
          <w:shd w:val="clear" w:fill="FFFFFF"/>
        </w:rPr>
        <w:t>①</w:t>
      </w:r>
      <w:r>
        <w:rPr>
          <w:rFonts w:hint="eastAsia" w:ascii="宋体" w:hAnsi="宋体" w:eastAsia="宋体" w:cs="宋体"/>
          <w:spacing w:val="0"/>
          <w:bdr w:val="none" w:color="auto" w:sz="0" w:space="0"/>
          <w:shd w:val="clear" w:fill="FFFFFF"/>
        </w:rPr>
        <w:t>一般资格证明文件：</w:t>
      </w:r>
    </w:p>
    <w:tbl>
      <w:tblPr>
        <w:tblW w:w="8305" w:type="dxa"/>
        <w:tblCellSpacing w:w="0" w:type="dxa"/>
        <w:tblInd w:w="-129"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3737"/>
        <w:gridCol w:w="456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blHeader/>
          <w:tblCellSpacing w:w="0" w:type="dxa"/>
        </w:trPr>
        <w:tc>
          <w:tcPr>
            <w:tcW w:w="3737"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center"/>
              <w:rPr>
                <w:rFonts w:hint="eastAsia" w:ascii="微软雅黑" w:hAnsi="微软雅黑" w:eastAsia="微软雅黑" w:cs="微软雅黑"/>
                <w:b/>
                <w:color w:val="393939"/>
                <w:sz w:val="15"/>
                <w:szCs w:val="15"/>
              </w:rPr>
            </w:pPr>
            <w:r>
              <w:rPr>
                <w:rFonts w:hint="eastAsia" w:ascii="微软雅黑" w:hAnsi="微软雅黑" w:eastAsia="微软雅黑" w:cs="微软雅黑"/>
                <w:b/>
                <w:color w:val="393939"/>
                <w:kern w:val="0"/>
                <w:sz w:val="15"/>
                <w:szCs w:val="15"/>
                <w:bdr w:val="none" w:color="auto" w:sz="0" w:space="0"/>
                <w:lang w:val="en-US" w:eastAsia="zh-CN" w:bidi="ar"/>
              </w:rPr>
              <w:t>明细</w:t>
            </w:r>
          </w:p>
        </w:tc>
        <w:tc>
          <w:tcPr>
            <w:tcW w:w="4568"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center"/>
              <w:rPr>
                <w:rFonts w:hint="eastAsia" w:ascii="微软雅黑" w:hAnsi="微软雅黑" w:eastAsia="微软雅黑" w:cs="微软雅黑"/>
                <w:b/>
                <w:color w:val="393939"/>
                <w:sz w:val="15"/>
                <w:szCs w:val="15"/>
              </w:rPr>
            </w:pPr>
            <w:r>
              <w:rPr>
                <w:rFonts w:hint="eastAsia" w:ascii="微软雅黑" w:hAnsi="微软雅黑" w:eastAsia="微软雅黑" w:cs="微软雅黑"/>
                <w:b/>
                <w:color w:val="393939"/>
                <w:kern w:val="0"/>
                <w:sz w:val="15"/>
                <w:szCs w:val="15"/>
                <w:bdr w:val="none" w:color="auto" w:sz="0" w:space="0"/>
                <w:lang w:val="en-US" w:eastAsia="zh-CN" w:bidi="ar"/>
              </w:rPr>
              <w:t>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3737"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单位负责人授权书（若有）</w:t>
            </w:r>
          </w:p>
        </w:tc>
        <w:tc>
          <w:tcPr>
            <w:tcW w:w="4568"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1、企业（银行、保险、石油石化、电力、电信等行业除外）、事业单位和社会团体法人的“单位负责人”指法定代表人，即与实际提交的“营业执照等证明文件”载明的一致。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3、投标人（自然人除外）：若投标人代表为单位负责人授权的委托代理人，应提供本授权书；若投标人代表为单位负责人，应在此项下提交其身份证正反面复印件，可不提供本授权书。4、投标人为自然人的，可不填写本授权书。5、纸质投标文件正本中的本授权书（若有）应为原件。※投标人应按照招标文件第七章规定提供。</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blCellSpacing w:w="0" w:type="dxa"/>
        </w:trPr>
        <w:tc>
          <w:tcPr>
            <w:tcW w:w="3737"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营业执照等证明文件</w:t>
            </w:r>
          </w:p>
        </w:tc>
        <w:tc>
          <w:tcPr>
            <w:tcW w:w="4568"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1、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2、投标人提供的相应证明材料复印件均应符合：内容完整、清晰、整洁，并由投标人加盖其单位公章。※投标人应按照招标文件第七章规定提供。</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blCellSpacing w:w="0" w:type="dxa"/>
        </w:trPr>
        <w:tc>
          <w:tcPr>
            <w:tcW w:w="3737"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财务状况报告（财务报告、或资信证明、或投标担保函）</w:t>
            </w:r>
          </w:p>
        </w:tc>
        <w:tc>
          <w:tcPr>
            <w:tcW w:w="4568"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1、投标人提供的财务报告复印件（成立年限按照投标截止时间推算）应符合下列规定：1.1成立年限满1年及以上的投标人，提供经审计的上一年度的年度财务报告。1.2成立年限满半年但不足1年的投标人，提供该半年度中任一季度的季度财务报告或该半年度的半年度财务报告。※无法按照第1.1、1.2条规定提供财务报告复印件的投标人（包括但不限于：成立年限满1年及以上的投标人、成立年限满半年但不足1年的投标人、成立年限不足半年的投标人），应选择提供资信证明复印件或投标担保函复印件，其中：非自然人的投标人选择提供资信证明的，还应附上其开户（基本存款账户）许可证复印件。 2、“财政部门认可的政府采购专业担保机构”应符合《财政部关于开展政府采购信用担保试点工作方案》（财库[2012]124号）的规定。3、投标人提供的相应证明材料复印件均应符合：内容完整、清晰、整洁，并由投标人加盖其单位公章。※投标人应按照招标文件第七章规定提供。</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blCellSpacing w:w="0" w:type="dxa"/>
        </w:trPr>
        <w:tc>
          <w:tcPr>
            <w:tcW w:w="3737"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依法缴纳税收证明材料</w:t>
            </w:r>
          </w:p>
        </w:tc>
        <w:tc>
          <w:tcPr>
            <w:tcW w:w="4568"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1、投标人提供的税收凭据复印件应符合下列规定：1.1投标截止时间前（不含投标截止时间的当月）已依法缴纳税收的投标人，提供投标截止时间前六个月（不含投标截止时间的当月）中任一月份的税收凭据复印件。1.2投标截止时间的当月成立且已依法缴纳税收的投标人，提供投标截止时间当月的税收凭据复印件。1.3投标截止时间的当月成立但因税务机关原因导致其尚未依法缴纳税收的投标人，提供依法缴纳税收承诺书原件（格式自拟），该承诺书视同税收凭据。2、“依法缴纳税收证明材料”有欠缴记录的，视为未依法缴纳税收。3、投标人提供的相应证明材料复印件均应符合：内容完整、清晰、整洁，并由投标人加盖其单位公章。※投标人应按照招标文件第七章规定提供。</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blCellSpacing w:w="0" w:type="dxa"/>
        </w:trPr>
        <w:tc>
          <w:tcPr>
            <w:tcW w:w="3737"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依法缴纳社会保障资金证明材料</w:t>
            </w:r>
          </w:p>
        </w:tc>
        <w:tc>
          <w:tcPr>
            <w:tcW w:w="4568"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1、投标人提供的社会保险凭据复印件应符合下列规定：1.1投标截止时间前（不含投标截止时间的当月）已依法缴纳社会保障资金的投标人，提供投标截止时间前六个月（不含投标截止时间的当月）中任一月份的社会保险凭据复印件。1.2投标截止时间的当月成立且已依法缴纳社会保障资金的投标人，提供投标截止时间当月的社会保险凭据复印件。1.3投标截止时间的当月成立但因税务机关/社会保障资金管理机关原因导致其尚未依法缴纳社会保障资金的投标人，提供依法缴纳社会保障资金承诺书原件（格式自拟），该承诺书视同社会保险凭据。2、“依法缴纳社会保障资金证明材料”有欠缴记录的，视为未依法缴纳社会保障资金。3、投标人提供的相应证明材料复印件均应符合：内容完整、清晰、整洁，并由投标人加盖其单位公章。※投标人应按照招标文件第七章规定提供。</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blCellSpacing w:w="0" w:type="dxa"/>
        </w:trPr>
        <w:tc>
          <w:tcPr>
            <w:tcW w:w="3737"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具备履行合同所必需设备和专业技术能力的声明函（若有）</w:t>
            </w:r>
          </w:p>
        </w:tc>
        <w:tc>
          <w:tcPr>
            <w:tcW w:w="4568"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1、招标文件未要求投标人提供“具备履行合同所必需的设备和专业技术能力专项证明材料”的，投标人应提供本声明函。2、招标文件要求投标人提供“具备履行合同所必需的设备和专业技术能力专项证明材料”的，投标人可不提供本声明函。3、纸质投标文件正本中的本声明函（若有）应为原件。※投标人应按照招标文件第七章规定提供。</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3737"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参加采购活动前三年内在经营活动中没有重大违法记录书面声明</w:t>
            </w:r>
          </w:p>
        </w:tc>
        <w:tc>
          <w:tcPr>
            <w:tcW w:w="4568"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1、“重大违法记录”指投标人因违法经营受到刑事处罚或责令停产停业、吊销许可证或执照、较大数额罚款等行政处罚。2、纸质投标文件正本中的本声明应为原件。※投标人应按照招标文件第七章规定提供。</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3737"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信用记录查询结果</w:t>
            </w:r>
          </w:p>
        </w:tc>
        <w:tc>
          <w:tcPr>
            <w:tcW w:w="4568"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投标人应在招标文件要求的截止时点前分别通过“信用中国”网站（www.creditchina.gov.cn）、中国政府采购网（www.ccgp.gov.cn）查询并打印相应的信用记录，投标人提供的查询结果应为其通过上述网站获取的信用信息查询结果原始页面的打印件（或截图）。※投标人应按照招标文件第七章规定提供。</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3737"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中小企业声明函（专门面向中小企业或小型、微型企业适用，若有）</w:t>
            </w:r>
          </w:p>
        </w:tc>
        <w:tc>
          <w:tcPr>
            <w:tcW w:w="4568"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1、投标人应认真对照《工业和信息化部、国家统计局、国家发展和改革委员会、财政部关于印发中小企业划型标准规定的通知》（工信部联企业[2011]300号）规定的划分标准，并按照《国家统计局关于印发统计上大中小微型企业划分办法的通知》（国统字[2011]75号）规定准确划分企业类型。2、投标人为监狱企业的，可不填写本声明函，根据其提供的由省级以上监狱管理局、戒毒管理局（含新疆生产建设兵团）出具的属于监狱企业的证明文件进行认定，监狱企业视同小型、微型企业。3、投标人为残疾人福利性单位的，可不填写本声明函，根据其提供的《残疾人福利性单位声明函》进行认定，残疾人福利性单位视同小型、微型企业。4、纸质投标文件正本中的本声明函（若有）应为原件。※投标人应按照招标文件第七章规定提供。</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blCellSpacing w:w="0" w:type="dxa"/>
        </w:trPr>
        <w:tc>
          <w:tcPr>
            <w:tcW w:w="3737"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联合体协议（若有）</w:t>
            </w:r>
          </w:p>
        </w:tc>
        <w:tc>
          <w:tcPr>
            <w:tcW w:w="4568"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1、招标文件接受联合体投标且投标人为联合体的，投标人应提供本协议；否则无须提供。2、本协议由委托代理人签字或盖章的，应按照招标文件第七章载明的格式提供“单位负责人授权书”。3、纸质投标文件正本中的本协议（若有）应为原件。※投标人应按照招标文件第七章规定提供。</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3737"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检察机关行贿犯罪档案查询结果告知函</w:t>
            </w:r>
          </w:p>
        </w:tc>
        <w:tc>
          <w:tcPr>
            <w:tcW w:w="4568"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1、未提供行贿犯罪档案查询结果或查询结果表明投标人有行贿犯罪记录的，投标无效。2、若从检察机关指定网站下载打印或截图告知函，则告知函应为从前述指定网站获取的查询结果原始页面的打印件（或截图），否则投标无效。3、告知函应在有效期内且内容完整、清晰、整洁，否则投标无效。4、有效期内的告知函复印件（含扫描件）及符合招标文件第七章规定的打印件（或截图），无论内容中是否注明“复印件无效”，均视同有效。※投标人应按照招标文件第七章规定提供。</w:t>
            </w:r>
          </w:p>
        </w:tc>
      </w:tr>
    </w:tbl>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jc w:val="left"/>
      </w:pPr>
      <w:r>
        <w:rPr>
          <w:rFonts w:ascii="宋体" w:hAnsi="宋体" w:eastAsia="宋体" w:cs="宋体"/>
          <w:kern w:val="0"/>
          <w:sz w:val="24"/>
          <w:szCs w:val="24"/>
          <w:bdr w:val="none" w:color="auto" w:sz="0" w:space="0"/>
          <w:shd w:val="clear" w:fill="FFFFFF"/>
          <w:lang w:val="en-US" w:eastAsia="zh-CN" w:bidi="ar"/>
        </w:rPr>
        <w:br w:type="textWrapping"/>
      </w:r>
      <w:r>
        <w:rPr>
          <w:rFonts w:hint="eastAsia" w:ascii="宋体" w:hAnsi="宋体" w:eastAsia="宋体" w:cs="宋体"/>
          <w:spacing w:val="0"/>
          <w:kern w:val="0"/>
          <w:sz w:val="24"/>
          <w:szCs w:val="24"/>
          <w:bdr w:val="none" w:color="auto" w:sz="0" w:space="0"/>
          <w:shd w:val="clear" w:fill="FFFFFF"/>
          <w:lang w:val="en-US" w:eastAsia="zh-CN" w:bidi="ar"/>
        </w:rPr>
        <w:t>②.其他资格证明文件：</w:t>
      </w:r>
    </w:p>
    <w:p>
      <w:pPr>
        <w:pStyle w:val="3"/>
        <w:keepNext w:val="0"/>
        <w:keepLines w:val="0"/>
        <w:widowControl/>
        <w:suppressLineNumbers w:val="0"/>
        <w:spacing w:before="60" w:beforeAutospacing="0" w:after="60" w:afterAutospacing="0"/>
        <w:ind w:left="0" w:right="0" w:firstLine="384"/>
      </w:pPr>
      <w:r>
        <w:rPr>
          <w:rStyle w:val="5"/>
          <w:spacing w:val="0"/>
          <w:sz w:val="19"/>
          <w:szCs w:val="19"/>
          <w:shd w:val="clear" w:fill="FFFFFF"/>
        </w:rPr>
        <w:t>包：1</w:t>
      </w:r>
    </w:p>
    <w:tbl>
      <w:tblPr>
        <w:tblW w:w="8305" w:type="dxa"/>
        <w:tblCellSpacing w:w="0" w:type="dxa"/>
        <w:tblInd w:w="-129"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3737"/>
        <w:gridCol w:w="456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blHeader/>
          <w:tblCellSpacing w:w="0" w:type="dxa"/>
        </w:trPr>
        <w:tc>
          <w:tcPr>
            <w:tcW w:w="3737"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center"/>
              <w:rPr>
                <w:rFonts w:hint="eastAsia" w:ascii="微软雅黑" w:hAnsi="微软雅黑" w:eastAsia="微软雅黑" w:cs="微软雅黑"/>
                <w:b/>
                <w:color w:val="393939"/>
                <w:sz w:val="15"/>
                <w:szCs w:val="15"/>
              </w:rPr>
            </w:pPr>
            <w:r>
              <w:rPr>
                <w:rFonts w:hint="eastAsia" w:ascii="微软雅黑" w:hAnsi="微软雅黑" w:eastAsia="微软雅黑" w:cs="微软雅黑"/>
                <w:b/>
                <w:color w:val="393939"/>
                <w:kern w:val="0"/>
                <w:sz w:val="15"/>
                <w:szCs w:val="15"/>
                <w:bdr w:val="none" w:color="auto" w:sz="0" w:space="0"/>
                <w:lang w:val="en-US" w:eastAsia="zh-CN" w:bidi="ar"/>
              </w:rPr>
              <w:t>明细</w:t>
            </w:r>
          </w:p>
        </w:tc>
        <w:tc>
          <w:tcPr>
            <w:tcW w:w="4568"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center"/>
              <w:rPr>
                <w:rFonts w:hint="eastAsia" w:ascii="微软雅黑" w:hAnsi="微软雅黑" w:eastAsia="微软雅黑" w:cs="微软雅黑"/>
                <w:b/>
                <w:color w:val="393939"/>
                <w:sz w:val="15"/>
                <w:szCs w:val="15"/>
              </w:rPr>
            </w:pPr>
            <w:r>
              <w:rPr>
                <w:rFonts w:hint="eastAsia" w:ascii="微软雅黑" w:hAnsi="微软雅黑" w:eastAsia="微软雅黑" w:cs="微软雅黑"/>
                <w:b/>
                <w:color w:val="393939"/>
                <w:kern w:val="0"/>
                <w:sz w:val="15"/>
                <w:szCs w:val="15"/>
                <w:bdr w:val="none" w:color="auto" w:sz="0" w:space="0"/>
                <w:lang w:val="en-US" w:eastAsia="zh-CN" w:bidi="ar"/>
              </w:rPr>
              <w:t>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3737"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采购人提出特定条件的证明材料1</w:t>
            </w:r>
          </w:p>
        </w:tc>
        <w:tc>
          <w:tcPr>
            <w:tcW w:w="4568"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提供所投台式计算机、空调设备、电视设备、打印机的中国国家强制性产品认证3C证书复印件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3737"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检察机关行贿犯罪档案查询结果告知函(有效期内)</w:t>
            </w:r>
          </w:p>
        </w:tc>
        <w:tc>
          <w:tcPr>
            <w:tcW w:w="4568"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投标人由住所地或业务发生地检察院出具有效的检察机关行贿犯罪档案查询结果告知函（告知函中须体现投标人、法人代表和授权代表行贿犯罪记录）</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3737"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采购人提出特定条件的证明材料2</w:t>
            </w:r>
          </w:p>
        </w:tc>
        <w:tc>
          <w:tcPr>
            <w:tcW w:w="4568"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投标人所台式计算机、空调设备、电视设备应为最新期《节能产品政府采购清单》中产品，提供所投产品在《节能产品政府采购清单》（中国政府采购网下载）中所在页面。</w:t>
            </w:r>
          </w:p>
        </w:tc>
      </w:tr>
    </w:tbl>
    <w:p>
      <w:pPr>
        <w:keepNext w:val="0"/>
        <w:keepLines w:val="0"/>
        <w:widowControl/>
        <w:suppressLineNumbers w:val="0"/>
        <w:spacing w:before="0" w:beforeAutospacing="0" w:after="0" w:afterAutospacing="0"/>
        <w:ind w:left="0" w:right="0"/>
        <w:jc w:val="left"/>
      </w:pPr>
      <w:r>
        <w:rPr>
          <w:rFonts w:ascii="宋体" w:hAnsi="宋体" w:eastAsia="宋体" w:cs="宋体"/>
          <w:kern w:val="0"/>
          <w:sz w:val="24"/>
          <w:szCs w:val="24"/>
          <w:bdr w:val="none" w:color="auto" w:sz="0" w:space="0"/>
          <w:shd w:val="clear" w:fill="FFFFFF"/>
          <w:lang w:val="en-US" w:eastAsia="zh-CN" w:bidi="ar"/>
        </w:rPr>
        <w:br w:type="textWrapping"/>
      </w:r>
      <w:r>
        <w:rPr>
          <w:rFonts w:hint="eastAsia" w:ascii="宋体" w:hAnsi="宋体" w:eastAsia="宋体" w:cs="宋体"/>
          <w:spacing w:val="0"/>
          <w:kern w:val="0"/>
          <w:sz w:val="24"/>
          <w:szCs w:val="24"/>
          <w:bdr w:val="none" w:color="auto" w:sz="0" w:space="0"/>
          <w:shd w:val="clear" w:fill="FFFFFF"/>
          <w:lang w:val="en-US" w:eastAsia="zh-CN" w:bidi="ar"/>
        </w:rPr>
        <w:t>（3）投标保证金。</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1.4有下列情形之一的，</w:t>
      </w:r>
      <w:r>
        <w:rPr>
          <w:rStyle w:val="5"/>
          <w:rFonts w:hint="eastAsia" w:ascii="宋体" w:hAnsi="宋体" w:eastAsia="宋体" w:cs="宋体"/>
          <w:spacing w:val="0"/>
          <w:sz w:val="19"/>
          <w:szCs w:val="19"/>
          <w:shd w:val="clear" w:fill="FFFFFF"/>
        </w:rPr>
        <w:t>资格审查不合格：</w:t>
      </w:r>
      <w:r>
        <w:rPr>
          <w:rStyle w:val="5"/>
          <w:rFonts w:hint="eastAsia" w:ascii="宋体" w:hAnsi="宋体" w:eastAsia="宋体" w:cs="宋体"/>
          <w:spacing w:val="0"/>
          <w:sz w:val="19"/>
          <w:szCs w:val="19"/>
          <w:shd w:val="clear" w:fill="FFFFFF"/>
        </w:rPr>
        <w:br w:type="textWrapping"/>
      </w:r>
      <w:r>
        <w:rPr>
          <w:rFonts w:hint="eastAsia" w:ascii="宋体" w:hAnsi="宋体" w:eastAsia="宋体" w:cs="宋体"/>
          <w:shd w:val="clear" w:fill="FFFFFF"/>
        </w:rPr>
        <w:t>（1）一般情形：</w:t>
      </w:r>
    </w:p>
    <w:tbl>
      <w:tblPr>
        <w:tblW w:w="8306" w:type="dxa"/>
        <w:tblCellSpacing w:w="0" w:type="dxa"/>
        <w:tblInd w:w="-129"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830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blHeader/>
          <w:tblCellSpacing w:w="0" w:type="dxa"/>
        </w:trPr>
        <w:tc>
          <w:tcPr>
            <w:tcW w:w="8306"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center"/>
              <w:rPr>
                <w:rFonts w:hint="eastAsia" w:ascii="微软雅黑" w:hAnsi="微软雅黑" w:eastAsia="微软雅黑" w:cs="微软雅黑"/>
                <w:b/>
                <w:color w:val="393939"/>
                <w:sz w:val="15"/>
                <w:szCs w:val="15"/>
              </w:rPr>
            </w:pPr>
            <w:r>
              <w:rPr>
                <w:rFonts w:hint="eastAsia" w:ascii="微软雅黑" w:hAnsi="微软雅黑" w:eastAsia="微软雅黑" w:cs="微软雅黑"/>
                <w:b/>
                <w:color w:val="393939"/>
                <w:kern w:val="0"/>
                <w:sz w:val="15"/>
                <w:szCs w:val="15"/>
                <w:bdr w:val="none" w:color="auto" w:sz="0" w:space="0"/>
                <w:lang w:val="en-US" w:eastAsia="zh-CN"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8306"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未按照招标文件规定提交投标函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8306"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未按照招标文件规定提交投标人的资格及资信文件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8306"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未按照招标文件规定提交投标保证金</w:t>
            </w:r>
          </w:p>
        </w:tc>
      </w:tr>
    </w:tbl>
    <w:p>
      <w:pPr>
        <w:keepNext w:val="0"/>
        <w:keepLines w:val="0"/>
        <w:widowControl/>
        <w:suppressLineNumbers w:val="0"/>
        <w:spacing w:before="0" w:beforeAutospacing="0" w:after="0" w:afterAutospacing="0"/>
        <w:ind w:left="0" w:right="0"/>
        <w:jc w:val="left"/>
      </w:pPr>
      <w:r>
        <w:rPr>
          <w:rFonts w:ascii="宋体" w:hAnsi="宋体" w:eastAsia="宋体" w:cs="宋体"/>
          <w:kern w:val="0"/>
          <w:sz w:val="24"/>
          <w:szCs w:val="24"/>
          <w:bdr w:val="none" w:color="auto" w:sz="0" w:space="0"/>
          <w:shd w:val="clear" w:fill="FFFFFF"/>
          <w:lang w:val="en-US" w:eastAsia="zh-CN" w:bidi="ar"/>
        </w:rPr>
        <w:br w:type="textWrapping"/>
      </w:r>
      <w:r>
        <w:rPr>
          <w:rFonts w:hint="eastAsia" w:ascii="宋体" w:hAnsi="宋体" w:eastAsia="宋体" w:cs="宋体"/>
          <w:kern w:val="0"/>
          <w:sz w:val="24"/>
          <w:szCs w:val="24"/>
          <w:bdr w:val="none" w:color="auto" w:sz="0" w:space="0"/>
          <w:shd w:val="clear" w:fill="FFFFFF"/>
          <w:lang w:val="en-US" w:eastAsia="zh-CN" w:bidi="ar"/>
        </w:rPr>
        <w:t>（2）本项目规定的其他情形：</w:t>
      </w:r>
    </w:p>
    <w:p>
      <w:pPr>
        <w:pStyle w:val="3"/>
        <w:keepNext w:val="0"/>
        <w:keepLines w:val="0"/>
        <w:widowControl/>
        <w:suppressLineNumbers w:val="0"/>
        <w:spacing w:before="0" w:beforeAutospacing="0" w:after="0" w:afterAutospacing="0"/>
        <w:ind w:left="0" w:right="0" w:firstLine="384"/>
      </w:pPr>
      <w:r>
        <w:rPr>
          <w:rStyle w:val="5"/>
          <w:bdr w:val="none" w:color="auto" w:sz="0" w:space="0"/>
          <w:shd w:val="clear" w:fill="FFFFFF"/>
        </w:rPr>
        <w:t>包：1</w:t>
      </w:r>
      <w:r>
        <w:rPr>
          <w:bdr w:val="none" w:color="auto" w:sz="0" w:space="0"/>
          <w:shd w:val="clear" w:fill="FFFFFF"/>
        </w:rPr>
        <w:br w:type="textWrapping"/>
      </w:r>
      <w:r>
        <w:rPr>
          <w:rStyle w:val="5"/>
          <w:sz w:val="19"/>
          <w:szCs w:val="19"/>
          <w:bdr w:val="none" w:color="auto" w:sz="0" w:space="0"/>
          <w:shd w:val="clear" w:fill="FFFFFF"/>
        </w:rPr>
        <w:t>无</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1.5若本项目接受联合体投标且投标人为联合体，联合体中有同类资质的供应商按照联合体分工承担相同工作的，应先按照资质等级较低的供应商确定资质等级，再按照本章第</w:t>
      </w:r>
      <w:r>
        <w:rPr>
          <w:rFonts w:hint="default" w:ascii="Calibri" w:hAnsi="Calibri" w:cs="Calibri"/>
          <w:spacing w:val="0"/>
          <w:sz w:val="19"/>
          <w:szCs w:val="19"/>
          <w:shd w:val="clear" w:fill="FFFFFF"/>
        </w:rPr>
        <w:t>1.2</w:t>
      </w:r>
      <w:r>
        <w:rPr>
          <w:rFonts w:hint="eastAsia" w:ascii="宋体" w:hAnsi="宋体" w:eastAsia="宋体" w:cs="宋体"/>
          <w:spacing w:val="0"/>
          <w:sz w:val="19"/>
          <w:szCs w:val="19"/>
          <w:shd w:val="clear" w:fill="FFFFFF"/>
        </w:rPr>
        <w:t>、</w:t>
      </w:r>
      <w:r>
        <w:rPr>
          <w:rFonts w:hint="default" w:ascii="Calibri" w:hAnsi="Calibri" w:cs="Calibri"/>
          <w:spacing w:val="0"/>
          <w:sz w:val="19"/>
          <w:szCs w:val="19"/>
          <w:shd w:val="clear" w:fill="FFFFFF"/>
        </w:rPr>
        <w:t>1.3</w:t>
      </w:r>
      <w:r>
        <w:rPr>
          <w:rFonts w:hint="eastAsia" w:ascii="宋体" w:hAnsi="宋体" w:eastAsia="宋体" w:cs="宋体"/>
          <w:spacing w:val="0"/>
          <w:sz w:val="19"/>
          <w:szCs w:val="19"/>
          <w:shd w:val="clear" w:fill="FFFFFF"/>
        </w:rPr>
        <w:t>、</w:t>
      </w:r>
      <w:r>
        <w:rPr>
          <w:rFonts w:hint="default" w:ascii="Calibri" w:hAnsi="Calibri" w:cs="Calibri"/>
          <w:spacing w:val="0"/>
          <w:sz w:val="19"/>
          <w:szCs w:val="19"/>
          <w:shd w:val="clear" w:fill="FFFFFF"/>
        </w:rPr>
        <w:t>1.4</w:t>
      </w:r>
      <w:r>
        <w:rPr>
          <w:rFonts w:hint="eastAsia" w:ascii="宋体" w:hAnsi="宋体" w:eastAsia="宋体" w:cs="宋体"/>
          <w:spacing w:val="0"/>
          <w:sz w:val="19"/>
          <w:szCs w:val="19"/>
          <w:shd w:val="clear" w:fill="FFFFFF"/>
        </w:rPr>
        <w:t>条规定进行资格审查。</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2、资格审查情况不得私自外泄，有关信息由</w:t>
      </w:r>
      <w:r>
        <w:rPr>
          <w:rFonts w:hint="eastAsia" w:ascii="宋体" w:hAnsi="宋体" w:eastAsia="宋体" w:cs="宋体"/>
          <w:spacing w:val="0"/>
          <w:sz w:val="19"/>
          <w:szCs w:val="19"/>
          <w:u w:val="single"/>
          <w:shd w:val="clear" w:fill="FFFFFF"/>
        </w:rPr>
        <w:t>福建省中达招标代理有限公司</w:t>
      </w:r>
      <w:r>
        <w:rPr>
          <w:rFonts w:hint="eastAsia" w:ascii="宋体" w:hAnsi="宋体" w:eastAsia="宋体" w:cs="宋体"/>
          <w:spacing w:val="0"/>
          <w:sz w:val="19"/>
          <w:szCs w:val="19"/>
          <w:shd w:val="clear" w:fill="FFFFFF"/>
        </w:rPr>
        <w:t>统一对外发布。</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3、资格审查合格的投标人不足三家的，不进行评标。同时，本次采购活动结束，</w:t>
      </w:r>
      <w:r>
        <w:rPr>
          <w:rFonts w:hint="eastAsia" w:ascii="宋体" w:hAnsi="宋体" w:eastAsia="宋体" w:cs="宋体"/>
          <w:spacing w:val="0"/>
          <w:sz w:val="19"/>
          <w:szCs w:val="19"/>
          <w:u w:val="single"/>
          <w:shd w:val="clear" w:fill="FFFFFF"/>
        </w:rPr>
        <w:t>福建省中达招标代理有限公司</w:t>
      </w:r>
      <w:r>
        <w:rPr>
          <w:rFonts w:hint="eastAsia" w:ascii="宋体" w:hAnsi="宋体" w:eastAsia="宋体" w:cs="宋体"/>
          <w:spacing w:val="0"/>
          <w:sz w:val="19"/>
          <w:szCs w:val="19"/>
          <w:shd w:val="clear" w:fill="FFFFFF"/>
        </w:rPr>
        <w:t>将依法组织后续采购活动（包括但不限于：重新招标、采用其他方式采购等）。</w:t>
      </w:r>
    </w:p>
    <w:p>
      <w:pPr>
        <w:pStyle w:val="3"/>
        <w:keepNext w:val="0"/>
        <w:keepLines w:val="0"/>
        <w:widowControl/>
        <w:suppressLineNumbers w:val="0"/>
        <w:spacing w:before="60" w:beforeAutospacing="0" w:after="60" w:afterAutospacing="0"/>
        <w:ind w:left="0" w:right="0" w:firstLine="0"/>
        <w:jc w:val="center"/>
      </w:pPr>
      <w:r>
        <w:rPr>
          <w:rStyle w:val="5"/>
          <w:rFonts w:hint="eastAsia" w:ascii="宋体" w:hAnsi="宋体" w:eastAsia="宋体" w:cs="宋体"/>
          <w:spacing w:val="0"/>
          <w:sz w:val="19"/>
          <w:szCs w:val="19"/>
          <w:shd w:val="clear" w:fill="FFFFFF"/>
        </w:rPr>
        <w:t>二、评标</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4、</w:t>
      </w:r>
      <w:r>
        <w:rPr>
          <w:rFonts w:hint="eastAsia" w:ascii="宋体" w:hAnsi="宋体" w:eastAsia="宋体" w:cs="宋体"/>
          <w:shd w:val="clear" w:fill="FFFFFF"/>
        </w:rPr>
        <w:t>资格审查结束后，由</w:t>
      </w:r>
      <w:r>
        <w:rPr>
          <w:rFonts w:hint="eastAsia" w:ascii="宋体" w:hAnsi="宋体" w:eastAsia="宋体" w:cs="宋体"/>
          <w:spacing w:val="0"/>
          <w:shd w:val="clear" w:fill="FFFFFF"/>
        </w:rPr>
        <w:t>福建省中达招标代理有限公司负责评标委员会的组建及评标工作的组织。</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5、评标委员会</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5.1评标委员会由采购人代表和评标专家两部分共</w:t>
      </w:r>
      <w:r>
        <w:rPr>
          <w:rFonts w:hint="eastAsia" w:ascii="宋体" w:hAnsi="宋体" w:eastAsia="宋体" w:cs="宋体"/>
          <w:spacing w:val="0"/>
          <w:sz w:val="19"/>
          <w:szCs w:val="19"/>
          <w:u w:val="single"/>
          <w:shd w:val="clear" w:fill="FFFFFF"/>
        </w:rPr>
        <w:t>5</w:t>
      </w:r>
      <w:r>
        <w:rPr>
          <w:rFonts w:hint="eastAsia" w:ascii="宋体" w:hAnsi="宋体" w:eastAsia="宋体" w:cs="宋体"/>
          <w:spacing w:val="0"/>
          <w:sz w:val="19"/>
          <w:szCs w:val="19"/>
          <w:shd w:val="clear" w:fill="FFFFFF"/>
        </w:rPr>
        <w:t>人（以下简称“评委”）组成，其中：由采购人派出的采购人代表</w:t>
      </w:r>
      <w:r>
        <w:rPr>
          <w:rFonts w:hint="eastAsia" w:ascii="宋体" w:hAnsi="宋体" w:eastAsia="宋体" w:cs="宋体"/>
          <w:spacing w:val="0"/>
          <w:sz w:val="19"/>
          <w:szCs w:val="19"/>
          <w:u w:val="single"/>
          <w:shd w:val="clear" w:fill="FFFFFF"/>
        </w:rPr>
        <w:t>1</w:t>
      </w:r>
      <w:r>
        <w:rPr>
          <w:rFonts w:hint="eastAsia" w:ascii="宋体" w:hAnsi="宋体" w:eastAsia="宋体" w:cs="宋体"/>
          <w:spacing w:val="0"/>
          <w:sz w:val="19"/>
          <w:szCs w:val="19"/>
          <w:shd w:val="clear" w:fill="FFFFFF"/>
        </w:rPr>
        <w:t>人，由福建省政府采购评审专家库产生的评标专家</w:t>
      </w:r>
      <w:r>
        <w:rPr>
          <w:rFonts w:hint="eastAsia" w:ascii="宋体" w:hAnsi="宋体" w:eastAsia="宋体" w:cs="宋体"/>
          <w:spacing w:val="0"/>
          <w:sz w:val="19"/>
          <w:szCs w:val="19"/>
          <w:u w:val="single"/>
          <w:shd w:val="clear" w:fill="FFFFFF"/>
        </w:rPr>
        <w:t>4</w:t>
      </w:r>
      <w:r>
        <w:rPr>
          <w:rFonts w:hint="eastAsia" w:ascii="宋体" w:hAnsi="宋体" w:eastAsia="宋体" w:cs="宋体"/>
          <w:spacing w:val="0"/>
          <w:sz w:val="19"/>
          <w:szCs w:val="19"/>
          <w:shd w:val="clear" w:fill="FFFFFF"/>
        </w:rPr>
        <w:t>人。</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5.2评标委员会负责具体评标事务，并按照下列原则依法独立履行有关职责：</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（1）评标应保护国家利益、社会公共利益和各方当事人合法权益，提高采购效益，保证项目质量。</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（2）评标应遵循公平、公正、科学、严谨和择优原则。</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（3）评标的依据是招标文件和投标文件。</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（4）应按照招标文件规定推荐中标候选人或确定中标人。</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（5）评标应遵守下列评标纪律：</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①评标情况不得私自外泄，有关信息由</w:t>
      </w:r>
      <w:r>
        <w:rPr>
          <w:rFonts w:hint="eastAsia" w:ascii="宋体" w:hAnsi="宋体" w:eastAsia="宋体" w:cs="宋体"/>
          <w:spacing w:val="0"/>
          <w:sz w:val="19"/>
          <w:szCs w:val="19"/>
          <w:u w:val="single"/>
          <w:shd w:val="clear" w:fill="FFFFFF"/>
        </w:rPr>
        <w:t>福建省中达招标代理有限公司</w:t>
      </w:r>
      <w:r>
        <w:rPr>
          <w:rFonts w:hint="eastAsia" w:ascii="宋体" w:hAnsi="宋体" w:eastAsia="宋体" w:cs="宋体"/>
          <w:spacing w:val="0"/>
          <w:sz w:val="19"/>
          <w:szCs w:val="19"/>
          <w:shd w:val="clear" w:fill="FFFFFF"/>
        </w:rPr>
        <w:t>统一对外发布。</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②对</w:t>
      </w:r>
      <w:r>
        <w:rPr>
          <w:rFonts w:hint="eastAsia" w:ascii="宋体" w:hAnsi="宋体" w:eastAsia="宋体" w:cs="宋体"/>
          <w:spacing w:val="0"/>
          <w:sz w:val="19"/>
          <w:szCs w:val="19"/>
          <w:u w:val="single"/>
          <w:shd w:val="clear" w:fill="FFFFFF"/>
        </w:rPr>
        <w:t>福建省中达招标代理有限公司</w:t>
      </w:r>
      <w:r>
        <w:rPr>
          <w:rFonts w:hint="eastAsia" w:ascii="宋体" w:hAnsi="宋体" w:eastAsia="宋体" w:cs="宋体"/>
          <w:spacing w:val="0"/>
          <w:sz w:val="19"/>
          <w:szCs w:val="19"/>
          <w:shd w:val="clear" w:fill="FFFFFF"/>
        </w:rPr>
        <w:t>或投标人提供的要求保密的资料，不得摘记翻印和外传。</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③不得收受投标人或有关人员的任何礼物，不得串联鼓动其他人袒护某投标人。若与投标人存在利害关系，则应主动声明并回避。</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④全体评委应按照招标文件规定进行评标，一切认定事项应查有实据且不得弄虚作假。</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⑤评标中应充分发扬民主，推荐中标候选人或确定中标人后要服从评标报告。</w:t>
      </w:r>
    </w:p>
    <w:p>
      <w:pPr>
        <w:pStyle w:val="3"/>
        <w:keepNext w:val="0"/>
        <w:keepLines w:val="0"/>
        <w:widowControl/>
        <w:suppressLineNumbers w:val="0"/>
        <w:spacing w:before="60" w:beforeAutospacing="0" w:after="60" w:afterAutospacing="0"/>
        <w:ind w:left="0" w:right="0" w:firstLine="384"/>
      </w:pPr>
      <w:r>
        <w:rPr>
          <w:rStyle w:val="5"/>
          <w:rFonts w:hint="eastAsia" w:ascii="宋体" w:hAnsi="宋体" w:eastAsia="宋体" w:cs="宋体"/>
          <w:spacing w:val="0"/>
          <w:sz w:val="19"/>
          <w:szCs w:val="19"/>
          <w:shd w:val="clear" w:fill="FFFFFF"/>
        </w:rPr>
        <w:t>※对违反评标纪律的评委，将取消其评委资格，对评标工作造成严重损失者将予以通报批评乃至追究法律责任。</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6、评标程序</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6.1评标前的准备工作</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（1）全体评委应认真审阅招标文件，了解评委应履行或遵守的职责、义务和评标纪律。</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（2）参加评标委员会的采购人代表可对本项目的背景和采购需求进行介绍，介绍材料应以书面形式提交（随采购文件一并存档），介绍内容不得含有歧视性、倾向性意见，不得超出招标文件所述范围。</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6.2符合性审查</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（1）评标委员会依据招标文件的实质性要求，对通过资格审查的投标文件进行符合性审查，以确定其是否满足招标文件的实质性要求。</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（2）满足招标文件的实质性要求指投标文件对招标文件实质性要求的响应不存在重大偏差或保留。</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3）重大偏差或保留指影响到招标文件规定的合同范围、合同履行及影响关键质量和性能，或限制了采购人的权利，或反对、减少投标人的义务，而纠正这些重大偏差或保留将影响到其他提交实质性响应投标的投标人的公平竞争地位。</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4）评标委员会审查判断投标文件是否满足招标文件的实质性要求仅基于投标文件本身而不寻求其他的外部证据。未满足招标文件实质性要求的投标文件将被评标委员会否决（即符合性审查不合格），被否决的投标文件不能通过补充、修改（澄清、说明或补正）等方式重新成为满足招标文件实质性要求的投标文件。</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（5）评标委员会对所有投标人都执行相同的程序和标准。</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（6）有下列情形之一的，</w:t>
      </w:r>
      <w:r>
        <w:rPr>
          <w:rStyle w:val="5"/>
          <w:rFonts w:hint="eastAsia" w:ascii="宋体" w:hAnsi="宋体" w:eastAsia="宋体" w:cs="宋体"/>
          <w:spacing w:val="0"/>
          <w:sz w:val="19"/>
          <w:szCs w:val="19"/>
          <w:shd w:val="clear" w:fill="FFFFFF"/>
        </w:rPr>
        <w:t>符合性审查不合格：</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①一般情形：</w:t>
      </w:r>
    </w:p>
    <w:tbl>
      <w:tblPr>
        <w:tblW w:w="8306" w:type="dxa"/>
        <w:tblCellSpacing w:w="0" w:type="dxa"/>
        <w:tblInd w:w="-129"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830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PrEx>
        <w:trPr>
          <w:tblHeader/>
          <w:tblCellSpacing w:w="0" w:type="dxa"/>
        </w:trPr>
        <w:tc>
          <w:tcPr>
            <w:tcW w:w="8306"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center"/>
              <w:rPr>
                <w:rFonts w:hint="eastAsia" w:ascii="微软雅黑" w:hAnsi="微软雅黑" w:eastAsia="微软雅黑" w:cs="微软雅黑"/>
                <w:b/>
                <w:color w:val="393939"/>
                <w:sz w:val="15"/>
                <w:szCs w:val="15"/>
              </w:rPr>
            </w:pPr>
            <w:r>
              <w:rPr>
                <w:rFonts w:hint="eastAsia" w:ascii="微软雅黑" w:hAnsi="微软雅黑" w:eastAsia="微软雅黑" w:cs="微软雅黑"/>
                <w:b/>
                <w:color w:val="393939"/>
                <w:kern w:val="0"/>
                <w:sz w:val="15"/>
                <w:szCs w:val="15"/>
                <w:bdr w:val="none" w:color="auto" w:sz="0" w:space="0"/>
                <w:lang w:val="en-US" w:eastAsia="zh-CN" w:bidi="ar"/>
              </w:rPr>
              <w:t>明细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8306"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违反招标文件中载明“投标无效”条款的规定；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8306"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属于招标文件第三章第10.12条规定的投标无效情形；</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8306"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投标文件对招标文件实质性要求的响应存在重大偏离或保留。</w:t>
            </w:r>
          </w:p>
        </w:tc>
      </w:tr>
    </w:tbl>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②本项目规定的其他情形：</w:t>
      </w:r>
      <w:r>
        <w:rPr>
          <w:rFonts w:hint="eastAsia" w:ascii="宋体" w:hAnsi="宋体" w:eastAsia="宋体" w:cs="宋体"/>
          <w:spacing w:val="0"/>
          <w:sz w:val="19"/>
          <w:szCs w:val="19"/>
          <w:shd w:val="clear" w:fill="FFFFFF"/>
        </w:rPr>
        <w:br w:type="textWrapping"/>
      </w:r>
      <w:r>
        <w:rPr>
          <w:rStyle w:val="5"/>
          <w:rFonts w:hint="eastAsia" w:ascii="宋体" w:hAnsi="宋体" w:eastAsia="宋体" w:cs="宋体"/>
          <w:spacing w:val="0"/>
          <w:sz w:val="19"/>
          <w:szCs w:val="19"/>
          <w:shd w:val="clear" w:fill="FFFFFF"/>
        </w:rPr>
        <w:t>包：1</w:t>
      </w:r>
      <w:r>
        <w:rPr>
          <w:shd w:val="clear" w:fill="FFFFFF"/>
        </w:rPr>
        <w:br w:type="textWrapping"/>
      </w:r>
      <w:r>
        <w:rPr>
          <w:rStyle w:val="5"/>
          <w:sz w:val="19"/>
          <w:szCs w:val="19"/>
          <w:shd w:val="clear" w:fill="FFFFFF"/>
        </w:rPr>
        <w:t>无</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6.3澄清有关问题</w:t>
      </w:r>
    </w:p>
    <w:p>
      <w:pPr>
        <w:pStyle w:val="3"/>
        <w:keepNext w:val="0"/>
        <w:keepLines w:val="0"/>
        <w:widowControl/>
        <w:suppressLineNumbers w:val="0"/>
        <w:spacing w:before="60" w:beforeAutospacing="0" w:after="60" w:afterAutospacing="0"/>
        <w:ind w:left="0" w:right="0" w:firstLine="336"/>
      </w:pPr>
      <w:r>
        <w:rPr>
          <w:rFonts w:hint="eastAsia" w:ascii="宋体" w:hAnsi="宋体" w:eastAsia="宋体" w:cs="宋体"/>
          <w:spacing w:val="0"/>
          <w:sz w:val="19"/>
          <w:szCs w:val="19"/>
          <w:shd w:val="clear" w:fill="FFFFFF"/>
        </w:rPr>
        <w:t>（1）对通过符合性审查的投标文件中含义不明确、同类问题表述不一致或有明显文字和计算错误的内容，评标委员会将以书面形式要求投标人作出必要的澄清、说明或补正。</w:t>
      </w:r>
    </w:p>
    <w:p>
      <w:pPr>
        <w:pStyle w:val="3"/>
        <w:keepNext w:val="0"/>
        <w:keepLines w:val="0"/>
        <w:widowControl/>
        <w:suppressLineNumbers w:val="0"/>
        <w:spacing w:before="60" w:beforeAutospacing="0" w:after="60" w:afterAutospacing="0"/>
        <w:ind w:left="0" w:right="0" w:firstLine="336"/>
      </w:pPr>
      <w:r>
        <w:rPr>
          <w:rFonts w:hint="eastAsia" w:ascii="宋体" w:hAnsi="宋体" w:eastAsia="宋体" w:cs="宋体"/>
          <w:spacing w:val="0"/>
          <w:sz w:val="19"/>
          <w:szCs w:val="19"/>
          <w:shd w:val="clear" w:fill="FFFFFF"/>
        </w:rPr>
        <w:t>（2）投标人的澄清、说明或补正应由投标人代表在评标委员会规定的时间内（一般在半个小时左右，具体要求将根据实际情况在澄清通知中约定）以书面形式向评标委员会提交，前述澄清、说明或补正不得超出投标文件的范围或改变投标文件的实质性内容。若投标人未按照前述规定向评标委员会提交书面澄清、说明或补正，则评标委员会将按照不利于投标人的内容进行认定。</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（3）投标文件报价出现前后不一致的，除招标文件另有规定外，按照下列规定修正：</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①开标一览表内容与投标文件中相应内容不一致的，以开标一览表为准；</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②大写金额和小写金额不一致的，以大写金额为准；</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③单价金额小数点或百分比有明显错位的，以开标一览表的总价为准，并修改单价；</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④总价金额与按照单价汇总金额不一致的，以单价金额计算结果为准。</w:t>
      </w:r>
    </w:p>
    <w:p>
      <w:pPr>
        <w:pStyle w:val="3"/>
        <w:keepNext w:val="0"/>
        <w:keepLines w:val="0"/>
        <w:widowControl/>
        <w:suppressLineNumbers w:val="0"/>
        <w:spacing w:before="60" w:beforeAutospacing="0" w:after="60" w:afterAutospacing="0"/>
        <w:ind w:left="0" w:right="0" w:firstLine="384"/>
      </w:pPr>
      <w:r>
        <w:rPr>
          <w:rStyle w:val="5"/>
          <w:rFonts w:hint="eastAsia" w:ascii="宋体" w:hAnsi="宋体" w:eastAsia="宋体" w:cs="宋体"/>
          <w:spacing w:val="0"/>
          <w:sz w:val="19"/>
          <w:szCs w:val="19"/>
          <w:shd w:val="clear" w:fill="FFFFFF"/>
        </w:rPr>
        <w:t>※同时出现两种以上不一致的，按照前款规定的顺序修正。修正后的报价应按照本章第</w:t>
      </w:r>
      <w:r>
        <w:rPr>
          <w:rStyle w:val="5"/>
          <w:rFonts w:hint="default" w:ascii="Calibri" w:hAnsi="Calibri" w:cs="Calibri"/>
          <w:spacing w:val="0"/>
          <w:sz w:val="19"/>
          <w:szCs w:val="19"/>
          <w:shd w:val="clear" w:fill="FFFFFF"/>
        </w:rPr>
        <w:t>6.3</w:t>
      </w:r>
      <w:r>
        <w:rPr>
          <w:rStyle w:val="5"/>
          <w:rFonts w:hint="eastAsia" w:ascii="宋体" w:hAnsi="宋体" w:eastAsia="宋体" w:cs="宋体"/>
          <w:spacing w:val="0"/>
          <w:sz w:val="19"/>
          <w:szCs w:val="19"/>
          <w:shd w:val="clear" w:fill="FFFFFF"/>
        </w:rPr>
        <w:t>条第（</w:t>
      </w:r>
      <w:r>
        <w:rPr>
          <w:rStyle w:val="5"/>
          <w:rFonts w:hint="default" w:ascii="Calibri" w:hAnsi="Calibri" w:cs="Calibri"/>
          <w:spacing w:val="0"/>
          <w:sz w:val="19"/>
          <w:szCs w:val="19"/>
          <w:shd w:val="clear" w:fill="FFFFFF"/>
        </w:rPr>
        <w:t>1</w:t>
      </w:r>
      <w:r>
        <w:rPr>
          <w:rStyle w:val="5"/>
          <w:rFonts w:hint="eastAsia" w:ascii="宋体" w:hAnsi="宋体" w:eastAsia="宋体" w:cs="宋体"/>
          <w:spacing w:val="0"/>
          <w:sz w:val="19"/>
          <w:szCs w:val="19"/>
          <w:shd w:val="clear" w:fill="FFFFFF"/>
        </w:rPr>
        <w:t>）、（</w:t>
      </w:r>
      <w:r>
        <w:rPr>
          <w:rStyle w:val="5"/>
          <w:rFonts w:hint="default" w:ascii="Calibri" w:hAnsi="Calibri" w:cs="Calibri"/>
          <w:spacing w:val="0"/>
          <w:sz w:val="19"/>
          <w:szCs w:val="19"/>
          <w:shd w:val="clear" w:fill="FFFFFF"/>
        </w:rPr>
        <w:t>2</w:t>
      </w:r>
      <w:r>
        <w:rPr>
          <w:rStyle w:val="5"/>
          <w:rFonts w:hint="eastAsia" w:ascii="宋体" w:hAnsi="宋体" w:eastAsia="宋体" w:cs="宋体"/>
          <w:spacing w:val="0"/>
          <w:sz w:val="19"/>
          <w:szCs w:val="19"/>
          <w:shd w:val="clear" w:fill="FFFFFF"/>
        </w:rPr>
        <w:t>）款规定经投标人确认后产生约束力，投标人不确认的，其投标无效。</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（4）关于细微偏差</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①细微偏差指投标文件实质性响应招标文件要求，但在个别地方存在漏项或提供了不完整的技术信息和数据等情况，并且补正这些遗漏或不完整不会对其他投标人造成不公平的结果。细微偏差不影响投标文件的有效性。</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②评标委员会将以书面形式要求存在细微偏差的投标人在评标委员会规定的时间内予以补正。若无法补正，则评标委员会将按照不利于投标人的内容进行认定。</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（5）关于投标描述（即投标文件中描述的内容）</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①投标描述前后不一致且不涉及证明材料的：按照本章第</w:t>
      </w:r>
      <w:r>
        <w:rPr>
          <w:rFonts w:hint="default" w:ascii="Calibri" w:hAnsi="Calibri" w:cs="Calibri"/>
          <w:spacing w:val="0"/>
          <w:sz w:val="19"/>
          <w:szCs w:val="19"/>
          <w:shd w:val="clear" w:fill="FFFFFF"/>
        </w:rPr>
        <w:t>6.3</w:t>
      </w:r>
      <w:r>
        <w:rPr>
          <w:rFonts w:hint="eastAsia" w:ascii="宋体" w:hAnsi="宋体" w:eastAsia="宋体" w:cs="宋体"/>
          <w:spacing w:val="0"/>
          <w:sz w:val="19"/>
          <w:szCs w:val="19"/>
          <w:shd w:val="clear" w:fill="FFFFFF"/>
        </w:rPr>
        <w:t>条第（</w:t>
      </w:r>
      <w:r>
        <w:rPr>
          <w:rFonts w:hint="default" w:ascii="Calibri" w:hAnsi="Calibri" w:cs="Calibri"/>
          <w:spacing w:val="0"/>
          <w:sz w:val="19"/>
          <w:szCs w:val="19"/>
          <w:shd w:val="clear" w:fill="FFFFFF"/>
        </w:rPr>
        <w:t>1</w:t>
      </w:r>
      <w:r>
        <w:rPr>
          <w:rFonts w:hint="eastAsia" w:ascii="宋体" w:hAnsi="宋体" w:eastAsia="宋体" w:cs="宋体"/>
          <w:spacing w:val="0"/>
          <w:sz w:val="19"/>
          <w:szCs w:val="19"/>
          <w:shd w:val="clear" w:fill="FFFFFF"/>
        </w:rPr>
        <w:t>）、（</w:t>
      </w:r>
      <w:r>
        <w:rPr>
          <w:rFonts w:hint="default" w:ascii="Calibri" w:hAnsi="Calibri" w:cs="Calibri"/>
          <w:spacing w:val="0"/>
          <w:sz w:val="19"/>
          <w:szCs w:val="19"/>
          <w:shd w:val="clear" w:fill="FFFFFF"/>
        </w:rPr>
        <w:t>2</w:t>
      </w:r>
      <w:r>
        <w:rPr>
          <w:rFonts w:hint="eastAsia" w:ascii="宋体" w:hAnsi="宋体" w:eastAsia="宋体" w:cs="宋体"/>
          <w:spacing w:val="0"/>
          <w:sz w:val="19"/>
          <w:szCs w:val="19"/>
          <w:shd w:val="clear" w:fill="FFFFFF"/>
        </w:rPr>
        <w:t>）款规定执行。</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②投标描述与证明材料不一致或多份证明材料之间不一致的：</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a.评标委员会将要求投标人进行书面澄清，并按照不利于投标人的内容进行评标。</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b.投标人按照要求进行澄清的，采购人以澄清内容为准进行验收；投标人未按照要求进行澄清的，采购人以投标描述或证明材料中有利于采购人的内容进行验收。投标人应对证明材料的真实性、有效性承担责任。</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③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6.4比较与评价</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（1）按照本章第</w:t>
      </w:r>
      <w:r>
        <w:rPr>
          <w:rFonts w:hint="default" w:ascii="Calibri" w:hAnsi="Calibri" w:cs="Calibri"/>
          <w:spacing w:val="0"/>
          <w:sz w:val="19"/>
          <w:szCs w:val="19"/>
          <w:shd w:val="clear" w:fill="FFFFFF"/>
        </w:rPr>
        <w:t>7</w:t>
      </w:r>
      <w:r>
        <w:rPr>
          <w:rFonts w:hint="eastAsia" w:ascii="宋体" w:hAnsi="宋体" w:eastAsia="宋体" w:cs="宋体"/>
          <w:spacing w:val="0"/>
          <w:sz w:val="19"/>
          <w:szCs w:val="19"/>
          <w:shd w:val="clear" w:fill="FFFFFF"/>
        </w:rPr>
        <w:t>条载明的评标方法和标准，对符合性审查合格的投标文件进行比较与评价。</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（2）关于相同品牌产品</w:t>
      </w:r>
      <w:r>
        <w:rPr>
          <w:rStyle w:val="5"/>
          <w:rFonts w:hint="eastAsia" w:ascii="宋体" w:hAnsi="宋体" w:eastAsia="宋体" w:cs="宋体"/>
          <w:spacing w:val="0"/>
          <w:sz w:val="19"/>
          <w:szCs w:val="19"/>
          <w:shd w:val="clear" w:fill="FFFFFF"/>
        </w:rPr>
        <w:t>（政府采购服务类项目不适用本条款规定）</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①采用最低评标价法的，提供相同品牌产品的不同投标人参加同一合同项下投标的，以其中通过资格审查、符合性审查且报价最低的参加评标；报价相同的，由评标委员会按照下列方式确定一个参加评标的投标人：</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a.招标文件规定的方式：</w:t>
      </w:r>
      <w:r>
        <w:rPr>
          <w:spacing w:val="0"/>
          <w:sz w:val="19"/>
          <w:szCs w:val="19"/>
          <w:u w:val="single"/>
          <w:shd w:val="clear" w:fill="FFFFFF"/>
        </w:rPr>
        <w:t>无</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b.招标文件未规定的，采取随机抽取方式确定，其他</w:t>
      </w:r>
      <w:r>
        <w:rPr>
          <w:rStyle w:val="5"/>
          <w:rFonts w:hint="eastAsia" w:ascii="宋体" w:hAnsi="宋体" w:eastAsia="宋体" w:cs="宋体"/>
          <w:spacing w:val="0"/>
          <w:sz w:val="19"/>
          <w:szCs w:val="19"/>
          <w:shd w:val="clear" w:fill="FFFFFF"/>
        </w:rPr>
        <w:t>投标无效。</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②采用综合评分法的，提供相同品牌产品且通过资格审查、符合性审查的不同投标人参加同一合同项下投标的，按一家投标人计算，评审后得分最高的同品牌投标人作为中标候选人推荐；评审得分相同的，由评标委员会按照下列方式确定一个投标人作为中标候选人推荐：</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a.招标文件规定的方式：</w:t>
      </w:r>
      <w:r>
        <w:rPr>
          <w:spacing w:val="0"/>
          <w:sz w:val="19"/>
          <w:szCs w:val="19"/>
          <w:u w:val="single"/>
          <w:shd w:val="clear" w:fill="FFFFFF"/>
        </w:rPr>
        <w:t>按照技术指标优劣、服务要求响应优劣、资格条件高低、商务条件高低情况依序择优确定一个投标人获得中标人推荐资格。其他同品牌投标人不作为中标候选人。如无法界定的采取随机抽取方式确定</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b.招标文件未规定的，采取随机抽取方式确定，其他同品牌投标人不作为中标候选人。</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③非单一产品采购项目，多家投标人提供的核心产品品牌相同的，按照本章第</w:t>
      </w:r>
      <w:r>
        <w:rPr>
          <w:rFonts w:hint="default" w:ascii="Calibri" w:hAnsi="Calibri" w:cs="Calibri"/>
          <w:spacing w:val="0"/>
          <w:sz w:val="19"/>
          <w:szCs w:val="19"/>
          <w:shd w:val="clear" w:fill="FFFFFF"/>
        </w:rPr>
        <w:t>6.4</w:t>
      </w:r>
      <w:r>
        <w:rPr>
          <w:rFonts w:hint="eastAsia" w:ascii="宋体" w:hAnsi="宋体" w:eastAsia="宋体" w:cs="宋体"/>
          <w:spacing w:val="0"/>
          <w:sz w:val="19"/>
          <w:szCs w:val="19"/>
          <w:shd w:val="clear" w:fill="FFFFFF"/>
        </w:rPr>
        <w:t>条第（</w:t>
      </w:r>
      <w:r>
        <w:rPr>
          <w:rFonts w:hint="default" w:ascii="Calibri" w:hAnsi="Calibri" w:cs="Calibri"/>
          <w:spacing w:val="0"/>
          <w:sz w:val="19"/>
          <w:szCs w:val="19"/>
          <w:shd w:val="clear" w:fill="FFFFFF"/>
        </w:rPr>
        <w:t>2</w:t>
      </w:r>
      <w:r>
        <w:rPr>
          <w:rFonts w:hint="eastAsia" w:ascii="宋体" w:hAnsi="宋体" w:eastAsia="宋体" w:cs="宋体"/>
          <w:spacing w:val="0"/>
          <w:sz w:val="19"/>
          <w:szCs w:val="19"/>
          <w:shd w:val="clear" w:fill="FFFFFF"/>
        </w:rPr>
        <w:t>）款第①、②规定处理。</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（3）漏（缺）项</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①招标文件中要求列入报价的费用（含配置、功能），漏（缺）项的报价视为已经包括在投标总价中。</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②对多报项及赠送项的价格评标时不予核减，全部进入评标价评议。</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6.5推荐中标候选人：详见本章第</w:t>
      </w:r>
      <w:r>
        <w:rPr>
          <w:rFonts w:hint="default" w:ascii="Calibri" w:hAnsi="Calibri" w:cs="Calibri"/>
          <w:spacing w:val="0"/>
          <w:sz w:val="19"/>
          <w:szCs w:val="19"/>
          <w:shd w:val="clear" w:fill="FFFFFF"/>
        </w:rPr>
        <w:t>7.2</w:t>
      </w:r>
      <w:r>
        <w:rPr>
          <w:rFonts w:hint="eastAsia" w:ascii="宋体" w:hAnsi="宋体" w:eastAsia="宋体" w:cs="宋体"/>
          <w:spacing w:val="0"/>
          <w:sz w:val="19"/>
          <w:szCs w:val="19"/>
          <w:shd w:val="clear" w:fill="FFFFFF"/>
        </w:rPr>
        <w:t>条规定。</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6.6编写评标报告</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（1）评标报告由评标委员会负责编写。</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（2）评标报告应包括下列内容：</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①招标公告刊登的媒体名称、开标日期和地点；</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②投标人名单和评标委员会成员名单；</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③评标方法和标准；</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④开标记录和评标情况及说明，包括无效投标人名单及原因；</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⑤评标结果，包括中标候选人名单或确定的中标人；</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⑥其他需要说明的情况，包括但不限于：评标过程中投标人的澄清、说明或补正，评委更换等。</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6.7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w:t>
      </w:r>
      <w:r>
        <w:rPr>
          <w:rStyle w:val="5"/>
          <w:rFonts w:hint="eastAsia" w:ascii="宋体" w:hAnsi="宋体" w:eastAsia="宋体" w:cs="宋体"/>
          <w:spacing w:val="0"/>
          <w:sz w:val="19"/>
          <w:szCs w:val="19"/>
          <w:shd w:val="clear" w:fill="FFFFFF"/>
        </w:rPr>
        <w:t>投标无效</w:t>
      </w:r>
      <w:r>
        <w:rPr>
          <w:rFonts w:hint="eastAsia" w:ascii="宋体" w:hAnsi="宋体" w:eastAsia="宋体" w:cs="宋体"/>
          <w:spacing w:val="0"/>
          <w:sz w:val="19"/>
          <w:szCs w:val="19"/>
          <w:shd w:val="clear" w:fill="FFFFFF"/>
        </w:rPr>
        <w:t>处理。</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6.8评委对需要共同认定的事项存在争议的，应按照少数服从多数的原则进行认定。</w:t>
      </w:r>
      <w:r>
        <w:rPr>
          <w:rStyle w:val="5"/>
          <w:rFonts w:hint="eastAsia" w:ascii="宋体" w:hAnsi="宋体" w:eastAsia="宋体" w:cs="宋体"/>
          <w:spacing w:val="0"/>
          <w:sz w:val="19"/>
          <w:szCs w:val="19"/>
          <w:shd w:val="clear" w:fill="FFFFFF"/>
        </w:rPr>
        <w:t>持不同意见的评委应在评标报告上签署不同意见及理由，否则视为同意评标报告。</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6.9在评标过程中发现投标人有下列情形之一的，评标委员会应认定其</w:t>
      </w:r>
      <w:r>
        <w:rPr>
          <w:rStyle w:val="5"/>
          <w:rFonts w:hint="eastAsia" w:ascii="宋体" w:hAnsi="宋体" w:eastAsia="宋体" w:cs="宋体"/>
          <w:spacing w:val="0"/>
          <w:sz w:val="19"/>
          <w:szCs w:val="19"/>
          <w:shd w:val="clear" w:fill="FFFFFF"/>
        </w:rPr>
        <w:t>投标无效</w:t>
      </w:r>
      <w:r>
        <w:rPr>
          <w:rFonts w:hint="eastAsia" w:ascii="宋体" w:hAnsi="宋体" w:eastAsia="宋体" w:cs="宋体"/>
          <w:spacing w:val="0"/>
          <w:sz w:val="19"/>
          <w:szCs w:val="19"/>
          <w:shd w:val="clear" w:fill="FFFFFF"/>
        </w:rPr>
        <w:t>，并书面报告本项目监督管理部门：</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（1）恶意串通（包括但不限于招标文件第三章第</w:t>
      </w:r>
      <w:r>
        <w:rPr>
          <w:rFonts w:hint="default" w:ascii="Calibri" w:hAnsi="Calibri" w:cs="Calibri"/>
          <w:spacing w:val="0"/>
          <w:sz w:val="19"/>
          <w:szCs w:val="19"/>
          <w:shd w:val="clear" w:fill="FFFFFF"/>
        </w:rPr>
        <w:t>9.7</w:t>
      </w:r>
      <w:r>
        <w:rPr>
          <w:rFonts w:hint="eastAsia" w:ascii="宋体" w:hAnsi="宋体" w:eastAsia="宋体" w:cs="宋体"/>
          <w:spacing w:val="0"/>
          <w:sz w:val="19"/>
          <w:szCs w:val="19"/>
          <w:shd w:val="clear" w:fill="FFFFFF"/>
        </w:rPr>
        <w:t>条规定情形）；</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（2）妨碍其他投标人的竞争行为；</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（3）损害采购人或其他投标人的合法权益。</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6.10评标过程中，有下列情形之一的，应予废标：</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（1）符合性审查合格的投标人不足三家的；</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（2）有关法律、法规和规章规定废标的情形。</w:t>
      </w:r>
    </w:p>
    <w:p>
      <w:pPr>
        <w:pStyle w:val="3"/>
        <w:keepNext w:val="0"/>
        <w:keepLines w:val="0"/>
        <w:widowControl/>
        <w:suppressLineNumbers w:val="0"/>
        <w:spacing w:before="60" w:beforeAutospacing="0" w:after="60" w:afterAutospacing="0"/>
        <w:ind w:left="0" w:right="0" w:firstLine="384"/>
      </w:pPr>
      <w:r>
        <w:rPr>
          <w:rStyle w:val="5"/>
          <w:rFonts w:hint="eastAsia" w:ascii="宋体" w:hAnsi="宋体" w:eastAsia="宋体" w:cs="宋体"/>
          <w:spacing w:val="0"/>
          <w:sz w:val="19"/>
          <w:szCs w:val="19"/>
          <w:shd w:val="clear" w:fill="FFFFFF"/>
        </w:rPr>
        <w:t>※若废标，则本次采购活动结束，</w:t>
      </w:r>
      <w:r>
        <w:rPr>
          <w:rFonts w:hint="eastAsia" w:ascii="宋体" w:hAnsi="宋体" w:eastAsia="宋体" w:cs="宋体"/>
          <w:spacing w:val="0"/>
          <w:sz w:val="19"/>
          <w:szCs w:val="19"/>
          <w:u w:val="single"/>
          <w:shd w:val="clear" w:fill="FFFFFF"/>
        </w:rPr>
        <w:t>福建省中达招标代理有限公司</w:t>
      </w:r>
      <w:r>
        <w:rPr>
          <w:rStyle w:val="5"/>
          <w:rFonts w:hint="eastAsia" w:ascii="宋体" w:hAnsi="宋体" w:eastAsia="宋体" w:cs="宋体"/>
          <w:spacing w:val="0"/>
          <w:sz w:val="19"/>
          <w:szCs w:val="19"/>
          <w:shd w:val="clear" w:fill="FFFFFF"/>
        </w:rPr>
        <w:t>将依法组织后续采购活动（包括但不限于：重新招标、采用其他方式采购等）。</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7、评标方法和标准</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7.1评标方法：</w:t>
      </w:r>
      <w:r>
        <w:rPr>
          <w:spacing w:val="0"/>
          <w:sz w:val="19"/>
          <w:szCs w:val="19"/>
          <w:shd w:val="clear" w:fill="FFFFFF"/>
        </w:rPr>
        <w:t xml:space="preserve"> 合同包1采用综合评分法。</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7.2评标标准</w:t>
      </w:r>
    </w:p>
    <w:p>
      <w:pPr>
        <w:pStyle w:val="3"/>
        <w:keepNext w:val="0"/>
        <w:keepLines w:val="0"/>
        <w:widowControl/>
        <w:suppressLineNumbers w:val="0"/>
        <w:shd w:val="clear" w:fill="FFFFFF"/>
        <w:spacing w:before="0" w:beforeAutospacing="0" w:after="120" w:afterAutospacing="0"/>
        <w:ind w:left="0" w:right="0"/>
        <w:rPr>
          <w:rFonts w:hint="eastAsia" w:ascii="微软雅黑" w:hAnsi="微软雅黑" w:eastAsia="微软雅黑" w:cs="微软雅黑"/>
          <w:color w:val="393939"/>
          <w:sz w:val="15"/>
          <w:szCs w:val="15"/>
        </w:rPr>
      </w:pPr>
      <w:r>
        <w:rPr>
          <w:rStyle w:val="5"/>
          <w:rFonts w:hint="eastAsia" w:ascii="宋体" w:hAnsi="宋体" w:eastAsia="宋体" w:cs="宋体"/>
          <w:color w:val="393939"/>
          <w:sz w:val="19"/>
          <w:szCs w:val="19"/>
          <w:bdr w:val="none" w:color="auto" w:sz="0" w:space="0"/>
          <w:shd w:val="clear" w:fill="FFFFFF"/>
        </w:rPr>
        <w:t>合同包1采用综合评分法</w:t>
      </w:r>
      <w:r>
        <w:rPr>
          <w:rFonts w:hint="eastAsia" w:ascii="宋体" w:hAnsi="宋体" w:eastAsia="宋体" w:cs="宋体"/>
          <w:color w:val="393939"/>
          <w:sz w:val="19"/>
          <w:szCs w:val="19"/>
          <w:bdr w:val="none" w:color="auto" w:sz="0" w:space="0"/>
          <w:shd w:val="clear" w:fill="FFFFFF"/>
        </w:rPr>
        <w:t>：</w:t>
      </w:r>
    </w:p>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（1）投标文件满足招标文件全部实质性要求，且按照评审因素的量化指标评审得分（即评标总得分）最高的投标人为中标候选人。</w:t>
      </w:r>
    </w:p>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（2）每个投标人的评标总得分</w:t>
      </w:r>
      <w:r>
        <w:rPr>
          <w:rFonts w:hint="default" w:ascii="Calibri" w:hAnsi="Calibri" w:eastAsia="宋体" w:cs="Calibri"/>
          <w:sz w:val="19"/>
          <w:szCs w:val="19"/>
          <w:bdr w:val="none" w:color="auto" w:sz="0" w:space="0"/>
          <w:shd w:val="clear" w:fill="FFFFFF"/>
        </w:rPr>
        <w:t>FA</w:t>
      </w:r>
      <w:r>
        <w:rPr>
          <w:rFonts w:hint="eastAsia" w:ascii="宋体" w:hAnsi="宋体" w:eastAsia="宋体" w:cs="宋体"/>
          <w:sz w:val="19"/>
          <w:szCs w:val="19"/>
          <w:bdr w:val="none" w:color="auto" w:sz="0" w:space="0"/>
          <w:shd w:val="clear" w:fill="FFFFFF"/>
        </w:rPr>
        <w:t>＝</w:t>
      </w:r>
      <w:r>
        <w:rPr>
          <w:rFonts w:hint="default" w:ascii="Calibri" w:hAnsi="Calibri" w:eastAsia="宋体" w:cs="Calibri"/>
          <w:sz w:val="19"/>
          <w:szCs w:val="19"/>
          <w:bdr w:val="none" w:color="auto" w:sz="0" w:space="0"/>
          <w:shd w:val="clear" w:fill="FFFFFF"/>
        </w:rPr>
        <w:t>F1</w:t>
      </w:r>
      <w:r>
        <w:rPr>
          <w:rFonts w:hint="eastAsia" w:ascii="宋体" w:hAnsi="宋体" w:eastAsia="宋体" w:cs="宋体"/>
          <w:sz w:val="19"/>
          <w:szCs w:val="19"/>
          <w:bdr w:val="none" w:color="auto" w:sz="0" w:space="0"/>
          <w:shd w:val="clear" w:fill="FFFFFF"/>
        </w:rPr>
        <w:t>×</w:t>
      </w:r>
      <w:r>
        <w:rPr>
          <w:rFonts w:hint="default" w:ascii="Calibri" w:hAnsi="Calibri" w:eastAsia="宋体" w:cs="Calibri"/>
          <w:sz w:val="19"/>
          <w:szCs w:val="19"/>
          <w:bdr w:val="none" w:color="auto" w:sz="0" w:space="0"/>
          <w:shd w:val="clear" w:fill="FFFFFF"/>
        </w:rPr>
        <w:t>A1</w:t>
      </w:r>
      <w:r>
        <w:rPr>
          <w:rFonts w:hint="eastAsia" w:ascii="宋体" w:hAnsi="宋体" w:eastAsia="宋体" w:cs="宋体"/>
          <w:sz w:val="19"/>
          <w:szCs w:val="19"/>
          <w:bdr w:val="none" w:color="auto" w:sz="0" w:space="0"/>
          <w:shd w:val="clear" w:fill="FFFFFF"/>
        </w:rPr>
        <w:t>＋</w:t>
      </w:r>
      <w:r>
        <w:rPr>
          <w:rFonts w:hint="default" w:ascii="Calibri" w:hAnsi="Calibri" w:eastAsia="宋体" w:cs="Calibri"/>
          <w:sz w:val="19"/>
          <w:szCs w:val="19"/>
          <w:bdr w:val="none" w:color="auto" w:sz="0" w:space="0"/>
          <w:shd w:val="clear" w:fill="FFFFFF"/>
        </w:rPr>
        <w:t>F2</w:t>
      </w:r>
      <w:r>
        <w:rPr>
          <w:rFonts w:hint="eastAsia" w:ascii="宋体" w:hAnsi="宋体" w:eastAsia="宋体" w:cs="宋体"/>
          <w:sz w:val="19"/>
          <w:szCs w:val="19"/>
          <w:bdr w:val="none" w:color="auto" w:sz="0" w:space="0"/>
          <w:shd w:val="clear" w:fill="FFFFFF"/>
        </w:rPr>
        <w:t>×</w:t>
      </w:r>
      <w:r>
        <w:rPr>
          <w:rFonts w:hint="default" w:ascii="Calibri" w:hAnsi="Calibri" w:eastAsia="宋体" w:cs="Calibri"/>
          <w:sz w:val="19"/>
          <w:szCs w:val="19"/>
          <w:bdr w:val="none" w:color="auto" w:sz="0" w:space="0"/>
          <w:shd w:val="clear" w:fill="FFFFFF"/>
        </w:rPr>
        <w:t>A2</w:t>
      </w:r>
      <w:r>
        <w:rPr>
          <w:rFonts w:hint="eastAsia" w:ascii="宋体" w:hAnsi="宋体" w:eastAsia="宋体" w:cs="宋体"/>
          <w:sz w:val="19"/>
          <w:szCs w:val="19"/>
          <w:bdr w:val="none" w:color="auto" w:sz="0" w:space="0"/>
          <w:shd w:val="clear" w:fill="FFFFFF"/>
        </w:rPr>
        <w:t>＋</w:t>
      </w:r>
      <w:r>
        <w:rPr>
          <w:rFonts w:hint="default" w:ascii="Calibri" w:hAnsi="Calibri" w:eastAsia="宋体" w:cs="Calibri"/>
          <w:sz w:val="19"/>
          <w:szCs w:val="19"/>
          <w:bdr w:val="none" w:color="auto" w:sz="0" w:space="0"/>
          <w:shd w:val="clear" w:fill="FFFFFF"/>
        </w:rPr>
        <w:t>F3</w:t>
      </w:r>
      <w:r>
        <w:rPr>
          <w:rFonts w:hint="eastAsia" w:ascii="宋体" w:hAnsi="宋体" w:eastAsia="宋体" w:cs="宋体"/>
          <w:sz w:val="19"/>
          <w:szCs w:val="19"/>
          <w:bdr w:val="none" w:color="auto" w:sz="0" w:space="0"/>
          <w:shd w:val="clear" w:fill="FFFFFF"/>
        </w:rPr>
        <w:t>×</w:t>
      </w:r>
      <w:r>
        <w:rPr>
          <w:rFonts w:hint="default" w:ascii="Calibri" w:hAnsi="Calibri" w:eastAsia="宋体" w:cs="Calibri"/>
          <w:sz w:val="19"/>
          <w:szCs w:val="19"/>
          <w:bdr w:val="none" w:color="auto" w:sz="0" w:space="0"/>
          <w:shd w:val="clear" w:fill="FFFFFF"/>
        </w:rPr>
        <w:t>A3</w:t>
      </w:r>
      <w:r>
        <w:rPr>
          <w:rFonts w:hint="eastAsia" w:ascii="宋体" w:hAnsi="宋体" w:eastAsia="宋体" w:cs="宋体"/>
          <w:sz w:val="19"/>
          <w:szCs w:val="19"/>
          <w:bdr w:val="none" w:color="auto" w:sz="0" w:space="0"/>
          <w:shd w:val="clear" w:fill="FFFFFF"/>
        </w:rPr>
        <w:t>＋</w:t>
      </w:r>
      <w:r>
        <w:rPr>
          <w:rFonts w:hint="default" w:ascii="Calibri" w:hAnsi="Calibri" w:eastAsia="宋体" w:cs="Calibri"/>
          <w:sz w:val="19"/>
          <w:szCs w:val="19"/>
          <w:bdr w:val="none" w:color="auto" w:sz="0" w:space="0"/>
          <w:shd w:val="clear" w:fill="FFFFFF"/>
        </w:rPr>
        <w:t>F4</w:t>
      </w:r>
      <w:r>
        <w:rPr>
          <w:rFonts w:hint="eastAsia" w:ascii="宋体" w:hAnsi="宋体" w:eastAsia="宋体" w:cs="宋体"/>
          <w:sz w:val="19"/>
          <w:szCs w:val="19"/>
          <w:bdr w:val="none" w:color="auto" w:sz="0" w:space="0"/>
          <w:shd w:val="clear" w:fill="FFFFFF"/>
        </w:rPr>
        <w:t>×</w:t>
      </w:r>
      <w:r>
        <w:rPr>
          <w:rFonts w:hint="default" w:ascii="Calibri" w:hAnsi="Calibri" w:eastAsia="宋体" w:cs="Calibri"/>
          <w:sz w:val="19"/>
          <w:szCs w:val="19"/>
          <w:bdr w:val="none" w:color="auto" w:sz="0" w:space="0"/>
          <w:shd w:val="clear" w:fill="FFFFFF"/>
        </w:rPr>
        <w:t>A4</w:t>
      </w:r>
      <w:r>
        <w:rPr>
          <w:rFonts w:hint="eastAsia" w:ascii="宋体" w:hAnsi="宋体" w:eastAsia="宋体" w:cs="宋体"/>
          <w:sz w:val="19"/>
          <w:szCs w:val="19"/>
          <w:bdr w:val="none" w:color="auto" w:sz="0" w:space="0"/>
          <w:shd w:val="clear" w:fill="FFFFFF"/>
        </w:rPr>
        <w:t>（若有），其中：</w:t>
      </w:r>
      <w:r>
        <w:rPr>
          <w:rFonts w:hint="default" w:ascii="Calibri" w:hAnsi="Calibri" w:eastAsia="宋体" w:cs="Calibri"/>
          <w:sz w:val="19"/>
          <w:szCs w:val="19"/>
          <w:bdr w:val="none" w:color="auto" w:sz="0" w:space="0"/>
          <w:shd w:val="clear" w:fill="FFFFFF"/>
        </w:rPr>
        <w:t>F1</w:t>
      </w:r>
      <w:r>
        <w:rPr>
          <w:rFonts w:hint="eastAsia" w:ascii="宋体" w:hAnsi="宋体" w:eastAsia="宋体" w:cs="宋体"/>
          <w:sz w:val="19"/>
          <w:szCs w:val="19"/>
          <w:bdr w:val="none" w:color="auto" w:sz="0" w:space="0"/>
          <w:shd w:val="clear" w:fill="FFFFFF"/>
        </w:rPr>
        <w:t>指价格项评审因素得分、</w:t>
      </w:r>
      <w:r>
        <w:rPr>
          <w:rFonts w:hint="default" w:ascii="Calibri" w:hAnsi="Calibri" w:eastAsia="宋体" w:cs="Calibri"/>
          <w:sz w:val="19"/>
          <w:szCs w:val="19"/>
          <w:bdr w:val="none" w:color="auto" w:sz="0" w:space="0"/>
          <w:shd w:val="clear" w:fill="FFFFFF"/>
        </w:rPr>
        <w:t>F2</w:t>
      </w:r>
      <w:r>
        <w:rPr>
          <w:rFonts w:hint="eastAsia" w:ascii="宋体" w:hAnsi="宋体" w:eastAsia="宋体" w:cs="宋体"/>
          <w:sz w:val="19"/>
          <w:szCs w:val="19"/>
          <w:bdr w:val="none" w:color="auto" w:sz="0" w:space="0"/>
          <w:shd w:val="clear" w:fill="FFFFFF"/>
        </w:rPr>
        <w:t>指技术项评审因素得分、</w:t>
      </w:r>
      <w:r>
        <w:rPr>
          <w:rFonts w:hint="default" w:ascii="Calibri" w:hAnsi="Calibri" w:eastAsia="宋体" w:cs="Calibri"/>
          <w:sz w:val="19"/>
          <w:szCs w:val="19"/>
          <w:bdr w:val="none" w:color="auto" w:sz="0" w:space="0"/>
          <w:shd w:val="clear" w:fill="FFFFFF"/>
        </w:rPr>
        <w:t>F3</w:t>
      </w:r>
      <w:r>
        <w:rPr>
          <w:rFonts w:hint="eastAsia" w:ascii="宋体" w:hAnsi="宋体" w:eastAsia="宋体" w:cs="宋体"/>
          <w:sz w:val="19"/>
          <w:szCs w:val="19"/>
          <w:bdr w:val="none" w:color="auto" w:sz="0" w:space="0"/>
          <w:shd w:val="clear" w:fill="FFFFFF"/>
        </w:rPr>
        <w:t>指商务项评审因素得分，</w:t>
      </w:r>
      <w:r>
        <w:rPr>
          <w:rFonts w:hint="default" w:ascii="Calibri" w:hAnsi="Calibri" w:eastAsia="宋体" w:cs="Calibri"/>
          <w:sz w:val="19"/>
          <w:szCs w:val="19"/>
          <w:bdr w:val="none" w:color="auto" w:sz="0" w:space="0"/>
          <w:shd w:val="clear" w:fill="FFFFFF"/>
        </w:rPr>
        <w:t>A1</w:t>
      </w:r>
      <w:r>
        <w:rPr>
          <w:rFonts w:hint="eastAsia" w:ascii="宋体" w:hAnsi="宋体" w:eastAsia="宋体" w:cs="宋体"/>
          <w:sz w:val="19"/>
          <w:szCs w:val="19"/>
          <w:bdr w:val="none" w:color="auto" w:sz="0" w:space="0"/>
          <w:shd w:val="clear" w:fill="FFFFFF"/>
        </w:rPr>
        <w:t>指价格项评审因素所占的权重、</w:t>
      </w:r>
      <w:r>
        <w:rPr>
          <w:rFonts w:hint="default" w:ascii="Calibri" w:hAnsi="Calibri" w:eastAsia="宋体" w:cs="Calibri"/>
          <w:sz w:val="19"/>
          <w:szCs w:val="19"/>
          <w:bdr w:val="none" w:color="auto" w:sz="0" w:space="0"/>
          <w:shd w:val="clear" w:fill="FFFFFF"/>
        </w:rPr>
        <w:t>A2</w:t>
      </w:r>
      <w:r>
        <w:rPr>
          <w:rFonts w:hint="eastAsia" w:ascii="宋体" w:hAnsi="宋体" w:eastAsia="宋体" w:cs="宋体"/>
          <w:sz w:val="19"/>
          <w:szCs w:val="19"/>
          <w:bdr w:val="none" w:color="auto" w:sz="0" w:space="0"/>
          <w:shd w:val="clear" w:fill="FFFFFF"/>
        </w:rPr>
        <w:t>指技术项评审因素所占的权重、</w:t>
      </w:r>
      <w:r>
        <w:rPr>
          <w:rFonts w:hint="default" w:ascii="Calibri" w:hAnsi="Calibri" w:eastAsia="宋体" w:cs="Calibri"/>
          <w:sz w:val="19"/>
          <w:szCs w:val="19"/>
          <w:bdr w:val="none" w:color="auto" w:sz="0" w:space="0"/>
          <w:shd w:val="clear" w:fill="FFFFFF"/>
        </w:rPr>
        <w:t>A3</w:t>
      </w:r>
      <w:r>
        <w:rPr>
          <w:rFonts w:hint="eastAsia" w:ascii="宋体" w:hAnsi="宋体" w:eastAsia="宋体" w:cs="宋体"/>
          <w:sz w:val="19"/>
          <w:szCs w:val="19"/>
          <w:bdr w:val="none" w:color="auto" w:sz="0" w:space="0"/>
          <w:shd w:val="clear" w:fill="FFFFFF"/>
        </w:rPr>
        <w:t>指商务项评审因素所占的权重，</w:t>
      </w:r>
      <w:r>
        <w:rPr>
          <w:rFonts w:hint="default" w:ascii="Calibri" w:hAnsi="Calibri" w:eastAsia="宋体" w:cs="Calibri"/>
          <w:sz w:val="19"/>
          <w:szCs w:val="19"/>
          <w:bdr w:val="none" w:color="auto" w:sz="0" w:space="0"/>
          <w:shd w:val="clear" w:fill="FFFFFF"/>
        </w:rPr>
        <w:t>A1+A2+A3=1</w:t>
      </w:r>
      <w:r>
        <w:rPr>
          <w:rFonts w:hint="eastAsia" w:ascii="宋体" w:hAnsi="宋体" w:eastAsia="宋体" w:cs="宋体"/>
          <w:sz w:val="19"/>
          <w:szCs w:val="19"/>
          <w:bdr w:val="none" w:color="auto" w:sz="0" w:space="0"/>
          <w:shd w:val="clear" w:fill="FFFFFF"/>
        </w:rPr>
        <w:t>、</w:t>
      </w:r>
      <w:r>
        <w:rPr>
          <w:rFonts w:hint="default" w:ascii="Calibri" w:hAnsi="Calibri" w:eastAsia="宋体" w:cs="Calibri"/>
          <w:sz w:val="19"/>
          <w:szCs w:val="19"/>
          <w:bdr w:val="none" w:color="auto" w:sz="0" w:space="0"/>
          <w:shd w:val="clear" w:fill="FFFFFF"/>
        </w:rPr>
        <w:t>F1</w:t>
      </w:r>
      <w:r>
        <w:rPr>
          <w:rFonts w:hint="eastAsia" w:ascii="宋体" w:hAnsi="宋体" w:eastAsia="宋体" w:cs="宋体"/>
          <w:sz w:val="19"/>
          <w:szCs w:val="19"/>
          <w:bdr w:val="none" w:color="auto" w:sz="0" w:space="0"/>
          <w:shd w:val="clear" w:fill="FFFFFF"/>
        </w:rPr>
        <w:t>×</w:t>
      </w:r>
      <w:r>
        <w:rPr>
          <w:rFonts w:hint="default" w:ascii="Calibri" w:hAnsi="Calibri" w:eastAsia="宋体" w:cs="Calibri"/>
          <w:sz w:val="19"/>
          <w:szCs w:val="19"/>
          <w:bdr w:val="none" w:color="auto" w:sz="0" w:space="0"/>
          <w:shd w:val="clear" w:fill="FFFFFF"/>
        </w:rPr>
        <w:t>A1</w:t>
      </w:r>
      <w:r>
        <w:rPr>
          <w:rFonts w:hint="eastAsia" w:ascii="宋体" w:hAnsi="宋体" w:eastAsia="宋体" w:cs="宋体"/>
          <w:sz w:val="19"/>
          <w:szCs w:val="19"/>
          <w:bdr w:val="none" w:color="auto" w:sz="0" w:space="0"/>
          <w:shd w:val="clear" w:fill="FFFFFF"/>
        </w:rPr>
        <w:t>＋</w:t>
      </w:r>
      <w:r>
        <w:rPr>
          <w:rFonts w:hint="default" w:ascii="Calibri" w:hAnsi="Calibri" w:eastAsia="宋体" w:cs="Calibri"/>
          <w:sz w:val="19"/>
          <w:szCs w:val="19"/>
          <w:bdr w:val="none" w:color="auto" w:sz="0" w:space="0"/>
          <w:shd w:val="clear" w:fill="FFFFFF"/>
        </w:rPr>
        <w:t>F2</w:t>
      </w:r>
      <w:r>
        <w:rPr>
          <w:rFonts w:hint="eastAsia" w:ascii="宋体" w:hAnsi="宋体" w:eastAsia="宋体" w:cs="宋体"/>
          <w:sz w:val="19"/>
          <w:szCs w:val="19"/>
          <w:bdr w:val="none" w:color="auto" w:sz="0" w:space="0"/>
          <w:shd w:val="clear" w:fill="FFFFFF"/>
        </w:rPr>
        <w:t>×</w:t>
      </w:r>
      <w:r>
        <w:rPr>
          <w:rFonts w:hint="default" w:ascii="Calibri" w:hAnsi="Calibri" w:eastAsia="宋体" w:cs="Calibri"/>
          <w:sz w:val="19"/>
          <w:szCs w:val="19"/>
          <w:bdr w:val="none" w:color="auto" w:sz="0" w:space="0"/>
          <w:shd w:val="clear" w:fill="FFFFFF"/>
        </w:rPr>
        <w:t>A2</w:t>
      </w:r>
      <w:r>
        <w:rPr>
          <w:rFonts w:hint="eastAsia" w:ascii="宋体" w:hAnsi="宋体" w:eastAsia="宋体" w:cs="宋体"/>
          <w:sz w:val="19"/>
          <w:szCs w:val="19"/>
          <w:bdr w:val="none" w:color="auto" w:sz="0" w:space="0"/>
          <w:shd w:val="clear" w:fill="FFFFFF"/>
        </w:rPr>
        <w:t>＋</w:t>
      </w:r>
      <w:r>
        <w:rPr>
          <w:rFonts w:hint="default" w:ascii="Calibri" w:hAnsi="Calibri" w:eastAsia="宋体" w:cs="Calibri"/>
          <w:sz w:val="19"/>
          <w:szCs w:val="19"/>
          <w:bdr w:val="none" w:color="auto" w:sz="0" w:space="0"/>
          <w:shd w:val="clear" w:fill="FFFFFF"/>
        </w:rPr>
        <w:t>F3</w:t>
      </w:r>
      <w:r>
        <w:rPr>
          <w:rFonts w:hint="eastAsia" w:ascii="宋体" w:hAnsi="宋体" w:eastAsia="宋体" w:cs="宋体"/>
          <w:sz w:val="19"/>
          <w:szCs w:val="19"/>
          <w:bdr w:val="none" w:color="auto" w:sz="0" w:space="0"/>
          <w:shd w:val="clear" w:fill="FFFFFF"/>
        </w:rPr>
        <w:t>×</w:t>
      </w:r>
      <w:r>
        <w:rPr>
          <w:rFonts w:hint="default" w:ascii="Calibri" w:hAnsi="Calibri" w:eastAsia="宋体" w:cs="Calibri"/>
          <w:sz w:val="19"/>
          <w:szCs w:val="19"/>
          <w:bdr w:val="none" w:color="auto" w:sz="0" w:space="0"/>
          <w:shd w:val="clear" w:fill="FFFFFF"/>
        </w:rPr>
        <w:t>A3=100</w:t>
      </w:r>
      <w:r>
        <w:rPr>
          <w:rFonts w:hint="eastAsia" w:ascii="宋体" w:hAnsi="宋体" w:eastAsia="宋体" w:cs="宋体"/>
          <w:sz w:val="19"/>
          <w:szCs w:val="19"/>
          <w:bdr w:val="none" w:color="auto" w:sz="0" w:space="0"/>
          <w:shd w:val="clear" w:fill="FFFFFF"/>
        </w:rPr>
        <w:t>分（满分时），</w:t>
      </w:r>
      <w:r>
        <w:rPr>
          <w:rFonts w:hint="default" w:ascii="Calibri" w:hAnsi="Calibri" w:eastAsia="宋体" w:cs="Calibri"/>
          <w:sz w:val="19"/>
          <w:szCs w:val="19"/>
          <w:bdr w:val="none" w:color="auto" w:sz="0" w:space="0"/>
          <w:shd w:val="clear" w:fill="FFFFFF"/>
        </w:rPr>
        <w:t>F4</w:t>
      </w:r>
      <w:r>
        <w:rPr>
          <w:rFonts w:hint="eastAsia" w:ascii="宋体" w:hAnsi="宋体" w:eastAsia="宋体" w:cs="宋体"/>
          <w:sz w:val="19"/>
          <w:szCs w:val="19"/>
          <w:bdr w:val="none" w:color="auto" w:sz="0" w:space="0"/>
          <w:shd w:val="clear" w:fill="FFFFFF"/>
        </w:rPr>
        <w:t>×</w:t>
      </w:r>
      <w:r>
        <w:rPr>
          <w:rFonts w:hint="default" w:ascii="Calibri" w:hAnsi="Calibri" w:eastAsia="宋体" w:cs="Calibri"/>
          <w:sz w:val="19"/>
          <w:szCs w:val="19"/>
          <w:bdr w:val="none" w:color="auto" w:sz="0" w:space="0"/>
          <w:shd w:val="clear" w:fill="FFFFFF"/>
        </w:rPr>
        <w:t>A4</w:t>
      </w:r>
      <w:r>
        <w:rPr>
          <w:rFonts w:hint="eastAsia" w:ascii="宋体" w:hAnsi="宋体" w:eastAsia="宋体" w:cs="宋体"/>
          <w:sz w:val="19"/>
          <w:szCs w:val="19"/>
          <w:bdr w:val="none" w:color="auto" w:sz="0" w:space="0"/>
          <w:shd w:val="clear" w:fill="FFFFFF"/>
        </w:rPr>
        <w:t>为加分项（即优先类节能产品、环境标志产品在采购活动中可享有的加分优惠）。</w:t>
      </w:r>
    </w:p>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（3）各项评审因素的设置如下：</w:t>
      </w:r>
    </w:p>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①价格项（</w:t>
      </w:r>
      <w:r>
        <w:rPr>
          <w:rFonts w:hint="default" w:ascii="Calibri" w:hAnsi="Calibri" w:eastAsia="宋体" w:cs="Calibri"/>
          <w:sz w:val="19"/>
          <w:szCs w:val="19"/>
          <w:bdr w:val="none" w:color="auto" w:sz="0" w:space="0"/>
          <w:shd w:val="clear" w:fill="FFFFFF"/>
        </w:rPr>
        <w:t>F1</w:t>
      </w:r>
      <w:r>
        <w:rPr>
          <w:rFonts w:hint="eastAsia" w:ascii="宋体" w:hAnsi="宋体" w:eastAsia="宋体" w:cs="宋体"/>
          <w:sz w:val="19"/>
          <w:szCs w:val="19"/>
          <w:bdr w:val="none" w:color="auto" w:sz="0" w:space="0"/>
          <w:shd w:val="clear" w:fill="FFFFFF"/>
        </w:rPr>
        <w:t>×</w:t>
      </w:r>
      <w:r>
        <w:rPr>
          <w:rFonts w:hint="default" w:ascii="Calibri" w:hAnsi="Calibri" w:eastAsia="宋体" w:cs="Calibri"/>
          <w:sz w:val="19"/>
          <w:szCs w:val="19"/>
          <w:bdr w:val="none" w:color="auto" w:sz="0" w:space="0"/>
          <w:shd w:val="clear" w:fill="FFFFFF"/>
        </w:rPr>
        <w:t>A1</w:t>
      </w:r>
      <w:r>
        <w:rPr>
          <w:rFonts w:hint="eastAsia" w:ascii="宋体" w:hAnsi="宋体" w:eastAsia="宋体" w:cs="宋体"/>
          <w:sz w:val="19"/>
          <w:szCs w:val="19"/>
          <w:bdr w:val="none" w:color="auto" w:sz="0" w:space="0"/>
          <w:shd w:val="clear" w:fill="FFFFFF"/>
        </w:rPr>
        <w:t>）满分为</w:t>
      </w:r>
      <w:r>
        <w:rPr>
          <w:rFonts w:hint="eastAsia" w:ascii="宋体" w:hAnsi="宋体" w:eastAsia="宋体" w:cs="宋体"/>
          <w:sz w:val="19"/>
          <w:szCs w:val="19"/>
          <w:u w:val="single"/>
          <w:bdr w:val="none" w:color="auto" w:sz="0" w:space="0"/>
          <w:shd w:val="clear" w:fill="FFFFFF"/>
        </w:rPr>
        <w:t>30</w:t>
      </w:r>
      <w:r>
        <w:rPr>
          <w:rFonts w:hint="eastAsia" w:ascii="宋体" w:hAnsi="宋体" w:eastAsia="宋体" w:cs="宋体"/>
          <w:sz w:val="19"/>
          <w:szCs w:val="19"/>
          <w:bdr w:val="none" w:color="auto" w:sz="0" w:space="0"/>
          <w:shd w:val="clear" w:fill="FFFFFF"/>
        </w:rPr>
        <w:t>分。</w:t>
      </w:r>
    </w:p>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a.价格分采用低价优先法计算，即满足招标文件要求且投标价格最低的投标报价为评标基准价，其价格分为满分。其他投标人的价格分统一按照下列公式计算：投标报价得分</w:t>
      </w:r>
      <w:r>
        <w:rPr>
          <w:rFonts w:hint="default" w:ascii="Calibri" w:hAnsi="Calibri" w:eastAsia="宋体" w:cs="Calibri"/>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（评标基准价／投标报价）×</w:t>
      </w:r>
      <w:r>
        <w:rPr>
          <w:rFonts w:hint="default" w:ascii="Calibri" w:hAnsi="Calibri" w:eastAsia="宋体" w:cs="Calibri"/>
          <w:sz w:val="19"/>
          <w:szCs w:val="19"/>
          <w:bdr w:val="none" w:color="auto" w:sz="0" w:space="0"/>
          <w:shd w:val="clear" w:fill="FFFFFF"/>
        </w:rPr>
        <w:t>100</w:t>
      </w:r>
      <w:r>
        <w:rPr>
          <w:rFonts w:hint="eastAsia" w:ascii="宋体" w:hAnsi="宋体" w:eastAsia="宋体" w:cs="宋体"/>
          <w:sz w:val="19"/>
          <w:szCs w:val="19"/>
          <w:bdr w:val="none" w:color="auto" w:sz="0" w:space="0"/>
          <w:shd w:val="clear" w:fill="FFFFFF"/>
        </w:rPr>
        <w:t>。因落实政府采购政策需进行价格扣除的，以扣除后的价格计算评标基准价和投标报价。</w:t>
      </w:r>
    </w:p>
    <w:p>
      <w:pPr>
        <w:pStyle w:val="3"/>
        <w:keepNext w:val="0"/>
        <w:keepLines w:val="0"/>
        <w:widowControl/>
        <w:suppressLineNumbers w:val="0"/>
        <w:spacing w:before="0" w:beforeAutospacing="0" w:after="0" w:afterAutospacing="0"/>
        <w:ind w:left="0" w:right="0" w:firstLine="384"/>
      </w:pPr>
      <w:r>
        <w:rPr>
          <w:rFonts w:hint="default" w:ascii="Calibri" w:hAnsi="Calibri" w:cs="Calibri"/>
          <w:sz w:val="19"/>
          <w:szCs w:val="19"/>
          <w:bdr w:val="none" w:color="auto" w:sz="0" w:space="0"/>
          <w:shd w:val="clear" w:fill="FFFFFF"/>
        </w:rPr>
        <w:t>b.</w:t>
      </w:r>
      <w:r>
        <w:rPr>
          <w:rFonts w:hint="eastAsia" w:ascii="宋体" w:hAnsi="宋体" w:eastAsia="宋体" w:cs="宋体"/>
          <w:sz w:val="19"/>
          <w:szCs w:val="19"/>
          <w:bdr w:val="none" w:color="auto" w:sz="0" w:space="0"/>
          <w:shd w:val="clear" w:fill="FFFFFF"/>
        </w:rPr>
        <w:t>价格扣除的规则如下：</w:t>
      </w:r>
    </w:p>
    <w:tbl>
      <w:tblPr>
        <w:tblW w:w="8305" w:type="dxa"/>
        <w:tblCellSpacing w:w="0" w:type="dxa"/>
        <w:tblInd w:w="-129"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1410"/>
        <w:gridCol w:w="689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blHeader/>
          <w:tblCellSpacing w:w="0" w:type="dxa"/>
        </w:trPr>
        <w:tc>
          <w:tcPr>
            <w:tcW w:w="1410"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评标项目</w:t>
            </w:r>
          </w:p>
        </w:tc>
        <w:tc>
          <w:tcPr>
            <w:tcW w:w="6895"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评标方法</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blCellSpacing w:w="0" w:type="dxa"/>
        </w:trPr>
        <w:tc>
          <w:tcPr>
            <w:tcW w:w="1410"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小型、微型企业，监狱企业，残疾人</w:t>
            </w:r>
          </w:p>
        </w:tc>
        <w:tc>
          <w:tcPr>
            <w:tcW w:w="6895"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Style w:val="5"/>
                <w:rFonts w:hint="eastAsia" w:ascii="微软雅黑" w:hAnsi="微软雅黑" w:eastAsia="微软雅黑" w:cs="微软雅黑"/>
                <w:color w:val="393939"/>
                <w:kern w:val="0"/>
                <w:sz w:val="15"/>
                <w:szCs w:val="15"/>
                <w:bdr w:val="none" w:color="auto" w:sz="0" w:space="0"/>
                <w:lang w:val="en-US" w:eastAsia="zh-CN" w:bidi="ar"/>
              </w:rPr>
              <w:t>根据财政部、工信部印发的《政府采购促进中小企业发展暂行办法》（财库【2011】181号）文件精神，对于非专门面向中小企业的项目，对小型和微型企业产品的价格给予 6% 的扣除，用扣除后的价格参与价格分的评审。（即所投品目号产品属于小型和微型企业产品的，按其品目号的合计投标价格的6%进行扣除，若所提供的属于小型和微型企业产品仅是构成投标产品的部件、组件或零件的，则该投标产品不享受该政策）。 1、享受价格扣除的投标人应当同时符合以下条件：①、符合《中小企业划分标准》中小、微企业的标准（工信部联企业〔2011〕300号）； ②、提供本企业制造的货物、承担的工程或者服务，或者提供其他中小企业制造的货物。 2、联合体是否享受该扶持政策的规定：（拒绝联合体投标的项目不适用于此款规定）。①、联合体各方均为小型、微型企业的，联合体视同为小型、微型企业享受规定的扶持政策。 ②、大中型企业和其他自然人、法人或者其他组织与小型、微型企业组成联合体共同参加非专门面向中小企业的政府采购活动的，其联合协议中约定小型、微型企业的协议合同金额占到联合体协议合同总金额30%以上的，可给予联合体2%的价格扣除。 3、下述情形，不享受中小企业优惠政策：①、投标产品为进口产品的；②、组成联合体的大中型企业和其他自然人、法人或者其他组织，与小型、微型企业之间存在投资关系的；③、小型、微型企业将获得政府采购合同分包或转包给大型、中型企业，中型企业分包或转包给大型企业的；④、中型企业不享受该项优惠政策。小型、微型企业提供中型企业制造的货物的，视同为中型企业。⑤、投标产品为使用大型企业注册商标的货物的。 4、投标人应提供下述证明材料：未提供或提供的证明材料不符合规定的不予价格扣除。(1)、《中小企业声明函》；(2)、证明材料：根据《关于印发中小企业划型标准规定的通知》（工信部联企业〔2011〕300号）规定的划型标准，不同行业的企业应按下列要求提供相应的证明材料：①、涉及营业收入、资产总额划型的企业：应提供该企业经有资质的第三方会计师事务所审计的上一年度财务会计报表（应能体现营业收入、资产总额）；涉及从业人员划型的企业：应提供该企业参与投标截止时间前三个月内任一个月的缴纳社会保险资金证明材料。【证明材料包括以下内容：实行电子缴纳方式的，应提供本企业所在地辖区内税务机关网上申报成功后打印的《社会保险费申报表》、《社会保险费申报明细表》及银行出具的缴款收讫凭证复印件；实行现场缴纳方式的，应提供本企业注册所在地辖区内税务机关或本企业注册所在地辖区内社保机构出具的缴纳社会保险资金证明】。②、提供企业所在地县级以上中小企业主管部门出具的证明函。(3)、投标人应按招标文件格式要求制作“小型、微型企业产品统计表”，否则不予价格扣除。5、根据财库【2014】68号文《关于政府采购支持监狱企业发展有关问题的通知》的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并按招标文件格式要求制作“小型、微型企业产品统计表”，否则不予价格扣除。 6、根据财库〔2017〕141号文《关于促进残疾人就业政府采购政策的通知》的规定，在政府采购活动中，残疾人福利性单位视同小型、微型企业，享受预留份额、评审中价格扣除等促进中小企业发展的政府采购政策。残疾人福利性单位参加政府采购活动时，应当提供财库〔2017〕141号文规定格式的《残疾人福利性单位声明函》。残疾人福利性单位属于小型、微型企业的，不重复享受政策。</w:t>
            </w:r>
          </w:p>
        </w:tc>
      </w:tr>
    </w:tbl>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②技术项（</w:t>
      </w:r>
      <w:r>
        <w:rPr>
          <w:rFonts w:hint="default" w:ascii="Calibri" w:hAnsi="Calibri" w:eastAsia="宋体" w:cs="Calibri"/>
          <w:sz w:val="19"/>
          <w:szCs w:val="19"/>
          <w:bdr w:val="none" w:color="auto" w:sz="0" w:space="0"/>
          <w:shd w:val="clear" w:fill="FFFFFF"/>
        </w:rPr>
        <w:t>F2</w:t>
      </w:r>
      <w:r>
        <w:rPr>
          <w:rFonts w:hint="eastAsia" w:ascii="宋体" w:hAnsi="宋体" w:eastAsia="宋体" w:cs="宋体"/>
          <w:sz w:val="19"/>
          <w:szCs w:val="19"/>
          <w:bdr w:val="none" w:color="auto" w:sz="0" w:space="0"/>
          <w:shd w:val="clear" w:fill="FFFFFF"/>
        </w:rPr>
        <w:t>×</w:t>
      </w:r>
      <w:r>
        <w:rPr>
          <w:rFonts w:hint="default" w:ascii="Calibri" w:hAnsi="Calibri" w:eastAsia="宋体" w:cs="Calibri"/>
          <w:sz w:val="19"/>
          <w:szCs w:val="19"/>
          <w:bdr w:val="none" w:color="auto" w:sz="0" w:space="0"/>
          <w:shd w:val="clear" w:fill="FFFFFF"/>
        </w:rPr>
        <w:t>A2</w:t>
      </w:r>
      <w:r>
        <w:rPr>
          <w:rFonts w:hint="eastAsia" w:ascii="宋体" w:hAnsi="宋体" w:eastAsia="宋体" w:cs="宋体"/>
          <w:sz w:val="19"/>
          <w:szCs w:val="19"/>
          <w:bdr w:val="none" w:color="auto" w:sz="0" w:space="0"/>
          <w:shd w:val="clear" w:fill="FFFFFF"/>
        </w:rPr>
        <w:t>）满分为</w:t>
      </w:r>
      <w:r>
        <w:rPr>
          <w:rFonts w:hint="eastAsia" w:ascii="宋体" w:hAnsi="宋体" w:eastAsia="宋体" w:cs="宋体"/>
          <w:sz w:val="19"/>
          <w:szCs w:val="19"/>
          <w:u w:val="single"/>
          <w:bdr w:val="none" w:color="auto" w:sz="0" w:space="0"/>
          <w:shd w:val="clear" w:fill="FFFFFF"/>
        </w:rPr>
        <w:t>60</w:t>
      </w:r>
      <w:r>
        <w:rPr>
          <w:rFonts w:hint="eastAsia" w:ascii="宋体" w:hAnsi="宋体" w:eastAsia="宋体" w:cs="宋体"/>
          <w:sz w:val="19"/>
          <w:szCs w:val="19"/>
          <w:bdr w:val="none" w:color="auto" w:sz="0" w:space="0"/>
          <w:shd w:val="clear" w:fill="FFFFFF"/>
        </w:rPr>
        <w:t>分。</w:t>
      </w:r>
    </w:p>
    <w:tbl>
      <w:tblPr>
        <w:tblW w:w="8305" w:type="dxa"/>
        <w:tblCellSpacing w:w="0" w:type="dxa"/>
        <w:tblInd w:w="-129"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1342"/>
        <w:gridCol w:w="1329"/>
        <w:gridCol w:w="5634"/>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blHeader/>
          <w:tblCellSpacing w:w="0" w:type="dxa"/>
        </w:trPr>
        <w:tc>
          <w:tcPr>
            <w:tcW w:w="1342"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评标项目</w:t>
            </w:r>
          </w:p>
        </w:tc>
        <w:tc>
          <w:tcPr>
            <w:tcW w:w="1329"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评标分值</w:t>
            </w:r>
          </w:p>
        </w:tc>
        <w:tc>
          <w:tcPr>
            <w:tcW w:w="5634"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评标方法描述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1342"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T1、技术符合性</w:t>
            </w:r>
          </w:p>
        </w:tc>
        <w:tc>
          <w:tcPr>
            <w:tcW w:w="1329"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54</w:t>
            </w:r>
          </w:p>
        </w:tc>
        <w:tc>
          <w:tcPr>
            <w:tcW w:w="5634"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根据各投标人对招标文件各项技术要求的逐项应答情况并结合相关佐证材料（若有）由评委进行评议并评分，完全满足招标文件要求的得54分，正偏离不加分，技术指标中带“★”号的指标为核心技术指标,一项负偏离即视为投标无效；未带“★”的技术指标每负偏离一项扣3分，扣完为止。 注：投标文件中《技术和服务要求响应表》应答内容与投标人提供的佐证材料【如国家行政部门颁发的证书、检测报告、样品（样机，如有）、演示结果、产品彩页或Datasheet（技术白皮书）等（佐证材料相互不一致的，以此先后顺序判定，排序在前的优先认定）】不一致时，以投标人提供的佐证材料为判定依据。</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blCellSpacing w:w="0" w:type="dxa"/>
        </w:trPr>
        <w:tc>
          <w:tcPr>
            <w:tcW w:w="1342"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T2、技术支持材料</w:t>
            </w:r>
          </w:p>
        </w:tc>
        <w:tc>
          <w:tcPr>
            <w:tcW w:w="1329"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3</w:t>
            </w:r>
          </w:p>
        </w:tc>
        <w:tc>
          <w:tcPr>
            <w:tcW w:w="5634"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根据投标人提供所投产品由制造商公开发布的印刷资料彩页或有效的技术支持材料（如由市级及以上质量监督检测机构出具的《检验报告》、制造商出具的技术支持等）对所投产品技术性能的佐证情况，由评委进行横向比较,优的得3分，良的得2分，一般的得1分；技术支持材料不能佐证技术性能或未按要求提供的本项不得分。 技术支持资料为外文的应按投标人须提供翻译件及相关文件，否则视为未提交。</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1342"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T3、产品配置及其它</w:t>
            </w:r>
          </w:p>
        </w:tc>
        <w:tc>
          <w:tcPr>
            <w:tcW w:w="1329"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3</w:t>
            </w:r>
          </w:p>
        </w:tc>
        <w:tc>
          <w:tcPr>
            <w:tcW w:w="5634"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根据投标产品的主要件和关键件配置情况、配件、备品备件等对招标文件的响应承诺情况，由评委进行横向比较,优的得3分，良的得2分，一般的得1分。投标人所投配置不符合招标文件要求的将导致投标无效。</w:t>
            </w:r>
          </w:p>
        </w:tc>
      </w:tr>
    </w:tbl>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③商务项（</w:t>
      </w:r>
      <w:r>
        <w:rPr>
          <w:rFonts w:hint="default" w:ascii="Calibri" w:hAnsi="Calibri" w:eastAsia="宋体" w:cs="Calibri"/>
          <w:sz w:val="19"/>
          <w:szCs w:val="19"/>
          <w:bdr w:val="none" w:color="auto" w:sz="0" w:space="0"/>
          <w:shd w:val="clear" w:fill="FFFFFF"/>
        </w:rPr>
        <w:t>F3</w:t>
      </w:r>
      <w:r>
        <w:rPr>
          <w:rFonts w:hint="eastAsia" w:ascii="宋体" w:hAnsi="宋体" w:eastAsia="宋体" w:cs="宋体"/>
          <w:sz w:val="19"/>
          <w:szCs w:val="19"/>
          <w:bdr w:val="none" w:color="auto" w:sz="0" w:space="0"/>
          <w:shd w:val="clear" w:fill="FFFFFF"/>
        </w:rPr>
        <w:t>×</w:t>
      </w:r>
      <w:r>
        <w:rPr>
          <w:rFonts w:hint="default" w:ascii="Calibri" w:hAnsi="Calibri" w:eastAsia="宋体" w:cs="Calibri"/>
          <w:sz w:val="19"/>
          <w:szCs w:val="19"/>
          <w:bdr w:val="none" w:color="auto" w:sz="0" w:space="0"/>
          <w:shd w:val="clear" w:fill="FFFFFF"/>
        </w:rPr>
        <w:t>A3</w:t>
      </w:r>
      <w:r>
        <w:rPr>
          <w:rFonts w:hint="eastAsia" w:ascii="宋体" w:hAnsi="宋体" w:eastAsia="宋体" w:cs="宋体"/>
          <w:sz w:val="19"/>
          <w:szCs w:val="19"/>
          <w:bdr w:val="none" w:color="auto" w:sz="0" w:space="0"/>
          <w:shd w:val="clear" w:fill="FFFFFF"/>
        </w:rPr>
        <w:t>）满分为</w:t>
      </w:r>
      <w:r>
        <w:rPr>
          <w:rFonts w:hint="eastAsia" w:ascii="宋体" w:hAnsi="宋体" w:eastAsia="宋体" w:cs="宋体"/>
          <w:sz w:val="19"/>
          <w:szCs w:val="19"/>
          <w:u w:val="single"/>
          <w:bdr w:val="none" w:color="auto" w:sz="0" w:space="0"/>
          <w:shd w:val="clear" w:fill="FFFFFF"/>
        </w:rPr>
        <w:t>10</w:t>
      </w:r>
      <w:r>
        <w:rPr>
          <w:rFonts w:hint="eastAsia" w:ascii="宋体" w:hAnsi="宋体" w:eastAsia="宋体" w:cs="宋体"/>
          <w:sz w:val="19"/>
          <w:szCs w:val="19"/>
          <w:bdr w:val="none" w:color="auto" w:sz="0" w:space="0"/>
          <w:shd w:val="clear" w:fill="FFFFFF"/>
        </w:rPr>
        <w:t>分。</w:t>
      </w:r>
    </w:p>
    <w:tbl>
      <w:tblPr>
        <w:tblW w:w="8304" w:type="dxa"/>
        <w:tblCellSpacing w:w="0" w:type="dxa"/>
        <w:tblInd w:w="-129"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1348"/>
        <w:gridCol w:w="1332"/>
        <w:gridCol w:w="5624"/>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blHeader/>
          <w:tblCellSpacing w:w="0" w:type="dxa"/>
        </w:trPr>
        <w:tc>
          <w:tcPr>
            <w:tcW w:w="1348"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评标项目</w:t>
            </w:r>
          </w:p>
        </w:tc>
        <w:tc>
          <w:tcPr>
            <w:tcW w:w="1332"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评标分值</w:t>
            </w:r>
          </w:p>
        </w:tc>
        <w:tc>
          <w:tcPr>
            <w:tcW w:w="5624"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评标方法描述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1348"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B1、培训计划</w:t>
            </w:r>
          </w:p>
        </w:tc>
        <w:tc>
          <w:tcPr>
            <w:tcW w:w="1332"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2</w:t>
            </w:r>
          </w:p>
        </w:tc>
        <w:tc>
          <w:tcPr>
            <w:tcW w:w="5624"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根据各投标人提供的技术培训方案是否可行、合理、实用等方面情况，由评委进行横向比较,优的得2分，良的得1分，一般的得0.5分。未提供技术培训方案或提供的技术培训方案不满足招标文件要求的得0分。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1348"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B2、维护响应计划</w:t>
            </w:r>
          </w:p>
        </w:tc>
        <w:tc>
          <w:tcPr>
            <w:tcW w:w="1332"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2</w:t>
            </w:r>
          </w:p>
        </w:tc>
        <w:tc>
          <w:tcPr>
            <w:tcW w:w="5624"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根据各投标人的售后服务承诺、维护响应计划进行评分，包括具体的售后服务内容、故障响应时间、响应方式时间等方面，由评委进行横向比较,优的得2分，良的得1分，一般的得0.5分。未提供任何售后服务承诺的本项得0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1348"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B3、本地化服务</w:t>
            </w:r>
          </w:p>
        </w:tc>
        <w:tc>
          <w:tcPr>
            <w:tcW w:w="1332"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3</w:t>
            </w:r>
          </w:p>
        </w:tc>
        <w:tc>
          <w:tcPr>
            <w:tcW w:w="5624"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根据各投标人所投产品售后服务机构设置地点、可能产生的运输成本、是否熟悉本地情况、沟通交流方便性、应急处理能力、是否可到现场监督检查等情况，由评委进行横向比较,优的得3分，良的得2分，一般的得1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1348"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B4、维修人员资质</w:t>
            </w:r>
          </w:p>
        </w:tc>
        <w:tc>
          <w:tcPr>
            <w:tcW w:w="1332"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2</w:t>
            </w:r>
          </w:p>
        </w:tc>
        <w:tc>
          <w:tcPr>
            <w:tcW w:w="5624"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根据所投产品售后服务机构专业维修人员资质、专业人员配备情况，由评委进行横向比较,优的得2分，良的得1分，一般的得0.5分，未提供者不得分（提供维修工程师的姓名、资质证书、联系方式）。</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1348"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B5、质保期后的维修费用承诺</w:t>
            </w:r>
          </w:p>
        </w:tc>
        <w:tc>
          <w:tcPr>
            <w:tcW w:w="1332"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1</w:t>
            </w:r>
          </w:p>
        </w:tc>
        <w:tc>
          <w:tcPr>
            <w:tcW w:w="5624"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评委根据各投标人售后服务中对质保期后的维修费用承诺情况进行横向对比后在0-1分之间评分，未做任何说明的本项不得分。</w:t>
            </w:r>
          </w:p>
        </w:tc>
      </w:tr>
    </w:tbl>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④加分项（</w:t>
      </w:r>
      <w:r>
        <w:rPr>
          <w:rFonts w:hint="default" w:ascii="Calibri" w:hAnsi="Calibri" w:eastAsia="宋体" w:cs="Calibri"/>
          <w:sz w:val="19"/>
          <w:szCs w:val="19"/>
          <w:bdr w:val="none" w:color="auto" w:sz="0" w:space="0"/>
          <w:shd w:val="clear" w:fill="FFFFFF"/>
        </w:rPr>
        <w:t>F4</w:t>
      </w:r>
      <w:r>
        <w:rPr>
          <w:rFonts w:hint="eastAsia" w:ascii="宋体" w:hAnsi="宋体" w:eastAsia="宋体" w:cs="宋体"/>
          <w:sz w:val="19"/>
          <w:szCs w:val="19"/>
          <w:bdr w:val="none" w:color="auto" w:sz="0" w:space="0"/>
          <w:shd w:val="clear" w:fill="FFFFFF"/>
        </w:rPr>
        <w:t>×</w:t>
      </w:r>
      <w:r>
        <w:rPr>
          <w:rFonts w:hint="default" w:ascii="Calibri" w:hAnsi="Calibri" w:eastAsia="宋体" w:cs="Calibri"/>
          <w:sz w:val="19"/>
          <w:szCs w:val="19"/>
          <w:bdr w:val="none" w:color="auto" w:sz="0" w:space="0"/>
          <w:shd w:val="clear" w:fill="FFFFFF"/>
        </w:rPr>
        <w:t>A4</w:t>
      </w:r>
      <w:r>
        <w:rPr>
          <w:rFonts w:hint="eastAsia" w:ascii="宋体" w:hAnsi="宋体" w:eastAsia="宋体" w:cs="宋体"/>
          <w:sz w:val="19"/>
          <w:szCs w:val="19"/>
          <w:bdr w:val="none" w:color="auto" w:sz="0" w:space="0"/>
          <w:shd w:val="clear" w:fill="FFFFFF"/>
        </w:rPr>
        <w:t>）</w:t>
      </w:r>
    </w:p>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a.优先类节能产品、环境标志产品：</w:t>
      </w:r>
    </w:p>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a1若同一合同包内节能、环境标志产品报价总金额低于该合同包报价总金额</w:t>
      </w:r>
      <w:r>
        <w:rPr>
          <w:rFonts w:hint="default" w:ascii="Calibri" w:hAnsi="Calibri" w:eastAsia="宋体" w:cs="Calibri"/>
          <w:sz w:val="19"/>
          <w:szCs w:val="19"/>
          <w:bdr w:val="none" w:color="auto" w:sz="0" w:space="0"/>
          <w:shd w:val="clear" w:fill="FFFFFF"/>
        </w:rPr>
        <w:t>20%</w:t>
      </w:r>
      <w:r>
        <w:rPr>
          <w:rFonts w:hint="eastAsia" w:ascii="宋体" w:hAnsi="宋体" w:eastAsia="宋体" w:cs="宋体"/>
          <w:sz w:val="19"/>
          <w:szCs w:val="19"/>
          <w:bdr w:val="none" w:color="auto" w:sz="0" w:space="0"/>
          <w:shd w:val="clear" w:fill="FFFFFF"/>
        </w:rPr>
        <w:t>（含</w:t>
      </w:r>
      <w:r>
        <w:rPr>
          <w:rFonts w:hint="default" w:ascii="Calibri" w:hAnsi="Calibri" w:eastAsia="宋体" w:cs="Calibri"/>
          <w:sz w:val="19"/>
          <w:szCs w:val="19"/>
          <w:bdr w:val="none" w:color="auto" w:sz="0" w:space="0"/>
          <w:shd w:val="clear" w:fill="FFFFFF"/>
        </w:rPr>
        <w:t>20%</w:t>
      </w:r>
      <w:r>
        <w:rPr>
          <w:rFonts w:hint="eastAsia" w:ascii="宋体" w:hAnsi="宋体" w:eastAsia="宋体" w:cs="宋体"/>
          <w:sz w:val="19"/>
          <w:szCs w:val="19"/>
          <w:bdr w:val="none" w:color="auto" w:sz="0" w:space="0"/>
          <w:shd w:val="clear" w:fill="FFFFFF"/>
        </w:rPr>
        <w:t>）以下，将分别给予节能、环境标志产品价格项（</w:t>
      </w:r>
      <w:r>
        <w:rPr>
          <w:rFonts w:hint="default" w:ascii="Calibri" w:hAnsi="Calibri" w:eastAsia="宋体" w:cs="Calibri"/>
          <w:sz w:val="19"/>
          <w:szCs w:val="19"/>
          <w:bdr w:val="none" w:color="auto" w:sz="0" w:space="0"/>
          <w:shd w:val="clear" w:fill="FFFFFF"/>
        </w:rPr>
        <w:t>F1</w:t>
      </w:r>
      <w:r>
        <w:rPr>
          <w:rFonts w:hint="eastAsia" w:ascii="宋体" w:hAnsi="宋体" w:eastAsia="宋体" w:cs="宋体"/>
          <w:sz w:val="19"/>
          <w:szCs w:val="19"/>
          <w:bdr w:val="none" w:color="auto" w:sz="0" w:space="0"/>
          <w:shd w:val="clear" w:fill="FFFFFF"/>
        </w:rPr>
        <w:t>×</w:t>
      </w:r>
      <w:r>
        <w:rPr>
          <w:rFonts w:hint="default" w:ascii="Calibri" w:hAnsi="Calibri" w:eastAsia="宋体" w:cs="Calibri"/>
          <w:sz w:val="19"/>
          <w:szCs w:val="19"/>
          <w:bdr w:val="none" w:color="auto" w:sz="0" w:space="0"/>
          <w:shd w:val="clear" w:fill="FFFFFF"/>
        </w:rPr>
        <w:t>A1</w:t>
      </w:r>
      <w:r>
        <w:rPr>
          <w:rFonts w:hint="eastAsia" w:ascii="宋体" w:hAnsi="宋体" w:eastAsia="宋体" w:cs="宋体"/>
          <w:sz w:val="19"/>
          <w:szCs w:val="19"/>
          <w:bdr w:val="none" w:color="auto" w:sz="0" w:space="0"/>
          <w:shd w:val="clear" w:fill="FFFFFF"/>
        </w:rPr>
        <w:t>，按照满分计）和技术项（</w:t>
      </w:r>
      <w:r>
        <w:rPr>
          <w:rFonts w:hint="default" w:ascii="Calibri" w:hAnsi="Calibri" w:eastAsia="宋体" w:cs="Calibri"/>
          <w:sz w:val="19"/>
          <w:szCs w:val="19"/>
          <w:bdr w:val="none" w:color="auto" w:sz="0" w:space="0"/>
          <w:shd w:val="clear" w:fill="FFFFFF"/>
        </w:rPr>
        <w:t>F2</w:t>
      </w:r>
      <w:r>
        <w:rPr>
          <w:rFonts w:hint="eastAsia" w:ascii="宋体" w:hAnsi="宋体" w:eastAsia="宋体" w:cs="宋体"/>
          <w:sz w:val="19"/>
          <w:szCs w:val="19"/>
          <w:bdr w:val="none" w:color="auto" w:sz="0" w:space="0"/>
          <w:shd w:val="clear" w:fill="FFFFFF"/>
        </w:rPr>
        <w:t>×</w:t>
      </w:r>
      <w:r>
        <w:rPr>
          <w:rFonts w:hint="default" w:ascii="Calibri" w:hAnsi="Calibri" w:eastAsia="宋体" w:cs="Calibri"/>
          <w:sz w:val="19"/>
          <w:szCs w:val="19"/>
          <w:bdr w:val="none" w:color="auto" w:sz="0" w:space="0"/>
          <w:shd w:val="clear" w:fill="FFFFFF"/>
        </w:rPr>
        <w:t>A2</w:t>
      </w:r>
      <w:r>
        <w:rPr>
          <w:rFonts w:hint="eastAsia" w:ascii="宋体" w:hAnsi="宋体" w:eastAsia="宋体" w:cs="宋体"/>
          <w:sz w:val="19"/>
          <w:szCs w:val="19"/>
          <w:bdr w:val="none" w:color="auto" w:sz="0" w:space="0"/>
          <w:shd w:val="clear" w:fill="FFFFFF"/>
        </w:rPr>
        <w:t>，按照满分计）</w:t>
      </w:r>
      <w:r>
        <w:rPr>
          <w:rFonts w:hint="default" w:ascii="Calibri" w:hAnsi="Calibri" w:eastAsia="宋体" w:cs="Calibri"/>
          <w:sz w:val="19"/>
          <w:szCs w:val="19"/>
          <w:bdr w:val="none" w:color="auto" w:sz="0" w:space="0"/>
          <w:shd w:val="clear" w:fill="FFFFFF"/>
        </w:rPr>
        <w:t>4%</w:t>
      </w:r>
      <w:r>
        <w:rPr>
          <w:rFonts w:hint="eastAsia" w:ascii="宋体" w:hAnsi="宋体" w:eastAsia="宋体" w:cs="宋体"/>
          <w:sz w:val="19"/>
          <w:szCs w:val="19"/>
          <w:bdr w:val="none" w:color="auto" w:sz="0" w:space="0"/>
          <w:shd w:val="clear" w:fill="FFFFFF"/>
        </w:rPr>
        <w:t>的加分；若同一合同包内节能、环境标志产品报价总金额占该合同包报价总金额</w:t>
      </w:r>
      <w:r>
        <w:rPr>
          <w:rFonts w:hint="default" w:ascii="Calibri" w:hAnsi="Calibri" w:eastAsia="宋体" w:cs="Calibri"/>
          <w:sz w:val="19"/>
          <w:szCs w:val="19"/>
          <w:bdr w:val="none" w:color="auto" w:sz="0" w:space="0"/>
          <w:shd w:val="clear" w:fill="FFFFFF"/>
        </w:rPr>
        <w:t>20%-50%</w:t>
      </w:r>
      <w:r>
        <w:rPr>
          <w:rFonts w:hint="eastAsia" w:ascii="宋体" w:hAnsi="宋体" w:eastAsia="宋体" w:cs="宋体"/>
          <w:sz w:val="19"/>
          <w:szCs w:val="19"/>
          <w:bdr w:val="none" w:color="auto" w:sz="0" w:space="0"/>
          <w:shd w:val="clear" w:fill="FFFFFF"/>
        </w:rPr>
        <w:t>（含</w:t>
      </w:r>
      <w:r>
        <w:rPr>
          <w:rFonts w:hint="default" w:ascii="Calibri" w:hAnsi="Calibri" w:eastAsia="宋体" w:cs="Calibri"/>
          <w:sz w:val="19"/>
          <w:szCs w:val="19"/>
          <w:bdr w:val="none" w:color="auto" w:sz="0" w:space="0"/>
          <w:shd w:val="clear" w:fill="FFFFFF"/>
        </w:rPr>
        <w:t>50%</w:t>
      </w:r>
      <w:r>
        <w:rPr>
          <w:rFonts w:hint="eastAsia" w:ascii="宋体" w:hAnsi="宋体" w:eastAsia="宋体" w:cs="宋体"/>
          <w:sz w:val="19"/>
          <w:szCs w:val="19"/>
          <w:bdr w:val="none" w:color="auto" w:sz="0" w:space="0"/>
          <w:shd w:val="clear" w:fill="FFFFFF"/>
        </w:rPr>
        <w:t>），将分别给予节能、环境标志产品价格项（</w:t>
      </w:r>
      <w:r>
        <w:rPr>
          <w:rFonts w:hint="default" w:ascii="Calibri" w:hAnsi="Calibri" w:eastAsia="宋体" w:cs="Calibri"/>
          <w:sz w:val="19"/>
          <w:szCs w:val="19"/>
          <w:bdr w:val="none" w:color="auto" w:sz="0" w:space="0"/>
          <w:shd w:val="clear" w:fill="FFFFFF"/>
        </w:rPr>
        <w:t>F1</w:t>
      </w:r>
      <w:r>
        <w:rPr>
          <w:rFonts w:hint="eastAsia" w:ascii="宋体" w:hAnsi="宋体" w:eastAsia="宋体" w:cs="宋体"/>
          <w:sz w:val="19"/>
          <w:szCs w:val="19"/>
          <w:bdr w:val="none" w:color="auto" w:sz="0" w:space="0"/>
          <w:shd w:val="clear" w:fill="FFFFFF"/>
        </w:rPr>
        <w:t>×</w:t>
      </w:r>
      <w:r>
        <w:rPr>
          <w:rFonts w:hint="default" w:ascii="Calibri" w:hAnsi="Calibri" w:eastAsia="宋体" w:cs="Calibri"/>
          <w:sz w:val="19"/>
          <w:szCs w:val="19"/>
          <w:bdr w:val="none" w:color="auto" w:sz="0" w:space="0"/>
          <w:shd w:val="clear" w:fill="FFFFFF"/>
        </w:rPr>
        <w:t>A1</w:t>
      </w:r>
      <w:r>
        <w:rPr>
          <w:rFonts w:hint="eastAsia" w:ascii="宋体" w:hAnsi="宋体" w:eastAsia="宋体" w:cs="宋体"/>
          <w:sz w:val="19"/>
          <w:szCs w:val="19"/>
          <w:bdr w:val="none" w:color="auto" w:sz="0" w:space="0"/>
          <w:shd w:val="clear" w:fill="FFFFFF"/>
        </w:rPr>
        <w:t>，按照满分计）和技术项（</w:t>
      </w:r>
      <w:r>
        <w:rPr>
          <w:rFonts w:hint="default" w:ascii="Calibri" w:hAnsi="Calibri" w:eastAsia="宋体" w:cs="Calibri"/>
          <w:sz w:val="19"/>
          <w:szCs w:val="19"/>
          <w:bdr w:val="none" w:color="auto" w:sz="0" w:space="0"/>
          <w:shd w:val="clear" w:fill="FFFFFF"/>
        </w:rPr>
        <w:t>F2</w:t>
      </w:r>
      <w:r>
        <w:rPr>
          <w:rFonts w:hint="eastAsia" w:ascii="宋体" w:hAnsi="宋体" w:eastAsia="宋体" w:cs="宋体"/>
          <w:sz w:val="19"/>
          <w:szCs w:val="19"/>
          <w:bdr w:val="none" w:color="auto" w:sz="0" w:space="0"/>
          <w:shd w:val="clear" w:fill="FFFFFF"/>
        </w:rPr>
        <w:t>×</w:t>
      </w:r>
      <w:r>
        <w:rPr>
          <w:rFonts w:hint="default" w:ascii="Calibri" w:hAnsi="Calibri" w:eastAsia="宋体" w:cs="Calibri"/>
          <w:sz w:val="19"/>
          <w:szCs w:val="19"/>
          <w:bdr w:val="none" w:color="auto" w:sz="0" w:space="0"/>
          <w:shd w:val="clear" w:fill="FFFFFF"/>
        </w:rPr>
        <w:t>A2</w:t>
      </w:r>
      <w:r>
        <w:rPr>
          <w:rFonts w:hint="eastAsia" w:ascii="宋体" w:hAnsi="宋体" w:eastAsia="宋体" w:cs="宋体"/>
          <w:sz w:val="19"/>
          <w:szCs w:val="19"/>
          <w:bdr w:val="none" w:color="auto" w:sz="0" w:space="0"/>
          <w:shd w:val="clear" w:fill="FFFFFF"/>
        </w:rPr>
        <w:t>，按照满分计）</w:t>
      </w:r>
      <w:r>
        <w:rPr>
          <w:rFonts w:hint="default" w:ascii="Calibri" w:hAnsi="Calibri" w:eastAsia="宋体" w:cs="Calibri"/>
          <w:sz w:val="19"/>
          <w:szCs w:val="19"/>
          <w:bdr w:val="none" w:color="auto" w:sz="0" w:space="0"/>
          <w:shd w:val="clear" w:fill="FFFFFF"/>
        </w:rPr>
        <w:t>6%</w:t>
      </w:r>
      <w:r>
        <w:rPr>
          <w:rFonts w:hint="eastAsia" w:ascii="宋体" w:hAnsi="宋体" w:eastAsia="宋体" w:cs="宋体"/>
          <w:sz w:val="19"/>
          <w:szCs w:val="19"/>
          <w:bdr w:val="none" w:color="auto" w:sz="0" w:space="0"/>
          <w:shd w:val="clear" w:fill="FFFFFF"/>
        </w:rPr>
        <w:t>的加分；若同一合同包内节能、环境标志产品报价总金额占该合同包报价总金额</w:t>
      </w:r>
      <w:r>
        <w:rPr>
          <w:rFonts w:hint="default" w:ascii="Calibri" w:hAnsi="Calibri" w:eastAsia="宋体" w:cs="Calibri"/>
          <w:sz w:val="19"/>
          <w:szCs w:val="19"/>
          <w:bdr w:val="none" w:color="auto" w:sz="0" w:space="0"/>
          <w:shd w:val="clear" w:fill="FFFFFF"/>
        </w:rPr>
        <w:t>50%</w:t>
      </w:r>
      <w:r>
        <w:rPr>
          <w:rFonts w:hint="eastAsia" w:ascii="宋体" w:hAnsi="宋体" w:eastAsia="宋体" w:cs="宋体"/>
          <w:sz w:val="19"/>
          <w:szCs w:val="19"/>
          <w:bdr w:val="none" w:color="auto" w:sz="0" w:space="0"/>
          <w:shd w:val="clear" w:fill="FFFFFF"/>
        </w:rPr>
        <w:t>以上的，将分别给予节能、环境标志产品价格项（</w:t>
      </w:r>
      <w:r>
        <w:rPr>
          <w:rFonts w:hint="default" w:ascii="Calibri" w:hAnsi="Calibri" w:eastAsia="宋体" w:cs="Calibri"/>
          <w:sz w:val="19"/>
          <w:szCs w:val="19"/>
          <w:bdr w:val="none" w:color="auto" w:sz="0" w:space="0"/>
          <w:shd w:val="clear" w:fill="FFFFFF"/>
        </w:rPr>
        <w:t>F1</w:t>
      </w:r>
      <w:r>
        <w:rPr>
          <w:rFonts w:hint="eastAsia" w:ascii="宋体" w:hAnsi="宋体" w:eastAsia="宋体" w:cs="宋体"/>
          <w:sz w:val="19"/>
          <w:szCs w:val="19"/>
          <w:bdr w:val="none" w:color="auto" w:sz="0" w:space="0"/>
          <w:shd w:val="clear" w:fill="FFFFFF"/>
        </w:rPr>
        <w:t>×</w:t>
      </w:r>
      <w:r>
        <w:rPr>
          <w:rFonts w:hint="default" w:ascii="Calibri" w:hAnsi="Calibri" w:eastAsia="宋体" w:cs="Calibri"/>
          <w:sz w:val="19"/>
          <w:szCs w:val="19"/>
          <w:bdr w:val="none" w:color="auto" w:sz="0" w:space="0"/>
          <w:shd w:val="clear" w:fill="FFFFFF"/>
        </w:rPr>
        <w:t>A1</w:t>
      </w:r>
      <w:r>
        <w:rPr>
          <w:rFonts w:hint="eastAsia" w:ascii="宋体" w:hAnsi="宋体" w:eastAsia="宋体" w:cs="宋体"/>
          <w:sz w:val="19"/>
          <w:szCs w:val="19"/>
          <w:bdr w:val="none" w:color="auto" w:sz="0" w:space="0"/>
          <w:shd w:val="clear" w:fill="FFFFFF"/>
        </w:rPr>
        <w:t>，按照满分计）和技术项（</w:t>
      </w:r>
      <w:r>
        <w:rPr>
          <w:rFonts w:hint="default" w:ascii="Calibri" w:hAnsi="Calibri" w:eastAsia="宋体" w:cs="Calibri"/>
          <w:sz w:val="19"/>
          <w:szCs w:val="19"/>
          <w:bdr w:val="none" w:color="auto" w:sz="0" w:space="0"/>
          <w:shd w:val="clear" w:fill="FFFFFF"/>
        </w:rPr>
        <w:t>F2</w:t>
      </w:r>
      <w:r>
        <w:rPr>
          <w:rFonts w:hint="eastAsia" w:ascii="宋体" w:hAnsi="宋体" w:eastAsia="宋体" w:cs="宋体"/>
          <w:sz w:val="19"/>
          <w:szCs w:val="19"/>
          <w:bdr w:val="none" w:color="auto" w:sz="0" w:space="0"/>
          <w:shd w:val="clear" w:fill="FFFFFF"/>
        </w:rPr>
        <w:t>×</w:t>
      </w:r>
      <w:r>
        <w:rPr>
          <w:rFonts w:hint="default" w:ascii="Calibri" w:hAnsi="Calibri" w:eastAsia="宋体" w:cs="Calibri"/>
          <w:sz w:val="19"/>
          <w:szCs w:val="19"/>
          <w:bdr w:val="none" w:color="auto" w:sz="0" w:space="0"/>
          <w:shd w:val="clear" w:fill="FFFFFF"/>
        </w:rPr>
        <w:t>A2</w:t>
      </w:r>
      <w:r>
        <w:rPr>
          <w:rFonts w:hint="eastAsia" w:ascii="宋体" w:hAnsi="宋体" w:eastAsia="宋体" w:cs="宋体"/>
          <w:sz w:val="19"/>
          <w:szCs w:val="19"/>
          <w:bdr w:val="none" w:color="auto" w:sz="0" w:space="0"/>
          <w:shd w:val="clear" w:fill="FFFFFF"/>
        </w:rPr>
        <w:t>，按照满分计）</w:t>
      </w:r>
      <w:r>
        <w:rPr>
          <w:rFonts w:hint="default" w:ascii="Calibri" w:hAnsi="Calibri" w:eastAsia="宋体" w:cs="Calibri"/>
          <w:sz w:val="19"/>
          <w:szCs w:val="19"/>
          <w:bdr w:val="none" w:color="auto" w:sz="0" w:space="0"/>
          <w:shd w:val="clear" w:fill="FFFFFF"/>
        </w:rPr>
        <w:t>8%</w:t>
      </w:r>
      <w:r>
        <w:rPr>
          <w:rFonts w:hint="eastAsia" w:ascii="宋体" w:hAnsi="宋体" w:eastAsia="宋体" w:cs="宋体"/>
          <w:sz w:val="19"/>
          <w:szCs w:val="19"/>
          <w:bdr w:val="none" w:color="auto" w:sz="0" w:space="0"/>
          <w:shd w:val="clear" w:fill="FFFFFF"/>
        </w:rPr>
        <w:t>的加分。</w:t>
      </w:r>
    </w:p>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a2若节能、环境标志产品仅是构成投标产品的部件、组件或零件，则该投标产品不享受鼓励优惠政策。同一品目中各认证证书不重复计算加分。强制类节能产品不享受加分。</w:t>
      </w:r>
    </w:p>
    <w:tbl>
      <w:tblPr>
        <w:tblW w:w="8304" w:type="dxa"/>
        <w:tblCellSpacing w:w="0" w:type="dxa"/>
        <w:tblInd w:w="-129"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1344"/>
        <w:gridCol w:w="1343"/>
        <w:gridCol w:w="561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blHeader/>
          <w:tblCellSpacing w:w="0" w:type="dxa"/>
        </w:trPr>
        <w:tc>
          <w:tcPr>
            <w:tcW w:w="1344"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评标项目</w:t>
            </w:r>
          </w:p>
        </w:tc>
        <w:tc>
          <w:tcPr>
            <w:tcW w:w="1343"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评标分值</w:t>
            </w:r>
          </w:p>
        </w:tc>
        <w:tc>
          <w:tcPr>
            <w:tcW w:w="5617"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评标方法描述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blCellSpacing w:w="0" w:type="dxa"/>
        </w:trPr>
        <w:tc>
          <w:tcPr>
            <w:tcW w:w="1344"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④F4为节能、环境标志产品在采购活动中可享有的加分优惠。</w:t>
            </w:r>
          </w:p>
        </w:tc>
        <w:tc>
          <w:tcPr>
            <w:tcW w:w="1343"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21.6</w:t>
            </w:r>
          </w:p>
        </w:tc>
        <w:tc>
          <w:tcPr>
            <w:tcW w:w="5617"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1、投标产品属于节能（非强制类）、减排、环境标志产品清单内产品的将给予相应评标项总分值一定幅度的加分。 具体优惠幅度如下： （1）同一合同包内的节能（非强制类）、减排、环境标志产品各报价总金额占本合同包报价总金额 20%（含20%）以下，价格评标项：价格评标项标准总分值4%的加分； 技术评标项：技术评标项标准总分值4%的加分。 （2）同一合同包内的节能（非强制类）、减排、环境标志产品各报价总金额占本合同包报价总金额在20%-50%（含50%） 之间的，价格评标项：价格评标项标准总分值6%的加分； 技术评标项：技术评标项标准总分值6%的加分。（3）同一合同包内的节能（非强制类）、减排、环境标志产品各报价总金额占本合同包报价总金额50%以上的， 价格评标项：价格评标项标准总分值8%的加分；技术评标项：技术评标项标准总分值8%的加分。 2、节能产品是指财政部、国家发展和改革委员会最新公布的《节能产品政府采购清单》内产品，环境标志产品是指环保部和财政部最新公布的《环境标志产品政府采购清单》内产品。 3、同一品目中各认证证书不重复计算加分。 4、根据闽财购〔2010〕28号文规定，若节能、减排、环境标志清单内的产品仅是构成投标产品的部件、组件或零件的，则该投标产品不享受鼓励优惠政策。 5、投标人应按招标文件格式要求提供“节能（非强制类）、环境标志产品统计表”，并按下列要求提供投标产品属于清单内产品的完整有效证明材料：提供从发布上述清单目录权威媒体网站上下载的最新一期的政府采购清单的网页公告及认证证书，并作好对应产品的标注。不符合上述要求的不予加分</w:t>
            </w:r>
          </w:p>
        </w:tc>
      </w:tr>
    </w:tbl>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（4）中标候选人排列规则顺序如下：</w:t>
      </w:r>
    </w:p>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a.按照评标总得分（</w:t>
      </w:r>
      <w:r>
        <w:rPr>
          <w:rFonts w:hint="default" w:ascii="Calibri" w:hAnsi="Calibri" w:eastAsia="宋体" w:cs="Calibri"/>
          <w:sz w:val="19"/>
          <w:szCs w:val="19"/>
          <w:bdr w:val="none" w:color="auto" w:sz="0" w:space="0"/>
          <w:shd w:val="clear" w:fill="FFFFFF"/>
        </w:rPr>
        <w:t>FA</w:t>
      </w:r>
      <w:r>
        <w:rPr>
          <w:rFonts w:hint="eastAsia" w:ascii="宋体" w:hAnsi="宋体" w:eastAsia="宋体" w:cs="宋体"/>
          <w:sz w:val="19"/>
          <w:szCs w:val="19"/>
          <w:bdr w:val="none" w:color="auto" w:sz="0" w:space="0"/>
          <w:shd w:val="clear" w:fill="FFFFFF"/>
        </w:rPr>
        <w:t>）由高到低顺序排列。</w:t>
      </w:r>
    </w:p>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b.评标总得分（</w:t>
      </w:r>
      <w:r>
        <w:rPr>
          <w:rFonts w:hint="default" w:ascii="Calibri" w:hAnsi="Calibri" w:eastAsia="宋体" w:cs="Calibri"/>
          <w:sz w:val="19"/>
          <w:szCs w:val="19"/>
          <w:bdr w:val="none" w:color="auto" w:sz="0" w:space="0"/>
          <w:shd w:val="clear" w:fill="FFFFFF"/>
        </w:rPr>
        <w:t>FA</w:t>
      </w:r>
      <w:r>
        <w:rPr>
          <w:rFonts w:hint="eastAsia" w:ascii="宋体" w:hAnsi="宋体" w:eastAsia="宋体" w:cs="宋体"/>
          <w:sz w:val="19"/>
          <w:szCs w:val="19"/>
          <w:bdr w:val="none" w:color="auto" w:sz="0" w:space="0"/>
          <w:shd w:val="clear" w:fill="FFFFFF"/>
        </w:rPr>
        <w:t>）相同的，按照评标价（即价格扣除后的投标报价）由低到高顺序排列。</w:t>
      </w:r>
    </w:p>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c.评标总得分（</w:t>
      </w:r>
      <w:r>
        <w:rPr>
          <w:rFonts w:hint="default" w:ascii="Calibri" w:hAnsi="Calibri" w:eastAsia="宋体" w:cs="Calibri"/>
          <w:sz w:val="19"/>
          <w:szCs w:val="19"/>
          <w:bdr w:val="none" w:color="auto" w:sz="0" w:space="0"/>
          <w:shd w:val="clear" w:fill="FFFFFF"/>
        </w:rPr>
        <w:t>FA</w:t>
      </w:r>
      <w:r>
        <w:rPr>
          <w:rFonts w:hint="eastAsia" w:ascii="宋体" w:hAnsi="宋体" w:eastAsia="宋体" w:cs="宋体"/>
          <w:sz w:val="19"/>
          <w:szCs w:val="19"/>
          <w:bdr w:val="none" w:color="auto" w:sz="0" w:space="0"/>
          <w:shd w:val="clear" w:fill="FFFFFF"/>
        </w:rPr>
        <w:t>）且评标价（即价格扣除后的投标报价）相同的并列。</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8、其他规定</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8.1评标应全程保密且不得透露给任一投标人或与评标工作无关的人员。</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8.2评标将进行全程实时录音录像，录音录像资料随采购文件一并存档。</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8.3若投标人有任何试图干扰具体评标事务，影响评标委员会独立履行职责的行为，其投标无效且不予退还投标保证金。情节严重的，由财政部门列入不良行为记录。</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8.4其他：</w:t>
      </w:r>
      <w:r>
        <w:rPr>
          <w:spacing w:val="0"/>
          <w:sz w:val="19"/>
          <w:szCs w:val="19"/>
          <w:shd w:val="clear" w:fill="FFFFFF"/>
        </w:rPr>
        <w:t>7.2-（3）-②投标人技术部分的实际得分少于招标文件设定的技术部分总分50%的作为无效标处理</w:t>
      </w:r>
    </w:p>
    <w:p>
      <w:pPr>
        <w:pStyle w:val="3"/>
        <w:keepNext w:val="0"/>
        <w:keepLines w:val="0"/>
        <w:widowControl/>
        <w:suppressLineNumbers w:val="0"/>
        <w:spacing w:before="60" w:beforeAutospacing="0" w:after="60" w:afterAutospacing="0"/>
        <w:ind w:left="0" w:right="0" w:firstLine="0"/>
        <w:jc w:val="center"/>
      </w:pPr>
      <w:r>
        <w:rPr>
          <w:rStyle w:val="5"/>
          <w:rFonts w:hint="eastAsia" w:ascii="宋体" w:hAnsi="宋体" w:eastAsia="宋体" w:cs="宋体"/>
          <w:spacing w:val="0"/>
          <w:sz w:val="25"/>
          <w:szCs w:val="25"/>
          <w:shd w:val="clear" w:fill="FFFFFF"/>
        </w:rPr>
        <w:t>第五章</w:t>
      </w:r>
      <w:r>
        <w:rPr>
          <w:rStyle w:val="5"/>
          <w:spacing w:val="0"/>
          <w:sz w:val="25"/>
          <w:szCs w:val="25"/>
          <w:shd w:val="clear" w:fill="FFFFFF"/>
        </w:rPr>
        <w:t xml:space="preserve"> </w:t>
      </w:r>
      <w:r>
        <w:rPr>
          <w:rStyle w:val="5"/>
          <w:rFonts w:hint="eastAsia" w:ascii="宋体" w:hAnsi="宋体" w:eastAsia="宋体" w:cs="宋体"/>
          <w:spacing w:val="0"/>
          <w:sz w:val="25"/>
          <w:szCs w:val="25"/>
          <w:shd w:val="clear" w:fill="FFFFFF"/>
        </w:rPr>
        <w:t>招标内容及要求</w:t>
      </w:r>
    </w:p>
    <w:p>
      <w:pPr>
        <w:pStyle w:val="3"/>
        <w:keepNext w:val="0"/>
        <w:keepLines w:val="0"/>
        <w:widowControl/>
        <w:suppressLineNumbers w:val="0"/>
        <w:spacing w:before="60" w:beforeAutospacing="0" w:after="60" w:afterAutospacing="0"/>
        <w:ind w:left="0" w:right="0" w:firstLine="0"/>
      </w:pPr>
      <w:r>
        <w:rPr>
          <w:spacing w:val="0"/>
          <w:sz w:val="19"/>
          <w:szCs w:val="19"/>
          <w:shd w:val="clear" w:fill="FFFFFF"/>
        </w:rPr>
        <w:t>一、项目概况（采购标的）</w:t>
      </w:r>
    </w:p>
    <w:p>
      <w:pPr>
        <w:pStyle w:val="3"/>
        <w:keepNext w:val="0"/>
        <w:keepLines w:val="0"/>
        <w:widowControl/>
        <w:suppressLineNumbers w:val="0"/>
        <w:spacing w:before="0" w:beforeAutospacing="0" w:after="0" w:afterAutospacing="0" w:line="348" w:lineRule="atLeast"/>
        <w:ind w:left="0" w:right="0" w:firstLine="384"/>
      </w:pPr>
      <w:r>
        <w:rPr>
          <w:rFonts w:hint="eastAsia" w:ascii="宋体" w:hAnsi="宋体" w:eastAsia="宋体" w:cs="宋体"/>
          <w:sz w:val="19"/>
          <w:szCs w:val="19"/>
          <w:bdr w:val="none" w:color="auto" w:sz="0" w:space="0"/>
          <w:shd w:val="clear" w:fill="FFFFFF"/>
        </w:rPr>
        <w:t>★1、投标人及所投产品应满足下述要求：</w:t>
      </w:r>
    </w:p>
    <w:p>
      <w:pPr>
        <w:pStyle w:val="3"/>
        <w:keepNext w:val="0"/>
        <w:keepLines w:val="0"/>
        <w:widowControl/>
        <w:suppressLineNumbers w:val="0"/>
        <w:spacing w:before="0" w:beforeAutospacing="0" w:after="0" w:afterAutospacing="0" w:line="348" w:lineRule="atLeast"/>
        <w:ind w:left="0" w:right="0" w:firstLine="384"/>
      </w:pPr>
      <w:r>
        <w:rPr>
          <w:rFonts w:hint="eastAsia" w:ascii="宋体" w:hAnsi="宋体" w:eastAsia="宋体" w:cs="宋体"/>
          <w:sz w:val="19"/>
          <w:szCs w:val="19"/>
          <w:bdr w:val="none" w:color="auto" w:sz="0" w:space="0"/>
          <w:shd w:val="clear" w:fill="FFFFFF"/>
        </w:rPr>
        <w:t>1.1投标人所投货物为生产厂家的正规合格产品，所有货物均为全新原厂原包装（未经使用和非展览会展示样品设备，外观无刮、碰痕迹，并有下列明显标记：名 称、品 牌型号、制造商 标识、产地、出厂日期、出产序列号等），不接受改装改配产品。货物的制造标准及技术规范等有关资料必须符合国家相关标准、规范要求。货物的电气、设备仪表应符合国家相关规定，噪音方面符合国家相关标准，货物质量达到设 计要求，安装调试各项指标符合技术参数要求且须通过质检计量部门的检验。</w:t>
      </w:r>
    </w:p>
    <w:p>
      <w:pPr>
        <w:pStyle w:val="3"/>
        <w:keepNext w:val="0"/>
        <w:keepLines w:val="0"/>
        <w:widowControl/>
        <w:suppressLineNumbers w:val="0"/>
        <w:spacing w:before="0" w:beforeAutospacing="0" w:after="0" w:afterAutospacing="0" w:line="348" w:lineRule="atLeast"/>
        <w:ind w:left="0" w:right="0" w:firstLine="384"/>
      </w:pPr>
      <w:r>
        <w:rPr>
          <w:rFonts w:hint="eastAsia" w:ascii="宋体" w:hAnsi="宋体" w:eastAsia="宋体" w:cs="宋体"/>
          <w:sz w:val="19"/>
          <w:szCs w:val="19"/>
          <w:bdr w:val="none" w:color="auto" w:sz="0" w:space="0"/>
          <w:shd w:val="clear" w:fill="FFFFFF"/>
        </w:rPr>
        <w:t>1.2投标人应按正规销售渠道供货，保证采购人能享受原厂或原厂认可的售后维修机构的售 后服 务。投标人所提供的服务应符合国家相关法律法规。投标人提供的产品中如有配套使用的相关软件，必须是正版的、合法的。</w:t>
      </w:r>
    </w:p>
    <w:p>
      <w:pPr>
        <w:pStyle w:val="3"/>
        <w:keepNext w:val="0"/>
        <w:keepLines w:val="0"/>
        <w:widowControl/>
        <w:suppressLineNumbers w:val="0"/>
        <w:spacing w:before="0" w:beforeAutospacing="0" w:after="0" w:afterAutospacing="0" w:line="348" w:lineRule="atLeast"/>
        <w:ind w:left="0" w:right="0" w:firstLine="384"/>
      </w:pPr>
      <w:r>
        <w:rPr>
          <w:rFonts w:hint="eastAsia" w:ascii="宋体" w:hAnsi="宋体" w:eastAsia="宋体" w:cs="宋体"/>
          <w:sz w:val="19"/>
          <w:szCs w:val="19"/>
          <w:bdr w:val="none" w:color="auto" w:sz="0" w:space="0"/>
          <w:shd w:val="clear" w:fill="FFFFFF"/>
        </w:rPr>
        <w:t>1.3投标人须保障采购人在使用该货物或其任何一部分时不受到第三方关于侵犯专 利权、商 标权或工业设 计权等知识产权的指控，任何第三方如果提出此方面指控均与招标采购单位无关，投标人应与第三方交涉，并承担可能发生的一切法律责任、费用和后果；若招标采购单位因此而遭致损失的，投标人应赔偿该损失。</w:t>
      </w:r>
    </w:p>
    <w:p>
      <w:pPr>
        <w:pStyle w:val="3"/>
        <w:keepNext w:val="0"/>
        <w:keepLines w:val="0"/>
        <w:widowControl/>
        <w:suppressLineNumbers w:val="0"/>
        <w:spacing w:before="0" w:beforeAutospacing="0" w:after="0" w:afterAutospacing="0" w:line="348" w:lineRule="atLeast"/>
        <w:ind w:left="0" w:right="0" w:firstLine="384"/>
      </w:pPr>
      <w:r>
        <w:rPr>
          <w:rFonts w:hint="eastAsia" w:ascii="宋体" w:hAnsi="宋体" w:eastAsia="宋体" w:cs="宋体"/>
          <w:sz w:val="19"/>
          <w:szCs w:val="19"/>
          <w:bdr w:val="none" w:color="auto" w:sz="0" w:space="0"/>
          <w:shd w:val="clear" w:fill="FFFFFF"/>
        </w:rPr>
        <w:t>投标人中 标后提供的产品不满足本条款要求的，采购人将拒绝验收，由此带来的一切损失将由中 标人负责。</w:t>
      </w:r>
    </w:p>
    <w:p>
      <w:pPr>
        <w:pStyle w:val="3"/>
        <w:keepNext w:val="0"/>
        <w:keepLines w:val="0"/>
        <w:widowControl/>
        <w:suppressLineNumbers w:val="0"/>
        <w:spacing w:before="0" w:beforeAutospacing="0" w:after="0" w:afterAutospacing="0" w:line="348" w:lineRule="atLeast"/>
        <w:ind w:left="0" w:right="0" w:firstLine="384"/>
      </w:pPr>
      <w:r>
        <w:rPr>
          <w:rFonts w:hint="eastAsia" w:ascii="宋体" w:hAnsi="宋体" w:eastAsia="宋体" w:cs="宋体"/>
          <w:sz w:val="19"/>
          <w:szCs w:val="19"/>
          <w:bdr w:val="none" w:color="auto" w:sz="0" w:space="0"/>
          <w:shd w:val="clear" w:fill="FFFFFF"/>
        </w:rPr>
        <w:t>2、采购一览表</w:t>
      </w:r>
    </w:p>
    <w:tbl>
      <w:tblPr>
        <w:tblW w:w="6251"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718"/>
        <w:gridCol w:w="4711"/>
        <w:gridCol w:w="82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序号</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采购项目</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数量</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液压传动与控制实验教学培训系统（实用型）</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3</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2</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表面粗糙度测试仪</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2</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3</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齿轮双面啮合综合检查仪</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2</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4</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圆度仪</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2</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5</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万能测齿仪</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6</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电机系统教学实验台</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9</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7</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可编程控制器实验箱</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25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8</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门禁系统</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25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9</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传感器与检测技术实验台</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10</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拆装工业机器人实训系统</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4</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11</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自编程可拆装6轴教学机器人</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2</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12</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工作站显示器</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13</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可调直流稳压电源</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50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14</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排插</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50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15</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品 牌电脑</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50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16</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玻璃开门中二斗文件柜</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17</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数字电桥</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18</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智能电参数测量仪</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19</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函数信号发生器</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20</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三用表校验仪</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21</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电容漏电流测试仪绝缘电阻测量仪</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732"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22</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pPr>
            <w:r>
              <w:rPr>
                <w:rFonts w:hint="eastAsia" w:ascii="宋体" w:hAnsi="宋体" w:eastAsia="宋体" w:cs="宋体"/>
                <w:color w:val="393939"/>
                <w:sz w:val="19"/>
                <w:szCs w:val="19"/>
                <w:bdr w:val="none" w:color="auto" w:sz="0" w:space="0"/>
              </w:rPr>
              <w:t>SMT贴片机生产线（</w:t>
            </w:r>
            <w:r>
              <w:rPr>
                <w:rFonts w:hint="eastAsia" w:ascii="宋体" w:hAnsi="宋体" w:eastAsia="宋体" w:cs="宋体"/>
                <w:color w:val="393939"/>
                <w:sz w:val="19"/>
                <w:szCs w:val="19"/>
                <w:bdr w:val="none" w:color="auto" w:sz="0" w:space="0"/>
                <w:shd w:val="clear" w:fill="FFFFFF"/>
              </w:rPr>
              <w:t>锡膏搅拌机、半自动锡膏印刷机、全自动上板机、0.6m接驳台、全自动六头贴片机（丝杆+三段式）、1m接驳台、上六下六全热风回流焊</w:t>
            </w:r>
            <w:r>
              <w:rPr>
                <w:rFonts w:hint="eastAsia" w:ascii="宋体" w:hAnsi="宋体" w:eastAsia="宋体" w:cs="宋体"/>
                <w:color w:val="393939"/>
                <w:sz w:val="19"/>
                <w:szCs w:val="19"/>
                <w:bdr w:val="none" w:color="auto" w:sz="0" w:space="0"/>
              </w:rPr>
              <w:t>）</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23</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半导体管特性图示仪</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24</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高温干燥箱</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25</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高温高湿试验箱</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26</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三相稳压器</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27</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静电脉冲群静电干扰仪</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28</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20X放大镜烙铁架</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29</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静音数显滴胶机 点胶机</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30</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机房电脑与多媒体综合布线工程</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1套</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31</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可移动视频传输教学系统</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1套</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32</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实验桌</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30套</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33</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实验椅</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30套</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34</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机构运动创新设 计方案拼装及仿真实验台</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2套</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35</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黑白激光多功能打印扫描复印一体机</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6台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6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36</w:t>
            </w:r>
          </w:p>
        </w:tc>
        <w:tc>
          <w:tcPr>
            <w:tcW w:w="46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冷暖立柜式空调</w:t>
            </w:r>
          </w:p>
        </w:tc>
        <w:tc>
          <w:tcPr>
            <w:tcW w:w="77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9台</w:t>
            </w:r>
          </w:p>
        </w:tc>
      </w:tr>
    </w:tbl>
    <w:p>
      <w:pPr>
        <w:pStyle w:val="3"/>
        <w:keepNext w:val="0"/>
        <w:keepLines w:val="0"/>
        <w:widowControl/>
        <w:suppressLineNumbers w:val="0"/>
        <w:spacing w:before="0" w:beforeAutospacing="0" w:after="0" w:afterAutospacing="0" w:line="348" w:lineRule="atLeast"/>
        <w:ind w:left="0" w:right="0" w:firstLine="384"/>
      </w:pP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二、技术和服务要求</w:t>
      </w:r>
      <w:r>
        <w:rPr>
          <w:rStyle w:val="5"/>
          <w:rFonts w:hint="eastAsia" w:ascii="宋体" w:hAnsi="宋体" w:eastAsia="宋体" w:cs="宋体"/>
          <w:spacing w:val="0"/>
          <w:sz w:val="19"/>
          <w:szCs w:val="19"/>
          <w:shd w:val="clear" w:fill="FFFFFF"/>
        </w:rPr>
        <w:t>（以“★”标示的内容为不允许负偏离的实质性要求）</w:t>
      </w:r>
    </w:p>
    <w:p>
      <w:pPr>
        <w:pStyle w:val="3"/>
        <w:keepNext w:val="0"/>
        <w:keepLines w:val="0"/>
        <w:widowControl/>
        <w:suppressLineNumbers w:val="0"/>
        <w:spacing w:before="0" w:beforeAutospacing="0" w:after="0" w:afterAutospacing="0"/>
        <w:ind w:left="0" w:right="0"/>
      </w:pPr>
    </w:p>
    <w:p>
      <w:pPr>
        <w:pStyle w:val="3"/>
        <w:keepNext w:val="0"/>
        <w:keepLines w:val="0"/>
        <w:widowControl/>
        <w:suppressLineNumbers w:val="0"/>
        <w:spacing w:before="0" w:beforeAutospacing="0" w:after="120" w:afterAutospacing="0"/>
        <w:ind w:left="600" w:right="0"/>
      </w:pPr>
      <w:r>
        <w:rPr>
          <w:rFonts w:hint="default" w:ascii="Calibri" w:hAnsi="Calibri" w:cs="Calibri"/>
          <w:b/>
          <w:sz w:val="19"/>
          <w:szCs w:val="19"/>
          <w:shd w:val="clear" w:fill="FFFFFF"/>
        </w:rPr>
        <w:t xml:space="preserve">（一） </w:t>
      </w:r>
      <w:r>
        <w:rPr>
          <w:rStyle w:val="5"/>
          <w:rFonts w:hint="eastAsia" w:ascii="宋体" w:hAnsi="宋体" w:eastAsia="宋体" w:cs="宋体"/>
          <w:sz w:val="19"/>
          <w:szCs w:val="19"/>
          <w:shd w:val="clear" w:fill="FFFFFF"/>
        </w:rPr>
        <w:t>技术参数要求：</w:t>
      </w:r>
    </w:p>
    <w:p>
      <w:pPr>
        <w:pStyle w:val="3"/>
        <w:keepNext w:val="0"/>
        <w:keepLines w:val="0"/>
        <w:widowControl/>
        <w:suppressLineNumbers w:val="0"/>
        <w:spacing w:before="0" w:beforeAutospacing="0" w:after="120" w:afterAutospacing="0"/>
        <w:ind w:left="0" w:right="0"/>
      </w:pPr>
      <w:r>
        <w:rPr>
          <w:rStyle w:val="5"/>
          <w:rFonts w:hint="eastAsia" w:ascii="宋体" w:hAnsi="宋体" w:eastAsia="宋体" w:cs="宋体"/>
          <w:sz w:val="19"/>
          <w:szCs w:val="19"/>
          <w:bdr w:val="none" w:color="auto" w:sz="0" w:space="0"/>
          <w:shd w:val="clear" w:fill="FFFFFF"/>
        </w:rPr>
        <w:t>（参数中涉及规格尺寸的允许其偏差±</w:t>
      </w:r>
      <w:r>
        <w:rPr>
          <w:rStyle w:val="5"/>
          <w:rFonts w:hint="default" w:ascii="Calibri" w:hAnsi="Calibri" w:eastAsia="宋体" w:cs="Calibri"/>
          <w:sz w:val="19"/>
          <w:szCs w:val="19"/>
          <w:bdr w:val="none" w:color="auto" w:sz="0" w:space="0"/>
          <w:shd w:val="clear" w:fill="FFFFFF"/>
        </w:rPr>
        <w:t>2%,</w:t>
      </w:r>
      <w:r>
        <w:rPr>
          <w:rStyle w:val="5"/>
          <w:rFonts w:hint="eastAsia" w:ascii="宋体" w:hAnsi="宋体" w:eastAsia="宋体" w:cs="宋体"/>
          <w:sz w:val="19"/>
          <w:szCs w:val="19"/>
          <w:bdr w:val="none" w:color="auto" w:sz="0" w:space="0"/>
          <w:shd w:val="clear" w:fill="FFFFFF"/>
        </w:rPr>
        <w:t>涉及产品配置的不低于采购参数要求,技术参数要求涉及具体数值的条款中已明确有取值范围从其要求</w:t>
      </w:r>
      <w:r>
        <w:rPr>
          <w:rStyle w:val="5"/>
          <w:rFonts w:hint="default" w:ascii="Calibri" w:hAnsi="Calibri" w:eastAsia="宋体" w:cs="Calibri"/>
          <w:sz w:val="19"/>
          <w:szCs w:val="19"/>
          <w:bdr w:val="none" w:color="auto" w:sz="0" w:space="0"/>
          <w:shd w:val="clear" w:fill="FFFFFF"/>
        </w:rPr>
        <w:t>)</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b/>
          <w:sz w:val="19"/>
          <w:szCs w:val="19"/>
          <w:bdr w:val="none" w:color="auto" w:sz="0" w:space="0"/>
          <w:shd w:val="clear" w:fill="FFFFFF"/>
        </w:rPr>
        <w:t>1、</w:t>
      </w:r>
      <w:r>
        <w:rPr>
          <w:rStyle w:val="5"/>
          <w:rFonts w:hint="eastAsia" w:ascii="宋体" w:hAnsi="宋体" w:eastAsia="宋体" w:cs="宋体"/>
          <w:sz w:val="19"/>
          <w:szCs w:val="19"/>
          <w:bdr w:val="none" w:color="auto" w:sz="0" w:space="0"/>
          <w:shd w:val="clear" w:fill="FFFFFF"/>
        </w:rPr>
        <w:t>液压传动与控制实验教学培训系统</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shd w:val="clear" w:fill="FFFFFF"/>
        </w:rPr>
        <w:t>1.1 常用液压元件性能测试实验。</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1.1.1 溢流阀静态性能实验；</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1.1.2 节流阀特性测试实验；</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1.1.3 调速阀特性测试实验；</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1.1.4 节流调速回路性能实验；</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1.1.5 液压泵性能测试实验。</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1.2 液阻特性性能测试实验。</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1.2.1 环形缝隙流量压力特性实验；</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1.2.2 细长小孔流量压力特性实验；</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1.2.3 薄壁小孔流量压力特性实验。</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1.3 液压回路三维动态画面演示与控制、液压回路搭接控制实验。液压回路三维立体动态的模拟演示与控制，能在计算机里提供液压回路搭接原理图、液压回路三维动画演示图，不仅能控制实验回路的动作，而且可以清晰看到用不同颜色演示液压回路油路的工作动态，使学生能更直观地学习和了解实验内容，实现了实验过程的可视化、人性化。</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1.3.1 压力控制回路（压力控制回路≥28种—带仿真软件）,</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1.3.2 速度控制回路 （速度控制回路≥25种—带仿真软件）,</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1.3.3 方向控制回路（方向控制回路≥6种—带仿真软件）。</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1.3.4 多缸控制回路（多缸控制回路≥11种—带仿真软件）</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1.4 可编程控制器（PLC）电气控制实验</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1.4.1 PLC的指令编程、梯形图编程的学习及应用；</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1.4.2 PLC与计算机的通讯，在线调试、监控；</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1.5 液压传动系统组成示范演示实验。</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1.6 液压传动各种元器件、辅助结构及工作原理拆装可视性分析实验:</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1）单向阀</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2）调速阀</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3）二位二通电磁阀（常闭）</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4）二位二通电磁阀（常开）</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5）二位二通行程控制阀</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6）二位三通电磁阀</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7）二位四通电磁阀</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8）节流阀</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9）三位四通换向阀（O型）</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10）三位四通换向阀体（H型）</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11）三位四通换向阀体（M型）</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12）顺序阀</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13）先导式减压阀</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14）先导式溢流阀</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15）压力继电器</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16）液控单向阀</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17）溢流阀</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18）油缸</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19）截止阀</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20）总阀。</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1.7 液压传动系统电气故障分析示范演示实验。</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1.8 液压传动系统综合故障分析示范演示实验。</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1.9 组态王三维控制软件的学习与设 计实验。</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1.10 创新及设 计性实验</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1.11 软、硬件扩展升级空间性能要求：</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1.11.1 机架采用≥2mm冷轧钢板按工业标准产品精制加工，表面喷塑处理，液压台面为漏网式整体回油结构。</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1.11.2 压力源内置，多种安全措施。</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1.11.3 实验实训工作台面为≥640mm×1500mm特制带T型槽结构的铝合金面板，有效工作面积≥0.96m</w:t>
      </w:r>
      <w:r>
        <w:rPr>
          <w:rFonts w:hint="eastAsia" w:ascii="宋体" w:hAnsi="宋体" w:eastAsia="宋体" w:cs="宋体"/>
          <w:spacing w:val="0"/>
          <w:sz w:val="19"/>
          <w:szCs w:val="19"/>
          <w:bdr w:val="none" w:color="auto" w:sz="0" w:space="0"/>
          <w:shd w:val="clear" w:fill="FFFFFF"/>
          <w:vertAlign w:val="superscript"/>
        </w:rPr>
        <w:t>2</w:t>
      </w:r>
      <w:r>
        <w:rPr>
          <w:rFonts w:hint="eastAsia" w:ascii="宋体" w:hAnsi="宋体" w:eastAsia="宋体" w:cs="宋体"/>
          <w:spacing w:val="0"/>
          <w:sz w:val="19"/>
          <w:szCs w:val="19"/>
          <w:bdr w:val="none" w:color="auto" w:sz="0" w:space="0"/>
          <w:shd w:val="clear" w:fill="FFFFFF"/>
        </w:rPr>
        <w:t>，以保证所有实验实训的工作空间。</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1.11.4 实验实训台铝合金面板采用特殊定制6063-T5，≥1450mm×155mm×15mm铝合金型材，面板≥1450mm×155mm×15mm，重量≥5kg，厚度3 mm -5 mm。可承载力≥50kg。</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11.</w:t>
      </w:r>
      <w:r>
        <w:rPr>
          <w:rFonts w:hint="eastAsia" w:ascii="宋体" w:hAnsi="宋体" w:eastAsia="宋体" w:cs="宋体"/>
          <w:spacing w:val="0"/>
          <w:sz w:val="19"/>
          <w:szCs w:val="19"/>
          <w:bdr w:val="none" w:color="auto" w:sz="0" w:space="0"/>
          <w:shd w:val="clear" w:fill="FFFFFF"/>
        </w:rPr>
        <w:t>5 电控模块箱需采用上置式结构，电控模块箱采用拔丝工艺生产的铝合金面板。</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1）转速温度显示表或大、小流量表</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2）直流电源箱、</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3）程序控制箱、</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4）电磁阀控制箱、</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5）油缸控制箱等。</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w:t>
      </w:r>
      <w:r>
        <w:rPr>
          <w:rFonts w:hint="eastAsia" w:ascii="宋体" w:hAnsi="宋体" w:eastAsia="宋体" w:cs="宋体"/>
          <w:sz w:val="19"/>
          <w:szCs w:val="19"/>
          <w:bdr w:val="none" w:color="auto" w:sz="0" w:space="0"/>
          <w:shd w:val="clear" w:fill="FFFFFF"/>
        </w:rPr>
        <w:t>11.</w:t>
      </w:r>
      <w:r>
        <w:rPr>
          <w:rFonts w:hint="eastAsia" w:ascii="宋体" w:hAnsi="宋体" w:eastAsia="宋体" w:cs="宋体"/>
          <w:spacing w:val="0"/>
          <w:sz w:val="19"/>
          <w:szCs w:val="19"/>
          <w:bdr w:val="none" w:color="auto" w:sz="0" w:space="0"/>
          <w:shd w:val="clear" w:fill="FFFFFF"/>
        </w:rPr>
        <w:t>6 接头、油盆。</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1.12 主要技术参数</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 xml:space="preserve">1.12.1 变量电机泵组：2HP+VP1-12-70 </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1）电源：220V/380V 50HZ</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2）功率：≥1.5KW</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3）转速：≥1450r/min</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4）压力：6-8MPa</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5）流量：8-12L/min</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1.12.2 定量电机泵组：3HP+FA1-08</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1）电源：220V / 380V 50HZ</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2）功率：≥2.2KW</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3）转速：≥1450r/min</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4）压力：≥7MPa</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5）流量：10-14L/min</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 xml:space="preserve">1.12.3 风冷却器 </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 xml:space="preserve">1）压力≥1.4 MPa：流量≥20L </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2）功率≥38W</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 xml:space="preserve">1.12.4 蓄能器 </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1）容积≥0.63L：压力≥10MPa</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 xml:space="preserve">1.12.5 油箱： </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1）容积：≥55L</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1.12.6 外形尺寸：≥1550 X 500 X 1650mm</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1.12.7 实验台重量：≥110KG</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 xml:space="preserve">1.12.8 椭圆齿轮流量计： </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1）流量范围：0.3～1.5m3/h</w:t>
      </w:r>
    </w:p>
    <w:p>
      <w:pPr>
        <w:pStyle w:val="3"/>
        <w:keepNext w:val="0"/>
        <w:keepLines w:val="0"/>
        <w:widowControl/>
        <w:suppressLineNumbers w:val="0"/>
        <w:spacing w:before="0" w:beforeAutospacing="0" w:after="0" w:afterAutospacing="0" w:line="324" w:lineRule="atLeast"/>
        <w:ind w:left="0" w:right="0" w:firstLine="408"/>
      </w:pPr>
      <w:r>
        <w:rPr>
          <w:rFonts w:hint="eastAsia" w:ascii="宋体" w:hAnsi="宋体" w:eastAsia="宋体" w:cs="宋体"/>
          <w:spacing w:val="0"/>
          <w:sz w:val="19"/>
          <w:szCs w:val="19"/>
          <w:bdr w:val="none" w:color="auto" w:sz="0" w:space="0"/>
          <w:shd w:val="clear" w:fill="FFFFFF"/>
        </w:rPr>
        <w:t>2）公称压力：1.5-1.8 MPa</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1.12.9 提供相应的实验指导书，实验指导书要满足本科院校实验教学，包括实验目的、实验设备和工具、实验台结构和工作原理、实验步骤、注意事项、实验结果分析等，目的是能帮助学生完成撰写实验报告。</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1.12.10 每套必配控制系统：</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I3-6100/4G/500GB/DVD/，</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19.5寸液晶</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2、表面粗糙度测试仪</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2.1 技术规格:</w:t>
      </w:r>
    </w:p>
    <w:tbl>
      <w:tblPr>
        <w:tblW w:w="6333"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2647"/>
        <w:gridCol w:w="1265"/>
        <w:gridCol w:w="1253"/>
        <w:gridCol w:w="116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cantSplit/>
          <w:trHeight w:val="360" w:hRule="atLeast"/>
          <w:tblCellSpacing w:w="15" w:type="dxa"/>
        </w:trPr>
        <w:tc>
          <w:tcPr>
            <w:tcW w:w="260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评定参数</w:t>
            </w:r>
          </w:p>
        </w:tc>
        <w:tc>
          <w:tcPr>
            <w:tcW w:w="3641" w:type="dxa"/>
            <w:gridSpan w:val="3"/>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Ra.Rt.Ry.Rmax,Rz(DIN), Rz(ISO),R3z,Rp,S,Sm,tp</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260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测量范围</w:t>
            </w:r>
          </w:p>
        </w:tc>
        <w:tc>
          <w:tcPr>
            <w:tcW w:w="3641" w:type="dxa"/>
            <w:gridSpan w:val="3"/>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Ra:0.01-10μm</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260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触针位移</w:t>
            </w:r>
          </w:p>
        </w:tc>
        <w:tc>
          <w:tcPr>
            <w:tcW w:w="3641" w:type="dxa"/>
            <w:gridSpan w:val="3"/>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±40μm</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260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分辨率</w:t>
            </w:r>
          </w:p>
        </w:tc>
        <w:tc>
          <w:tcPr>
            <w:tcW w:w="3641" w:type="dxa"/>
            <w:gridSpan w:val="3"/>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≤0.005μm</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260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显示方式</w:t>
            </w:r>
          </w:p>
        </w:tc>
        <w:tc>
          <w:tcPr>
            <w:tcW w:w="3641" w:type="dxa"/>
            <w:gridSpan w:val="3"/>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≥4x16带背光照明LCD</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260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小孔测量范围</w:t>
            </w:r>
          </w:p>
        </w:tc>
        <w:tc>
          <w:tcPr>
            <w:tcW w:w="3641" w:type="dxa"/>
            <w:gridSpan w:val="3"/>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》φ6mm</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260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仪器总误差</w:t>
            </w:r>
          </w:p>
        </w:tc>
        <w:tc>
          <w:tcPr>
            <w:tcW w:w="3641" w:type="dxa"/>
            <w:gridSpan w:val="3"/>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260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取样长度</w:t>
            </w:r>
          </w:p>
        </w:tc>
        <w:tc>
          <w:tcPr>
            <w:tcW w:w="1235"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0.25</w:t>
            </w:r>
          </w:p>
        </w:tc>
        <w:tc>
          <w:tcPr>
            <w:tcW w:w="122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0.8</w:t>
            </w:r>
          </w:p>
        </w:tc>
        <w:tc>
          <w:tcPr>
            <w:tcW w:w="112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2.5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260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测量长度</w:t>
            </w:r>
          </w:p>
        </w:tc>
        <w:tc>
          <w:tcPr>
            <w:tcW w:w="1235"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1.5、1.75、2</w:t>
            </w:r>
          </w:p>
        </w:tc>
        <w:tc>
          <w:tcPr>
            <w:tcW w:w="122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3.2、4、4.8、5.6、6.4</w:t>
            </w:r>
          </w:p>
        </w:tc>
        <w:tc>
          <w:tcPr>
            <w:tcW w:w="112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10、12.5、15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260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测量速度</w:t>
            </w:r>
          </w:p>
        </w:tc>
        <w:tc>
          <w:tcPr>
            <w:tcW w:w="1235"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0.1</w:t>
            </w:r>
          </w:p>
        </w:tc>
        <w:tc>
          <w:tcPr>
            <w:tcW w:w="122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0.32</w:t>
            </w:r>
          </w:p>
        </w:tc>
        <w:tc>
          <w:tcPr>
            <w:tcW w:w="112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260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仪器体积</w:t>
            </w:r>
          </w:p>
        </w:tc>
        <w:tc>
          <w:tcPr>
            <w:tcW w:w="3641" w:type="dxa"/>
            <w:gridSpan w:val="3"/>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≤300x500x450 mm</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260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仪器重量</w:t>
            </w:r>
          </w:p>
        </w:tc>
        <w:tc>
          <w:tcPr>
            <w:tcW w:w="3641" w:type="dxa"/>
            <w:gridSpan w:val="3"/>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≤18 kg</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260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仪器电源</w:t>
            </w:r>
          </w:p>
        </w:tc>
        <w:tc>
          <w:tcPr>
            <w:tcW w:w="3641" w:type="dxa"/>
            <w:gridSpan w:val="3"/>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220 VAC ±10%, 50Hz</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360" w:hRule="atLeast"/>
          <w:tblCellSpacing w:w="15" w:type="dxa"/>
        </w:trPr>
        <w:tc>
          <w:tcPr>
            <w:tcW w:w="260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标准配件，附件</w:t>
            </w:r>
          </w:p>
        </w:tc>
        <w:tc>
          <w:tcPr>
            <w:tcW w:w="3641" w:type="dxa"/>
            <w:gridSpan w:val="3"/>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X-Y工作台、V型台、粗糙度样板</w:t>
            </w:r>
          </w:p>
        </w:tc>
      </w:tr>
    </w:tbl>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bdr w:val="none" w:color="auto" w:sz="0" w:space="0"/>
          <w:shd w:val="clear" w:fill="FFFFFF"/>
        </w:rPr>
        <w:br w:type="textWrapping"/>
      </w:r>
      <w:r>
        <w:rPr>
          <w:rStyle w:val="5"/>
          <w:rFonts w:hint="eastAsia" w:ascii="宋体" w:hAnsi="宋体" w:eastAsia="宋体" w:cs="宋体"/>
          <w:bdr w:val="none" w:color="auto" w:sz="0" w:space="0"/>
          <w:shd w:val="clear" w:fill="FFFFFF"/>
        </w:rPr>
        <w:t>3、齿轮双面啮合综合检查仪</w:t>
      </w:r>
      <w:r>
        <w:rPr>
          <w:rStyle w:val="5"/>
          <w:rFonts w:hint="eastAsia" w:ascii="宋体" w:hAnsi="宋体" w:eastAsia="宋体" w:cs="宋体"/>
          <w:sz w:val="19"/>
          <w:szCs w:val="19"/>
          <w:bdr w:val="none" w:color="auto" w:sz="0" w:space="0"/>
          <w:shd w:val="clear" w:fill="FFFFFF"/>
        </w:rPr>
        <w:t xml:space="preserve"> </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 xml:space="preserve">3.1 用途： </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齿轮双面啮合综合检查仪可用于测量圆柱齿轮和蜗轮副的一转中心距变动量和一齿中心距变动量，也可以用于测量两轴夹角为90°的圆锥齿轮锥齿锥顶点的偏移量，可广泛应用于汽车、农机等机械制造行业。</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3.2 要求</w:t>
      </w:r>
      <w:r>
        <w:rPr>
          <w:rFonts w:hint="eastAsia" w:ascii="宋体" w:hAnsi="宋体" w:eastAsia="宋体" w:cs="宋体"/>
          <w:sz w:val="19"/>
          <w:szCs w:val="19"/>
          <w:bdr w:val="none" w:color="auto" w:sz="0" w:space="0"/>
          <w:shd w:val="clear" w:fill="FFFFFF"/>
        </w:rPr>
        <w:t xml:space="preserve"> </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仪器要求具有长期、稳定的工作精度。</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3.3 技术规格参数</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3.3.1 模数：1-10mm</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3.3.2 顶尖中心距离：50-320mm</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3.3.3 带轴齿轮最大外圆直径：≥200mm</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3.3.4 带轴齿轮轴长：110-350mm</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3.3.5 蜗杆最大外圆直径：≥100mm</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3.3.6 蜗杆轴长：120-240mm</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3.3.7 被测齿轮最大重量：≥50kg</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3.3.8 仪器净重：≤150kg</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3.3.9 仪器毛重：≤220kg</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3.3.10 仪器应用范围：可测带孔、带轴圆柱齿轮、蜗杆副和锥齿轮</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3.3.11 外形尺寸：≤1100mmx950mmx810mm</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3.4 仪器的组成</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3.4.1 测量主机 1台</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3.4.2 顶尖座 1件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3.4.3 蜗杆支架 1件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3.4.4 百分表 1块</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3.4.5 标准齿轮芯轴 1件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3.4.6 标准齿轮转动套 1件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3.4.7 垫圈 2件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3.4.8 装齿轮用芯轴 1件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3.4.9 顶尖座定位芯轴 1件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3.4.10 锥齿轮芯轴 1件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3.4.11 φ2平面测帽1件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3.4.12 无水乙醇、棉纱</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3.4.13 齿轮一副等</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4、圆度仪</w:t>
      </w:r>
    </w:p>
    <w:p>
      <w:pPr>
        <w:pStyle w:val="3"/>
        <w:keepNext w:val="0"/>
        <w:keepLines w:val="0"/>
        <w:widowControl/>
        <w:suppressLineNumbers w:val="0"/>
        <w:shd w:val="clear" w:fill="FFFFFF"/>
        <w:spacing w:before="84" w:beforeAutospacing="0" w:after="84" w:afterAutospacing="0" w:line="324" w:lineRule="atLeast"/>
        <w:ind w:left="0" w:right="0" w:firstLine="384"/>
      </w:pPr>
      <w:r>
        <w:rPr>
          <w:rFonts w:hint="eastAsia" w:ascii="宋体" w:hAnsi="宋体" w:eastAsia="宋体" w:cs="宋体"/>
          <w:sz w:val="19"/>
          <w:szCs w:val="19"/>
          <w:bdr w:val="none" w:color="auto" w:sz="0" w:space="0"/>
          <w:shd w:val="clear" w:fill="FFFFFF"/>
        </w:rPr>
        <w:t>4.1 仪器的用途：用于产品圆度的检测</w:t>
      </w:r>
    </w:p>
    <w:p>
      <w:pPr>
        <w:pStyle w:val="3"/>
        <w:keepNext w:val="0"/>
        <w:keepLines w:val="0"/>
        <w:widowControl/>
        <w:suppressLineNumbers w:val="0"/>
        <w:shd w:val="clear" w:fill="FFFFFF"/>
        <w:spacing w:before="84" w:beforeAutospacing="0" w:after="84" w:afterAutospacing="0" w:line="324" w:lineRule="atLeast"/>
        <w:ind w:left="0" w:right="0" w:firstLine="384"/>
      </w:pPr>
      <w:r>
        <w:rPr>
          <w:rFonts w:hint="eastAsia" w:ascii="宋体" w:hAnsi="宋体" w:eastAsia="宋体" w:cs="宋体"/>
          <w:sz w:val="19"/>
          <w:szCs w:val="19"/>
          <w:bdr w:val="none" w:color="auto" w:sz="0" w:space="0"/>
          <w:shd w:val="clear" w:fill="FFFFFF"/>
        </w:rPr>
        <w:t>4.2 仪器的基本功能：</w:t>
      </w:r>
    </w:p>
    <w:p>
      <w:pPr>
        <w:pStyle w:val="3"/>
        <w:keepNext w:val="0"/>
        <w:keepLines w:val="0"/>
        <w:widowControl/>
        <w:suppressLineNumbers w:val="0"/>
        <w:shd w:val="clear" w:fill="FFFFFF"/>
        <w:spacing w:before="84" w:beforeAutospacing="0" w:after="84" w:afterAutospacing="0" w:line="324" w:lineRule="atLeast"/>
        <w:ind w:left="0" w:right="0" w:firstLine="384"/>
      </w:pPr>
      <w:r>
        <w:rPr>
          <w:rFonts w:hint="eastAsia" w:ascii="宋体" w:hAnsi="宋体" w:eastAsia="宋体" w:cs="宋体"/>
          <w:sz w:val="19"/>
          <w:szCs w:val="19"/>
          <w:bdr w:val="none" w:color="auto" w:sz="0" w:space="0"/>
          <w:shd w:val="clear" w:fill="FFFFFF"/>
        </w:rPr>
        <w:t>4.2.1 检测项目、精度指标：</w:t>
      </w:r>
    </w:p>
    <w:tbl>
      <w:tblPr>
        <w:tblW w:w="7235"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2125"/>
        <w:gridCol w:w="3164"/>
        <w:gridCol w:w="194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2080" w:type="dxa"/>
            <w:tcBorders>
              <w:top w:val="nil"/>
              <w:left w:val="nil"/>
              <w:bottom w:val="nil"/>
              <w:right w:val="nil"/>
            </w:tcBorders>
            <w:shd w:val="clear"/>
            <w:tcMar>
              <w:top w:w="0" w:type="dxa"/>
              <w:left w:w="84" w:type="dxa"/>
              <w:bottom w:w="0" w:type="dxa"/>
              <w:right w:w="84" w:type="dxa"/>
            </w:tcMar>
            <w:vAlign w:val="top"/>
          </w:tcPr>
          <w:p>
            <w:pPr>
              <w:pStyle w:val="3"/>
              <w:keepNext w:val="0"/>
              <w:keepLines w:val="0"/>
              <w:widowControl/>
              <w:suppressLineNumbers w:val="0"/>
              <w:spacing w:before="84" w:beforeAutospacing="0" w:after="84" w:afterAutospacing="0" w:line="324" w:lineRule="atLeast"/>
              <w:jc w:val="center"/>
            </w:pPr>
            <w:r>
              <w:rPr>
                <w:rFonts w:hint="eastAsia" w:ascii="宋体" w:hAnsi="宋体" w:eastAsia="宋体" w:cs="宋体"/>
                <w:color w:val="393939"/>
                <w:sz w:val="19"/>
                <w:szCs w:val="19"/>
                <w:bdr w:val="none" w:color="auto" w:sz="0" w:space="0"/>
              </w:rPr>
              <w:t>项目</w:t>
            </w:r>
          </w:p>
        </w:tc>
        <w:tc>
          <w:tcPr>
            <w:tcW w:w="3134" w:type="dxa"/>
            <w:tcBorders>
              <w:top w:val="nil"/>
              <w:left w:val="nil"/>
              <w:bottom w:val="nil"/>
              <w:right w:val="nil"/>
            </w:tcBorders>
            <w:shd w:val="clear"/>
            <w:tcMar>
              <w:top w:w="0" w:type="dxa"/>
              <w:left w:w="84" w:type="dxa"/>
              <w:bottom w:w="0" w:type="dxa"/>
              <w:right w:w="84" w:type="dxa"/>
            </w:tcMar>
            <w:vAlign w:val="top"/>
          </w:tcPr>
          <w:p>
            <w:pPr>
              <w:pStyle w:val="3"/>
              <w:keepNext w:val="0"/>
              <w:keepLines w:val="0"/>
              <w:widowControl/>
              <w:suppressLineNumbers w:val="0"/>
              <w:spacing w:before="84" w:beforeAutospacing="0" w:after="84" w:afterAutospacing="0" w:line="324" w:lineRule="atLeast"/>
              <w:jc w:val="center"/>
            </w:pPr>
            <w:r>
              <w:rPr>
                <w:rFonts w:hint="eastAsia" w:ascii="宋体" w:hAnsi="宋体" w:eastAsia="宋体" w:cs="宋体"/>
                <w:color w:val="393939"/>
                <w:sz w:val="19"/>
                <w:szCs w:val="19"/>
                <w:bdr w:val="none" w:color="auto" w:sz="0" w:space="0"/>
              </w:rPr>
              <w:t>测量范围</w:t>
            </w:r>
          </w:p>
        </w:tc>
        <w:tc>
          <w:tcPr>
            <w:tcW w:w="1901" w:type="dxa"/>
            <w:tcBorders>
              <w:top w:val="nil"/>
              <w:left w:val="nil"/>
              <w:bottom w:val="nil"/>
              <w:right w:val="nil"/>
            </w:tcBorders>
            <w:shd w:val="clear"/>
            <w:tcMar>
              <w:top w:w="0" w:type="dxa"/>
              <w:left w:w="84" w:type="dxa"/>
              <w:bottom w:w="0" w:type="dxa"/>
              <w:right w:w="84" w:type="dxa"/>
            </w:tcMar>
            <w:vAlign w:val="top"/>
          </w:tcPr>
          <w:p>
            <w:pPr>
              <w:pStyle w:val="3"/>
              <w:keepNext w:val="0"/>
              <w:keepLines w:val="0"/>
              <w:widowControl/>
              <w:suppressLineNumbers w:val="0"/>
              <w:spacing w:before="84" w:beforeAutospacing="0" w:after="84" w:afterAutospacing="0" w:line="324" w:lineRule="atLeast"/>
              <w:jc w:val="center"/>
            </w:pPr>
            <w:r>
              <w:rPr>
                <w:rFonts w:hint="eastAsia" w:ascii="宋体" w:hAnsi="宋体" w:eastAsia="宋体" w:cs="宋体"/>
                <w:color w:val="393939"/>
                <w:sz w:val="19"/>
                <w:szCs w:val="19"/>
                <w:bdr w:val="none" w:color="auto" w:sz="0" w:space="0"/>
              </w:rPr>
              <w:t>测量精度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2080"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84" w:beforeAutospacing="0" w:after="84" w:afterAutospacing="0" w:line="324" w:lineRule="atLeast"/>
              <w:jc w:val="center"/>
            </w:pPr>
            <w:r>
              <w:rPr>
                <w:rFonts w:hint="eastAsia" w:ascii="宋体" w:hAnsi="宋体" w:eastAsia="宋体" w:cs="宋体"/>
                <w:color w:val="393939"/>
                <w:sz w:val="19"/>
                <w:szCs w:val="19"/>
                <w:bdr w:val="none" w:color="auto" w:sz="0" w:space="0"/>
              </w:rPr>
              <w:t>产品圆度</w:t>
            </w:r>
          </w:p>
        </w:tc>
        <w:tc>
          <w:tcPr>
            <w:tcW w:w="3134"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84" w:beforeAutospacing="0" w:after="84" w:afterAutospacing="0" w:line="324" w:lineRule="atLeast"/>
            </w:pPr>
            <w:r>
              <w:rPr>
                <w:rFonts w:hint="eastAsia" w:ascii="宋体" w:hAnsi="宋体" w:eastAsia="宋体" w:cs="宋体"/>
                <w:color w:val="393939"/>
                <w:sz w:val="19"/>
                <w:szCs w:val="19"/>
                <w:bdr w:val="none" w:color="auto" w:sz="0" w:space="0"/>
              </w:rPr>
              <w:t>外径：≥180mm</w:t>
            </w:r>
          </w:p>
          <w:p>
            <w:pPr>
              <w:pStyle w:val="3"/>
              <w:keepNext w:val="0"/>
              <w:keepLines w:val="0"/>
              <w:widowControl/>
              <w:suppressLineNumbers w:val="0"/>
              <w:spacing w:before="84" w:beforeAutospacing="0" w:after="84" w:afterAutospacing="0" w:line="324" w:lineRule="atLeast"/>
            </w:pPr>
            <w:r>
              <w:rPr>
                <w:rFonts w:hint="eastAsia" w:ascii="宋体" w:hAnsi="宋体" w:eastAsia="宋体" w:cs="宋体"/>
                <w:color w:val="393939"/>
                <w:sz w:val="19"/>
                <w:szCs w:val="19"/>
                <w:bdr w:val="none" w:color="auto" w:sz="0" w:space="0"/>
              </w:rPr>
              <w:t>内径：3~180mm</w:t>
            </w:r>
          </w:p>
          <w:p>
            <w:pPr>
              <w:pStyle w:val="3"/>
              <w:keepNext w:val="0"/>
              <w:keepLines w:val="0"/>
              <w:widowControl/>
              <w:suppressLineNumbers w:val="0"/>
              <w:spacing w:before="84" w:beforeAutospacing="0" w:after="84" w:afterAutospacing="0" w:line="324" w:lineRule="atLeast"/>
            </w:pPr>
            <w:r>
              <w:rPr>
                <w:rFonts w:hint="eastAsia" w:ascii="宋体" w:hAnsi="宋体" w:eastAsia="宋体" w:cs="宋体"/>
                <w:color w:val="393939"/>
                <w:sz w:val="19"/>
                <w:szCs w:val="19"/>
                <w:bdr w:val="none" w:color="auto" w:sz="0" w:space="0"/>
              </w:rPr>
              <w:t>高度：≥250mm</w:t>
            </w:r>
          </w:p>
        </w:tc>
        <w:tc>
          <w:tcPr>
            <w:tcW w:w="190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before="84" w:beforeAutospacing="0" w:after="84" w:afterAutospacing="0" w:line="324" w:lineRule="atLeast"/>
              <w:jc w:val="center"/>
            </w:pPr>
            <w:r>
              <w:rPr>
                <w:rFonts w:hint="eastAsia" w:ascii="宋体" w:hAnsi="宋体" w:eastAsia="宋体" w:cs="宋体"/>
                <w:color w:val="393939"/>
                <w:sz w:val="19"/>
                <w:szCs w:val="19"/>
                <w:bdr w:val="none" w:color="auto" w:sz="0" w:space="0"/>
              </w:rPr>
              <w:t>±2%量程</w:t>
            </w:r>
          </w:p>
        </w:tc>
      </w:tr>
    </w:tbl>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4.2.2、测量产品定位要求：能完成自动定心。</w:t>
      </w:r>
    </w:p>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4.2.3、显示参数：对最小区域、最小二乘、最小外接、最大内切四种圆度评定法能显示图形的偏心量X、Y最大峰值P，最大谷值、圆度（P＋V）。</w:t>
      </w:r>
    </w:p>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4.2.4、仪器应能在10℃～30℃，相对湿度40%~80%的环境下正常工作。</w:t>
      </w:r>
    </w:p>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4.3 仪器的主要配置：仪器全面运用计算机数字化测量技术，由计算机自动完成数据采集、数字滤波、圆度波纹度评定、数据分析，图形和数据结果直接显示在屏幕上，可通过通用打印机打印输出，亦可保存在数据库中存储在磁盘上。（每套必配控制系统：</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I3-6100/4G/500GB/DVD/， ≥19.5寸液晶。）</w:t>
      </w:r>
    </w:p>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4.4 安全操作及维修要求：</w:t>
      </w:r>
    </w:p>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4.4.1 仪器具备安全防护功能，实现自动保护。电气防护应达到IP54电气安全等应符合GB/T5226—2002的技术标准。</w:t>
      </w:r>
    </w:p>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4.4.2 仪器运行应可靠，便于维护和修理。</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5、万能测齿仪</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5.1 仪器的用途：</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5.1.1 仪器可测圆柱齿轮、圆锥齿轮和蜗轮的以下参数。</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5.1.1.1 齿距偏差、齿距累积误差及K个齿距累积误差。</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5.1.1.2 基节偏差。</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5.1.1.3 公法线长度及其变动量。</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5.1.1.4 齿厚偏差。</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5.1.1.5 齿圈径向跳动，圆锥齿轮的齿圈法向跳动。</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5.1.1.6 齿向误差（配套齿向附件）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5.2 仪器的技术规范：</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5.2.1 被测齿轮的模数:1－10mm</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5.2.2 被测齿轮的最大直径:Φ360 mm</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5.2.3 两顶尖间的极限距离:50－330 mm</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5.2.4 读数装置的刻度范围及刻度值：</w:t>
      </w:r>
    </w:p>
    <w:p>
      <w:pPr>
        <w:pStyle w:val="3"/>
        <w:keepNext w:val="0"/>
        <w:keepLines w:val="0"/>
        <w:widowControl/>
        <w:suppressLineNumbers w:val="0"/>
        <w:spacing w:before="0" w:beforeAutospacing="0" w:after="0" w:afterAutospacing="0" w:line="324" w:lineRule="atLeast"/>
        <w:ind w:left="0" w:right="0" w:firstLine="960"/>
      </w:pPr>
      <w:r>
        <w:rPr>
          <w:rFonts w:hint="eastAsia" w:ascii="宋体" w:hAnsi="宋体" w:eastAsia="宋体" w:cs="宋体"/>
          <w:sz w:val="19"/>
          <w:szCs w:val="19"/>
          <w:bdr w:val="none" w:color="auto" w:sz="0" w:space="0"/>
          <w:shd w:val="clear" w:fill="FFFFFF"/>
        </w:rPr>
        <w:t>用千分表比较仪时，量程±0.1 mm；刻度值≤0.001 mm</w:t>
      </w:r>
    </w:p>
    <w:p>
      <w:pPr>
        <w:pStyle w:val="3"/>
        <w:keepNext w:val="0"/>
        <w:keepLines w:val="0"/>
        <w:widowControl/>
        <w:suppressLineNumbers w:val="0"/>
        <w:spacing w:before="0" w:beforeAutospacing="0" w:after="0" w:afterAutospacing="0" w:line="324" w:lineRule="atLeast"/>
        <w:ind w:left="0" w:right="0" w:firstLine="960"/>
      </w:pPr>
      <w:r>
        <w:rPr>
          <w:rFonts w:hint="eastAsia" w:ascii="宋体" w:hAnsi="宋体" w:eastAsia="宋体" w:cs="宋体"/>
          <w:sz w:val="19"/>
          <w:szCs w:val="19"/>
          <w:bdr w:val="none" w:color="auto" w:sz="0" w:space="0"/>
          <w:shd w:val="clear" w:fill="FFFFFF"/>
        </w:rPr>
        <w:t>用电感测微仪时,量程序逻辑≤1mm；最小读数值≤0.01 μm。</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5.3 微电数据处理系统技术指标：</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5.3.1 测量范围：＋25μm；＋50μm；＋100μm；＋200μm。</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5.3.2 测量误差≤量程的1％</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5.3.3 最高分辨率: ≥0.1μm</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5.3.4 电源:220V；50HZ</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6、电机系统教学实验台</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6.1 总体要求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电机系统教学实验台主要依据《电机学》、《电机及电力拖动》等课程实验大纲的要求设 计而成。实验台可完成直流电机、三相异步电机、电机拖动等相关实验内容，该实验台完全能满足本科院校新实验室建设需要。</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6.2 要求能够完成的实验内容</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6.2.1 直流电机实验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1）认识实验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2）复励直流发电机</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3）直流他励电动机</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4）并励直流电动机</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6.2.2 异步电机实验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1）三相笼型异步电动机的工作特性</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2）三相异步电动机的起动与调速</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3）异步电动机的M—S曲线的测绘</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6.2.3 同步电机实验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1）三相同步发电机的运行特性</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2）三相同步发电机的并联运行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3）三相同步电动机的并联运行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4）三相同步发电机参数的测定</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6.2.4 电动机机械特性的测定</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1）直流他励电动机特性实验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① 直流他励电动机工作（固有）特性和机械特性</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② 直流他励电动机人为机械特性（改变电枢电压调速、改变励磁电流调速）</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③ 直流他励电动机电动回馈制动特性</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④ 直流他励电动机电动反接制动特性</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⑤ 直流他励电动机能耗制动特性</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2）三相异步电动机特性实验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① 三相异步电动机工作（固有）特性和机械特性</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② 三相异步电动机反接制动特性</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③ 三相异步电动机再发电制动机械特性</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④ 三相异步电动机电动回馈制动特性</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⑤ 三相异步电动机能耗制动特性</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6.2.5 电机控制实验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1）三相异步电动机点动和自锁控制线路实验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2）三相异步电动机的正反转控制线路实验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3）三相异步电动机Y/△降压起动控制线路实验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4）能耗制动控制实验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5）两台三相异步电动机起动顺序控制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6）两地控制线路</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6.2.6 电机虚拟仿真实验（基于国内国际上通用的Matlab软件）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w:t>
      </w:r>
      <w:r>
        <w:rPr>
          <w:bdr w:val="none" w:color="auto" w:sz="0" w:space="0"/>
          <w:shd w:val="clear" w:fill="FFFFFF"/>
        </w:rPr>
        <w:fldChar w:fldCharType="begin"/>
      </w:r>
      <w:r>
        <w:rPr>
          <w:bdr w:val="none" w:color="auto" w:sz="0" w:space="0"/>
          <w:shd w:val="clear" w:fill="FFFFFF"/>
        </w:rPr>
        <w:instrText xml:space="preserve"> HYPERLINK "http://218.5.222.40:8090/gpms/webPages" \l "_Toc20836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变压器实验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2）三相变压器实验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w:t>
      </w:r>
      <w:r>
        <w:rPr>
          <w:bdr w:val="none" w:color="auto" w:sz="0" w:space="0"/>
          <w:shd w:val="clear" w:fill="FFFFFF"/>
        </w:rPr>
        <w:fldChar w:fldCharType="begin"/>
      </w:r>
      <w:r>
        <w:rPr>
          <w:bdr w:val="none" w:color="auto" w:sz="0" w:space="0"/>
          <w:shd w:val="clear" w:fill="FFFFFF"/>
        </w:rPr>
        <w:instrText xml:space="preserve"> HYPERLINK "http://218.5.222.40:8090/gpms/webPages" \l "_Toc16594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三相变压器联接组实验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4）直流发电机实验</w:t>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"_Toc2550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5）直流电动机实验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6）三相鼠笼异步电动机工作特性实验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7）三相异步电机变频调速实验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8）三相同步发电机运行特性实验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9）三相同步发电机的并联运行实验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6.2.7 电路虚拟仿真实验（基于国内国际上通用的Matlab、Multisim软件）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1）基尔霍夫定律实验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2）叠加原理的验证实验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3）戴维南定理的验证</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4）R、L、C串联谐振</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5）三相交流电路电压、电流的测量</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6.2.8 基于Matlab开发的数字电力电子实验（可用于二次开发）（以下内容只配置1套）</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1）单端正激开关电源实验研究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2）单端反激开关电源实验研究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3）单相Boost型APFC有源功率因数校正实验研究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6.2.9 基于XPC模式的数字电力电子实验（可用于二次开发）（以下内容只配置1套）</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1）直流斩波实验（Buck变换器）</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2）直流斩波实验（Boost变换器）</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3）直流斩波实验（Buck-Boost变换器）</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4）单端反激式电路实验（Flyback电路）</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5）单端正激式电路实验（Forward电路）</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6）半桥开关电路变换器实验(HB-PWM电路)</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7）全桥开关电路变换器实验(FB-PWM电路)</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6.3 技术条件要求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6.3.1 整机容量：≤1.5kVA</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6.3.2 工作电源：～3N/380V/50Hz/3A</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6.3.3 尺寸：≤1.60m×0.75m×1.50m</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6.3.4 重 量：≤300kg。</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6.4 实验台的技术性能要求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6.4.1 主控制屏和实验桌要求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主控制屏采用铁质双层亚光密纹喷塑结构，面板采用铝质喷塑工艺。实验桌为铁质双层亚光密纹喷塑结构，桌面采用高密度度防腐防火板。造型美观大方，设有两只抽屉，存放柜，用于置放工具，挂箱及资料等。实验桌设有四个轮子，便于移动和固定，有利于实验室布置。</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鉴于安全考虑，要求实验装置的各挂箱及组件的面板均不采用金属制面板，须采用绝缘非金属材料面板，并在面板上印有各类标注符号或电路等。</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6.4.2 实验台安全保护功能要求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1）设备和人身安全保护</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要求本装置设 计了三相隔离变压器的浮地保护、电压型漏电保护、电流型漏电保护、安全实验导线等</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4种人身安全保护功能。</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2）仪器仪表保护体系</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要求设备中单、三相交流可调电源、直流稳压电源、同步电机励磁电源都设有短路、开路保护功能，交流电压、电流、功率表，数字直流电压、电流表等都设有过量程保护功能，设备的仪器仪表具有良好的保护功能。</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6.4.3 实验台交、直流电源</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1）单、三相可调交流电源</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提供三相0～430V连续可调的交流电源，同时可得到0～250V单相可调电源。配有一台1.5kVA的三相电动自耦调压器，三相输出电压可以联调，也可以单独调节。带有电源输出监视仪表，并有断相指示。</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2）直流电压、电流表及220V直流可调稳压电源</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直流稳压电源调节范围为50V—250V/2.5A连续可调，具有过流和短路保护功能。电源可通过计算机控制。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提供220V/0.5A的直流电源，供直流电机励磁绕组使用。</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提供300V、200mA、5A的三个直流测量仪表，既可以作监视仪表，也可作测量仪表。三个仪表均具有计算机接口。</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3）同步电机励磁电源</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同步电机励磁电源输出电流为0-2.5A连续可调，带三位半数显监视，可通过计算机程控输出。</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6.4.4 实验台的仪表</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1）数字式交流仪表</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数字交流电压表（3只）：测量范围0～450V，精度≤0.5级，4位数字显示；</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数字交流电流表（3只）：测量范围0～3A，精度≤0.5级，4位数字显示；</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数字功率、功率因素表：（3只）：测量范围0～450V，0～3A，精度≤0.5级，</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4位数字显示；</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仪表采用高性能的</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16位单片机设 计，量程自动切换，带具有计算机接口。</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2）数字直流电压、电流表</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数字直流电压表：测量范围0～300V，有2V、20V、300V</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三档量程。</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数字直流毫安表：测量范围0～200mA，有2mA、20mA、200mA</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三档量程。</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数字直流电流表：测量范围0～5A。</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具有计算机通讯接口。由直键开关切换量程，三位半数显，精度≤0.5级</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均有超量程告警并切断总电源的功能。</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6.4.5 实验台的转速转矩测量</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1）电机导轨及测功机</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含有编码器、涡流测功机及固定电机的安装导轨，保证电机与电机之间、电机与涡流测功机之间，同轴的同心度不超过±5丝。</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涡流测功机采用高精度传感器，一致性和线性度好，可靠性高。</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采用涡流测功机测功，比采用传统的直流发电机作校正电机测功方式更为方便、直观，转矩可直接读出，可大大提高实验效率和精度。</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2）转矩、转速测量组件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该组件包含了电机的直接手动加载功能，还可通过计算机程控加载。</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转矩表：3位半数字显示，测量范围0～2N.m，可测量正负转矩值，带有计算机接口。</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转速表：5位数字显示，测量范围0～2000rpm，可测量正负转速值，带有计算机接口。</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6.4.6 单端正激/反激开关电源及APFC电路（基于Matlab开发的数字电力电子实验）（以下内容只配置1套）</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提供单端正激/反激开关电源电路及负载、BOOST型APFC电路及负载、DSP控制系统。</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采用TI32位高性能TMS320F2812(DSP2812) DSP最新产品做为控制核心芯片，利用DSP仿真器将C、C++、Matlab语言编写算法或者用Simulink库搭建控制算法下载到DSP2812芯片，通过USB接口将DSP2812与上位机之间进行实时通讯，将DSP2812中CMPR寄存器的数实时据传送到PC上的上位机进行监控，利用DSP2812的EV单元输出PWM波形。DSP2812与上位机之间通过高速中断进行交互数据。上位机软件采用LabVIEW软件进行编写，对DSP芯片中寄存器的数据进行实时监控，用户不仅可在上位机的监控界面上观察到电路的驱动波形，电路中的电流、电压波形，也能够通过上位机对DSP进行控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6.4.7 基于xPC模式的数字电力电子技术实验箱要求（以下内容只配置1套）</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1)实时采集控制板要求</w:t>
      </w:r>
    </w:p>
    <w:p>
      <w:pPr>
        <w:pStyle w:val="3"/>
        <w:keepNext w:val="0"/>
        <w:keepLines w:val="0"/>
        <w:widowControl/>
        <w:suppressLineNumbers w:val="0"/>
        <w:spacing w:before="0" w:beforeAutospacing="0" w:after="0" w:afterAutospacing="0" w:line="324" w:lineRule="atLeast"/>
        <w:ind w:left="0" w:right="0" w:firstLine="336"/>
      </w:pPr>
      <w:r>
        <w:rPr>
          <w:rFonts w:hint="eastAsia" w:ascii="宋体" w:hAnsi="宋体" w:eastAsia="宋体" w:cs="宋体"/>
          <w:spacing w:val="0"/>
          <w:sz w:val="19"/>
          <w:szCs w:val="19"/>
          <w:shd w:val="clear" w:fill="FFFFFF"/>
        </w:rPr>
        <w:t>a. ≥</w:t>
      </w:r>
      <w:r>
        <w:rPr>
          <w:rFonts w:hint="eastAsia" w:ascii="宋体" w:hAnsi="宋体" w:eastAsia="宋体" w:cs="宋体"/>
          <w:sz w:val="19"/>
          <w:szCs w:val="19"/>
          <w:shd w:val="clear" w:fill="FFFFFF"/>
        </w:rPr>
        <w:t>6路模拟量输入：输入电压0-5V、0-10V、0-±10V可选；</w:t>
      </w:r>
      <w:r>
        <w:rPr>
          <w:rFonts w:hint="eastAsia" w:ascii="宋体" w:hAnsi="宋体" w:eastAsia="宋体" w:cs="宋体"/>
          <w:spacing w:val="0"/>
          <w:sz w:val="19"/>
          <w:szCs w:val="19"/>
          <w:shd w:val="clear" w:fill="FFFFFF"/>
        </w:rPr>
        <w:t>≥</w:t>
      </w:r>
      <w:r>
        <w:rPr>
          <w:rFonts w:hint="eastAsia" w:ascii="宋体" w:hAnsi="宋体" w:eastAsia="宋体" w:cs="宋体"/>
          <w:sz w:val="19"/>
          <w:szCs w:val="19"/>
          <w:shd w:val="clear" w:fill="FFFFFF"/>
        </w:rPr>
        <w:t>6路独立AD转换，转换速率300KHz。</w:t>
      </w:r>
    </w:p>
    <w:p>
      <w:pPr>
        <w:pStyle w:val="3"/>
        <w:keepNext w:val="0"/>
        <w:keepLines w:val="0"/>
        <w:widowControl/>
        <w:suppressLineNumbers w:val="0"/>
        <w:spacing w:before="0" w:beforeAutospacing="0" w:after="0" w:afterAutospacing="0" w:line="324" w:lineRule="atLeast"/>
        <w:ind w:left="0" w:right="0" w:firstLine="336"/>
      </w:pPr>
      <w:r>
        <w:rPr>
          <w:rFonts w:hint="eastAsia" w:ascii="宋体" w:hAnsi="宋体" w:eastAsia="宋体" w:cs="宋体"/>
          <w:spacing w:val="0"/>
          <w:sz w:val="19"/>
          <w:szCs w:val="19"/>
          <w:shd w:val="clear" w:fill="FFFFFF"/>
        </w:rPr>
        <w:t>b. ≥</w:t>
      </w:r>
      <w:r>
        <w:rPr>
          <w:rFonts w:hint="eastAsia" w:ascii="宋体" w:hAnsi="宋体" w:eastAsia="宋体" w:cs="宋体"/>
          <w:sz w:val="19"/>
          <w:szCs w:val="19"/>
          <w:shd w:val="clear" w:fill="FFFFFF"/>
        </w:rPr>
        <w:t>2路模拟量输出：输出电压0-10V、0-±10V可选；</w:t>
      </w:r>
      <w:r>
        <w:rPr>
          <w:rFonts w:hint="eastAsia" w:ascii="宋体" w:hAnsi="宋体" w:eastAsia="宋体" w:cs="宋体"/>
          <w:spacing w:val="0"/>
          <w:sz w:val="19"/>
          <w:szCs w:val="19"/>
          <w:shd w:val="clear" w:fill="FFFFFF"/>
        </w:rPr>
        <w:t>≥</w:t>
      </w:r>
      <w:r>
        <w:rPr>
          <w:rFonts w:hint="eastAsia" w:ascii="宋体" w:hAnsi="宋体" w:eastAsia="宋体" w:cs="宋体"/>
          <w:sz w:val="19"/>
          <w:szCs w:val="19"/>
          <w:shd w:val="clear" w:fill="FFFFFF"/>
        </w:rPr>
        <w:t>2路独立DA转换，转换速率1MHz。</w:t>
      </w:r>
    </w:p>
    <w:p>
      <w:pPr>
        <w:pStyle w:val="3"/>
        <w:keepNext w:val="0"/>
        <w:keepLines w:val="0"/>
        <w:widowControl/>
        <w:suppressLineNumbers w:val="0"/>
        <w:spacing w:before="0" w:beforeAutospacing="0" w:after="0" w:afterAutospacing="0" w:line="324" w:lineRule="atLeast"/>
        <w:ind w:left="0" w:right="0" w:firstLine="336"/>
      </w:pPr>
      <w:r>
        <w:rPr>
          <w:rFonts w:hint="eastAsia" w:ascii="宋体" w:hAnsi="宋体" w:eastAsia="宋体" w:cs="宋体"/>
          <w:spacing w:val="0"/>
          <w:sz w:val="19"/>
          <w:szCs w:val="19"/>
          <w:shd w:val="clear" w:fill="FFFFFF"/>
        </w:rPr>
        <w:t>c. ≥</w:t>
      </w:r>
      <w:r>
        <w:rPr>
          <w:rFonts w:hint="eastAsia" w:ascii="宋体" w:hAnsi="宋体" w:eastAsia="宋体" w:cs="宋体"/>
          <w:sz w:val="19"/>
          <w:szCs w:val="19"/>
          <w:shd w:val="clear" w:fill="FFFFFF"/>
        </w:rPr>
        <w:t>8路PWM输出：TTL电平；最高调制频率</w:t>
      </w:r>
      <w:r>
        <w:rPr>
          <w:rFonts w:hint="eastAsia" w:ascii="宋体" w:hAnsi="宋体" w:eastAsia="宋体" w:cs="宋体"/>
          <w:spacing w:val="0"/>
          <w:sz w:val="19"/>
          <w:szCs w:val="19"/>
          <w:shd w:val="clear" w:fill="FFFFFF"/>
        </w:rPr>
        <w:t>≥</w:t>
      </w:r>
      <w:r>
        <w:rPr>
          <w:rFonts w:hint="eastAsia" w:ascii="宋体" w:hAnsi="宋体" w:eastAsia="宋体" w:cs="宋体"/>
          <w:sz w:val="19"/>
          <w:szCs w:val="19"/>
          <w:shd w:val="clear" w:fill="FFFFFF"/>
        </w:rPr>
        <w:t>50KHz；占空比最小时间调节≤5ns。</w:t>
      </w:r>
    </w:p>
    <w:p>
      <w:pPr>
        <w:pStyle w:val="3"/>
        <w:keepNext w:val="0"/>
        <w:keepLines w:val="0"/>
        <w:widowControl/>
        <w:suppressLineNumbers w:val="0"/>
        <w:spacing w:before="0" w:beforeAutospacing="0" w:after="0" w:afterAutospacing="0" w:line="324" w:lineRule="atLeast"/>
        <w:ind w:left="0" w:right="0" w:firstLine="336"/>
      </w:pPr>
      <w:r>
        <w:rPr>
          <w:rFonts w:hint="eastAsia" w:ascii="宋体" w:hAnsi="宋体" w:eastAsia="宋体" w:cs="宋体"/>
          <w:spacing w:val="0"/>
          <w:sz w:val="19"/>
          <w:szCs w:val="19"/>
          <w:shd w:val="clear" w:fill="FFFFFF"/>
        </w:rPr>
        <w:t>d. ≥</w:t>
      </w:r>
      <w:r>
        <w:rPr>
          <w:rFonts w:hint="eastAsia" w:ascii="宋体" w:hAnsi="宋体" w:eastAsia="宋体" w:cs="宋体"/>
          <w:sz w:val="19"/>
          <w:szCs w:val="19"/>
          <w:shd w:val="clear" w:fill="FFFFFF"/>
        </w:rPr>
        <w:t>6路开关量输入信号：TTL电平。</w:t>
      </w:r>
    </w:p>
    <w:p>
      <w:pPr>
        <w:pStyle w:val="3"/>
        <w:keepNext w:val="0"/>
        <w:keepLines w:val="0"/>
        <w:widowControl/>
        <w:suppressLineNumbers w:val="0"/>
        <w:spacing w:before="0" w:beforeAutospacing="0" w:after="0" w:afterAutospacing="0" w:line="324" w:lineRule="atLeast"/>
        <w:ind w:left="0" w:right="0" w:firstLine="336"/>
      </w:pPr>
      <w:r>
        <w:rPr>
          <w:rFonts w:hint="eastAsia" w:ascii="宋体" w:hAnsi="宋体" w:eastAsia="宋体" w:cs="宋体"/>
          <w:spacing w:val="0"/>
          <w:sz w:val="19"/>
          <w:szCs w:val="19"/>
          <w:shd w:val="clear" w:fill="FFFFFF"/>
        </w:rPr>
        <w:t>e. ≥</w:t>
      </w:r>
      <w:r>
        <w:rPr>
          <w:rFonts w:hint="eastAsia" w:ascii="宋体" w:hAnsi="宋体" w:eastAsia="宋体" w:cs="宋体"/>
          <w:sz w:val="19"/>
          <w:szCs w:val="19"/>
          <w:shd w:val="clear" w:fill="FFFFFF"/>
        </w:rPr>
        <w:t>6路开关量输出信号：TTL电平。</w:t>
      </w:r>
    </w:p>
    <w:p>
      <w:pPr>
        <w:pStyle w:val="3"/>
        <w:keepNext w:val="0"/>
        <w:keepLines w:val="0"/>
        <w:widowControl/>
        <w:suppressLineNumbers w:val="0"/>
        <w:spacing w:before="0" w:beforeAutospacing="0" w:after="0" w:afterAutospacing="0" w:line="324" w:lineRule="atLeast"/>
        <w:ind w:left="0" w:right="0" w:firstLine="336"/>
      </w:pPr>
      <w:r>
        <w:rPr>
          <w:rFonts w:hint="eastAsia" w:ascii="宋体" w:hAnsi="宋体" w:eastAsia="宋体" w:cs="宋体"/>
          <w:spacing w:val="0"/>
          <w:sz w:val="19"/>
          <w:szCs w:val="19"/>
          <w:shd w:val="clear" w:fill="FFFFFF"/>
        </w:rPr>
        <w:t>f. ≥</w:t>
      </w:r>
      <w:r>
        <w:rPr>
          <w:rFonts w:hint="eastAsia" w:ascii="宋体" w:hAnsi="宋体" w:eastAsia="宋体" w:cs="宋体"/>
          <w:sz w:val="19"/>
          <w:szCs w:val="19"/>
          <w:shd w:val="clear" w:fill="FFFFFF"/>
        </w:rPr>
        <w:t>1个位置检测接口：可用于无刷电机、开关磁阻电机位置检测信号的输入。</w:t>
      </w:r>
    </w:p>
    <w:p>
      <w:pPr>
        <w:pStyle w:val="3"/>
        <w:keepNext w:val="0"/>
        <w:keepLines w:val="0"/>
        <w:widowControl/>
        <w:suppressLineNumbers w:val="0"/>
        <w:spacing w:before="0" w:beforeAutospacing="0" w:after="0" w:afterAutospacing="0" w:line="324" w:lineRule="atLeast"/>
        <w:ind w:left="0" w:right="0" w:firstLine="336"/>
      </w:pPr>
      <w:r>
        <w:rPr>
          <w:rFonts w:hint="eastAsia" w:ascii="宋体" w:hAnsi="宋体" w:eastAsia="宋体" w:cs="宋体"/>
          <w:spacing w:val="0"/>
          <w:sz w:val="19"/>
          <w:szCs w:val="19"/>
          <w:shd w:val="clear" w:fill="FFFFFF"/>
        </w:rPr>
        <w:t>g. ≥</w:t>
      </w:r>
      <w:r>
        <w:rPr>
          <w:rFonts w:hint="eastAsia" w:ascii="宋体" w:hAnsi="宋体" w:eastAsia="宋体" w:cs="宋体"/>
          <w:sz w:val="19"/>
          <w:szCs w:val="19"/>
          <w:shd w:val="clear" w:fill="FFFFFF"/>
        </w:rPr>
        <w:t xml:space="preserve">1个光电编码器接口：可用于异步电机、交流伺服电机等光电编码器信号的输入。 </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2)PCI-FPGA-CARD实时板卡</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实时板卡安装在目标机的PCI接口上，作采集控制板和目标机之间数据通信用。xPC-Target实时快速控制系统I/O板卡的组成。模拟量输入进行AD转换后的数据、模拟量输出进行DA转换前的数据、以及光电编码器的</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3路信号都通过低压差分数据线进行数据交换，可减少数据传输路径引起的干扰。数字量输入、输出、位置检测信号相对速度较慢、数据较少，不需要用差分数据通信。PWM信号作为信号输出，也不需要差分数据通信。实时板卡PCI-FPGA-CARD和实时采集控制板MCL-1501-330-A之间所有数据信号均经过了ISO高速数字隔离电路，杜绝了PCI实时板卡受物理对象的干扰，大大提高系统的可靠性和控制精度、降低了实时板卡损坏的几率。</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针对PCI-FPGA-CARD实时板卡，在Matlab环境开发了基于xPC Target 的Simulink模块库，模块库包含有脉宽调制(xPc PWMs)模块 ，模拟量输入(AD)模块，模拟量输出(DA)模块，定时器(Timer)模块，正交编码电路（QEP）模块,捕获（CAP）模块,异步中断请求模块,数字量输入/输出模块等。提供利用此板卡和实验平台开发了实验项目中的一些实验例程（以后可扩展）。用户也可以利用基于xPC Target的Simulink模块库搭建自己的控制算法，然后借助本实验平台完成硬件在回路仿真，达到快速原型化设 计的目的。</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3)直流斩波电路（一）</w:t>
      </w:r>
    </w:p>
    <w:p>
      <w:pPr>
        <w:pStyle w:val="3"/>
        <w:keepNext w:val="0"/>
        <w:keepLines w:val="0"/>
        <w:widowControl/>
        <w:suppressLineNumbers w:val="0"/>
        <w:spacing w:before="0" w:beforeAutospacing="0" w:after="0" w:afterAutospacing="0" w:line="324" w:lineRule="atLeast"/>
        <w:ind w:left="0" w:right="0" w:firstLine="336"/>
      </w:pPr>
      <w:r>
        <w:rPr>
          <w:rFonts w:hint="eastAsia" w:ascii="宋体" w:hAnsi="宋体" w:eastAsia="宋体" w:cs="宋体"/>
          <w:sz w:val="19"/>
          <w:szCs w:val="19"/>
          <w:shd w:val="clear" w:fill="FFFFFF"/>
        </w:rPr>
        <w:t>a. 直流电源采用</w:t>
      </w:r>
      <w:r>
        <w:rPr>
          <w:rFonts w:hint="eastAsia" w:ascii="宋体" w:hAnsi="宋体" w:eastAsia="宋体" w:cs="宋体"/>
          <w:spacing w:val="0"/>
          <w:sz w:val="19"/>
          <w:szCs w:val="19"/>
          <w:shd w:val="clear" w:fill="FFFFFF"/>
        </w:rPr>
        <w:t>≥</w:t>
      </w:r>
      <w:r>
        <w:rPr>
          <w:rFonts w:hint="eastAsia" w:ascii="宋体" w:hAnsi="宋体" w:eastAsia="宋体" w:cs="宋体"/>
          <w:sz w:val="19"/>
          <w:szCs w:val="19"/>
          <w:shd w:val="clear" w:fill="FFFFFF"/>
        </w:rPr>
        <w:t>24V/4.5A开关电源，有过流保护功能，输出电压稳定。直流电源是六种直流斩波电路、零电压准谐振软开关电路、零电流准谐振软开关电路以及移相全桥零点压软开关电路的主电源。</w:t>
      </w:r>
    </w:p>
    <w:p>
      <w:pPr>
        <w:pStyle w:val="3"/>
        <w:keepNext w:val="0"/>
        <w:keepLines w:val="0"/>
        <w:widowControl/>
        <w:suppressLineNumbers w:val="0"/>
        <w:spacing w:before="0" w:beforeAutospacing="0" w:after="0" w:afterAutospacing="0" w:line="324" w:lineRule="atLeast"/>
        <w:ind w:left="0" w:right="0" w:firstLine="336"/>
      </w:pPr>
      <w:r>
        <w:rPr>
          <w:rFonts w:hint="eastAsia" w:ascii="宋体" w:hAnsi="宋体" w:eastAsia="宋体" w:cs="宋体"/>
          <w:sz w:val="19"/>
          <w:szCs w:val="19"/>
          <w:shd w:val="clear" w:fill="FFFFFF"/>
        </w:rPr>
        <w:t>b. 斩波电路功率器件采用的是</w:t>
      </w:r>
      <w:r>
        <w:rPr>
          <w:rFonts w:hint="eastAsia" w:ascii="宋体" w:hAnsi="宋体" w:eastAsia="宋体" w:cs="宋体"/>
          <w:spacing w:val="0"/>
          <w:sz w:val="19"/>
          <w:szCs w:val="19"/>
          <w:shd w:val="clear" w:fill="FFFFFF"/>
        </w:rPr>
        <w:t>≥</w:t>
      </w:r>
      <w:r>
        <w:rPr>
          <w:rFonts w:hint="eastAsia" w:ascii="宋体" w:hAnsi="宋体" w:eastAsia="宋体" w:cs="宋体"/>
          <w:sz w:val="19"/>
          <w:szCs w:val="19"/>
          <w:shd w:val="clear" w:fill="FFFFFF"/>
        </w:rPr>
        <w:t>18A/200V的MOSFET管，导通电阻0.18Ω，开关功耗小。MOSFET管所需的驱动功率很小，驱动电路简单，采用了专用集成驱动芯片,内部带有光耦隔离，绝缘电压高达</w:t>
      </w:r>
      <w:r>
        <w:rPr>
          <w:rFonts w:hint="eastAsia" w:ascii="宋体" w:hAnsi="宋体" w:eastAsia="宋体" w:cs="宋体"/>
          <w:spacing w:val="0"/>
          <w:sz w:val="19"/>
          <w:szCs w:val="19"/>
          <w:shd w:val="clear" w:fill="FFFFFF"/>
        </w:rPr>
        <w:t>≥</w:t>
      </w:r>
      <w:r>
        <w:rPr>
          <w:rFonts w:hint="eastAsia" w:ascii="宋体" w:hAnsi="宋体" w:eastAsia="宋体" w:cs="宋体"/>
          <w:sz w:val="19"/>
          <w:szCs w:val="19"/>
          <w:shd w:val="clear" w:fill="FFFFFF"/>
        </w:rPr>
        <w:t>2500V，输出采用推挽结构，有大电流图腾柱式输出能力。</w:t>
      </w:r>
    </w:p>
    <w:p>
      <w:pPr>
        <w:pStyle w:val="3"/>
        <w:keepNext w:val="0"/>
        <w:keepLines w:val="0"/>
        <w:widowControl/>
        <w:suppressLineNumbers w:val="0"/>
        <w:spacing w:before="0" w:beforeAutospacing="0" w:after="0" w:afterAutospacing="0" w:line="324" w:lineRule="atLeast"/>
        <w:ind w:left="0" w:right="0" w:firstLine="336"/>
      </w:pPr>
      <w:r>
        <w:rPr>
          <w:rFonts w:hint="eastAsia" w:ascii="宋体" w:hAnsi="宋体" w:eastAsia="宋体" w:cs="宋体"/>
          <w:sz w:val="19"/>
          <w:szCs w:val="19"/>
          <w:shd w:val="clear" w:fill="FFFFFF"/>
        </w:rPr>
        <w:t>c. Buck变换器，输入直流电压24V，输出电压0-20V，输出电流2A，变换器具有电压调整率小、负载调整率小、纹波电压低、效率高等优点。实验面板设置了多个观测点，可以观测驱动波形，MOSFET的电压、电流，电感的电压、电流，二极管的电压、电流，输出电压等波形。通过波形观察，可使学生加深对Buck电路工作原理的理解。</w:t>
      </w:r>
    </w:p>
    <w:p>
      <w:pPr>
        <w:pStyle w:val="3"/>
        <w:keepNext w:val="0"/>
        <w:keepLines w:val="0"/>
        <w:widowControl/>
        <w:suppressLineNumbers w:val="0"/>
        <w:spacing w:before="0" w:beforeAutospacing="0" w:after="0" w:afterAutospacing="0" w:line="324" w:lineRule="atLeast"/>
        <w:ind w:left="0" w:right="0" w:firstLine="336"/>
      </w:pPr>
      <w:r>
        <w:rPr>
          <w:rFonts w:hint="eastAsia" w:ascii="宋体" w:hAnsi="宋体" w:eastAsia="宋体" w:cs="宋体"/>
          <w:sz w:val="19"/>
          <w:szCs w:val="19"/>
          <w:shd w:val="clear" w:fill="FFFFFF"/>
        </w:rPr>
        <w:t>d. Boost变换器，输入直流电压24V，输出电压24-48V，输出电流1A。其余功能与与Buck变换器类似。</w:t>
      </w:r>
    </w:p>
    <w:p>
      <w:pPr>
        <w:pStyle w:val="3"/>
        <w:keepNext w:val="0"/>
        <w:keepLines w:val="0"/>
        <w:widowControl/>
        <w:suppressLineNumbers w:val="0"/>
        <w:spacing w:before="0" w:beforeAutospacing="0" w:after="0" w:afterAutospacing="0" w:line="324" w:lineRule="atLeast"/>
        <w:ind w:left="0" w:right="0" w:firstLine="336"/>
      </w:pPr>
      <w:r>
        <w:rPr>
          <w:rFonts w:hint="eastAsia" w:ascii="宋体" w:hAnsi="宋体" w:eastAsia="宋体" w:cs="宋体"/>
          <w:sz w:val="19"/>
          <w:szCs w:val="19"/>
          <w:shd w:val="clear" w:fill="FFFFFF"/>
        </w:rPr>
        <w:t>e. Buck-Boost变换器，输入直流电压24V，输出电压0-48V，输出电流1A。其余功能与与Buck变换器类似。</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4）直流斩波电路（二）</w:t>
      </w:r>
    </w:p>
    <w:p>
      <w:pPr>
        <w:pStyle w:val="3"/>
        <w:keepNext w:val="0"/>
        <w:keepLines w:val="0"/>
        <w:widowControl/>
        <w:suppressLineNumbers w:val="0"/>
        <w:spacing w:before="0" w:beforeAutospacing="0" w:after="0" w:afterAutospacing="0" w:line="324" w:lineRule="atLeast"/>
        <w:ind w:left="0" w:right="0" w:firstLine="336"/>
      </w:pPr>
      <w:r>
        <w:rPr>
          <w:rFonts w:hint="eastAsia" w:ascii="宋体" w:hAnsi="宋体" w:eastAsia="宋体" w:cs="宋体"/>
          <w:sz w:val="19"/>
          <w:szCs w:val="19"/>
          <w:shd w:val="clear" w:fill="FFFFFF"/>
        </w:rPr>
        <w:t>a. 本实验电路的直流输入电源和驱动电路均在MCL-20A-330-A上，选择此实验部件时，同时需选择MCL-20A-330-A。</w:t>
      </w:r>
    </w:p>
    <w:p>
      <w:pPr>
        <w:pStyle w:val="3"/>
        <w:keepNext w:val="0"/>
        <w:keepLines w:val="0"/>
        <w:widowControl/>
        <w:suppressLineNumbers w:val="0"/>
        <w:spacing w:before="0" w:beforeAutospacing="0" w:after="0" w:afterAutospacing="0" w:line="324" w:lineRule="atLeast"/>
        <w:ind w:left="0" w:right="0" w:firstLine="336"/>
      </w:pPr>
      <w:r>
        <w:rPr>
          <w:rFonts w:hint="eastAsia" w:ascii="宋体" w:hAnsi="宋体" w:eastAsia="宋体" w:cs="宋体"/>
          <w:sz w:val="19"/>
          <w:szCs w:val="19"/>
          <w:shd w:val="clear" w:fill="FFFFFF"/>
        </w:rPr>
        <w:t>b. CuK变换器，输入直流电压24V，输出电压0-48V，输出电流1A。其余功能与与Buck变换器类似。</w:t>
      </w:r>
    </w:p>
    <w:p>
      <w:pPr>
        <w:pStyle w:val="3"/>
        <w:keepNext w:val="0"/>
        <w:keepLines w:val="0"/>
        <w:widowControl/>
        <w:suppressLineNumbers w:val="0"/>
        <w:spacing w:before="0" w:beforeAutospacing="0" w:after="0" w:afterAutospacing="0" w:line="324" w:lineRule="atLeast"/>
        <w:ind w:left="0" w:right="0" w:firstLine="336"/>
      </w:pPr>
      <w:r>
        <w:rPr>
          <w:rFonts w:hint="eastAsia" w:ascii="宋体" w:hAnsi="宋体" w:eastAsia="宋体" w:cs="宋体"/>
          <w:sz w:val="19"/>
          <w:szCs w:val="19"/>
          <w:shd w:val="clear" w:fill="FFFFFF"/>
        </w:rPr>
        <w:t>c. Sepic变换器，输入直流电压24V，输出电压0-48V，输出电流1A。其余功能与与Buck变换器类似。</w:t>
      </w:r>
    </w:p>
    <w:p>
      <w:pPr>
        <w:pStyle w:val="3"/>
        <w:keepNext w:val="0"/>
        <w:keepLines w:val="0"/>
        <w:widowControl/>
        <w:suppressLineNumbers w:val="0"/>
        <w:spacing w:before="0" w:beforeAutospacing="0" w:after="0" w:afterAutospacing="0" w:line="324" w:lineRule="atLeast"/>
        <w:ind w:left="0" w:right="0" w:firstLine="336"/>
      </w:pPr>
      <w:r>
        <w:rPr>
          <w:rFonts w:hint="eastAsia" w:ascii="宋体" w:hAnsi="宋体" w:eastAsia="宋体" w:cs="宋体"/>
          <w:sz w:val="19"/>
          <w:szCs w:val="19"/>
          <w:shd w:val="clear" w:fill="FFFFFF"/>
        </w:rPr>
        <w:t>d. Zeta变换器，输入直流电压24V，输出电压0-48V，输出电流1A。其余功能与与Buck变换器类似。</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5）单端正激、反激变换器</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隔离型单端正激开关电源输入AC 220V±20%/50Hz,控制频率24KHz，额定输出DC 48V/1A，效率80%以上，具有电压调整率小、负载调整率小、纹波电压低等特点。实验电路由EMI滤波及整流电路，PWM驱动电路、MOSFET、正激变压器、吸收电路、输出整流滤波电路等组成。实验面板上可以观测驱动波形，MOSFET两端、变压器原、副边两端，输出整流二极管，续流二极管、输出滤波电感等电压波形。通过波形观察，可使学生加深对单端正激开关电源工作原理的理解。</w:t>
      </w:r>
    </w:p>
    <w:p>
      <w:pPr>
        <w:pStyle w:val="3"/>
        <w:keepNext w:val="0"/>
        <w:keepLines w:val="0"/>
        <w:widowControl/>
        <w:suppressLineNumbers w:val="0"/>
        <w:spacing w:before="0" w:beforeAutospacing="0" w:after="0" w:afterAutospacing="0" w:line="324" w:lineRule="atLeast"/>
        <w:ind w:left="12" w:right="0" w:firstLine="384"/>
      </w:pPr>
      <w:r>
        <w:rPr>
          <w:rFonts w:hint="eastAsia" w:ascii="宋体" w:hAnsi="宋体" w:eastAsia="宋体" w:cs="宋体"/>
          <w:sz w:val="19"/>
          <w:szCs w:val="19"/>
          <w:shd w:val="clear" w:fill="FFFFFF"/>
        </w:rPr>
        <w:t>隔离型单端反激开关电源输入AC 220V±20%/50Hz,控制频率</w:t>
      </w:r>
      <w:r>
        <w:rPr>
          <w:rFonts w:hint="eastAsia" w:ascii="宋体" w:hAnsi="宋体" w:eastAsia="宋体" w:cs="宋体"/>
          <w:spacing w:val="0"/>
          <w:sz w:val="19"/>
          <w:szCs w:val="19"/>
          <w:shd w:val="clear" w:fill="FFFFFF"/>
        </w:rPr>
        <w:t>≥</w:t>
      </w:r>
      <w:r>
        <w:rPr>
          <w:rFonts w:hint="eastAsia" w:ascii="宋体" w:hAnsi="宋体" w:eastAsia="宋体" w:cs="宋体"/>
          <w:sz w:val="19"/>
          <w:szCs w:val="19"/>
          <w:shd w:val="clear" w:fill="FFFFFF"/>
        </w:rPr>
        <w:t>24KHz，额定输出DC 48V/1A。其余功能、电路组成、可观测实验波形参照单端正激开关电源。</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6）半桥、全桥变换器</w:t>
      </w:r>
    </w:p>
    <w:p>
      <w:pPr>
        <w:pStyle w:val="3"/>
        <w:keepNext w:val="0"/>
        <w:keepLines w:val="0"/>
        <w:widowControl/>
        <w:suppressLineNumbers w:val="0"/>
        <w:spacing w:before="0" w:beforeAutospacing="0" w:after="0" w:afterAutospacing="0" w:line="324" w:lineRule="atLeast"/>
        <w:ind w:left="12" w:right="0" w:firstLine="384"/>
      </w:pPr>
      <w:r>
        <w:rPr>
          <w:rFonts w:hint="eastAsia" w:ascii="宋体" w:hAnsi="宋体" w:eastAsia="宋体" w:cs="宋体"/>
          <w:sz w:val="19"/>
          <w:szCs w:val="19"/>
          <w:shd w:val="clear" w:fill="FFFFFF"/>
        </w:rPr>
        <w:t>隔离型半桥开关电源输入AC 220V±20%/50Hz,控制频率</w:t>
      </w:r>
      <w:r>
        <w:rPr>
          <w:rFonts w:hint="eastAsia" w:ascii="宋体" w:hAnsi="宋体" w:eastAsia="宋体" w:cs="宋体"/>
          <w:spacing w:val="0"/>
          <w:sz w:val="19"/>
          <w:szCs w:val="19"/>
          <w:shd w:val="clear" w:fill="FFFFFF"/>
        </w:rPr>
        <w:t>≥</w:t>
      </w:r>
      <w:r>
        <w:rPr>
          <w:rFonts w:hint="eastAsia" w:ascii="宋体" w:hAnsi="宋体" w:eastAsia="宋体" w:cs="宋体"/>
          <w:sz w:val="19"/>
          <w:szCs w:val="19"/>
          <w:shd w:val="clear" w:fill="FFFFFF"/>
        </w:rPr>
        <w:t>24KHz，额定输出DC 48V/1A。其余功能、电路组成、可观测实验波形参照单端正激开关电源。</w:t>
      </w:r>
    </w:p>
    <w:p>
      <w:pPr>
        <w:pStyle w:val="3"/>
        <w:keepNext w:val="0"/>
        <w:keepLines w:val="0"/>
        <w:widowControl/>
        <w:suppressLineNumbers w:val="0"/>
        <w:spacing w:before="0" w:beforeAutospacing="0" w:after="0" w:afterAutospacing="0" w:line="324" w:lineRule="atLeast"/>
        <w:ind w:left="12" w:right="0" w:firstLine="384"/>
      </w:pPr>
      <w:r>
        <w:rPr>
          <w:rFonts w:hint="eastAsia" w:ascii="宋体" w:hAnsi="宋体" w:eastAsia="宋体" w:cs="宋体"/>
          <w:sz w:val="19"/>
          <w:szCs w:val="19"/>
          <w:shd w:val="clear" w:fill="FFFFFF"/>
        </w:rPr>
        <w:t>隔离型全桥开关电源输入AC 220V±20%/50Hz,控制频率</w:t>
      </w:r>
      <w:r>
        <w:rPr>
          <w:rFonts w:hint="eastAsia" w:ascii="宋体" w:hAnsi="宋体" w:eastAsia="宋体" w:cs="宋体"/>
          <w:spacing w:val="0"/>
          <w:sz w:val="19"/>
          <w:szCs w:val="19"/>
          <w:shd w:val="clear" w:fill="FFFFFF"/>
        </w:rPr>
        <w:t>≥</w:t>
      </w:r>
      <w:r>
        <w:rPr>
          <w:rFonts w:hint="eastAsia" w:ascii="宋体" w:hAnsi="宋体" w:eastAsia="宋体" w:cs="宋体"/>
          <w:sz w:val="19"/>
          <w:szCs w:val="19"/>
          <w:shd w:val="clear" w:fill="FFFFFF"/>
        </w:rPr>
        <w:t>24KHz，额定输出DC 48V/1A。其余功能、电路组成、可观测实验波形参照单端正激开关电源。</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7)基于xPC Target下的直流降压斩波电路程序说明</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在Buck降压斩波电路Simulink框图中可以看到，其主要组成模块有AD采集模块，PID调节模块，PWM脉宽调制器模块，示波器等。该系统通过Switch开环切换可进行Buck电路开环、闭环的硬件再回路仿真。闭环控制时，给定电压的值减去AD采集到的实际输出电压值的差值，经过果PI调节器后输出，PI调节器额输出值送到PWM脉宽调制器模块，可调节PWM占空比的大小，进而控制Buck电路的输出电压值。</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6.4.8 电机技术要求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实验用的电机功率采用功率小于200W的模拟电机，其特性能模拟中小型电机的特性，电机的转轴的同心度与测功机导轨的转轴的同心度小于等于5丝，所有电机E级绝缘。</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1）M01复励直流发电机（PN=100W,nN=1500r/min,IN=1.1A,UN=220V）</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2）M03 并励直流电动机（PN=185W,nN=1600r/min,IN=1.1A,UN=220V）</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3）M04三相鼠笼式异步电动机（PN=100W,nN=1420r/min,IN=0.48A,UN=220V(</w:t>
      </w:r>
      <w:r>
        <w:rPr>
          <w:rFonts w:ascii="Symbol" w:hAnsi="Symbol" w:cs="Symbol"/>
          <w:sz w:val="19"/>
          <w:szCs w:val="19"/>
          <w:bdr w:val="none" w:color="auto" w:sz="0" w:space="0"/>
          <w:shd w:val="clear" w:fill="FFFFFF"/>
        </w:rPr>
        <w:t>D</w:t>
      </w:r>
      <w:r>
        <w:rPr>
          <w:rFonts w:hint="eastAsia" w:ascii="宋体" w:hAnsi="宋体" w:eastAsia="宋体" w:cs="宋体"/>
          <w:sz w:val="19"/>
          <w:szCs w:val="19"/>
          <w:bdr w:val="none" w:color="auto" w:sz="0" w:space="0"/>
          <w:shd w:val="clear" w:fill="FFFFFF"/>
        </w:rPr>
        <w:t>)）</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 xml:space="preserve">4）M08 三相同步电机 </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额定容量</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SN 170VA，额定电压</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UN 220V，额定电流</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IN=0.45A，额定转速nN=1500r/min，额定功率因素</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cosφN=0.8，额定励磁电压UfN=14V，额定励磁电流</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IfN=1.2A，Y接法。E级绝缘。</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5）M09 三相绕线式异步电动机(PN=100W,nN=1420r/min,IN=0.55A,UN=220V(</w:t>
      </w:r>
      <w:r>
        <w:rPr>
          <w:rFonts w:hint="default" w:ascii="Symbol" w:hAnsi="Symbol" w:cs="Symbol"/>
          <w:sz w:val="19"/>
          <w:szCs w:val="19"/>
          <w:bdr w:val="none" w:color="auto" w:sz="0" w:space="0"/>
          <w:shd w:val="clear" w:fill="FFFFFF"/>
        </w:rPr>
        <w:t>D</w:t>
      </w:r>
      <w:r>
        <w:rPr>
          <w:rFonts w:hint="eastAsia" w:ascii="宋体" w:hAnsi="宋体" w:eastAsia="宋体" w:cs="宋体"/>
          <w:sz w:val="19"/>
          <w:szCs w:val="19"/>
          <w:bdr w:val="none" w:color="auto" w:sz="0" w:space="0"/>
          <w:shd w:val="clear" w:fill="FFFFFF"/>
        </w:rPr>
        <w:t>))</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6.4.9 其他组件、挂箱要求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除以上部件外还包含：三相可调电阻</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900Ω、三相可调电阻90Ω、波形测试及开关板、旋转指示灯及开关、电机起动箱、继电接触控制箱等及满足以上实验功能的其他组件或挂箱。</w:t>
      </w:r>
      <w:r>
        <w:rPr>
          <w:rFonts w:hint="eastAsia" w:ascii="宋体" w:hAnsi="宋体" w:eastAsia="宋体" w:cs="宋体"/>
          <w:sz w:val="19"/>
          <w:szCs w:val="19"/>
          <w:u w:val="single"/>
          <w:bdr w:val="none" w:color="auto" w:sz="0" w:space="0"/>
          <w:shd w:val="clear" w:fill="FFFFFF"/>
        </w:rPr>
        <w:t>鉴于安全考虑，要求实验装置的各挂箱及组件的面板均不采用金属制面板，须采用绝缘非金属材料面板，并在面板上印有各类标注符号或电路等。</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6.4.10 数字示波器1（教师机）（整个实验室只配1套）</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w:t>
      </w:r>
      <w:r>
        <w:rPr>
          <w:rFonts w:hint="eastAsia" w:ascii="宋体" w:hAnsi="宋体" w:eastAsia="宋体" w:cs="宋体"/>
          <w:spacing w:val="0"/>
          <w:sz w:val="19"/>
          <w:szCs w:val="19"/>
          <w:bdr w:val="none" w:color="auto" w:sz="0" w:space="0"/>
          <w:shd w:val="clear" w:fill="FFFFFF"/>
        </w:rPr>
        <w:t xml:space="preserve"> ≥</w:t>
      </w:r>
      <w:r>
        <w:rPr>
          <w:rFonts w:hint="eastAsia" w:ascii="宋体" w:hAnsi="宋体" w:eastAsia="宋体" w:cs="宋体"/>
          <w:sz w:val="19"/>
          <w:szCs w:val="19"/>
          <w:bdr w:val="none" w:color="auto" w:sz="0" w:space="0"/>
          <w:shd w:val="clear" w:fill="FFFFFF"/>
        </w:rPr>
        <w:t>100M带宽，</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500M Sa/s　</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12位硬件AD, 1G Sa/s　8位AD双模式的采样率；</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2)硬件</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12位AD的高精度示波器，幅度测量精确度</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3位半，波形垂直放大10倍后无量化噪声；</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3)体积不大于340mm*177mm*90mm，超薄设 计，厚度不大于90mm,节省更多的桌面空间，功率不高于18Ｗ，超安静设 计；</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4)</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8寸高清液晶屏，分辨率不小于800*600，多点触控电容屏，能像智能手机一样移动波形，手动缩放，水平放大和垂直放大，快速找到要观察的波形，操作更便捷；</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5)存储深度（每次采集波形的记录长度）不低于40M点，即使采集的是12位比特的点，也可以实现40M；</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6)最大波形刷新率不低于70000次/秒</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7)内置WIFI模块，支持手机、平板app与示波器直连远程监控；</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8)内置双通道</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 xml:space="preserve">25M任意波信号源，具备一键波形克隆功能，可以一键直接把示波器采集的波形选取局部后用自带任意波输出。 </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9)内置3（3/4）位万用表，支持电压，电流，电阻，电容，二极管，通断等测试；</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10)支持小信号测量，在无信号输入的情况下，示波器本机底噪不超过0.4mV；</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11)内置锂电池，</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13200mAH，使用时间不小于4小时，方便户外测试。同时可以浮地测量，直接观察220V民用电。</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12)带VGA功能，方便教学演示，同时有USB Device &amp; Host、LAN、Pass/Fail接口；</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13)时基精度不低于1ppm，可做</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6位1ppm精确度频率计；</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14)</w:t>
      </w:r>
      <w:r>
        <w:rPr>
          <w:rFonts w:hint="eastAsia" w:ascii="宋体" w:hAnsi="宋体" w:eastAsia="宋体" w:cs="宋体"/>
          <w:spacing w:val="0"/>
          <w:sz w:val="19"/>
          <w:szCs w:val="19"/>
          <w:bdr w:val="none" w:color="auto" w:sz="0" w:space="0"/>
          <w:shd w:val="clear" w:fill="FFFFFF"/>
        </w:rPr>
        <w:t xml:space="preserve"> ≥</w:t>
      </w:r>
      <w:r>
        <w:rPr>
          <w:rFonts w:hint="eastAsia" w:ascii="宋体" w:hAnsi="宋体" w:eastAsia="宋体" w:cs="宋体"/>
          <w:sz w:val="19"/>
          <w:szCs w:val="19"/>
          <w:bdr w:val="none" w:color="auto" w:sz="0" w:space="0"/>
          <w:shd w:val="clear" w:fill="FFFFFF"/>
        </w:rPr>
        <w:t>12位示波器、</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25M信号源、</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3位半万用表、</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1ppm精确度频率计、协议解码仪、3位半精确度高频毫伏表、</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12位连续数据记录仪的七合一带电池多功能工作站；</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15)具备不少于边沿、视频、脉宽、斜率、欠幅、窗口、Timeout、第N边沿等触发类型，支持逻辑触发，总线触发（I2C、SPI、RS232、CAN）及解码功能；</w:t>
      </w:r>
    </w:p>
    <w:p>
      <w:pPr>
        <w:pStyle w:val="3"/>
        <w:keepNext w:val="0"/>
        <w:keepLines w:val="0"/>
        <w:widowControl/>
        <w:suppressLineNumbers w:val="0"/>
        <w:spacing w:before="0" w:beforeAutospacing="0" w:after="0" w:afterAutospacing="0" w:line="324" w:lineRule="atLeast"/>
        <w:ind w:left="0" w:right="0"/>
      </w:pPr>
      <w:r>
        <w:rPr>
          <w:rStyle w:val="5"/>
          <w:rFonts w:hint="eastAsia" w:ascii="宋体" w:hAnsi="宋体" w:eastAsia="宋体" w:cs="宋体"/>
          <w:sz w:val="19"/>
          <w:szCs w:val="19"/>
          <w:bdr w:val="none" w:color="auto" w:sz="0" w:space="0"/>
          <w:shd w:val="clear" w:fill="FFFFFF"/>
        </w:rPr>
        <w:t>6.4.11 电机虚拟仿真软件技术要求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要求电机虚拟仿真软件是基于国内国际上通用的Matlab软件开发而成，要求包括四个部分：变压器实验、直流电机试验、三相异步电机实验、同步电机实验(要求提供软件界面截图，证明其实验内容)。单相及三相变压器实验：要求高压侧及低压侧至少均有“额定电压值、额定电流值、电阻标幺值、电抗标幺值”显示，其他要求有“额定容量、变压比、励磁电阻、励磁电抗”显示；发电机空载实验：要求能够采集到“励磁回路电阻、空载电压、励磁电流”，要求能够显示“空载特性”曲线。发电机负载实验：要求调整特性实验能够采集到“负载电阻、输出电压、负载电流、励磁电流”。外特性实验能够采集到“负载电阻、输出电压、负载电流。且均能够显示“空载特性”曲线。三相鼠笼电机空载实验：要求能够采集到“空载电压、空载电流、空载功率”，要求能够显示“特性曲线、仿真模型、原理结构”。能够得到多组的“电压、电流、功率”实验数据。三相同步发电机并联运行实验：要求无功调节试验及调节试验均能够显示“励磁电压、电枢电流、励磁电流”，并能够显示两种实验的 特性曲线。</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6.4.12 电路虚拟仿真软件技术要求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要求电气虚拟仿真软件是以Windows为基础且基于国内国际上通用的Multisim软件作为仿真工具开发而成，含有仪表及电源各种功能模块，完全满足电气类专业相关课程的虚拟仿真实验，让学生了解并熟悉虚拟仿真实验电路的的设 计、搭建、测试等环节，完成具体功能模块及可实现的实验技术要求如下：</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1）功能模块技术要求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调压器:要求软件中含有虚拟调压器模块，虚拟调压器的输出电压范围值至少能够达到0~430V。虚拟调压器界面由指针表、数字显示框和旋钮组成；指针表和数字显示框数字显示交流电源输出电压；旋钮旋转调节输出电压值。（要求提供真实的软件界面截图）</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恒压源、恒流源：要求软件中含有虚拟恒压源、恒流源模块，虚拟的恒压源是双路恒压源，有两路输出且分别输出可调电压至少能达到0～30V、0～200mA可调恒流源。（要求提供真实的软件界面截图）</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功率·功率因素表：要求软件中含有虚拟的功率/功率因素表模块，由表头、档位开关、接线柱等组成。（要求提供真实的软件界面截图）</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交流电压表、交流电流表：要求软件中含有虚拟交流电压表、交流电流表表模块，都是由一个四位的表头和两个接线柱组成。（要求提供真实的软件界面截图）</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直流电压表、直流电流表：要求软件中含有虚拟恒直流电压表、直流电流表模块，要求虚拟直流电压表和直流电流表设置琴键开关选择档位，告警指示灯，复位按钮等。（要求投标书中提供真实的软件界面截图）</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2）部分实验电路要求：要求通过软件可以设 计并完成以下电路的实验，且学生可直接在软件上通过鼠标调整不同的输出值测出动态的多组实验数据。</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a.基尔霍夫定律实验（要求提供该实验真实的软件界面截图）</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b.叠加原理的验证实验（要求提供该实验真实的软件界面截图）</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c.戴维南定理的验证（要求提供该实验真实的软件界面截图）</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d.R、L、C串联谐振（要求提供该实验真实的软件界面截图）</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e.三相交流电路电压、电流的测量（要求提供该实验真实的软件界面截图）</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6.4.12 数字示波器2（学生机）</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1）带宽：</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100MHZ ，实时采样率不低于 1GSa/s，；</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 xml:space="preserve">2）存储深度（每次采样的记录长度）不低于10M点； </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3）支持小信号测量 ，在无信号输出的情况下，示波器本机底噪不超过0.5mV；</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4）具有电流测量功能，测量范围：100.0mA/V ~ 1KA/V；</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5）具有不低于24种自动测量功能（峰-峰值、均值、周期均方根、游标均方根、频率、周期、最大值、最小值、顶端值、底端值、幅度、过冲、预冲、上升时间、下降时间、相位、正脉冲、负及宽、正占空比、负占空比、延迟A-&gt;B、延迟B-&gt;A）；</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6）具备波形记录，波形录制功能，在录制的过程中可对衰减器及时基进行设置，可存储不低于15组波形，</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8组设置；</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7）内置硬件频率计，可测量2Hz－100MHz；精度不低于50ppm；</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8）带VGA接口(选配)，方便教学演示，同时有USB device，USB host，P/F，LAN接口；</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9）触发方式：边沿、脉宽、视频、斜率；</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10）不低于8寸TFT真采液晶显示屏，分辨率不低于800*600，波形清晰细腻；</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11）机身体积小大于340mm*155m*78mm，超薄机身，机身厚度不大于78mm，节省更多桌面空间，低功耗，功耗不大于18W；</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12）支持SCPI，Labview，支持二次开发；</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13）支持USB在线升级；</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6.5 实验导线的技术要求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实验连接导线采用高可靠全封闭手枪插型式，内部为无氧铜抽丝而成发丝般细的</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128股线，质地柔软，护套用粗线径、防硬化化学制品制成，插头采用实芯铜质件 。</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 xml:space="preserve">7、可编程控制器模拟实验箱 </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7.1 总体要求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要求可编程控制器模拟实验箱集可编程控制器、编程软件、组态软件、仿真教学软件、模拟控制实验板等于一体，可满足各高等院校对PLC实验教学的要求。</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7.2 技术条件要求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7.2.1 输入电源：0~220V交流电源</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 xml:space="preserve">7.2.2 面板尺寸：≤43cm×32cm </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7.2.3 箱体尺寸：≤43.3cm×32.3cm×16cm</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7.3 要求可完成的实验项目</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7.3.1 PLC基本实验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1）PLC认识实验（软硬件结构、系统组成、基本指令练习、接线、编程下载）</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7.3.2 PLC模拟控制实验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1）四节传送带控制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2）十字路口交通灯控制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3）天塔之光控制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4）机械手控制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5）音乐喷泉控制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6）装配流水线控制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7）轧钢机控制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8）液体混合装置控制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9）LED数码显示控制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10）舞台灯光电路控制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11）水塔水位控制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12）邮件分拣机控制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13）四层电梯控制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14）五相步进电机控制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15）Y/△换接启动</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16）自动配料装车控制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17）运料小车控制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18）抢答器控制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19）加工中心控制</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7.3.3 模拟控制对象实训系统（整个实验室只配置1套）</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1）材料分拣虚拟仿真实物对象实训</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2）四层电梯虚拟仿真实物对象实训</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3）门禁系统虚拟仿真实物对象实训</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4）十字交通灯虚拟仿真实物对象实训</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7.4 实验箱技术要求</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7.4.1 总体要求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可编程控制器模拟实验箱：CPU SR30（AC/DC/RELAY）主机，内置集成数字量I/O（18路数字量输入/12路数字量输出），集成1个以太网接口和1个RS485接口。</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实验箱一面做成固定模拟实验区，可完成装配流水线、LED数码显示、十字路口交通灯、液体混合、机械手、四节传送带、天塔之光等实验，另一面放置主机（面板上带有可扩展区域，配置了电梯模拟控制；水塔水位、舞台灯光等实验扩展板）。</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7.4.2 实物对象要求（整个实验室只配置1套）</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7.4.2.1材料分拣实训系统要求</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1）总体要求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要求该装置采用台式结构，内置电源，单相交流电动机，气缸、电磁阀、旋转编码器等部件，转接面板上接口可与 PLC 或单片机、工控机连接。涵盖 PLC 技术、气动技术、传感器技术、位置控制技术等内容，选用了颜色识别传感器及对不同材质敏感的电容式和电感式传感器，分别被固定在网板上。允许学员重新安装传感器排列位置或选择网板不同区域安装。可增加编程难度，开发学员创造能力。</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本装置还设置了气动方面的减压器、滤清、气压指示等，可与各类气源相连接。可完成传感器、交流电机、旋转编程器、PLC 编程及调试、计算机组态监控、气动等方面的综合应用设 计训练。</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2）功能要求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材料分拣系统中出现不同材质的物料后，系统需要自动检测出不同材质的物料并且将对应材质的物料分拣到指 定的料槽内以完成自动分拣过程。</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当下料处有物料下落，下料传感器（光电传感器）检测到有物料出现后，系统开始运行电机转动，同时编码器开始发出脉冲。电磁阀5动作，气缸5动作将物料推出至传送带上。传送带将物料运送到分拣位置。当物料是金属传感器检测材质时，金属传感器检测到物料到达指 定位置后电磁阀4动作。气缸4动作将物料推出至对应的料槽中，如此完成此材料的自动分拣。当物料是电容传感器检测的材质时，电容传感器检测到物料到达指 定位置后电磁阀3动作，气缸3将物料推出至对应的料槽中，如此完成此材料的自动分拣。但是，如果系统中出现的物料不是金属传感器、电容传感器、颜色传感器三种传感器检测的任何一种材质时，当编码器计算出物料被运送至气缸1动作的位置后，电磁阀1动作将物料推出至对应的料槽中。如此材料分拣系统就完成自动分拣过程。</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7.4.2.2 四层电梯实训系统要求</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1）总体要求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color w:val="1A1A1A"/>
          <w:sz w:val="19"/>
          <w:szCs w:val="19"/>
          <w:bdr w:val="none" w:color="auto" w:sz="0" w:space="0"/>
          <w:shd w:val="clear" w:fill="FFFFFF"/>
        </w:rPr>
        <w:t>系统由机械传动和电气控制两部分组成：机械部分控制门的开，闭和轿箱的上下移动；控制部分由PLC控制各项功能开关和指示灯，以完成电梯的各项动作。</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color w:val="1A1A1A"/>
          <w:sz w:val="19"/>
          <w:szCs w:val="19"/>
          <w:bdr w:val="none" w:color="auto" w:sz="0" w:space="0"/>
          <w:shd w:val="clear" w:fill="FFFFFF"/>
        </w:rPr>
        <w:t>电梯的电气控制系统采用智能控制，具有自动平层、自动关门、集选控制功能、顺向响应轿内外呼梯信号、直驶、电梯安全运行保护、照明等功能。且具有性能可靠、运行平稳、操作简单、能耗低和便于教学等特点。此模块可以扩展单片机接口，也就是说亦可以通过单片机控制，实现了一套系统多种教学用途。</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color w:val="1A1A1A"/>
          <w:sz w:val="19"/>
          <w:szCs w:val="19"/>
          <w:bdr w:val="none" w:color="auto" w:sz="0" w:space="0"/>
          <w:shd w:val="clear" w:fill="FFFFFF"/>
        </w:rPr>
        <w:t>系统构成：电梯模型包括升降电机、极限开关、导轨、随行电缆、厅门、召唤按钮、楼层显示装置、轿厢、开关门机构、平层装置、轿厢内指层灯、轿厢照明、控制系统等。</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color w:val="1A1A1A"/>
          <w:sz w:val="19"/>
          <w:szCs w:val="19"/>
          <w:bdr w:val="none" w:color="auto" w:sz="0" w:space="0"/>
          <w:shd w:val="clear" w:fill="FFFFFF"/>
        </w:rPr>
        <w:t>2）功能要求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color w:val="1A1A1A"/>
          <w:sz w:val="19"/>
          <w:szCs w:val="19"/>
          <w:bdr w:val="none" w:color="auto" w:sz="0" w:space="0"/>
          <w:shd w:val="clear" w:fill="FFFFFF"/>
        </w:rPr>
        <w:t>开始时，电梯可处于任意一层。当有外呼信号到来时，轿厢响应该呼叫信号，到达该楼层时，轿厢停止运行，轿厢门打开，延时</w:t>
      </w:r>
      <w:r>
        <w:rPr>
          <w:rFonts w:hint="eastAsia" w:ascii="宋体" w:hAnsi="宋体" w:eastAsia="宋体" w:cs="宋体"/>
          <w:sz w:val="19"/>
          <w:szCs w:val="19"/>
          <w:bdr w:val="none" w:color="auto" w:sz="0" w:space="0"/>
          <w:shd w:val="clear" w:fill="FFFFFF"/>
        </w:rPr>
        <w:t>≤</w:t>
      </w:r>
      <w:r>
        <w:rPr>
          <w:rFonts w:hint="eastAsia" w:ascii="宋体" w:hAnsi="宋体" w:eastAsia="宋体" w:cs="宋体"/>
          <w:color w:val="1A1A1A"/>
          <w:sz w:val="19"/>
          <w:szCs w:val="19"/>
          <w:bdr w:val="none" w:color="auto" w:sz="0" w:space="0"/>
          <w:shd w:val="clear" w:fill="FFFFFF"/>
        </w:rPr>
        <w:t>3S后自动关闭。当有内呼信号到来时，轿厢响应该呼叫信号，到达该楼层时，轿厢停止运行，轿厢门打开，延时</w:t>
      </w:r>
      <w:r>
        <w:rPr>
          <w:rFonts w:hint="eastAsia" w:ascii="宋体" w:hAnsi="宋体" w:eastAsia="宋体" w:cs="宋体"/>
          <w:sz w:val="19"/>
          <w:szCs w:val="19"/>
          <w:bdr w:val="none" w:color="auto" w:sz="0" w:space="0"/>
          <w:shd w:val="clear" w:fill="FFFFFF"/>
        </w:rPr>
        <w:t>≤</w:t>
      </w:r>
      <w:r>
        <w:rPr>
          <w:rFonts w:hint="eastAsia" w:ascii="宋体" w:hAnsi="宋体" w:eastAsia="宋体" w:cs="宋体"/>
          <w:color w:val="1A1A1A"/>
          <w:sz w:val="19"/>
          <w:szCs w:val="19"/>
          <w:bdr w:val="none" w:color="auto" w:sz="0" w:space="0"/>
          <w:shd w:val="clear" w:fill="FFFFFF"/>
        </w:rPr>
        <w:t>3S自动关门。在电梯轿厢运行过程中，轿厢上升（或下降）途中，任何反方向下降（或上升）的外呼信号均不响应，但在楼层中间的呼叫则可以响应。例如，电梯轿厢在一楼，将要运行到三楼，在此过程中可以响应二层向上外呼梯信号，但不响应二层向下外呼梯信号。同时，如果电梯到达三层，如果四层没有任何呼梯信号，则电梯 可以响应三层向下外呼梯信号。否则，电梯轿厢将继续运行至四楼，然后向下运行响应三层向下外呼梯信号。电梯应具有最远反向外呼响应功能。例如，电梯轿厢在一楼，而同时有二层向下外呼信号，三层向下外呼信号，四层向下外呼信号，则电梯轿厢会先去四楼响应四层向下外呼梯信号。电梯在运行过程时，开门按钮和关门按钮均不起作用。平层且电梯轿厢停止运行后，按开门按钮轿厢门打开，按关门钮轿厢门关闭。</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7.4.2.3 门禁系统</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1）总体要求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color w:val="1A1A1A"/>
          <w:sz w:val="19"/>
          <w:szCs w:val="19"/>
          <w:bdr w:val="none" w:color="auto" w:sz="0" w:space="0"/>
          <w:shd w:val="clear" w:fill="FFFFFF"/>
        </w:rPr>
        <w:t>要求该模型在单机门禁控制系统基础上融入了防盗报警系统，既阐述了门禁控制系统的基本系统组成即：控制器+读卡器+开关门机构，又利用了防盗报警装置中常见的门磁开关共同构成了这套以一间屋子为假想防护对象的系统。进出门人员只有经过授权才可以使用密码卡；密码+卡等开门方式中的一种进入屋内。</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color w:val="1A1A1A"/>
          <w:sz w:val="19"/>
          <w:szCs w:val="19"/>
          <w:bdr w:val="none" w:color="auto" w:sz="0" w:space="0"/>
          <w:shd w:val="clear" w:fill="FFFFFF"/>
        </w:rPr>
        <w:t xml:space="preserve">掌握门禁控制系统与防盗报警系统的系统组成及常见设备的工作原理，根据现有的硬件以自己理解的控制原理为基础编写自己的PLC控制程序。了解系统控制器的工作模式，通过实践权限的控制更加深入的理解“只有经过授权才可以进出”。 </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color w:val="1A1A1A"/>
          <w:sz w:val="19"/>
          <w:szCs w:val="19"/>
          <w:bdr w:val="none" w:color="auto" w:sz="0" w:space="0"/>
          <w:shd w:val="clear" w:fill="FFFFFF"/>
        </w:rPr>
        <w:t>2）功能要求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color w:val="1A1A1A"/>
          <w:sz w:val="19"/>
          <w:szCs w:val="19"/>
          <w:bdr w:val="none" w:color="auto" w:sz="0" w:space="0"/>
          <w:shd w:val="clear" w:fill="FFFFFF"/>
        </w:rPr>
        <w:t xml:space="preserve">要求当持卡人打算进门时，他会在门外用感应卡在读卡器上刷卡、在密码键盘上输入密码，也可能是使用指纹识别器、掌纹识别器、视网膜识别器等等生物识别器核对身份。 </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color w:val="1A1A1A"/>
          <w:sz w:val="19"/>
          <w:szCs w:val="19"/>
          <w:bdr w:val="none" w:color="auto" w:sz="0" w:space="0"/>
          <w:shd w:val="clear" w:fill="FFFFFF"/>
        </w:rPr>
        <w:t xml:space="preserve">当持卡人刷卡后，信息北传送到门附近的控制器中，通过控制器内的电脑识别，确认该持卡人有资格进入后，发送控制信号给门，开门让持卡人进入。持卡人在进门后，门会自动关闭。如果持卡人的信息没有登记，则控制器不会开门，只有将该卡的信息录入到管理软件中，并下载到控制器内存后，控制器才会在刷卡时开门。 </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7.4.2.4交通灯实训系统要求</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1）总体要求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要求该模型是依照实际十字路口按比例进行缩放的，能够模拟真实的现场，展示现场环境灯的亮灭以及车辆的前行。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系统组成，四个路灯，四辆车。车灯将为8组，分别是南北红灯、南北黄灯、南北绿灯、东西红灯、东西黄灯、东西绿灯、南北车辆、东西车辆。从而运用PLC的八个输出继电器对这八组对象进行控制。</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2）</w:t>
      </w:r>
      <w:r>
        <w:rPr>
          <w:rStyle w:val="5"/>
          <w:rFonts w:hint="eastAsia" w:ascii="宋体" w:hAnsi="宋体" w:eastAsia="宋体" w:cs="宋体"/>
          <w:color w:val="1A1A1A"/>
          <w:sz w:val="19"/>
          <w:szCs w:val="19"/>
          <w:bdr w:val="none" w:color="auto" w:sz="0" w:space="0"/>
          <w:shd w:val="clear" w:fill="FFFFFF"/>
        </w:rPr>
        <w:t>功能要求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要求通过多个</w:t>
      </w:r>
      <w:r>
        <w:rPr>
          <w:rFonts w:hint="eastAsia" w:ascii="宋体" w:hAnsi="宋体" w:eastAsia="宋体" w:cs="宋体"/>
          <w:color w:val="1A1A1A"/>
          <w:sz w:val="19"/>
          <w:szCs w:val="19"/>
          <w:bdr w:val="none" w:color="auto" w:sz="0" w:space="0"/>
          <w:shd w:val="clear" w:fill="FFFFFF"/>
        </w:rPr>
        <w:t>定时器</w:t>
      </w:r>
      <w:r>
        <w:rPr>
          <w:rFonts w:hint="eastAsia" w:ascii="宋体" w:hAnsi="宋体" w:eastAsia="宋体" w:cs="宋体"/>
          <w:sz w:val="19"/>
          <w:szCs w:val="19"/>
          <w:bdr w:val="none" w:color="auto" w:sz="0" w:space="0"/>
          <w:shd w:val="clear" w:fill="FFFFFF"/>
        </w:rPr>
        <w:t>，控制灯亮灭的时间和车辆的前行。具体流程如下：</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起动后，</w:t>
      </w:r>
      <w:r>
        <w:rPr>
          <w:rFonts w:hint="eastAsia" w:ascii="宋体" w:hAnsi="宋体" w:eastAsia="宋体" w:cs="宋体"/>
          <w:color w:val="1A1A1A"/>
          <w:sz w:val="19"/>
          <w:szCs w:val="19"/>
          <w:bdr w:val="none" w:color="auto" w:sz="0" w:space="0"/>
          <w:shd w:val="clear" w:fill="FFFFFF"/>
        </w:rPr>
        <w:t>南北</w:t>
      </w:r>
      <w:r>
        <w:rPr>
          <w:rFonts w:hint="eastAsia" w:ascii="宋体" w:hAnsi="宋体" w:eastAsia="宋体" w:cs="宋体"/>
          <w:sz w:val="19"/>
          <w:szCs w:val="19"/>
          <w:bdr w:val="none" w:color="auto" w:sz="0" w:space="0"/>
          <w:shd w:val="clear" w:fill="FFFFFF"/>
        </w:rPr>
        <w:t>红灯亮并维持25s。在南北红灯亮的同时，东西绿灯也亮，1s后，东西车前行。到20s时，东西绿灯闪亮，3s后熄灭，在东西绿灯熄灭后东西黄灯亮，同时车辆恢复等待位置。黄灯亮2s后灭东西红灯亮。与此同时，南北红灯灭，南北绿灯亮。1s后，南北车前行。南北绿灯亮了25s后闪亮，3s后熄灭，同时南北车辆停止前行，黄灯亮2s后熄灭，黄灯亮时，东西车辆恢复等待位置，南北红灯亮，东西绿灯亮，循环。</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8、门禁系统</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8.1 门禁数据存储控制器简称门禁控制器，采用高速运算电路以及Flash海量存储技术单片机设 计，集处理、存贮、通讯功能于一块印制电路板上，具有同通讯口终端快速拆除的特点，软件监控每个口的通讯活动，选用记忆接口处理单元，可支持由上级站装入的微程序控制存贮器。单片机设 计具有固有的可靠性，而扩充了瞬态保护功能，自动自检功能更增强了这种可靠性。可以脱机存储感应式IC卡读卡器的wiegand26 格式的读卡信息、时间信息和当时的状态信息。</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8.1.1 基于</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32位CPU的高速智能化ARM平台无限扩展空间</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 xml:space="preserve">8.1.2 </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20万张注册卡</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 xml:space="preserve"> 20万条记录 傲视同级产品的海量存储</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8.1.1 标配专业级双路门禁电源 确保系统长期稳定运行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8.1.1 即使数千门的大型门禁系统 刷卡记录 实时瞬间上报</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8.1.1 平易近人的多语言Windows软件操作界面，简单实用，功能强大，无需专业知识即刻轻松掌握，安装快捷，培训更加轻松。</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8.2 基本参数</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 xml:space="preserve">8.2.1 控制箱尺寸：不大于160mm长*106mm宽 </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8.2.2 配套电源功率：一路</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30W（3A）给控制器和读卡器供电;另一路</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 xml:space="preserve"> 60W（5A） 给电锁供电</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8.2.3 电路板功耗：小于500mA</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8.2.4 读卡器输入格式：Wiegand 26-40 bit (兼容该协议下的一切读卡器和生物识别设备,例如 Motorola 、HID、EM、、Mifare one等. )</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8.2.5 输出继电器最大负载电流：不大于7A</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8.2.6 开门延时时间：0-600秒可调</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8.2.7 最大联网数：不限台数</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8.2.8 运行温度：-40 至 70摄氏度</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8.2.9 运行湿度：10-90％RH，无冷凝</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8.2.10 用户注册卡数量：单机</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20万张注册卡</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8.2.11 记录脱机存储数量：单机</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20万条存储记录</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8.2.12 停电保护措施：高速闪存设 计，永不丢失。</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8.2.13 读卡器到控制器最大联机距离：100米-60米。</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8.2.14 包装组件（购买机箱电源后）：控制器,机箱,电源,电源线,安装软件光盘,简明安装手册,合格证,钥匙(两片),纸箱</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8.3 扩展功能</w:t>
      </w:r>
      <w:r>
        <w:rPr>
          <w:rFonts w:hint="eastAsia" w:ascii="宋体" w:hAnsi="宋体" w:eastAsia="宋体" w:cs="宋体"/>
          <w:sz w:val="19"/>
          <w:szCs w:val="19"/>
          <w:bdr w:val="none" w:color="auto" w:sz="0" w:space="0"/>
          <w:shd w:val="clear" w:fill="FFFFFF"/>
        </w:rPr>
        <w:t>：</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 xml:space="preserve">8.3.1 消防联动，门联动，门长时间未关闭报警，非法闯入报警，非法卡刷卡报警，胁迫报警功能（如果不连接消防及报警联动扩展板，则只具备软件界面的报警提示，并驱动电脑音箱予以报警。如果连接扩展板，则具备硬件报警输出功能，可驱动灯光或者警笛等设备） </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8.3.2 强制门状态为常开或者常闭功能</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8.3.3 远程开门功能</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8.3.4 互锁功能 （双门和四门控制器具备控制器多门互锁功能。）</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8.3.5 反潜回 防尾随功能</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8.3.6 多卡同时验证后开门功能</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8.3.7 定时常开门功能</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8.3.8 紧急关门功能（紧急双闭）</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8.3.9 首卡开门</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8.3.10 外接密码键盘功能 (卡＋密码，超级通行密码)</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8.3.11 操作员分权限 分部门 分区域管理</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 xml:space="preserve">9、传感器与检测技术实验台 </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9.1 总体要求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要求传感器与检测技术实验台适用于本科院校开设的《传感器技术与应用》、《传感器与检测技术》、《自动检测技术》等课程的实验教学，该设备由各种传感器、各种电源、测量仪表、信号源、气动源、温度源、振动源、实验导线等组成。</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9.2 产品要求</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9.2.1 产品结构要求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1）模块化设 计：该实验台紧随授课计划,根据实验内容的扩展可增加实验模块,专业化硬件电路设 计,实现定性到定量的提升；</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2）传感器采用透明化构造，方便学生了解的内部构造，有助于增加学生感性认识；传感器和转化电路模块正面印有电路原理图，可提高学生对基本原理的认识，增加实验效果。</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9.2.2 设备安全保护功能齐全</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设备配置了国家低压电器标准的电流型漏电保护器，确保设备因漏电而产生的人身安全事故。设备的电路参数设 计放置了较多的余量，避免学生误操作而导致设备损坏。</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9.2.3 实验内容丰富，集中20余种传感器的实验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实验设备可完成进百余种传感器实验，包含了各种传感器特性实验、二次线路实验、传感器数据采集、传感器实际应用案例、课程设 计性等内容。设备应用到了20多种传感器，有电阻应变式称重传感器、压力传感器、差动变压器、电容式位移传感器、霍尔式位移传感器、磁电转速传感器、磁阻式传感器、压电式传感器、电涡流传感器、光纤传感器、光电传感器、各种温度传感器、湿敏传感器、气敏传感器、光敏电阻、光敏三极管、光敏二极管、超声测距传感器等等。</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9.3 实验项目要求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9.3.1 传感器基本实验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w:t>
      </w:r>
      <w:r>
        <w:rPr>
          <w:rFonts w:hint="eastAsia" w:ascii="宋体" w:hAnsi="宋体" w:eastAsia="宋体" w:cs="宋体"/>
          <w:sz w:val="19"/>
          <w:szCs w:val="19"/>
          <w:u w:val="single"/>
          <w:bdr w:val="none" w:color="auto" w:sz="0" w:space="0"/>
          <w:shd w:val="clear" w:fill="FFFFFF"/>
        </w:rPr>
        <w:fldChar w:fldCharType="begin"/>
      </w:r>
      <w:r>
        <w:rPr>
          <w:rFonts w:hint="eastAsia" w:ascii="宋体" w:hAnsi="宋体" w:eastAsia="宋体" w:cs="宋体"/>
          <w:sz w:val="19"/>
          <w:szCs w:val="19"/>
          <w:u w:val="single"/>
          <w:bdr w:val="none" w:color="auto" w:sz="0" w:space="0"/>
          <w:shd w:val="clear" w:fill="FFFFFF"/>
        </w:rPr>
        <w:instrText xml:space="preserve"> HYPERLINK "http://218.5.222.40:8090/gpms/webPages" \l "_Toc28144 " </w:instrText>
      </w:r>
      <w:r>
        <w:rPr>
          <w:rFonts w:hint="eastAsia" w:ascii="宋体" w:hAnsi="宋体" w:eastAsia="宋体" w:cs="宋体"/>
          <w:sz w:val="19"/>
          <w:szCs w:val="19"/>
          <w:u w:val="single"/>
          <w:bdr w:val="none" w:color="auto" w:sz="0" w:space="0"/>
          <w:shd w:val="clear" w:fill="FFFFFF"/>
        </w:rPr>
        <w:fldChar w:fldCharType="separate"/>
      </w:r>
      <w:r>
        <w:rPr>
          <w:rStyle w:val="6"/>
          <w:rFonts w:hint="eastAsia" w:ascii="宋体" w:hAnsi="宋体" w:eastAsia="宋体" w:cs="宋体"/>
          <w:sz w:val="19"/>
          <w:szCs w:val="19"/>
          <w:u w:val="single"/>
          <w:bdr w:val="none" w:color="auto" w:sz="0" w:space="0"/>
          <w:shd w:val="clear" w:fill="FFFFFF"/>
        </w:rPr>
        <w:t>金属箔式应变片―高精度单臂电桥性能实验</w:t>
      </w:r>
      <w:r>
        <w:rPr>
          <w:rFonts w:hint="eastAsia" w:ascii="宋体" w:hAnsi="宋体" w:eastAsia="宋体" w:cs="宋体"/>
          <w:sz w:val="19"/>
          <w:szCs w:val="19"/>
          <w:u w:val="single"/>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u w:val="single"/>
          <w:bdr w:val="none" w:color="auto" w:sz="0" w:space="0"/>
          <w:shd w:val="clear" w:fill="FFFFFF"/>
        </w:rPr>
        <w:fldChar w:fldCharType="begin"/>
      </w:r>
      <w:r>
        <w:rPr>
          <w:rFonts w:hint="eastAsia" w:ascii="宋体" w:hAnsi="宋体" w:eastAsia="宋体" w:cs="宋体"/>
          <w:sz w:val="19"/>
          <w:szCs w:val="19"/>
          <w:u w:val="single"/>
          <w:bdr w:val="none" w:color="auto" w:sz="0" w:space="0"/>
          <w:shd w:val="clear" w:fill="FFFFFF"/>
        </w:rPr>
        <w:instrText xml:space="preserve"> HYPERLINK "http://218.5.222.40:8090/gpms/webPages" \l "_Toc11558 " </w:instrText>
      </w:r>
      <w:r>
        <w:rPr>
          <w:rFonts w:hint="eastAsia" w:ascii="宋体" w:hAnsi="宋体" w:eastAsia="宋体" w:cs="宋体"/>
          <w:sz w:val="19"/>
          <w:szCs w:val="19"/>
          <w:u w:val="single"/>
          <w:bdr w:val="none" w:color="auto" w:sz="0" w:space="0"/>
          <w:shd w:val="clear" w:fill="FFFFFF"/>
        </w:rPr>
        <w:fldChar w:fldCharType="separate"/>
      </w:r>
      <w:r>
        <w:rPr>
          <w:rStyle w:val="6"/>
          <w:rFonts w:hint="eastAsia" w:ascii="宋体" w:hAnsi="宋体" w:eastAsia="宋体" w:cs="宋体"/>
          <w:sz w:val="19"/>
          <w:szCs w:val="19"/>
          <w:u w:val="single"/>
          <w:bdr w:val="none" w:color="auto" w:sz="0" w:space="0"/>
          <w:shd w:val="clear" w:fill="FFFFFF"/>
        </w:rPr>
        <w:t>2）金属箔式应变片—半桥性能实验</w:t>
      </w:r>
      <w:r>
        <w:rPr>
          <w:rFonts w:hint="eastAsia" w:ascii="宋体" w:hAnsi="宋体" w:eastAsia="宋体" w:cs="宋体"/>
          <w:sz w:val="19"/>
          <w:szCs w:val="19"/>
          <w:u w:val="single"/>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u w:val="single"/>
          <w:bdr w:val="none" w:color="auto" w:sz="0" w:space="0"/>
          <w:shd w:val="clear" w:fill="FFFFFF"/>
        </w:rPr>
        <w:fldChar w:fldCharType="begin"/>
      </w:r>
      <w:r>
        <w:rPr>
          <w:rFonts w:hint="eastAsia" w:ascii="宋体" w:hAnsi="宋体" w:eastAsia="宋体" w:cs="宋体"/>
          <w:sz w:val="19"/>
          <w:szCs w:val="19"/>
          <w:u w:val="single"/>
          <w:bdr w:val="none" w:color="auto" w:sz="0" w:space="0"/>
          <w:shd w:val="clear" w:fill="FFFFFF"/>
        </w:rPr>
        <w:instrText xml:space="preserve"> HYPERLINK "http://218.5.222.40:8090/gpms/webPages" \l "_Toc14661 " </w:instrText>
      </w:r>
      <w:r>
        <w:rPr>
          <w:rFonts w:hint="eastAsia" w:ascii="宋体" w:hAnsi="宋体" w:eastAsia="宋体" w:cs="宋体"/>
          <w:sz w:val="19"/>
          <w:szCs w:val="19"/>
          <w:u w:val="single"/>
          <w:bdr w:val="none" w:color="auto" w:sz="0" w:space="0"/>
          <w:shd w:val="clear" w:fill="FFFFFF"/>
        </w:rPr>
        <w:fldChar w:fldCharType="separate"/>
      </w:r>
      <w:r>
        <w:rPr>
          <w:rStyle w:val="6"/>
          <w:rFonts w:hint="eastAsia" w:ascii="宋体" w:hAnsi="宋体" w:eastAsia="宋体" w:cs="宋体"/>
          <w:sz w:val="19"/>
          <w:szCs w:val="19"/>
          <w:u w:val="single"/>
          <w:bdr w:val="none" w:color="auto" w:sz="0" w:space="0"/>
          <w:shd w:val="clear" w:fill="FFFFFF"/>
        </w:rPr>
        <w:t>3）金属箔式应变片—高精度、高灵敏度全桥性能实验</w:t>
      </w:r>
      <w:r>
        <w:rPr>
          <w:rFonts w:hint="eastAsia" w:ascii="宋体" w:hAnsi="宋体" w:eastAsia="宋体" w:cs="宋体"/>
          <w:sz w:val="19"/>
          <w:szCs w:val="19"/>
          <w:u w:val="single"/>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u w:val="single"/>
          <w:bdr w:val="none" w:color="auto" w:sz="0" w:space="0"/>
          <w:shd w:val="clear" w:fill="FFFFFF"/>
        </w:rPr>
        <w:fldChar w:fldCharType="begin"/>
      </w:r>
      <w:r>
        <w:rPr>
          <w:rFonts w:hint="eastAsia" w:ascii="宋体" w:hAnsi="宋体" w:eastAsia="宋体" w:cs="宋体"/>
          <w:sz w:val="19"/>
          <w:szCs w:val="19"/>
          <w:u w:val="single"/>
          <w:bdr w:val="none" w:color="auto" w:sz="0" w:space="0"/>
          <w:shd w:val="clear" w:fill="FFFFFF"/>
        </w:rPr>
        <w:instrText xml:space="preserve"> HYPERLINK "http://218.5.222.40:8090/gpms/webPages" \l "_Toc18319 " </w:instrText>
      </w:r>
      <w:r>
        <w:rPr>
          <w:rFonts w:hint="eastAsia" w:ascii="宋体" w:hAnsi="宋体" w:eastAsia="宋体" w:cs="宋体"/>
          <w:sz w:val="19"/>
          <w:szCs w:val="19"/>
          <w:u w:val="single"/>
          <w:bdr w:val="none" w:color="auto" w:sz="0" w:space="0"/>
          <w:shd w:val="clear" w:fill="FFFFFF"/>
        </w:rPr>
        <w:fldChar w:fldCharType="separate"/>
      </w:r>
      <w:r>
        <w:rPr>
          <w:rStyle w:val="6"/>
          <w:rFonts w:hint="eastAsia" w:ascii="宋体" w:hAnsi="宋体" w:eastAsia="宋体" w:cs="宋体"/>
          <w:sz w:val="19"/>
          <w:szCs w:val="19"/>
          <w:u w:val="single"/>
          <w:bdr w:val="none" w:color="auto" w:sz="0" w:space="0"/>
          <w:shd w:val="clear" w:fill="FFFFFF"/>
        </w:rPr>
        <w:t>4）金属箔式应变片单臂、半桥、全桥性能比较</w:t>
      </w:r>
      <w:r>
        <w:rPr>
          <w:rFonts w:hint="eastAsia" w:ascii="宋体" w:hAnsi="宋体" w:eastAsia="宋体" w:cs="宋体"/>
          <w:sz w:val="19"/>
          <w:szCs w:val="19"/>
          <w:u w:val="single"/>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5）金属箔式应变片的温度影响实验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u w:val="single"/>
          <w:bdr w:val="none" w:color="auto" w:sz="0" w:space="0"/>
          <w:shd w:val="clear" w:fill="FFFFFF"/>
        </w:rPr>
        <w:fldChar w:fldCharType="begin"/>
      </w:r>
      <w:r>
        <w:rPr>
          <w:rFonts w:hint="eastAsia" w:ascii="宋体" w:hAnsi="宋体" w:eastAsia="宋体" w:cs="宋体"/>
          <w:sz w:val="19"/>
          <w:szCs w:val="19"/>
          <w:u w:val="single"/>
          <w:bdr w:val="none" w:color="auto" w:sz="0" w:space="0"/>
          <w:shd w:val="clear" w:fill="FFFFFF"/>
        </w:rPr>
        <w:instrText xml:space="preserve"> HYPERLINK "http://218.5.222.40:8090/gpms/webPages" \l "_Toc5360 " </w:instrText>
      </w:r>
      <w:r>
        <w:rPr>
          <w:rFonts w:hint="eastAsia" w:ascii="宋体" w:hAnsi="宋体" w:eastAsia="宋体" w:cs="宋体"/>
          <w:sz w:val="19"/>
          <w:szCs w:val="19"/>
          <w:u w:val="single"/>
          <w:bdr w:val="none" w:color="auto" w:sz="0" w:space="0"/>
          <w:shd w:val="clear" w:fill="FFFFFF"/>
        </w:rPr>
        <w:fldChar w:fldCharType="separate"/>
      </w:r>
      <w:r>
        <w:rPr>
          <w:rStyle w:val="6"/>
          <w:rFonts w:hint="eastAsia" w:ascii="宋体" w:hAnsi="宋体" w:eastAsia="宋体" w:cs="宋体"/>
          <w:sz w:val="19"/>
          <w:szCs w:val="19"/>
          <w:u w:val="single"/>
          <w:bdr w:val="none" w:color="auto" w:sz="0" w:space="0"/>
          <w:shd w:val="clear" w:fill="FFFFFF"/>
        </w:rPr>
        <w:t>6）直流全桥的应用—电子秤实验</w:t>
      </w:r>
      <w:r>
        <w:rPr>
          <w:rFonts w:hint="eastAsia" w:ascii="宋体" w:hAnsi="宋体" w:eastAsia="宋体" w:cs="宋体"/>
          <w:sz w:val="19"/>
          <w:szCs w:val="19"/>
          <w:u w:val="single"/>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u w:val="single"/>
          <w:bdr w:val="none" w:color="auto" w:sz="0" w:space="0"/>
          <w:shd w:val="clear" w:fill="FFFFFF"/>
        </w:rPr>
        <w:fldChar w:fldCharType="begin"/>
      </w:r>
      <w:r>
        <w:rPr>
          <w:rFonts w:hint="eastAsia" w:ascii="宋体" w:hAnsi="宋体" w:eastAsia="宋体" w:cs="宋体"/>
          <w:sz w:val="19"/>
          <w:szCs w:val="19"/>
          <w:u w:val="single"/>
          <w:bdr w:val="none" w:color="auto" w:sz="0" w:space="0"/>
          <w:shd w:val="clear" w:fill="FFFFFF"/>
        </w:rPr>
        <w:instrText xml:space="preserve"> HYPERLINK "http://218.5.222.40:8090/gpms/webPages" \l "_Toc16983 " </w:instrText>
      </w:r>
      <w:r>
        <w:rPr>
          <w:rFonts w:hint="eastAsia" w:ascii="宋体" w:hAnsi="宋体" w:eastAsia="宋体" w:cs="宋体"/>
          <w:sz w:val="19"/>
          <w:szCs w:val="19"/>
          <w:u w:val="single"/>
          <w:bdr w:val="none" w:color="auto" w:sz="0" w:space="0"/>
          <w:shd w:val="clear" w:fill="FFFFFF"/>
        </w:rPr>
        <w:fldChar w:fldCharType="separate"/>
      </w:r>
      <w:r>
        <w:rPr>
          <w:rStyle w:val="6"/>
          <w:rFonts w:hint="eastAsia" w:ascii="宋体" w:hAnsi="宋体" w:eastAsia="宋体" w:cs="宋体"/>
          <w:sz w:val="19"/>
          <w:szCs w:val="19"/>
          <w:u w:val="single"/>
          <w:bdr w:val="none" w:color="auto" w:sz="0" w:space="0"/>
          <w:shd w:val="clear" w:fill="FFFFFF"/>
        </w:rPr>
        <w:t>7）金属箔式应变片―交流全桥</w:t>
      </w:r>
      <w:r>
        <w:rPr>
          <w:rFonts w:hint="eastAsia" w:ascii="宋体" w:hAnsi="宋体" w:eastAsia="宋体" w:cs="宋体"/>
          <w:sz w:val="19"/>
          <w:szCs w:val="19"/>
          <w:u w:val="single"/>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u w:val="single"/>
          <w:bdr w:val="none" w:color="auto" w:sz="0" w:space="0"/>
          <w:shd w:val="clear" w:fill="FFFFFF"/>
        </w:rPr>
        <w:fldChar w:fldCharType="begin"/>
      </w:r>
      <w:r>
        <w:rPr>
          <w:rFonts w:hint="eastAsia" w:ascii="宋体" w:hAnsi="宋体" w:eastAsia="宋体" w:cs="宋体"/>
          <w:sz w:val="19"/>
          <w:szCs w:val="19"/>
          <w:u w:val="single"/>
          <w:bdr w:val="none" w:color="auto" w:sz="0" w:space="0"/>
          <w:shd w:val="clear" w:fill="FFFFFF"/>
        </w:rPr>
        <w:instrText xml:space="preserve"> HYPERLINK "http://218.5.222.40:8090/gpms/webPages" \l "_Toc21381 " </w:instrText>
      </w:r>
      <w:r>
        <w:rPr>
          <w:rFonts w:hint="eastAsia" w:ascii="宋体" w:hAnsi="宋体" w:eastAsia="宋体" w:cs="宋体"/>
          <w:sz w:val="19"/>
          <w:szCs w:val="19"/>
          <w:u w:val="single"/>
          <w:bdr w:val="none" w:color="auto" w:sz="0" w:space="0"/>
          <w:shd w:val="clear" w:fill="FFFFFF"/>
        </w:rPr>
        <w:fldChar w:fldCharType="separate"/>
      </w:r>
      <w:r>
        <w:rPr>
          <w:rStyle w:val="6"/>
          <w:rFonts w:hint="eastAsia" w:ascii="宋体" w:hAnsi="宋体" w:eastAsia="宋体" w:cs="宋体"/>
          <w:sz w:val="19"/>
          <w:szCs w:val="19"/>
          <w:u w:val="single"/>
          <w:bdr w:val="none" w:color="auto" w:sz="0" w:space="0"/>
          <w:shd w:val="clear" w:fill="FFFFFF"/>
        </w:rPr>
        <w:t>8）移相器实验</w:t>
      </w:r>
      <w:r>
        <w:rPr>
          <w:rFonts w:hint="eastAsia" w:ascii="宋体" w:hAnsi="宋体" w:eastAsia="宋体" w:cs="宋体"/>
          <w:sz w:val="19"/>
          <w:szCs w:val="19"/>
          <w:u w:val="single"/>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u w:val="single"/>
          <w:bdr w:val="none" w:color="auto" w:sz="0" w:space="0"/>
          <w:shd w:val="clear" w:fill="FFFFFF"/>
        </w:rPr>
        <w:fldChar w:fldCharType="begin"/>
      </w:r>
      <w:r>
        <w:rPr>
          <w:rFonts w:hint="eastAsia" w:ascii="宋体" w:hAnsi="宋体" w:eastAsia="宋体" w:cs="宋体"/>
          <w:sz w:val="19"/>
          <w:szCs w:val="19"/>
          <w:u w:val="single"/>
          <w:bdr w:val="none" w:color="auto" w:sz="0" w:space="0"/>
          <w:shd w:val="clear" w:fill="FFFFFF"/>
        </w:rPr>
        <w:instrText xml:space="preserve"> HYPERLINK "http://218.5.222.40:8090/gpms/webPages" \l "_Toc13643 " </w:instrText>
      </w:r>
      <w:r>
        <w:rPr>
          <w:rFonts w:hint="eastAsia" w:ascii="宋体" w:hAnsi="宋体" w:eastAsia="宋体" w:cs="宋体"/>
          <w:sz w:val="19"/>
          <w:szCs w:val="19"/>
          <w:u w:val="single"/>
          <w:bdr w:val="none" w:color="auto" w:sz="0" w:space="0"/>
          <w:shd w:val="clear" w:fill="FFFFFF"/>
        </w:rPr>
        <w:fldChar w:fldCharType="separate"/>
      </w:r>
      <w:r>
        <w:rPr>
          <w:rStyle w:val="6"/>
          <w:rFonts w:hint="eastAsia" w:ascii="宋体" w:hAnsi="宋体" w:eastAsia="宋体" w:cs="宋体"/>
          <w:sz w:val="19"/>
          <w:szCs w:val="19"/>
          <w:u w:val="single"/>
          <w:bdr w:val="none" w:color="auto" w:sz="0" w:space="0"/>
          <w:shd w:val="clear" w:fill="FFFFFF"/>
        </w:rPr>
        <w:t>9）相敏检波器实验</w:t>
      </w:r>
      <w:r>
        <w:rPr>
          <w:rFonts w:hint="eastAsia" w:ascii="宋体" w:hAnsi="宋体" w:eastAsia="宋体" w:cs="宋体"/>
          <w:sz w:val="19"/>
          <w:szCs w:val="19"/>
          <w:u w:val="single"/>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u w:val="single"/>
          <w:bdr w:val="none" w:color="auto" w:sz="0" w:space="0"/>
          <w:shd w:val="clear" w:fill="FFFFFF"/>
        </w:rPr>
        <w:fldChar w:fldCharType="begin"/>
      </w:r>
      <w:r>
        <w:rPr>
          <w:rFonts w:hint="eastAsia" w:ascii="宋体" w:hAnsi="宋体" w:eastAsia="宋体" w:cs="宋体"/>
          <w:sz w:val="19"/>
          <w:szCs w:val="19"/>
          <w:u w:val="single"/>
          <w:bdr w:val="none" w:color="auto" w:sz="0" w:space="0"/>
          <w:shd w:val="clear" w:fill="FFFFFF"/>
        </w:rPr>
        <w:instrText xml:space="preserve"> HYPERLINK "http://218.5.222.40:8090/gpms/webPages" \l "_Toc19105 " </w:instrText>
      </w:r>
      <w:r>
        <w:rPr>
          <w:rFonts w:hint="eastAsia" w:ascii="宋体" w:hAnsi="宋体" w:eastAsia="宋体" w:cs="宋体"/>
          <w:sz w:val="19"/>
          <w:szCs w:val="19"/>
          <w:u w:val="single"/>
          <w:bdr w:val="none" w:color="auto" w:sz="0" w:space="0"/>
          <w:shd w:val="clear" w:fill="FFFFFF"/>
        </w:rPr>
        <w:fldChar w:fldCharType="separate"/>
      </w:r>
      <w:r>
        <w:rPr>
          <w:rStyle w:val="6"/>
          <w:rFonts w:hint="eastAsia" w:ascii="宋体" w:hAnsi="宋体" w:eastAsia="宋体" w:cs="宋体"/>
          <w:sz w:val="19"/>
          <w:szCs w:val="19"/>
          <w:u w:val="single"/>
          <w:bdr w:val="none" w:color="auto" w:sz="0" w:space="0"/>
          <w:shd w:val="clear" w:fill="FFFFFF"/>
        </w:rPr>
        <w:t>10）压阻式压力传感器的压力测量实验</w:t>
      </w:r>
      <w:r>
        <w:rPr>
          <w:rFonts w:hint="eastAsia" w:ascii="宋体" w:hAnsi="宋体" w:eastAsia="宋体" w:cs="宋体"/>
          <w:sz w:val="19"/>
          <w:szCs w:val="19"/>
          <w:u w:val="single"/>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"_Toc3773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11）差动变压器的性</w:t>
      </w:r>
      <w:r>
        <w:rPr>
          <w:rStyle w:val="6"/>
          <w:bdr w:val="none" w:color="auto" w:sz="0" w:space="0"/>
          <w:shd w:val="clear" w:fill="FFFFFF"/>
        </w:rPr>
        <w:t>能实验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"_Toc2540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12）差动变压器零点残余电压补偿实验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"_Toc11316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13）差动变压器的应用—振动测量实验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"_Toc1713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14）差动变压器的应用—电子称实验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"_Toc8201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15）激励频率对差动变压器特性的影响</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16</w:t>
      </w:r>
      <w:r>
        <w:rPr>
          <w:bdr w:val="none" w:color="auto" w:sz="0" w:space="0"/>
          <w:shd w:val="clear" w:fill="FFFFFF"/>
        </w:rPr>
        <w:fldChar w:fldCharType="begin"/>
      </w:r>
      <w:r>
        <w:rPr>
          <w:bdr w:val="none" w:color="auto" w:sz="0" w:space="0"/>
          <w:shd w:val="clear" w:fill="FFFFFF"/>
        </w:rPr>
        <w:instrText xml:space="preserve"> HYPERLINK "http://218.5.222.40:8090/gpms/webPages" \l "_Toc16267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）电容式传感器的位移实验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"_Toc20009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17）电容式传感器的应用—电子称实验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"_Toc17145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18）电容传感器动态特性实验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"_Toc29246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19）直流激励时霍尔式传感器位移特性实验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"_Toc8573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20）交流激励时霍尔式传感器的位移实验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"_Toc15352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21）霍尔式传感器的应用—电子称实验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22</w:t>
      </w:r>
      <w:r>
        <w:rPr>
          <w:bdr w:val="none" w:color="auto" w:sz="0" w:space="0"/>
          <w:shd w:val="clear" w:fill="FFFFFF"/>
        </w:rPr>
        <w:fldChar w:fldCharType="begin"/>
      </w:r>
      <w:r>
        <w:rPr>
          <w:bdr w:val="none" w:color="auto" w:sz="0" w:space="0"/>
          <w:shd w:val="clear" w:fill="FFFFFF"/>
        </w:rPr>
        <w:instrText xml:space="preserve"> HYPERLINK "http://218.5.222.40:8090/gpms/webPages" \l "_Toc30159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）霍尔式传感器测振动实验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"_Toc1800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23）磁电式转速传感器测速实验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24）磁阻式传感器实验</w:t>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"_Toc13713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25）压电式传感器测振动实验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"_Toc26571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26）电涡流传感器位移实验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"_Toc7178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27）被测体材料对电涡流传感器的特性影响实验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28）被测体面积大小对电涡流传感器的特性影响实验</w:t>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"_Toc20791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29）电涡流式传感器的应用—电子称实验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"_Toc25571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30）电涡流传感器转速测量实验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"_Toc23923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31）电涡流传感器测量振动实验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"_Toc17274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32）光纤传感器的位移特性实验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"_Toc8946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33）光纤传感器的测速实验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34）光纤位移传感器的测振动实验</w:t>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"_Toc3959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35）光电转速传感器测速实验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"_Toc6381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36）单向调压温度控制实验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"_Toc10539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37）集成温度传感器(AD590)温度特性实验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"_Toc13974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38）Pt100铂电阻测温特性实验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"_Toc21032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39）铜热电阻测温特性实验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"_Toc273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40）气敏（酒精）传感器实验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"_Toc8481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41）湿敏传感器实验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"_Toc25111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42）K型热电偶测温性能实验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"_Toc25721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43）K型热电偶冷端温度补偿实验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"_Toc6660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44）E型热电偶测温性能实验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"_Toc26078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45）NTC温度特性测试实验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"_Toc2400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46）PTC温度特性测试实验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"_Toc24624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47）光敏电阻特性实验</w:t>
      </w:r>
      <w:r>
        <w:rPr>
          <w:bdr w:val="none" w:color="auto" w:sz="0" w:space="0"/>
          <w:shd w:val="clear" w:fill="FFFFFF"/>
        </w:rPr>
        <w:fldChar w:fldCharType="end"/>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"_Toc19150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48）</w:t>
      </w:r>
      <w:r>
        <w:rPr>
          <w:bdr w:val="none" w:color="auto" w:sz="0" w:space="0"/>
          <w:shd w:val="clear" w:fill="FFFFFF"/>
        </w:rPr>
        <w:fldChar w:fldCharType="end"/>
      </w:r>
      <w:r>
        <w:rPr>
          <w:rFonts w:hint="eastAsia" w:ascii="宋体" w:hAnsi="宋体" w:eastAsia="宋体" w:cs="宋体"/>
          <w:sz w:val="19"/>
          <w:szCs w:val="19"/>
          <w:bdr w:val="none" w:color="auto" w:sz="0" w:space="0"/>
          <w:shd w:val="clear" w:fill="FFFFFF"/>
        </w:rPr>
        <w:t>光敏二极管的特性实验</w:t>
      </w:r>
    </w:p>
    <w:p>
      <w:pPr>
        <w:pStyle w:val="3"/>
        <w:keepNext w:val="0"/>
        <w:keepLines w:val="0"/>
        <w:widowControl/>
        <w:suppressLineNumbers w:val="0"/>
        <w:spacing w:before="0" w:beforeAutospacing="0" w:after="0" w:afterAutospacing="0" w:line="324" w:lineRule="atLeast"/>
        <w:ind w:left="0" w:right="0" w:firstLine="384"/>
      </w:pPr>
      <w:r>
        <w:rPr>
          <w:bdr w:val="none" w:color="auto" w:sz="0" w:space="0"/>
          <w:shd w:val="clear" w:fill="FFFFFF"/>
        </w:rPr>
        <w:fldChar w:fldCharType="begin"/>
      </w:r>
      <w:r>
        <w:rPr>
          <w:bdr w:val="none" w:color="auto" w:sz="0" w:space="0"/>
          <w:shd w:val="clear" w:fill="FFFFFF"/>
        </w:rPr>
        <w:instrText xml:space="preserve"> HYPERLINK "http://218.5.222.40:8090/gpms/webPages" \l "_Toc12096 " </w:instrText>
      </w:r>
      <w:r>
        <w:rPr>
          <w:bdr w:val="none" w:color="auto" w:sz="0" w:space="0"/>
          <w:shd w:val="clear" w:fill="FFFFFF"/>
        </w:rPr>
        <w:fldChar w:fldCharType="separate"/>
      </w:r>
      <w:r>
        <w:rPr>
          <w:rStyle w:val="6"/>
          <w:rFonts w:hint="eastAsia" w:ascii="宋体" w:hAnsi="宋体" w:eastAsia="宋体" w:cs="宋体"/>
          <w:sz w:val="19"/>
          <w:szCs w:val="19"/>
          <w:bdr w:val="none" w:color="auto" w:sz="0" w:space="0"/>
          <w:shd w:val="clear" w:fill="FFFFFF"/>
        </w:rPr>
        <w:t>49）</w:t>
      </w:r>
      <w:r>
        <w:rPr>
          <w:bdr w:val="none" w:color="auto" w:sz="0" w:space="0"/>
          <w:shd w:val="clear" w:fill="FFFFFF"/>
        </w:rPr>
        <w:fldChar w:fldCharType="end"/>
      </w:r>
      <w:r>
        <w:rPr>
          <w:rFonts w:hint="eastAsia" w:ascii="宋体" w:hAnsi="宋体" w:eastAsia="宋体" w:cs="宋体"/>
          <w:sz w:val="19"/>
          <w:szCs w:val="19"/>
          <w:bdr w:val="none" w:color="auto" w:sz="0" w:space="0"/>
          <w:shd w:val="clear" w:fill="FFFFFF"/>
        </w:rPr>
        <w:t>光敏三极管特性实验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50）超声波位移测量实验</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9.3.2 传感器实际应用实训及制作（以下内容整个实验室只配置1套）</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1）金属探伤仪的设 计与制作实训</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2）光伏发电跟踪器的设 计与制作实训</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3）电感式位移传感仪的设 计与制作实训</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9.3.3 基于FPGA传感器设 计实验（以下内容整个实验室只配置1套）</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1）MDCL-FPGA 开发板认识实验-流水灯实验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2）MDCL-FPGA 开发板数字逻辑设 计实验 - 1位全加器实验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3）MDCL-FPGA 开发板数字逻辑设 计实验 - 4位全加器实验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4）1Hz信号发生实验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5）十进制计数器实验一</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6）七段数码管显示实验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7）十进制计数器实验二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8）数码管动态显示实验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9）十进制计数器实验三</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10）数字钟实验一（综合实验1）</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11）数字钟实验二（综合实验2）</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12）A/D转换实验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13）D/A转换实验</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9.4 技术条件要求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9.4.1 电源：单相AC220V±10％/50Hz，容量＜500VA；</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9.4.2 工作环境：温度-10℃~+40℃,相对湿度＜85%(25℃)，海拔＜4000m；</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9.4.3 重量：≤150kg；</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9.4.4 尺寸：≤160×75×115cm</w:t>
      </w:r>
      <w:r>
        <w:rPr>
          <w:rFonts w:hint="eastAsia" w:ascii="宋体" w:hAnsi="宋体" w:eastAsia="宋体" w:cs="宋体"/>
          <w:sz w:val="19"/>
          <w:szCs w:val="19"/>
          <w:bdr w:val="none" w:color="auto" w:sz="0" w:space="0"/>
          <w:shd w:val="clear" w:fill="FFFFFF"/>
          <w:vertAlign w:val="superscript"/>
        </w:rPr>
        <w:t>3</w:t>
      </w:r>
      <w:r>
        <w:rPr>
          <w:rFonts w:hint="eastAsia" w:ascii="宋体" w:hAnsi="宋体" w:eastAsia="宋体" w:cs="宋体"/>
          <w:sz w:val="19"/>
          <w:szCs w:val="19"/>
          <w:bdr w:val="none" w:color="auto" w:sz="0" w:space="0"/>
          <w:shd w:val="clear" w:fill="FFFFFF"/>
        </w:rPr>
        <w:t>。</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9.5 实验台技术要求</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9.5.1 设备的安全保护功能要求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1)此设备提供了电流型漏电保护，符合国家低压电气安全标准的要求;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2)实验操作面板均采用</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3mm厚的高强度绝缘材料雕刻丝印而成，美观且安全，要求实验装置的面板均不采用金属制面板，须采用绝缘非金属材料面板，并在面板上印有各类标注符号或电路等。</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3)直流稳压电源、音频振荡器、低频振荡器等都具有过载切断保护功能，在排除接线错误后重新开机恢复正常工作。</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9.5.2 设备的结构按要求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主控屏为铁质双层亚光密纹喷塑结构，</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3mm高强度绝缘面板，方便测量仪表、振荡源、温度控制、数据采集卡等模块的安装。</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实验桌采用铁质喷塑结构，桌面为防火、防水、耐磨高密度板，结构牢固，外形美观大方，桌子下面设有抽屉和储藏柜，可用于存放各实验模块。</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9.5.3 设备的电源及仪表技术要求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要求本设备提供恒定±15V、＋5V,±1.2V~±12V（连续可调），+1.2~+24V（连续可调）直流稳压电源；数字压力表显示量程0-9999kpa；直流电压表量程：200mv、2v、20v；直流电流表量程：200uA、2mA、20mA；音频信号源（音频振荡器）0.4KHz~10KHz（连续可调）；低频信号源（低频振荡器）1Hz~30Hz（连续可调）；频率/转速表量程：0~9999Hz，足以满足各个实验的需求。</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9.5.4 实验模块技术要求（提供以下每种实验模块真实图片）</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u w:val="single"/>
          <w:bdr w:val="none" w:color="auto" w:sz="0" w:space="0"/>
          <w:shd w:val="clear" w:fill="FFFFFF"/>
        </w:rPr>
        <w:t>传感器实验模块采用统一化大小且透明化构造，方便学生了解的内部构造，有助于增加学生感性认识；传感器和转化电路模块正面印有电路原理图，可提高学生对基本原理的认识，增加实验效果。</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1）差动放大电路实验模块</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采用高共模抑制比仪用放大器电路，有很强的共模抑制能力和较小的输出漂移电压。配合应变传感器实验单元，完成应变片单臂、半桥、全桥实验。</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2）压力传感器实验模块</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传感器采用高性能扩散硅压力传感器MPX53DP并通过专门的保护支座安装在线路板上。处理电路采用由运放构成的两级放大电路实现对信号的放大、调理。</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3）差动变压器实验模块</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传感器与实验模块采用航空插头连接，简单方便。由运放构成的差分放大电路实现对信号的放大功能。</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4) 电容传感器实验模块</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由74LS520芯片构成的多谐振荡器产生高频方波信号，通过环形二极管电桥，对被测电容进行充放电，经过处理电路输出一个与电容成正比的电压信号。</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5) 霍尔传感器实验模块</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传感器与实验模块采用航空插头连接，简单方便。差分放大电路及调零电路构成传感器信号处理电路，霍尔传感器的激励电压不能过高，因此线路板上还有专门的保护电路。</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6) 压电传感器实验模块</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采用电荷放大器作为压电传感器的处理电路，该电路由一个反馈电容和高增益运放CA3140构成，输入阻抗极高，保证了测量精度。</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7) 电涡流传感器实验模块</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电涡流传感器的线圈作为一个元件接入调频式测量电路中，当传感器与被测导体距离发生变化时，传感器电感改变，导致振荡频率变化，通过f-V变换，可由电压表测出相应的电压变化。</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8) 光纤传感器实验模块</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线路板上的光纤座内封装了红外发射、接收对管并接入电路中。光纤传感器插入光纤座内，起到导光作用，当光纤探头与被测反光面距离发生改变时，红外接收管接收到的入射光发生变化，从而导致输出电压变化。</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9) 温度传感器实验模块</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该模块可对Cu50、Pt100、K型热电偶、E型热电偶、AD590的信号进行转换、放大处理，完成多种温度传感器的性能实验。</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10) 气敏传感器实验模块</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当气敏传感器遇到酒精时，表面电阻迅速下降，由芯片LM339和LM324构成的检测电路可将气敏传感器的阻值变化转变成电压信号并可控制发光二极管的亮灭，酒精浓度越高，发光二极管的亮灯数越多。</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11) 湿敏传感器实验模块</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湿敏传感器阻值的对数与相对湿度成线性关系，由芯片LM339和LM324构成的检测电路可将湿敏传感器的阻值变化转变成电压信号并可控制发光二极管的亮灭，相对湿度越大，发光二极管的亮灯数越多。</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12) 移相器，相敏检波器，低通滤波器</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该模块包含了移相器、相敏检波器、低通滤波器</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三个功能单元、移相器移相范围0-20度，相敏检波器由极性反转整形电路与电子开关构成检波电路。低通滤波器为二阶有源低通滤波电路。</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13) 光敏传感器实验模块</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用于实现光敏元器件测量的实验线路，可用于完成光敏电阻，光敏二极管，光敏三极管，硅光电池，光电耦合这些实验。另外，该模块上还设置了一个滑动变阻器，可用于调节实验所需的电压，可以更灵活进行实验。</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14) 光敏传感器支架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这是一块配合光敏传感器实验的静态结构，上面有光敏电阻，光敏二极管，光敏三极管，硅光电池等主要器件，主要功能为遮光作用，提供良好的实验环境。在该模块的左边还增加了一个可调电源，用于给光源提供合适、可调的电压值。旋转该变阻器就可以得到不同的光照强度。</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15)磁阻式传感器实验模块</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磁阻式传感器的工作原理的理论基础是磁阻效应，即磁感应强度变化引起磁敏电阻的电阻率改变。信号采集电路采用磁阻三端差分型输出电路，这种信号采集电路具有输出信号较大和较强抑制温漂的能力。 信号处理电路采用阻容耦合型差动放大电路。</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16) 声光双控LED实验模块</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在本实验模块中，主要的传感器是驻极体话筒，和光敏电阻，在有光亮时，无论声音有否，led灯不亮。在无光亮时，如果有声音信号进入则，led灯点亮。</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17) 超声波测距实验模块</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通过测量超声波从发射到接收时间差来判断其与被测物体的距离，可实现0.35m-10m距离的测量。</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9.5.5 数据采集卡技术要求（硬件）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本采集卡与计算机、LABVIEW软件连接可完成虚拟仪器技术实训内容。采集卡具有独立双通道16bit分辨率，500ksps以上的实时采样；八路 12bit分辨率，200ksps实时采样；二路12bit D/A输出，八路TTL输入，八路TTL输出；USB 2.0通讯接口，符合USB 2.0协议规范，可实现480M比特/秒的高速数据传输。</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9.5.6 传感器实际应用实训套件要求（以下内容整个实验室只配置1套）（提供以下每种实验模块真实图片）</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1）金属探伤仪的设 计与制作实训套件</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功能要求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金属探伤仪要求能实现对被测工件缺陷的自动检测。</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金属探伤仪由位移传感器、电涡流传感器、信号调理电路、A/D转换电路、微处理器（STM32）、液晶显示与键盘电路、直流减速电机驱动电路等几部分组成。</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金属探伤仪的前面板需安装微处理器核心板（STM32或51单片机、液晶显示模块、键盘电路）和电源开关。金属探伤仪由DCP-24金属探伤仪和二维运动机构两部分组成，其中二维运动机构如图五所示。二维运动机构与金属探伤仪之间按系统接线图接线。</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功能要求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开机后在液晶显示屏上显示“电子产品设 计及制作”，可用“</w:t>
      </w:r>
      <w:r>
        <w:rPr>
          <w:rFonts w:ascii="Wingdings 3" w:hAnsi="Wingdings 3" w:eastAsia="Wingdings 3" w:cs="Wingdings 3"/>
          <w:sz w:val="19"/>
          <w:szCs w:val="19"/>
          <w:bdr w:val="none" w:color="auto" w:sz="0" w:space="0"/>
          <w:shd w:val="clear" w:fill="FFFFFF"/>
        </w:rPr>
        <w:t>p</w:t>
      </w:r>
      <w:r>
        <w:rPr>
          <w:rFonts w:hint="eastAsia" w:ascii="宋体" w:hAnsi="宋体" w:eastAsia="宋体" w:cs="宋体"/>
          <w:sz w:val="19"/>
          <w:szCs w:val="19"/>
          <w:bdr w:val="none" w:color="auto" w:sz="0" w:space="0"/>
          <w:shd w:val="clear" w:fill="FFFFFF"/>
        </w:rPr>
        <w:t>、</w:t>
      </w:r>
      <w:r>
        <w:rPr>
          <w:rFonts w:hint="default" w:ascii="Wingdings 3" w:hAnsi="Wingdings 3" w:eastAsia="Wingdings 3" w:cs="Wingdings 3"/>
          <w:sz w:val="19"/>
          <w:szCs w:val="19"/>
          <w:bdr w:val="none" w:color="auto" w:sz="0" w:space="0"/>
          <w:shd w:val="clear" w:fill="FFFFFF"/>
        </w:rPr>
        <w:t>q</w:t>
      </w:r>
      <w:r>
        <w:rPr>
          <w:rFonts w:hint="eastAsia" w:ascii="宋体" w:hAnsi="宋体" w:eastAsia="宋体" w:cs="宋体"/>
          <w:sz w:val="19"/>
          <w:szCs w:val="19"/>
          <w:bdr w:val="none" w:color="auto" w:sz="0" w:space="0"/>
          <w:shd w:val="clear" w:fill="FFFFFF"/>
        </w:rPr>
        <w:t>、</w:t>
      </w:r>
      <w:r>
        <w:rPr>
          <w:rFonts w:hint="default" w:ascii="Wingdings 3" w:hAnsi="Wingdings 3" w:eastAsia="Wingdings 3" w:cs="Wingdings 3"/>
          <w:sz w:val="19"/>
          <w:szCs w:val="19"/>
          <w:bdr w:val="none" w:color="auto" w:sz="0" w:space="0"/>
          <w:shd w:val="clear" w:fill="FFFFFF"/>
        </w:rPr>
        <w:t>t</w:t>
      </w:r>
      <w:r>
        <w:rPr>
          <w:rFonts w:hint="eastAsia" w:ascii="宋体" w:hAnsi="宋体" w:eastAsia="宋体" w:cs="宋体"/>
          <w:sz w:val="19"/>
          <w:szCs w:val="19"/>
          <w:bdr w:val="none" w:color="auto" w:sz="0" w:space="0"/>
          <w:shd w:val="clear" w:fill="FFFFFF"/>
        </w:rPr>
        <w:t>、</w:t>
      </w:r>
      <w:r>
        <w:rPr>
          <w:rFonts w:hint="default" w:ascii="Wingdings 3" w:hAnsi="Wingdings 3" w:eastAsia="Wingdings 3" w:cs="Wingdings 3"/>
          <w:sz w:val="19"/>
          <w:szCs w:val="19"/>
          <w:bdr w:val="none" w:color="auto" w:sz="0" w:space="0"/>
          <w:shd w:val="clear" w:fill="FFFFFF"/>
        </w:rPr>
        <w:t>u</w:t>
      </w:r>
      <w:r>
        <w:rPr>
          <w:rFonts w:hint="eastAsia" w:ascii="宋体" w:hAnsi="宋体" w:eastAsia="宋体" w:cs="宋体"/>
          <w:sz w:val="19"/>
          <w:szCs w:val="19"/>
          <w:bdr w:val="none" w:color="auto" w:sz="0" w:space="0"/>
          <w:shd w:val="clear" w:fill="FFFFFF"/>
        </w:rPr>
        <w:t>”四个按键控制探测线圈的“Y上移、Y下移、X左移、X右移”，按下回车键后进入测试界面。</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测试界面</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 xml:space="preserve">测试界面分别有检测坐标、探头坐标、探头状态及缺陷数量显示。检测坐标为定点检测时可设定的坐标值，坐标值位于被测工件下方的有机玻璃板上，前3位为X轴的坐标值，后3位为Y轴的坐标值，单位为mm，坐标输入方式由用户自定；探头坐标实时显示探测线圈的坐标值，坐标值定义与检测坐标定义一致；探头状态实时显示探测线圈位置有/无检测到缺陷，有缺陷显示，无缺陷显示□；缺陷数量显示累计检测到的缺陷个数。 </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定点检测：用按键输入好检测坐标后，按下F1功能键，探测线圈移动到指 定的坐标点检测有/无缺陷，探头状态要求实时显示，检测到有缺陷时，缺陷数量自动加1，无缺陷时不需输出指示。按下F3功能键，缺陷数量清零。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自动检测：按F2功能键，探测线圈自动回到坐标零点(000x000)，然后逐行或逐列扫描对被测工件进行自动检测，要求探头坐标和探头状态实时显示。当检测到缺陷时，检测暂停，缺陷数量加1，按下回车键后检测继续，直至扫描完毕。在检测过程中按下F3功能键，退出自动检测状态，缺陷数量清零。</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2）光伏发电跟踪器的设 计与制作实训套件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要求该光伏发电跟踪器由光敏检测电路、串口A/D转换电路、主机电路、液晶显示与键盘电路、全桥PWM驱动电路以及模拟太阳能板等几部分组成，通过光敏检测电路的感应可实现对光源的自动跟踪。串口A/D转换电路：此模块主要由模拟信号输入电路、外围电路、数字信号输出电路组成，其中输入部分有放大和偏置功能，功能脚及数字输出由PMOD口引出，可通过跳线帽调节输入的单双极性。</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功能要求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光伏发电跟踪器要求实现对自动跟踪光伏发电装置的控制。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光伏发电跟踪器由光敏检测电路、ADS1118串口A/D转换电路、STM32控制电路、液晶显示与键盘电路、DRV8412全桥PWM驱动电路以及模拟太阳能板等几部分组成，通过光敏检测电路的感应可实现对光源的自动跟踪。</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通过光伏发电跟踪器前面板的按键（面板中标号为S1~S6的按键对应于DCP-204-A模块中的相应按键）设置相关参数，可以实现光伏电池瞬时功率测量，发电量测量，太阳光模拟跟踪功能。</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按下模式选择按键，可以切换发电模式和跟踪模式。开机时，默认状态为发电模式，按下模式选择按键，进入跟踪模式；再次按下该按键，进入发电模式。</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3）电感式位移传感仪的设 计与制作实训套件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电感式位移传感仪产生激励电压供给传感器，接收两个次级线圈的电压信号并进行处理后在液晶屏上显示。整个系统由STM32F103核心板、液晶显示和键盘电路板、串口A/D转换电路板、多功能万用板和电源等组成。</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功能实现</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通过电感式位移传感仪前面板的按键设置相关参数，可以实现电感式位移传感仪的位移测量、零点迁移和增益调整。</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开机显示“电感式位移传感仪”5秒后进入测量模式界面，电感式位移传感器可以测量两个位移值（A和B）和这两个位移值的差值（A-B）。进入界面后实际值在测量值A位置显示，并后面的“*”符以1Hz闪烁；按确定键后测量值A保持，测量值B显示实际值，其后面的“*” 符以1Hz闪烁；A-B显示测量值A和测量值B的差值，最前位显示差值的符号。再按确定键回复到测量值A显示实际值状态。</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按下模式选择按键，可以切换测量模式和校准模式，进入校准模式时为零点值A校准状态。</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零点值A校准：将螺旋测微头调节到零位置后，按增加键（↑）或减小键（↓）可以将此值调整为00.0mm，其后面的“*”符以1Hz闪烁。按确定键后切换到校准值B校准状态。</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校准值B校准：将螺旋测微头调节到某一个较大的位移值（如20mm），按增加键（↑）或减小键（↓）将此值调整为测微头的实际距离值，以调整此电感式位移传感仪的增益值。调整完毕后按确定键可以切换到零点值A校准状态。按模式键后可以回复到测量模式界面。</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9.5.7 基于FPGA的传感器设 计实验模块要求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9.5.7.1 由主芯片EP2C5Q208C8N，有适合实验开发所需的板载外设：LCD显示屏、动态数码管显示电路、开关输入电路、按键输入电路、发光二极管显示电路、50MHz晶振电路、A/D转换电路、D/A转换电路、USB接口电路、RS232接口电路、程序下载接口、电源输入及转换电路和扩展接口电路等组成。</w:t>
      </w:r>
      <w:r>
        <w:rPr>
          <w:rStyle w:val="5"/>
          <w:rFonts w:hint="eastAsia" w:ascii="宋体" w:hAnsi="宋体" w:eastAsia="宋体" w:cs="宋体"/>
          <w:sz w:val="19"/>
          <w:szCs w:val="19"/>
          <w:bdr w:val="none" w:color="auto" w:sz="0" w:space="0"/>
          <w:shd w:val="clear" w:fill="FFFFFF"/>
        </w:rPr>
        <w:t>实验模块采用透明化构造，方便学生了解的内部构造，有助于增加学生感性认识。</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9.5.7.2 要求可完成以下实验内容：</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1）MDCL-FPGA 开发板认识实验-流水灯实验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2）MDCL-FPGA 开发板数字逻辑设 计实验 - 1位全加器实验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3）MDCL-FPGA 开发板数字逻辑设 计实验 - 4位全加器实验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4）1Hz信号发生实验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5）十进制计数器实验一</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6）七段数码管显示实验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7）十进制计数器实验二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8）数码管动态显示实验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9）十进制计数器实验三</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10）数字钟实验一（综合实验1）</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11）数字钟实验二（综合实验2）</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12）A/D转换实验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13）D/A转换实验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该实验模块除完成以上基本实验外，用户还可基于主芯片及外围器件电路用于毕业设 计和学生二次开发。</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9.5.8 数字示波器</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1）带宽：</w:t>
      </w:r>
      <w:r>
        <w:rPr>
          <w:rFonts w:hint="eastAsia" w:ascii="宋体" w:hAnsi="宋体" w:eastAsia="宋体" w:cs="宋体"/>
          <w:spacing w:val="0"/>
          <w:sz w:val="19"/>
          <w:szCs w:val="19"/>
          <w:bdr w:val="none" w:color="auto" w:sz="0" w:space="0"/>
          <w:shd w:val="clear" w:fill="FFFFFF"/>
        </w:rPr>
        <w:t>≥</w:t>
      </w:r>
      <w:r>
        <w:rPr>
          <w:rFonts w:hint="eastAsia" w:ascii="宋体" w:hAnsi="宋体" w:eastAsia="宋体" w:cs="宋体"/>
          <w:sz w:val="19"/>
          <w:szCs w:val="19"/>
          <w:bdr w:val="none" w:color="auto" w:sz="0" w:space="0"/>
          <w:shd w:val="clear" w:fill="FFFFFF"/>
        </w:rPr>
        <w:t>100MHZ ，实时采样率不低于 1GSa/s，；</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 xml:space="preserve">2）存储深度（每次采样的记录长度）不低于10M点； </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3）支持小信号测量 ，在无信号输出的情况下，示波器本机底噪不超过0.5mV；</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4）具有电流测量功能，测量范围：100.0mA/V ~ 1KA/V；</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5）具有不低于24种自动测量功能（峰-峰值、均值、周期均方根、游标均方根、频率、周期、最大值、最小值、顶端值、底端值、幅度、过冲、预冲、上升时间、下降时间、相位、正脉冲、负及宽、正占空比、负占空比、延迟A-&gt;B、延迟B-&gt;A）；</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6）具备波形记录，波形录制功能，在录制的过程中可对衰减器及时基进行设置，可存储不低于15组波形，≥8组设置；</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7）内置硬件频率计，可测量2Hz－100MHz；精度不低于50ppm；</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8）带VGA接口(选配)，方便教学演示，同时有USB device，USB host，P/F，LAN接口；</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9）触发方式：边沿、脉宽、视频、斜率；</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10）不低于8寸TFT真采液晶显示屏，分辨率不低于800*600，波形清晰细腻；</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11）机身体积小大于340mm*155m*78mm，超薄机身，机身厚度不大于78mm，节省更多桌面空间，低功耗，功耗不大于18W；</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13）支持USB在线升级；</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10、可拆装工业机器人实训系统</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10.1 产品要求:可拆装6轴教学机器人实训系统（机械、电气、编程）是工业机器人入门学习的综合设备，使学生在学习中掌握机器人机械设 计、机械拆装、电气拆装、电气维修以及编程操作、调试、维修技能。此系统将机器人机械拆装、机器人电气安装、机器人的应用用于教学培训实践当中，形成直接获取实际经验、实践能力为主的生产、科研实践有机结合的教育模式。</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10.2 技术要求：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10.2.1 贴近工程实践：此系统集成六轴工业机器人拆装工程实际模块，用于教学的各个机器人相关课程而设 计。</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10.2.2 模块化设 计：所有零部件均为模块化设 计，可及时更换或升级，确保所有机器人相关教学的实用性。</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10.2.3 资料完备：配置详细说明书和实验指导书及机器人机械拆装爆炸图，展示各部分的机械拆装、配电气原理图、展示电气安装、调试过程。</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10.3 技术参数:</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10.3.1 自由度:≥6</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10.3.2 驱动方式:</w:t>
      </w:r>
      <w:r>
        <w:rPr>
          <w:rFonts w:hint="eastAsia" w:ascii="宋体" w:hAnsi="宋体" w:eastAsia="宋体" w:cs="宋体"/>
          <w:spacing w:val="0"/>
          <w:sz w:val="19"/>
          <w:szCs w:val="19"/>
          <w:bdr w:val="none" w:color="auto" w:sz="0" w:space="0"/>
          <w:shd w:val="clear" w:fill="FFFFFF"/>
        </w:rPr>
        <w:t xml:space="preserve"> ≥</w:t>
      </w:r>
      <w:r>
        <w:rPr>
          <w:rFonts w:hint="eastAsia" w:ascii="宋体" w:hAnsi="宋体" w:eastAsia="宋体" w:cs="宋体"/>
          <w:sz w:val="19"/>
          <w:szCs w:val="19"/>
          <w:bdr w:val="none" w:color="auto" w:sz="0" w:space="0"/>
          <w:shd w:val="clear" w:fill="FFFFFF"/>
        </w:rPr>
        <w:t>2伺服4步进电机</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10.3.3 有效负载:≥3kg</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10.3.4 重复定位精度:±0.5 mm</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 xml:space="preserve">10.3.5 运动范围: </w:t>
      </w:r>
    </w:p>
    <w:p>
      <w:pPr>
        <w:pStyle w:val="3"/>
        <w:keepNext w:val="0"/>
        <w:keepLines w:val="0"/>
        <w:widowControl/>
        <w:suppressLineNumbers w:val="0"/>
        <w:spacing w:before="0" w:beforeAutospacing="0" w:after="0" w:afterAutospacing="0" w:line="324" w:lineRule="atLeast"/>
        <w:ind w:left="0" w:right="0" w:firstLine="768"/>
      </w:pPr>
      <w:r>
        <w:rPr>
          <w:rFonts w:hint="eastAsia" w:ascii="宋体" w:hAnsi="宋体" w:eastAsia="宋体" w:cs="宋体"/>
          <w:sz w:val="19"/>
          <w:szCs w:val="19"/>
          <w:bdr w:val="none" w:color="auto" w:sz="0" w:space="0"/>
          <w:shd w:val="clear" w:fill="FFFFFF"/>
        </w:rPr>
        <w:t>J1轴:±120°</w:t>
      </w:r>
      <w:r>
        <w:rPr>
          <w:rFonts w:hint="eastAsia" w:ascii="宋体" w:hAnsi="宋体" w:eastAsia="宋体" w:cs="宋体"/>
          <w:sz w:val="19"/>
          <w:szCs w:val="19"/>
          <w:bdr w:val="none" w:color="auto" w:sz="0" w:space="0"/>
          <w:shd w:val="clear" w:fill="FFFFFF"/>
        </w:rPr>
        <w:br w:type="textWrapping"/>
      </w:r>
      <w:r>
        <w:rPr>
          <w:rFonts w:hint="eastAsia" w:ascii="宋体" w:hAnsi="宋体" w:eastAsia="宋体" w:cs="宋体"/>
          <w:sz w:val="19"/>
          <w:szCs w:val="19"/>
          <w:bdr w:val="none" w:color="auto" w:sz="0" w:space="0"/>
          <w:shd w:val="clear" w:fill="FFFFFF"/>
        </w:rPr>
        <w:t>J2轴:＋120°～－65°</w:t>
      </w:r>
      <w:r>
        <w:rPr>
          <w:rFonts w:hint="eastAsia" w:ascii="宋体" w:hAnsi="宋体" w:eastAsia="宋体" w:cs="宋体"/>
          <w:sz w:val="19"/>
          <w:szCs w:val="19"/>
          <w:bdr w:val="none" w:color="auto" w:sz="0" w:space="0"/>
          <w:shd w:val="clear" w:fill="FFFFFF"/>
        </w:rPr>
        <w:br w:type="textWrapping"/>
      </w:r>
      <w:r>
        <w:rPr>
          <w:rFonts w:hint="eastAsia" w:ascii="宋体" w:hAnsi="宋体" w:eastAsia="宋体" w:cs="宋体"/>
          <w:sz w:val="19"/>
          <w:szCs w:val="19"/>
          <w:bdr w:val="none" w:color="auto" w:sz="0" w:space="0"/>
          <w:shd w:val="clear" w:fill="FFFFFF"/>
        </w:rPr>
        <w:t>J3轴:＋85°～－130°</w:t>
      </w:r>
      <w:r>
        <w:rPr>
          <w:rFonts w:hint="eastAsia" w:ascii="宋体" w:hAnsi="宋体" w:eastAsia="宋体" w:cs="宋体"/>
          <w:sz w:val="19"/>
          <w:szCs w:val="19"/>
          <w:bdr w:val="none" w:color="auto" w:sz="0" w:space="0"/>
          <w:shd w:val="clear" w:fill="FFFFFF"/>
        </w:rPr>
        <w:br w:type="textWrapping"/>
      </w:r>
      <w:r>
        <w:rPr>
          <w:rFonts w:hint="eastAsia" w:ascii="宋体" w:hAnsi="宋体" w:eastAsia="宋体" w:cs="宋体"/>
          <w:sz w:val="19"/>
          <w:szCs w:val="19"/>
          <w:bdr w:val="none" w:color="auto" w:sz="0" w:space="0"/>
          <w:shd w:val="clear" w:fill="FFFFFF"/>
        </w:rPr>
        <w:t>J4轴:±160°</w:t>
      </w:r>
      <w:r>
        <w:rPr>
          <w:rFonts w:hint="eastAsia" w:ascii="宋体" w:hAnsi="宋体" w:eastAsia="宋体" w:cs="宋体"/>
          <w:sz w:val="19"/>
          <w:szCs w:val="19"/>
          <w:bdr w:val="none" w:color="auto" w:sz="0" w:space="0"/>
          <w:shd w:val="clear" w:fill="FFFFFF"/>
        </w:rPr>
        <w:br w:type="textWrapping"/>
      </w:r>
      <w:r>
        <w:rPr>
          <w:rFonts w:hint="eastAsia" w:ascii="宋体" w:hAnsi="宋体" w:eastAsia="宋体" w:cs="宋体"/>
          <w:sz w:val="19"/>
          <w:szCs w:val="19"/>
          <w:bdr w:val="none" w:color="auto" w:sz="0" w:space="0"/>
          <w:shd w:val="clear" w:fill="FFFFFF"/>
        </w:rPr>
        <w:t>J5轴:±95°</w:t>
      </w:r>
      <w:r>
        <w:rPr>
          <w:rFonts w:hint="eastAsia" w:ascii="宋体" w:hAnsi="宋体" w:eastAsia="宋体" w:cs="宋体"/>
          <w:sz w:val="19"/>
          <w:szCs w:val="19"/>
          <w:bdr w:val="none" w:color="auto" w:sz="0" w:space="0"/>
          <w:shd w:val="clear" w:fill="FFFFFF"/>
        </w:rPr>
        <w:br w:type="textWrapping"/>
      </w:r>
      <w:r>
        <w:rPr>
          <w:rFonts w:hint="eastAsia" w:ascii="宋体" w:hAnsi="宋体" w:eastAsia="宋体" w:cs="宋体"/>
          <w:sz w:val="19"/>
          <w:szCs w:val="19"/>
          <w:bdr w:val="none" w:color="auto" w:sz="0" w:space="0"/>
          <w:shd w:val="clear" w:fill="FFFFFF"/>
        </w:rPr>
        <w:t>J6轴:±250°</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 xml:space="preserve">10.3.6 额定速度 </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J1轴:</w:t>
      </w:r>
      <w:r>
        <w:rPr>
          <w:rFonts w:hint="eastAsia" w:ascii="宋体" w:hAnsi="宋体" w:eastAsia="宋体" w:cs="宋体"/>
          <w:spacing w:val="0"/>
          <w:sz w:val="19"/>
          <w:szCs w:val="19"/>
          <w:bdr w:val="none" w:color="auto" w:sz="0" w:space="0"/>
          <w:shd w:val="clear" w:fill="FFFFFF"/>
        </w:rPr>
        <w:t xml:space="preserve"> ≥</w:t>
      </w:r>
      <w:r>
        <w:rPr>
          <w:rFonts w:hint="eastAsia" w:ascii="宋体" w:hAnsi="宋体" w:eastAsia="宋体" w:cs="宋体"/>
          <w:sz w:val="19"/>
          <w:szCs w:val="19"/>
          <w:bdr w:val="none" w:color="auto" w:sz="0" w:space="0"/>
          <w:shd w:val="clear" w:fill="FFFFFF"/>
        </w:rPr>
        <w:t>45°/s</w:t>
      </w:r>
      <w:r>
        <w:rPr>
          <w:rFonts w:hint="eastAsia" w:ascii="宋体" w:hAnsi="宋体" w:eastAsia="宋体" w:cs="宋体"/>
          <w:sz w:val="19"/>
          <w:szCs w:val="19"/>
          <w:bdr w:val="none" w:color="auto" w:sz="0" w:space="0"/>
          <w:shd w:val="clear" w:fill="FFFFFF"/>
        </w:rPr>
        <w:br w:type="textWrapping"/>
      </w:r>
      <w:r>
        <w:rPr>
          <w:rFonts w:hint="eastAsia" w:ascii="宋体" w:hAnsi="宋体" w:eastAsia="宋体" w:cs="宋体"/>
          <w:sz w:val="19"/>
          <w:szCs w:val="19"/>
          <w:bdr w:val="none" w:color="auto" w:sz="0" w:space="0"/>
          <w:shd w:val="clear" w:fill="FFFFFF"/>
        </w:rPr>
        <w:t>J2轴:</w:t>
      </w:r>
      <w:r>
        <w:rPr>
          <w:rFonts w:hint="eastAsia" w:ascii="宋体" w:hAnsi="宋体" w:eastAsia="宋体" w:cs="宋体"/>
          <w:spacing w:val="0"/>
          <w:sz w:val="19"/>
          <w:szCs w:val="19"/>
          <w:bdr w:val="none" w:color="auto" w:sz="0" w:space="0"/>
          <w:shd w:val="clear" w:fill="FFFFFF"/>
        </w:rPr>
        <w:t xml:space="preserve"> ≥</w:t>
      </w:r>
      <w:r>
        <w:rPr>
          <w:rFonts w:hint="eastAsia" w:ascii="宋体" w:hAnsi="宋体" w:eastAsia="宋体" w:cs="宋体"/>
          <w:sz w:val="19"/>
          <w:szCs w:val="19"/>
          <w:bdr w:val="none" w:color="auto" w:sz="0" w:space="0"/>
          <w:shd w:val="clear" w:fill="FFFFFF"/>
        </w:rPr>
        <w:t>40°/s</w:t>
      </w:r>
      <w:r>
        <w:rPr>
          <w:rFonts w:hint="eastAsia" w:ascii="宋体" w:hAnsi="宋体" w:eastAsia="宋体" w:cs="宋体"/>
          <w:sz w:val="19"/>
          <w:szCs w:val="19"/>
          <w:bdr w:val="none" w:color="auto" w:sz="0" w:space="0"/>
          <w:shd w:val="clear" w:fill="FFFFFF"/>
        </w:rPr>
        <w:br w:type="textWrapping"/>
      </w:r>
      <w:r>
        <w:rPr>
          <w:rFonts w:hint="eastAsia" w:ascii="宋体" w:hAnsi="宋体" w:eastAsia="宋体" w:cs="宋体"/>
          <w:sz w:val="19"/>
          <w:szCs w:val="19"/>
          <w:bdr w:val="none" w:color="auto" w:sz="0" w:space="0"/>
          <w:shd w:val="clear" w:fill="FFFFFF"/>
        </w:rPr>
        <w:t>J3轴:</w:t>
      </w:r>
      <w:r>
        <w:rPr>
          <w:rFonts w:hint="eastAsia" w:ascii="宋体" w:hAnsi="宋体" w:eastAsia="宋体" w:cs="宋体"/>
          <w:spacing w:val="0"/>
          <w:sz w:val="19"/>
          <w:szCs w:val="19"/>
          <w:bdr w:val="none" w:color="auto" w:sz="0" w:space="0"/>
          <w:shd w:val="clear" w:fill="FFFFFF"/>
        </w:rPr>
        <w:t xml:space="preserve"> ≥</w:t>
      </w:r>
      <w:r>
        <w:rPr>
          <w:rFonts w:hint="eastAsia" w:ascii="宋体" w:hAnsi="宋体" w:eastAsia="宋体" w:cs="宋体"/>
          <w:sz w:val="19"/>
          <w:szCs w:val="19"/>
          <w:bdr w:val="none" w:color="auto" w:sz="0" w:space="0"/>
          <w:shd w:val="clear" w:fill="FFFFFF"/>
        </w:rPr>
        <w:t>45°/s</w:t>
      </w:r>
    </w:p>
    <w:p>
      <w:pPr>
        <w:pStyle w:val="3"/>
        <w:keepNext w:val="0"/>
        <w:keepLines w:val="0"/>
        <w:widowControl/>
        <w:suppressLineNumbers w:val="0"/>
        <w:spacing w:before="0" w:beforeAutospacing="0" w:after="0" w:afterAutospacing="0" w:line="324" w:lineRule="atLeast"/>
        <w:ind w:left="0" w:right="0" w:firstLine="768"/>
      </w:pPr>
      <w:r>
        <w:rPr>
          <w:rFonts w:hint="eastAsia" w:ascii="宋体" w:hAnsi="宋体" w:eastAsia="宋体" w:cs="宋体"/>
          <w:sz w:val="19"/>
          <w:szCs w:val="19"/>
          <w:bdr w:val="none" w:color="auto" w:sz="0" w:space="0"/>
          <w:shd w:val="clear" w:fill="FFFFFF"/>
        </w:rPr>
        <w:t>J4轴:</w:t>
      </w:r>
      <w:r>
        <w:rPr>
          <w:rFonts w:hint="eastAsia" w:ascii="宋体" w:hAnsi="宋体" w:eastAsia="宋体" w:cs="宋体"/>
          <w:spacing w:val="0"/>
          <w:sz w:val="19"/>
          <w:szCs w:val="19"/>
          <w:bdr w:val="none" w:color="auto" w:sz="0" w:space="0"/>
          <w:shd w:val="clear" w:fill="FFFFFF"/>
        </w:rPr>
        <w:t xml:space="preserve"> ≥</w:t>
      </w:r>
      <w:r>
        <w:rPr>
          <w:rFonts w:hint="eastAsia" w:ascii="宋体" w:hAnsi="宋体" w:eastAsia="宋体" w:cs="宋体"/>
          <w:sz w:val="19"/>
          <w:szCs w:val="19"/>
          <w:bdr w:val="none" w:color="auto" w:sz="0" w:space="0"/>
          <w:shd w:val="clear" w:fill="FFFFFF"/>
        </w:rPr>
        <w:t>45°/s</w:t>
      </w:r>
    </w:p>
    <w:p>
      <w:pPr>
        <w:pStyle w:val="3"/>
        <w:keepNext w:val="0"/>
        <w:keepLines w:val="0"/>
        <w:widowControl/>
        <w:suppressLineNumbers w:val="0"/>
        <w:spacing w:before="0" w:beforeAutospacing="0" w:after="0" w:afterAutospacing="0" w:line="324" w:lineRule="atLeast"/>
        <w:ind w:left="0" w:right="0" w:firstLine="768"/>
      </w:pPr>
      <w:r>
        <w:rPr>
          <w:rFonts w:hint="eastAsia" w:ascii="宋体" w:hAnsi="宋体" w:eastAsia="宋体" w:cs="宋体"/>
          <w:sz w:val="19"/>
          <w:szCs w:val="19"/>
          <w:bdr w:val="none" w:color="auto" w:sz="0" w:space="0"/>
          <w:shd w:val="clear" w:fill="FFFFFF"/>
        </w:rPr>
        <w:t>J5轴:</w:t>
      </w:r>
      <w:r>
        <w:rPr>
          <w:rFonts w:hint="eastAsia" w:ascii="宋体" w:hAnsi="宋体" w:eastAsia="宋体" w:cs="宋体"/>
          <w:spacing w:val="0"/>
          <w:sz w:val="19"/>
          <w:szCs w:val="19"/>
          <w:bdr w:val="none" w:color="auto" w:sz="0" w:space="0"/>
          <w:shd w:val="clear" w:fill="FFFFFF"/>
        </w:rPr>
        <w:t xml:space="preserve"> ≥</w:t>
      </w:r>
      <w:r>
        <w:rPr>
          <w:rFonts w:hint="eastAsia" w:ascii="宋体" w:hAnsi="宋体" w:eastAsia="宋体" w:cs="宋体"/>
          <w:sz w:val="19"/>
          <w:szCs w:val="19"/>
          <w:bdr w:val="none" w:color="auto" w:sz="0" w:space="0"/>
          <w:shd w:val="clear" w:fill="FFFFFF"/>
        </w:rPr>
        <w:t>35°/s</w:t>
      </w:r>
    </w:p>
    <w:p>
      <w:pPr>
        <w:pStyle w:val="3"/>
        <w:keepNext w:val="0"/>
        <w:keepLines w:val="0"/>
        <w:widowControl/>
        <w:suppressLineNumbers w:val="0"/>
        <w:spacing w:before="0" w:beforeAutospacing="0" w:after="0" w:afterAutospacing="0" w:line="324" w:lineRule="atLeast"/>
        <w:ind w:left="0" w:right="0" w:firstLine="768"/>
      </w:pPr>
      <w:r>
        <w:rPr>
          <w:rFonts w:hint="eastAsia" w:ascii="宋体" w:hAnsi="宋体" w:eastAsia="宋体" w:cs="宋体"/>
          <w:sz w:val="19"/>
          <w:szCs w:val="19"/>
          <w:bdr w:val="none" w:color="auto" w:sz="0" w:space="0"/>
          <w:shd w:val="clear" w:fill="FFFFFF"/>
        </w:rPr>
        <w:t>J6轴:</w:t>
      </w:r>
      <w:r>
        <w:rPr>
          <w:rFonts w:hint="eastAsia" w:ascii="宋体" w:hAnsi="宋体" w:eastAsia="宋体" w:cs="宋体"/>
          <w:spacing w:val="0"/>
          <w:sz w:val="19"/>
          <w:szCs w:val="19"/>
          <w:bdr w:val="none" w:color="auto" w:sz="0" w:space="0"/>
          <w:shd w:val="clear" w:fill="FFFFFF"/>
        </w:rPr>
        <w:t xml:space="preserve"> ≥</w:t>
      </w:r>
      <w:r>
        <w:rPr>
          <w:rFonts w:hint="eastAsia" w:ascii="宋体" w:hAnsi="宋体" w:eastAsia="宋体" w:cs="宋体"/>
          <w:sz w:val="19"/>
          <w:szCs w:val="19"/>
          <w:bdr w:val="none" w:color="auto" w:sz="0" w:space="0"/>
          <w:shd w:val="clear" w:fill="FFFFFF"/>
        </w:rPr>
        <w:t>25°/s</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 xml:space="preserve">10.3.6 周围环境 </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温度:0～45℃</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湿度:20～80％（不结露）</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 xml:space="preserve">振动:0.1mm/s以下安装方式 </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10.3.7 地面安装本体质量: ≤122kg</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10.3.8 本体尺寸: ≤ 480*330*1200</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10.3.9 电源:220V</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10.3.10 功率: ≥300W</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10.4 基本配置清单:</w:t>
      </w:r>
      <w:r>
        <w:rPr>
          <w:rFonts w:hint="eastAsia" w:ascii="宋体" w:hAnsi="宋体" w:eastAsia="宋体" w:cs="宋体"/>
          <w:sz w:val="19"/>
          <w:szCs w:val="19"/>
          <w:bdr w:val="none" w:color="auto" w:sz="0" w:space="0"/>
          <w:shd w:val="clear" w:fill="FFFFFF"/>
        </w:rPr>
        <w:t xml:space="preserve"> </w:t>
      </w:r>
    </w:p>
    <w:tbl>
      <w:tblPr>
        <w:tblW w:w="5099"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1368"/>
        <w:gridCol w:w="3731"/>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rHeight w:val="228" w:hRule="atLeast"/>
          <w:tblCellSpacing w:w="15" w:type="dxa"/>
        </w:trPr>
        <w:tc>
          <w:tcPr>
            <w:tcW w:w="1323"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jc w:val="center"/>
              <w:textAlignment w:val="center"/>
            </w:pPr>
            <w:r>
              <w:rPr>
                <w:rStyle w:val="5"/>
                <w:rFonts w:hint="eastAsia" w:ascii="宋体" w:hAnsi="宋体" w:eastAsia="宋体" w:cs="宋体"/>
                <w:color w:val="393939"/>
                <w:sz w:val="19"/>
                <w:szCs w:val="19"/>
                <w:bdr w:val="none" w:color="auto" w:sz="0" w:space="0"/>
              </w:rPr>
              <w:t>产品名 称</w:t>
            </w:r>
          </w:p>
        </w:tc>
        <w:tc>
          <w:tcPr>
            <w:tcW w:w="3686"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jc w:val="center"/>
              <w:textAlignment w:val="center"/>
            </w:pPr>
            <w:r>
              <w:rPr>
                <w:rStyle w:val="5"/>
                <w:rFonts w:hint="eastAsia" w:ascii="宋体" w:hAnsi="宋体" w:eastAsia="宋体" w:cs="宋体"/>
                <w:color w:val="393939"/>
                <w:sz w:val="19"/>
                <w:szCs w:val="19"/>
                <w:bdr w:val="none" w:color="auto" w:sz="0" w:space="0"/>
              </w:rPr>
              <w:t>产品参数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72" w:hRule="atLeast"/>
          <w:tblCellSpacing w:w="15" w:type="dxa"/>
        </w:trPr>
        <w:tc>
          <w:tcPr>
            <w:tcW w:w="1323" w:type="dxa"/>
            <w:vMerge w:val="restart"/>
            <w:tcBorders>
              <w:top w:val="nil"/>
              <w:left w:val="nil"/>
              <w:bottom w:val="nil"/>
              <w:right w:val="nil"/>
            </w:tcBorders>
            <w:shd w:val="clear"/>
            <w:tcMar>
              <w:top w:w="12" w:type="dxa"/>
              <w:left w:w="12" w:type="dxa"/>
              <w:bottom w:w="12" w:type="dxa"/>
              <w:right w:w="12"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3686"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textAlignment w:val="center"/>
            </w:pPr>
            <w:r>
              <w:rPr>
                <w:rFonts w:hint="eastAsia" w:ascii="宋体" w:hAnsi="宋体" w:eastAsia="宋体" w:cs="宋体"/>
                <w:color w:val="393939"/>
                <w:sz w:val="19"/>
                <w:szCs w:val="19"/>
                <w:bdr w:val="none" w:color="auto" w:sz="0" w:space="0"/>
              </w:rPr>
              <w:t>自由度：≥6</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72" w:hRule="atLeast"/>
          <w:tblCellSpacing w:w="15" w:type="dxa"/>
        </w:trPr>
        <w:tc>
          <w:tcPr>
            <w:tcW w:w="1323" w:type="dxa"/>
            <w:vMerge w:val="continue"/>
            <w:tcBorders>
              <w:top w:val="nil"/>
              <w:left w:val="nil"/>
              <w:bottom w:val="nil"/>
              <w:right w:val="nil"/>
            </w:tcBorders>
            <w:shd w:val="clear"/>
            <w:tcMar>
              <w:top w:w="12" w:type="dxa"/>
              <w:left w:w="12" w:type="dxa"/>
              <w:bottom w:w="12" w:type="dxa"/>
              <w:right w:w="12" w:type="dxa"/>
            </w:tcMar>
            <w:vAlign w:val="center"/>
          </w:tcPr>
          <w:p>
            <w:pPr>
              <w:rPr>
                <w:rFonts w:hint="eastAsia" w:ascii="微软雅黑" w:hAnsi="微软雅黑" w:eastAsia="微软雅黑" w:cs="微软雅黑"/>
                <w:color w:val="393939"/>
                <w:sz w:val="15"/>
                <w:szCs w:val="15"/>
              </w:rPr>
            </w:pPr>
          </w:p>
        </w:tc>
        <w:tc>
          <w:tcPr>
            <w:tcW w:w="3686"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textAlignment w:val="center"/>
            </w:pPr>
            <w:r>
              <w:rPr>
                <w:rFonts w:hint="eastAsia" w:ascii="宋体" w:hAnsi="宋体" w:eastAsia="宋体" w:cs="宋体"/>
                <w:color w:val="393939"/>
                <w:sz w:val="19"/>
                <w:szCs w:val="19"/>
                <w:bdr w:val="none" w:color="auto" w:sz="0" w:space="0"/>
              </w:rPr>
              <w:t>有效负载：≥3KG</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72" w:hRule="atLeast"/>
          <w:tblCellSpacing w:w="15" w:type="dxa"/>
        </w:trPr>
        <w:tc>
          <w:tcPr>
            <w:tcW w:w="1323" w:type="dxa"/>
            <w:vMerge w:val="continue"/>
            <w:tcBorders>
              <w:top w:val="nil"/>
              <w:left w:val="nil"/>
              <w:bottom w:val="nil"/>
              <w:right w:val="nil"/>
            </w:tcBorders>
            <w:shd w:val="clear"/>
            <w:tcMar>
              <w:top w:w="12" w:type="dxa"/>
              <w:left w:w="12" w:type="dxa"/>
              <w:bottom w:w="12" w:type="dxa"/>
              <w:right w:w="12" w:type="dxa"/>
            </w:tcMar>
            <w:vAlign w:val="center"/>
          </w:tcPr>
          <w:p>
            <w:pPr>
              <w:rPr>
                <w:rFonts w:hint="eastAsia" w:ascii="微软雅黑" w:hAnsi="微软雅黑" w:eastAsia="微软雅黑" w:cs="微软雅黑"/>
                <w:color w:val="393939"/>
                <w:sz w:val="15"/>
                <w:szCs w:val="15"/>
              </w:rPr>
            </w:pPr>
          </w:p>
        </w:tc>
        <w:tc>
          <w:tcPr>
            <w:tcW w:w="3686"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textAlignment w:val="center"/>
            </w:pPr>
            <w:r>
              <w:rPr>
                <w:rFonts w:hint="eastAsia" w:ascii="宋体" w:hAnsi="宋体" w:eastAsia="宋体" w:cs="宋体"/>
                <w:color w:val="393939"/>
                <w:sz w:val="19"/>
                <w:szCs w:val="19"/>
                <w:bdr w:val="none" w:color="auto" w:sz="0" w:space="0"/>
              </w:rPr>
              <w:t xml:space="preserve">重复定位精度：±0.5 mm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72" w:hRule="atLeast"/>
          <w:tblCellSpacing w:w="15" w:type="dxa"/>
        </w:trPr>
        <w:tc>
          <w:tcPr>
            <w:tcW w:w="1323" w:type="dxa"/>
            <w:vMerge w:val="continue"/>
            <w:tcBorders>
              <w:top w:val="nil"/>
              <w:left w:val="nil"/>
              <w:bottom w:val="nil"/>
              <w:right w:val="nil"/>
            </w:tcBorders>
            <w:shd w:val="clear"/>
            <w:tcMar>
              <w:top w:w="12" w:type="dxa"/>
              <w:left w:w="12" w:type="dxa"/>
              <w:bottom w:w="12" w:type="dxa"/>
              <w:right w:w="12" w:type="dxa"/>
            </w:tcMar>
            <w:vAlign w:val="center"/>
          </w:tcPr>
          <w:p>
            <w:pPr>
              <w:rPr>
                <w:rFonts w:hint="eastAsia" w:ascii="微软雅黑" w:hAnsi="微软雅黑" w:eastAsia="微软雅黑" w:cs="微软雅黑"/>
                <w:color w:val="393939"/>
                <w:sz w:val="15"/>
                <w:szCs w:val="15"/>
              </w:rPr>
            </w:pPr>
          </w:p>
        </w:tc>
        <w:tc>
          <w:tcPr>
            <w:tcW w:w="3686"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textAlignment w:val="center"/>
            </w:pPr>
            <w:r>
              <w:rPr>
                <w:rFonts w:hint="eastAsia" w:ascii="宋体" w:hAnsi="宋体" w:eastAsia="宋体" w:cs="宋体"/>
                <w:color w:val="393939"/>
                <w:sz w:val="19"/>
                <w:szCs w:val="19"/>
                <w:bdr w:val="none" w:color="auto" w:sz="0" w:space="0"/>
              </w:rPr>
              <w:t>最大臂长：≥1000mm</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72" w:hRule="atLeast"/>
          <w:tblCellSpacing w:w="15" w:type="dxa"/>
        </w:trPr>
        <w:tc>
          <w:tcPr>
            <w:tcW w:w="1323" w:type="dxa"/>
            <w:vMerge w:val="continue"/>
            <w:tcBorders>
              <w:top w:val="nil"/>
              <w:left w:val="nil"/>
              <w:bottom w:val="nil"/>
              <w:right w:val="nil"/>
            </w:tcBorders>
            <w:shd w:val="clear"/>
            <w:tcMar>
              <w:top w:w="12" w:type="dxa"/>
              <w:left w:w="12" w:type="dxa"/>
              <w:bottom w:w="12" w:type="dxa"/>
              <w:right w:w="12" w:type="dxa"/>
            </w:tcMar>
            <w:vAlign w:val="center"/>
          </w:tcPr>
          <w:p>
            <w:pPr>
              <w:rPr>
                <w:rFonts w:hint="eastAsia" w:ascii="微软雅黑" w:hAnsi="微软雅黑" w:eastAsia="微软雅黑" w:cs="微软雅黑"/>
                <w:color w:val="393939"/>
                <w:sz w:val="15"/>
                <w:szCs w:val="15"/>
              </w:rPr>
            </w:pPr>
          </w:p>
        </w:tc>
        <w:tc>
          <w:tcPr>
            <w:tcW w:w="3686"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textAlignment w:val="center"/>
            </w:pPr>
            <w:r>
              <w:rPr>
                <w:rFonts w:hint="eastAsia" w:ascii="宋体" w:hAnsi="宋体" w:eastAsia="宋体" w:cs="宋体"/>
                <w:color w:val="393939"/>
                <w:sz w:val="19"/>
                <w:szCs w:val="19"/>
                <w:bdr w:val="none" w:color="auto" w:sz="0" w:space="0"/>
              </w:rPr>
              <w:t>主机重量：≤136KG</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72" w:hRule="atLeast"/>
          <w:tblCellSpacing w:w="15" w:type="dxa"/>
        </w:trPr>
        <w:tc>
          <w:tcPr>
            <w:tcW w:w="1323" w:type="dxa"/>
            <w:vMerge w:val="continue"/>
            <w:tcBorders>
              <w:top w:val="nil"/>
              <w:left w:val="nil"/>
              <w:bottom w:val="nil"/>
              <w:right w:val="nil"/>
            </w:tcBorders>
            <w:shd w:val="clear"/>
            <w:tcMar>
              <w:top w:w="12" w:type="dxa"/>
              <w:left w:w="12" w:type="dxa"/>
              <w:bottom w:w="12" w:type="dxa"/>
              <w:right w:w="12" w:type="dxa"/>
            </w:tcMar>
            <w:vAlign w:val="center"/>
          </w:tcPr>
          <w:p>
            <w:pPr>
              <w:rPr>
                <w:rFonts w:hint="eastAsia" w:ascii="微软雅黑" w:hAnsi="微软雅黑" w:eastAsia="微软雅黑" w:cs="微软雅黑"/>
                <w:color w:val="393939"/>
                <w:sz w:val="15"/>
                <w:szCs w:val="15"/>
              </w:rPr>
            </w:pPr>
          </w:p>
        </w:tc>
        <w:tc>
          <w:tcPr>
            <w:tcW w:w="3686"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textAlignment w:val="center"/>
            </w:pPr>
            <w:r>
              <w:rPr>
                <w:rFonts w:hint="eastAsia" w:ascii="宋体" w:hAnsi="宋体" w:eastAsia="宋体" w:cs="宋体"/>
                <w:color w:val="393939"/>
                <w:sz w:val="19"/>
                <w:szCs w:val="19"/>
                <w:bdr w:val="none" w:color="auto" w:sz="0" w:space="0"/>
              </w:rPr>
              <w:t>电柜尺寸:≤700mm*400mm*330mm;</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72" w:hRule="atLeast"/>
          <w:tblCellSpacing w:w="15" w:type="dxa"/>
        </w:trPr>
        <w:tc>
          <w:tcPr>
            <w:tcW w:w="1323"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jc w:val="center"/>
              <w:textAlignment w:val="center"/>
            </w:pPr>
            <w:r>
              <w:rPr>
                <w:rFonts w:hint="eastAsia" w:ascii="宋体" w:hAnsi="宋体" w:eastAsia="宋体" w:cs="宋体"/>
                <w:color w:val="393939"/>
                <w:sz w:val="19"/>
                <w:szCs w:val="19"/>
                <w:bdr w:val="none" w:color="auto" w:sz="0" w:space="0"/>
              </w:rPr>
              <w:t>HCL自编程6轴机器人软件和电脑</w:t>
            </w:r>
          </w:p>
        </w:tc>
        <w:tc>
          <w:tcPr>
            <w:tcW w:w="3686"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jc w:val="center"/>
              <w:textAlignment w:val="center"/>
            </w:pPr>
            <w:r>
              <w:rPr>
                <w:rFonts w:hint="eastAsia" w:ascii="宋体" w:hAnsi="宋体" w:eastAsia="宋体" w:cs="宋体"/>
                <w:color w:val="393939"/>
                <w:sz w:val="19"/>
                <w:szCs w:val="19"/>
                <w:bdr w:val="none" w:color="auto" w:sz="0" w:space="0"/>
              </w:rPr>
              <w:t>参数设置待机界面、主监控界面和按键说明；指令说明；品 牌电脑，≥19寸彩色液晶屏、鼠标键盘</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72" w:hRule="atLeast"/>
          <w:tblCellSpacing w:w="15" w:type="dxa"/>
        </w:trPr>
        <w:tc>
          <w:tcPr>
            <w:tcW w:w="1323"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jc w:val="center"/>
              <w:textAlignment w:val="center"/>
            </w:pPr>
            <w:r>
              <w:rPr>
                <w:rFonts w:hint="eastAsia" w:ascii="宋体" w:hAnsi="宋体" w:eastAsia="宋体" w:cs="宋体"/>
                <w:color w:val="393939"/>
                <w:sz w:val="19"/>
                <w:szCs w:val="19"/>
                <w:bdr w:val="none" w:color="auto" w:sz="0" w:space="0"/>
              </w:rPr>
              <w:t>气动元件</w:t>
            </w:r>
          </w:p>
        </w:tc>
        <w:tc>
          <w:tcPr>
            <w:tcW w:w="3686"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jc w:val="center"/>
              <w:textAlignment w:val="center"/>
            </w:pPr>
            <w:r>
              <w:rPr>
                <w:rFonts w:hint="eastAsia" w:ascii="宋体" w:hAnsi="宋体" w:eastAsia="宋体" w:cs="宋体"/>
                <w:color w:val="393939"/>
                <w:sz w:val="19"/>
                <w:szCs w:val="19"/>
                <w:bdr w:val="none" w:color="auto" w:sz="0" w:space="0"/>
              </w:rPr>
              <w:t>1、</w:t>
            </w:r>
            <w:r>
              <w:rPr>
                <w:rFonts w:hint="eastAsia" w:ascii="宋体" w:hAnsi="宋体" w:eastAsia="宋体" w:cs="宋体"/>
                <w:color w:val="393939"/>
                <w:spacing w:val="0"/>
                <w:sz w:val="19"/>
                <w:szCs w:val="19"/>
                <w:bdr w:val="none" w:color="auto" w:sz="0" w:space="0"/>
              </w:rPr>
              <w:t>≥</w:t>
            </w:r>
            <w:r>
              <w:rPr>
                <w:rFonts w:hint="eastAsia" w:ascii="宋体" w:hAnsi="宋体" w:eastAsia="宋体" w:cs="宋体"/>
                <w:color w:val="393939"/>
                <w:sz w:val="19"/>
                <w:szCs w:val="19"/>
                <w:bdr w:val="none" w:color="auto" w:sz="0" w:space="0"/>
              </w:rPr>
              <w:t>25型二指气动爪；2、</w:t>
            </w:r>
            <w:r>
              <w:rPr>
                <w:rFonts w:hint="eastAsia" w:ascii="宋体" w:hAnsi="宋体" w:eastAsia="宋体" w:cs="宋体"/>
                <w:color w:val="393939"/>
                <w:spacing w:val="0"/>
                <w:sz w:val="19"/>
                <w:szCs w:val="19"/>
                <w:bdr w:val="none" w:color="auto" w:sz="0" w:space="0"/>
              </w:rPr>
              <w:t>≥</w:t>
            </w:r>
            <w:r>
              <w:rPr>
                <w:rFonts w:hint="eastAsia" w:ascii="宋体" w:hAnsi="宋体" w:eastAsia="宋体" w:cs="宋体"/>
                <w:color w:val="393939"/>
                <w:sz w:val="19"/>
                <w:szCs w:val="19"/>
                <w:bdr w:val="none" w:color="auto" w:sz="0" w:space="0"/>
              </w:rPr>
              <w:t>24V电磁阀；3、</w:t>
            </w:r>
            <w:r>
              <w:rPr>
                <w:rFonts w:hint="eastAsia" w:ascii="宋体" w:hAnsi="宋体" w:eastAsia="宋体" w:cs="宋体"/>
                <w:color w:val="393939"/>
                <w:spacing w:val="0"/>
                <w:sz w:val="19"/>
                <w:szCs w:val="19"/>
                <w:bdr w:val="none" w:color="auto" w:sz="0" w:space="0"/>
              </w:rPr>
              <w:t>≥</w:t>
            </w:r>
            <w:r>
              <w:rPr>
                <w:rFonts w:hint="eastAsia" w:ascii="宋体" w:hAnsi="宋体" w:eastAsia="宋体" w:cs="宋体"/>
                <w:color w:val="393939"/>
                <w:sz w:val="19"/>
                <w:szCs w:val="19"/>
                <w:bdr w:val="none" w:color="auto" w:sz="0" w:space="0"/>
              </w:rPr>
              <w:t>6mm气管</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72" w:hRule="atLeast"/>
          <w:tblCellSpacing w:w="15" w:type="dxa"/>
        </w:trPr>
        <w:tc>
          <w:tcPr>
            <w:tcW w:w="1323"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jc w:val="center"/>
              <w:textAlignment w:val="center"/>
            </w:pPr>
            <w:r>
              <w:rPr>
                <w:rFonts w:hint="eastAsia" w:ascii="宋体" w:hAnsi="宋体" w:eastAsia="宋体" w:cs="宋体"/>
                <w:color w:val="393939"/>
                <w:sz w:val="19"/>
                <w:szCs w:val="19"/>
                <w:bdr w:val="none" w:color="auto" w:sz="0" w:space="0"/>
              </w:rPr>
              <w:t>气泵</w:t>
            </w:r>
          </w:p>
        </w:tc>
        <w:tc>
          <w:tcPr>
            <w:tcW w:w="3686"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jc w:val="center"/>
              <w:textAlignment w:val="center"/>
            </w:pPr>
            <w:r>
              <w:rPr>
                <w:rFonts w:hint="eastAsia" w:ascii="宋体" w:hAnsi="宋体" w:eastAsia="宋体" w:cs="宋体"/>
                <w:color w:val="393939"/>
                <w:spacing w:val="0"/>
                <w:sz w:val="19"/>
                <w:szCs w:val="19"/>
                <w:bdr w:val="none" w:color="auto" w:sz="0" w:space="0"/>
              </w:rPr>
              <w:t>≥</w:t>
            </w:r>
            <w:r>
              <w:rPr>
                <w:rFonts w:hint="eastAsia" w:ascii="宋体" w:hAnsi="宋体" w:eastAsia="宋体" w:cs="宋体"/>
                <w:color w:val="393939"/>
                <w:sz w:val="19"/>
                <w:szCs w:val="19"/>
                <w:bdr w:val="none" w:color="auto" w:sz="0" w:space="0"/>
              </w:rPr>
              <w:t>22V静音气泵</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72" w:hRule="atLeast"/>
          <w:tblCellSpacing w:w="15" w:type="dxa"/>
        </w:trPr>
        <w:tc>
          <w:tcPr>
            <w:tcW w:w="1323"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jc w:val="center"/>
              <w:textAlignment w:val="center"/>
            </w:pPr>
            <w:r>
              <w:rPr>
                <w:rFonts w:hint="eastAsia" w:ascii="宋体" w:hAnsi="宋体" w:eastAsia="宋体" w:cs="宋体"/>
                <w:color w:val="393939"/>
                <w:sz w:val="19"/>
                <w:szCs w:val="19"/>
                <w:bdr w:val="none" w:color="auto" w:sz="0" w:space="0"/>
              </w:rPr>
              <w:t>工件架</w:t>
            </w:r>
          </w:p>
        </w:tc>
        <w:tc>
          <w:tcPr>
            <w:tcW w:w="3686"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jc w:val="center"/>
              <w:textAlignment w:val="center"/>
            </w:pPr>
            <w:r>
              <w:rPr>
                <w:rFonts w:hint="eastAsia" w:ascii="宋体" w:hAnsi="宋体" w:eastAsia="宋体" w:cs="宋体"/>
                <w:color w:val="393939"/>
                <w:sz w:val="19"/>
                <w:szCs w:val="19"/>
                <w:bdr w:val="none" w:color="auto" w:sz="0" w:space="0"/>
              </w:rPr>
              <w:t>1、大小：≤450mm*75mm*6mm 2、重量：≤4KG</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72" w:hRule="atLeast"/>
          <w:tblCellSpacing w:w="15" w:type="dxa"/>
        </w:trPr>
        <w:tc>
          <w:tcPr>
            <w:tcW w:w="1323"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jc w:val="center"/>
              <w:textAlignment w:val="center"/>
            </w:pPr>
            <w:r>
              <w:rPr>
                <w:rFonts w:hint="eastAsia" w:ascii="宋体" w:hAnsi="宋体" w:eastAsia="宋体" w:cs="宋体"/>
                <w:color w:val="393939"/>
                <w:sz w:val="19"/>
                <w:szCs w:val="19"/>
                <w:bdr w:val="none" w:color="auto" w:sz="0" w:space="0"/>
              </w:rPr>
              <w:t>拆装工具</w:t>
            </w:r>
          </w:p>
        </w:tc>
        <w:tc>
          <w:tcPr>
            <w:tcW w:w="3686"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jc w:val="center"/>
              <w:textAlignment w:val="center"/>
            </w:pPr>
            <w:r>
              <w:rPr>
                <w:rFonts w:hint="eastAsia" w:ascii="宋体" w:hAnsi="宋体" w:eastAsia="宋体" w:cs="宋体"/>
                <w:color w:val="393939"/>
                <w:sz w:val="19"/>
                <w:szCs w:val="19"/>
                <w:bdr w:val="none" w:color="auto" w:sz="0" w:space="0"/>
              </w:rPr>
              <w:t>活动扳手、内六角扳手等</w:t>
            </w:r>
          </w:p>
        </w:tc>
      </w:tr>
    </w:tbl>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10.5 可以开展的实训实验项目</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10.5.1 6轴机器人关键零部件及基本结构形成教学</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10.5.2 6轴机器人机械零部件测绘教学</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10.5.3 6轴机器人机械设 计开发教学</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10.5.4 6轴机器人拆卸及装配工艺等知识</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10.5.5 6轴机器人电气安装、调试教学</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10.5.6 6轴机器人示教编程基本指令操作与位置点设置教学</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10.5.7 6轴机器人机械维护、电气维护、电气维修教学</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10.5.8 6轴机器人末端执行器设 计开发教学。</w:t>
      </w:r>
    </w:p>
    <w:p>
      <w:pPr>
        <w:pStyle w:val="3"/>
        <w:keepNext w:val="0"/>
        <w:keepLines w:val="0"/>
        <w:widowControl/>
        <w:suppressLineNumbers w:val="0"/>
        <w:spacing w:before="0" w:beforeAutospacing="0" w:after="0" w:afterAutospacing="0" w:line="324" w:lineRule="atLeast"/>
        <w:ind w:left="0" w:right="0" w:firstLine="384"/>
        <w:textAlignment w:val="center"/>
      </w:pPr>
      <w:r>
        <w:rPr>
          <w:rStyle w:val="5"/>
          <w:rFonts w:hint="eastAsia" w:ascii="宋体" w:hAnsi="宋体" w:eastAsia="宋体" w:cs="宋体"/>
          <w:sz w:val="19"/>
          <w:szCs w:val="19"/>
          <w:bdr w:val="none" w:color="auto" w:sz="0" w:space="0"/>
          <w:shd w:val="clear" w:fill="FFFFFF"/>
        </w:rPr>
        <w:t>11、自编程可拆装6轴教学机器人</w:t>
      </w:r>
    </w:p>
    <w:p>
      <w:pPr>
        <w:pStyle w:val="3"/>
        <w:keepNext w:val="0"/>
        <w:keepLines w:val="0"/>
        <w:widowControl/>
        <w:suppressLineNumbers w:val="0"/>
        <w:spacing w:before="0" w:beforeAutospacing="0" w:after="0" w:afterAutospacing="0" w:line="324" w:lineRule="atLeast"/>
        <w:ind w:left="0" w:right="0" w:firstLine="384"/>
        <w:textAlignment w:val="center"/>
      </w:pPr>
      <w:r>
        <w:rPr>
          <w:rStyle w:val="5"/>
          <w:rFonts w:hint="eastAsia" w:ascii="宋体" w:hAnsi="宋体" w:eastAsia="宋体" w:cs="宋体"/>
          <w:sz w:val="19"/>
          <w:szCs w:val="19"/>
          <w:bdr w:val="none" w:color="auto" w:sz="0" w:space="0"/>
          <w:shd w:val="clear" w:fill="FFFFFF"/>
        </w:rPr>
        <w:t>11.1 主要要求：</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11.1.1 6自由度通用工业机械手机器人，采用垂直多关节串连谐波减速关节结构，伺服/步进电机驱动，最大工作负载≤3公 斤，重复定位精度±0.5mm。</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11.1.2 采用6路示教型控制系统，控制精度高，性能稳定。垂直多关节串连结构，运行灵活，主要应用于教学、科研和工业生产中喷漆、工件拾取和搬运等作业。</w:t>
      </w:r>
    </w:p>
    <w:p>
      <w:pPr>
        <w:pStyle w:val="3"/>
        <w:keepNext w:val="0"/>
        <w:keepLines w:val="0"/>
        <w:widowControl/>
        <w:suppressLineNumbers w:val="0"/>
        <w:spacing w:before="0" w:beforeAutospacing="0" w:after="0" w:afterAutospacing="0" w:line="324" w:lineRule="atLeast"/>
        <w:ind w:left="0" w:right="0" w:firstLine="384"/>
        <w:textAlignment w:val="center"/>
      </w:pPr>
      <w:r>
        <w:rPr>
          <w:rStyle w:val="5"/>
          <w:rFonts w:hint="eastAsia" w:ascii="宋体" w:hAnsi="宋体" w:eastAsia="宋体" w:cs="宋体"/>
          <w:sz w:val="19"/>
          <w:szCs w:val="19"/>
          <w:bdr w:val="none" w:color="auto" w:sz="0" w:space="0"/>
          <w:shd w:val="clear" w:fill="FFFFFF"/>
        </w:rPr>
        <w:t>11.2 机器人技术参数</w:t>
      </w:r>
      <w:r>
        <w:rPr>
          <w:rFonts w:hint="eastAsia" w:ascii="宋体" w:hAnsi="宋体" w:eastAsia="宋体" w:cs="宋体"/>
          <w:sz w:val="19"/>
          <w:szCs w:val="19"/>
          <w:bdr w:val="none" w:color="auto" w:sz="0" w:space="0"/>
          <w:shd w:val="clear" w:fill="FFFFFF"/>
        </w:rPr>
        <w:t>：</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11.2.1 控制软件系统：</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上位机与下位机使用DMA(直接内存存取DMA是数字信号处理器(DSP)中用于快速数据交换的重要技术,它具有独立于CPU的后台批量数据传输能力,能够满足实时图像处理中高速数据传输要求.以TI公司的TMS320C6201 DSP芯片为例,介绍了DMA控制器的特点.结合实例,给出DMA在图像数据实时传输中的一种具体控制和实现方法。实验结果表明,通过灵活地控制DMA,不仅能够提高图像数据的传输效率，而且能够充分地发挥DSP的高速性能。)进行数据交换.上位机获得G代码数据后，进行词法解析，获取坐标数据，坐标数据进行算法计算生成脉冲数据。</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11.2.2 机器本体参数：</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11.2.2.1 ≥24路输入，≥12路输出接口；</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11.2.2.2 全光耦隔离，抗干扰性强，运行稳定；</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11.2.2.3 有手动，自动，归零，编辑，录入操作；</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11.2.2.4 可通过键盘对机械手进操作；在示教编程的基础上，指挥≥六个步进/伺服电机完成指 定的动作；</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11.2.2.5 示教编程过程支持绝对位置、相对位置、延时、等待任意IO口输入信号、实现控制任意IO口输出信号、程序段循环调用等。</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11.2.3 机械参数：</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11.2.3.2 自由度:≥6</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11.2.3.3 驱动方式:≥2伺服4步进电机</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11.2.3.4 有效负载:≥3kg</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11.2.3.5 重复定位精度:±0.5 mm</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 xml:space="preserve">11.2.3.6 运动范围 </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J1轴:±120°</w:t>
      </w:r>
      <w:r>
        <w:rPr>
          <w:rFonts w:hint="eastAsia" w:ascii="宋体" w:hAnsi="宋体" w:eastAsia="宋体" w:cs="宋体"/>
          <w:sz w:val="19"/>
          <w:szCs w:val="19"/>
          <w:bdr w:val="none" w:color="auto" w:sz="0" w:space="0"/>
          <w:shd w:val="clear" w:fill="FFFFFF"/>
        </w:rPr>
        <w:br w:type="textWrapping"/>
      </w:r>
      <w:r>
        <w:rPr>
          <w:rFonts w:hint="eastAsia" w:ascii="宋体" w:hAnsi="宋体" w:eastAsia="宋体" w:cs="宋体"/>
          <w:sz w:val="19"/>
          <w:szCs w:val="19"/>
          <w:bdr w:val="none" w:color="auto" w:sz="0" w:space="0"/>
          <w:shd w:val="clear" w:fill="FFFFFF"/>
        </w:rPr>
        <w:t>J2轴:＋120°～－65°</w:t>
      </w:r>
      <w:r>
        <w:rPr>
          <w:rFonts w:hint="eastAsia" w:ascii="宋体" w:hAnsi="宋体" w:eastAsia="宋体" w:cs="宋体"/>
          <w:sz w:val="19"/>
          <w:szCs w:val="19"/>
          <w:bdr w:val="none" w:color="auto" w:sz="0" w:space="0"/>
          <w:shd w:val="clear" w:fill="FFFFFF"/>
        </w:rPr>
        <w:br w:type="textWrapping"/>
      </w:r>
      <w:r>
        <w:rPr>
          <w:rFonts w:hint="eastAsia" w:ascii="宋体" w:hAnsi="宋体" w:eastAsia="宋体" w:cs="宋体"/>
          <w:sz w:val="19"/>
          <w:szCs w:val="19"/>
          <w:bdr w:val="none" w:color="auto" w:sz="0" w:space="0"/>
          <w:shd w:val="clear" w:fill="FFFFFF"/>
        </w:rPr>
        <w:t>J3轴:＋85°～－130°</w:t>
      </w:r>
      <w:r>
        <w:rPr>
          <w:rFonts w:hint="eastAsia" w:ascii="宋体" w:hAnsi="宋体" w:eastAsia="宋体" w:cs="宋体"/>
          <w:sz w:val="19"/>
          <w:szCs w:val="19"/>
          <w:bdr w:val="none" w:color="auto" w:sz="0" w:space="0"/>
          <w:shd w:val="clear" w:fill="FFFFFF"/>
        </w:rPr>
        <w:br w:type="textWrapping"/>
      </w:r>
      <w:r>
        <w:rPr>
          <w:rFonts w:hint="eastAsia" w:ascii="宋体" w:hAnsi="宋体" w:eastAsia="宋体" w:cs="宋体"/>
          <w:sz w:val="19"/>
          <w:szCs w:val="19"/>
          <w:bdr w:val="none" w:color="auto" w:sz="0" w:space="0"/>
          <w:shd w:val="clear" w:fill="FFFFFF"/>
        </w:rPr>
        <w:t>J4轴:±160°</w:t>
      </w:r>
      <w:r>
        <w:rPr>
          <w:rFonts w:hint="eastAsia" w:ascii="宋体" w:hAnsi="宋体" w:eastAsia="宋体" w:cs="宋体"/>
          <w:sz w:val="19"/>
          <w:szCs w:val="19"/>
          <w:bdr w:val="none" w:color="auto" w:sz="0" w:space="0"/>
          <w:shd w:val="clear" w:fill="FFFFFF"/>
        </w:rPr>
        <w:br w:type="textWrapping"/>
      </w:r>
      <w:r>
        <w:rPr>
          <w:rFonts w:hint="eastAsia" w:ascii="宋体" w:hAnsi="宋体" w:eastAsia="宋体" w:cs="宋体"/>
          <w:sz w:val="19"/>
          <w:szCs w:val="19"/>
          <w:bdr w:val="none" w:color="auto" w:sz="0" w:space="0"/>
          <w:shd w:val="clear" w:fill="FFFFFF"/>
        </w:rPr>
        <w:t>J5轴:±95°</w:t>
      </w:r>
      <w:r>
        <w:rPr>
          <w:rFonts w:hint="eastAsia" w:ascii="宋体" w:hAnsi="宋体" w:eastAsia="宋体" w:cs="宋体"/>
          <w:sz w:val="19"/>
          <w:szCs w:val="19"/>
          <w:bdr w:val="none" w:color="auto" w:sz="0" w:space="0"/>
          <w:shd w:val="clear" w:fill="FFFFFF"/>
        </w:rPr>
        <w:br w:type="textWrapping"/>
      </w:r>
      <w:r>
        <w:rPr>
          <w:rFonts w:hint="eastAsia" w:ascii="宋体" w:hAnsi="宋体" w:eastAsia="宋体" w:cs="宋体"/>
          <w:sz w:val="19"/>
          <w:szCs w:val="19"/>
          <w:bdr w:val="none" w:color="auto" w:sz="0" w:space="0"/>
          <w:shd w:val="clear" w:fill="FFFFFF"/>
        </w:rPr>
        <w:t>J6轴:±250°</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 xml:space="preserve">11.2.3.7 额定速度 </w:t>
      </w:r>
    </w:p>
    <w:p>
      <w:pPr>
        <w:pStyle w:val="3"/>
        <w:keepNext w:val="0"/>
        <w:keepLines w:val="0"/>
        <w:widowControl/>
        <w:suppressLineNumbers w:val="0"/>
        <w:spacing w:before="0" w:beforeAutospacing="0" w:after="0" w:afterAutospacing="0" w:line="324" w:lineRule="atLeast"/>
        <w:ind w:left="768" w:right="0" w:firstLine="192"/>
        <w:textAlignment w:val="center"/>
      </w:pPr>
      <w:r>
        <w:rPr>
          <w:rFonts w:hint="eastAsia" w:ascii="宋体" w:hAnsi="宋体" w:eastAsia="宋体" w:cs="宋体"/>
          <w:sz w:val="19"/>
          <w:szCs w:val="19"/>
          <w:shd w:val="clear" w:fill="FFFFFF"/>
        </w:rPr>
        <w:t>J1轴≥45°/s</w:t>
      </w:r>
      <w:r>
        <w:rPr>
          <w:rFonts w:hint="eastAsia" w:ascii="宋体" w:hAnsi="宋体" w:eastAsia="宋体" w:cs="宋体"/>
          <w:sz w:val="19"/>
          <w:szCs w:val="19"/>
          <w:shd w:val="clear" w:fill="FFFFFF"/>
        </w:rPr>
        <w:br w:type="textWrapping"/>
      </w:r>
      <w:r>
        <w:rPr>
          <w:rFonts w:hint="eastAsia" w:ascii="宋体" w:hAnsi="宋体" w:eastAsia="宋体" w:cs="宋体"/>
          <w:sz w:val="19"/>
          <w:szCs w:val="19"/>
          <w:shd w:val="clear" w:fill="FFFFFF"/>
        </w:rPr>
        <w:t>J2轴≥40°/s</w:t>
      </w:r>
      <w:r>
        <w:rPr>
          <w:rFonts w:hint="eastAsia" w:ascii="宋体" w:hAnsi="宋体" w:eastAsia="宋体" w:cs="宋体"/>
          <w:sz w:val="19"/>
          <w:szCs w:val="19"/>
          <w:shd w:val="clear" w:fill="FFFFFF"/>
        </w:rPr>
        <w:br w:type="textWrapping"/>
      </w:r>
      <w:r>
        <w:rPr>
          <w:rFonts w:hint="eastAsia" w:ascii="宋体" w:hAnsi="宋体" w:eastAsia="宋体" w:cs="宋体"/>
          <w:sz w:val="19"/>
          <w:szCs w:val="19"/>
          <w:shd w:val="clear" w:fill="FFFFFF"/>
        </w:rPr>
        <w:t>J3轴≥45°/s</w:t>
      </w:r>
    </w:p>
    <w:p>
      <w:pPr>
        <w:pStyle w:val="3"/>
        <w:keepNext w:val="0"/>
        <w:keepLines w:val="0"/>
        <w:widowControl/>
        <w:suppressLineNumbers w:val="0"/>
        <w:spacing w:before="0" w:beforeAutospacing="0" w:after="0" w:afterAutospacing="0" w:line="324" w:lineRule="atLeast"/>
        <w:ind w:left="0" w:right="0" w:firstLine="768"/>
        <w:textAlignment w:val="center"/>
      </w:pPr>
      <w:r>
        <w:rPr>
          <w:rFonts w:hint="eastAsia" w:ascii="宋体" w:hAnsi="宋体" w:eastAsia="宋体" w:cs="宋体"/>
          <w:sz w:val="19"/>
          <w:szCs w:val="19"/>
          <w:bdr w:val="none" w:color="auto" w:sz="0" w:space="0"/>
          <w:shd w:val="clear" w:fill="FFFFFF"/>
        </w:rPr>
        <w:t>J4轴≥45°/s</w:t>
      </w:r>
    </w:p>
    <w:p>
      <w:pPr>
        <w:pStyle w:val="3"/>
        <w:keepNext w:val="0"/>
        <w:keepLines w:val="0"/>
        <w:widowControl/>
        <w:suppressLineNumbers w:val="0"/>
        <w:spacing w:before="0" w:beforeAutospacing="0" w:after="0" w:afterAutospacing="0" w:line="324" w:lineRule="atLeast"/>
        <w:ind w:left="0" w:right="0" w:firstLine="768"/>
        <w:textAlignment w:val="center"/>
      </w:pPr>
      <w:r>
        <w:rPr>
          <w:rFonts w:hint="eastAsia" w:ascii="宋体" w:hAnsi="宋体" w:eastAsia="宋体" w:cs="宋体"/>
          <w:sz w:val="19"/>
          <w:szCs w:val="19"/>
          <w:bdr w:val="none" w:color="auto" w:sz="0" w:space="0"/>
          <w:shd w:val="clear" w:fill="FFFFFF"/>
        </w:rPr>
        <w:t>J5轴≥35°/s</w:t>
      </w:r>
      <w:r>
        <w:rPr>
          <w:rFonts w:hint="eastAsia" w:ascii="宋体" w:hAnsi="宋体" w:eastAsia="宋体" w:cs="宋体"/>
          <w:sz w:val="19"/>
          <w:szCs w:val="19"/>
          <w:bdr w:val="none" w:color="auto" w:sz="0" w:space="0"/>
          <w:shd w:val="clear" w:fill="FFFFFF"/>
        </w:rPr>
        <w:br w:type="textWrapping"/>
      </w:r>
      <w:r>
        <w:rPr>
          <w:rFonts w:hint="eastAsia" w:ascii="宋体" w:hAnsi="宋体" w:eastAsia="宋体" w:cs="宋体"/>
          <w:sz w:val="19"/>
          <w:szCs w:val="19"/>
          <w:bdr w:val="none" w:color="auto" w:sz="0" w:space="0"/>
          <w:shd w:val="clear" w:fill="FFFFFF"/>
        </w:rPr>
        <w:t>J6轴 ≥25°/s</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 xml:space="preserve">11.2.3.8 周围环境 </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 xml:space="preserve">温度0～45℃ </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 xml:space="preserve">湿度20～80％（不结露） </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 xml:space="preserve">振动≤0.1mm/s以下安装方式 </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11.2.3.9 地面安装本体质量 ≤122kg</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11.2.3.10 本体尺寸 ≤480*330*1200</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11.2.3.11 电源 220V</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11.2.3.12 功率 ≥300W</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11.2.4 上位软件基于VS2010开发，采用三层架构，界面层与控件层采用C#快速开发，运行库采用C语言开发，对运行算法库进行非托管封装，提供二次开发调用API，实现6轴联动，可自行扩展。</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11.2.5 自编程6轴教学机器人有X，Y，Z，A，B，C六个自由度组成。电机采用2个伺服电机，4个步进电机驱动，配6个谐波减速机减速传动。自编程控制系统由电脑和运动板电路组成，配样板程序，不含普通电脑。</w:t>
      </w:r>
    </w:p>
    <w:p>
      <w:pPr>
        <w:pStyle w:val="3"/>
        <w:keepNext w:val="0"/>
        <w:keepLines w:val="0"/>
        <w:widowControl/>
        <w:suppressLineNumbers w:val="0"/>
        <w:spacing w:before="0" w:beforeAutospacing="0" w:after="0" w:afterAutospacing="0" w:line="324" w:lineRule="atLeast"/>
        <w:ind w:left="0" w:right="0" w:firstLine="384"/>
        <w:textAlignment w:val="center"/>
      </w:pPr>
      <w:r>
        <w:rPr>
          <w:rFonts w:hint="eastAsia" w:ascii="宋体" w:hAnsi="宋体" w:eastAsia="宋体" w:cs="宋体"/>
          <w:sz w:val="19"/>
          <w:szCs w:val="19"/>
          <w:bdr w:val="none" w:color="auto" w:sz="0" w:space="0"/>
          <w:shd w:val="clear" w:fill="FFFFFF"/>
        </w:rPr>
        <w:t>11.2.6 6轴本体铁质底座烤漆处理，手腕和手臂采用铝合金表面镀镍，方便实训拆装。最大工作负载≤3公 斤，采用谐波减速器，重复定位精度±0.5mm，定位准确，运行精度高。通过自编程6轴机器人控制系统使机器人能够在工作空间内任意位置精确定位，方便学员开展工业机器人编程教学创新训练。</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11.3 基本配置：</w:t>
      </w:r>
    </w:p>
    <w:tbl>
      <w:tblPr>
        <w:tblW w:w="7054"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491"/>
        <w:gridCol w:w="904"/>
        <w:gridCol w:w="4532"/>
        <w:gridCol w:w="112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rHeight w:val="228" w:hRule="atLeast"/>
          <w:tblCellSpacing w:w="15" w:type="dxa"/>
        </w:trPr>
        <w:tc>
          <w:tcPr>
            <w:tcW w:w="446"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jc w:val="center"/>
              <w:textAlignment w:val="center"/>
            </w:pPr>
            <w:r>
              <w:rPr>
                <w:rStyle w:val="5"/>
                <w:rFonts w:hint="eastAsia" w:ascii="宋体" w:hAnsi="宋体" w:eastAsia="宋体" w:cs="宋体"/>
                <w:color w:val="393939"/>
                <w:sz w:val="19"/>
                <w:szCs w:val="19"/>
                <w:bdr w:val="none" w:color="auto" w:sz="0" w:space="0"/>
              </w:rPr>
              <w:t>序号</w:t>
            </w:r>
          </w:p>
        </w:tc>
        <w:tc>
          <w:tcPr>
            <w:tcW w:w="874"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jc w:val="center"/>
              <w:textAlignment w:val="center"/>
            </w:pPr>
            <w:r>
              <w:rPr>
                <w:rStyle w:val="5"/>
                <w:rFonts w:hint="eastAsia" w:ascii="宋体" w:hAnsi="宋体" w:eastAsia="宋体" w:cs="宋体"/>
                <w:color w:val="393939"/>
                <w:sz w:val="19"/>
                <w:szCs w:val="19"/>
                <w:bdr w:val="none" w:color="auto" w:sz="0" w:space="0"/>
              </w:rPr>
              <w:t>产品名 称</w:t>
            </w:r>
          </w:p>
        </w:tc>
        <w:tc>
          <w:tcPr>
            <w:tcW w:w="4502"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jc w:val="center"/>
              <w:textAlignment w:val="center"/>
            </w:pPr>
            <w:r>
              <w:rPr>
                <w:rStyle w:val="5"/>
                <w:rFonts w:hint="eastAsia" w:ascii="宋体" w:hAnsi="宋体" w:eastAsia="宋体" w:cs="宋体"/>
                <w:color w:val="393939"/>
                <w:sz w:val="19"/>
                <w:szCs w:val="19"/>
                <w:bdr w:val="none" w:color="auto" w:sz="0" w:space="0"/>
              </w:rPr>
              <w:t>产品参数</w:t>
            </w:r>
          </w:p>
        </w:tc>
        <w:tc>
          <w:tcPr>
            <w:tcW w:w="1082"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jc w:val="center"/>
              <w:textAlignment w:val="center"/>
            </w:pPr>
            <w:r>
              <w:rPr>
                <w:rStyle w:val="5"/>
                <w:rFonts w:hint="eastAsia" w:ascii="宋体" w:hAnsi="宋体" w:eastAsia="宋体" w:cs="宋体"/>
                <w:color w:val="393939"/>
                <w:sz w:val="19"/>
                <w:szCs w:val="19"/>
                <w:bdr w:val="none" w:color="auto" w:sz="0" w:space="0"/>
              </w:rPr>
              <w:t>功能与特点</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72" w:hRule="atLeast"/>
          <w:tblCellSpacing w:w="15" w:type="dxa"/>
        </w:trPr>
        <w:tc>
          <w:tcPr>
            <w:tcW w:w="446" w:type="dxa"/>
            <w:vMerge w:val="restart"/>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w:t>
            </w:r>
          </w:p>
        </w:tc>
        <w:tc>
          <w:tcPr>
            <w:tcW w:w="874" w:type="dxa"/>
            <w:vMerge w:val="restart"/>
            <w:tcBorders>
              <w:top w:val="nil"/>
              <w:left w:val="nil"/>
              <w:bottom w:val="nil"/>
              <w:right w:val="nil"/>
            </w:tcBorders>
            <w:shd w:val="clear"/>
            <w:tcMar>
              <w:top w:w="12" w:type="dxa"/>
              <w:left w:w="12" w:type="dxa"/>
              <w:bottom w:w="12" w:type="dxa"/>
              <w:right w:w="12"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4502"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textAlignment w:val="center"/>
            </w:pPr>
            <w:r>
              <w:rPr>
                <w:rFonts w:hint="eastAsia" w:ascii="宋体" w:hAnsi="宋体" w:eastAsia="宋体" w:cs="宋体"/>
                <w:color w:val="393939"/>
                <w:sz w:val="19"/>
                <w:szCs w:val="19"/>
                <w:bdr w:val="none" w:color="auto" w:sz="0" w:space="0"/>
              </w:rPr>
              <w:t>自由度：≥6</w:t>
            </w:r>
          </w:p>
        </w:tc>
        <w:tc>
          <w:tcPr>
            <w:tcW w:w="1082" w:type="dxa"/>
            <w:vMerge w:val="restart"/>
            <w:tcBorders>
              <w:top w:val="nil"/>
              <w:left w:val="nil"/>
              <w:bottom w:val="nil"/>
              <w:right w:val="nil"/>
            </w:tcBorders>
            <w:shd w:val="clear"/>
            <w:tcMar>
              <w:top w:w="12" w:type="dxa"/>
              <w:left w:w="12" w:type="dxa"/>
              <w:bottom w:w="12" w:type="dxa"/>
              <w:right w:w="12"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72" w:hRule="atLeast"/>
          <w:tblCellSpacing w:w="15" w:type="dxa"/>
        </w:trPr>
        <w:tc>
          <w:tcPr>
            <w:tcW w:w="446" w:type="dxa"/>
            <w:vMerge w:val="continue"/>
            <w:tcBorders>
              <w:top w:val="nil"/>
              <w:left w:val="nil"/>
              <w:bottom w:val="nil"/>
              <w:right w:val="nil"/>
            </w:tcBorders>
            <w:shd w:val="clear"/>
            <w:tcMar>
              <w:top w:w="12" w:type="dxa"/>
              <w:left w:w="12" w:type="dxa"/>
              <w:bottom w:w="12" w:type="dxa"/>
              <w:right w:w="12" w:type="dxa"/>
            </w:tcMar>
            <w:vAlign w:val="center"/>
          </w:tcPr>
          <w:p>
            <w:pPr>
              <w:rPr>
                <w:rFonts w:hint="eastAsia" w:ascii="微软雅黑" w:hAnsi="微软雅黑" w:eastAsia="微软雅黑" w:cs="微软雅黑"/>
                <w:color w:val="393939"/>
                <w:sz w:val="15"/>
                <w:szCs w:val="15"/>
              </w:rPr>
            </w:pPr>
          </w:p>
        </w:tc>
        <w:tc>
          <w:tcPr>
            <w:tcW w:w="874" w:type="dxa"/>
            <w:vMerge w:val="continue"/>
            <w:tcBorders>
              <w:top w:val="nil"/>
              <w:left w:val="nil"/>
              <w:bottom w:val="nil"/>
              <w:right w:val="nil"/>
            </w:tcBorders>
            <w:shd w:val="clear"/>
            <w:tcMar>
              <w:top w:w="12" w:type="dxa"/>
              <w:left w:w="12" w:type="dxa"/>
              <w:bottom w:w="12" w:type="dxa"/>
              <w:right w:w="12" w:type="dxa"/>
            </w:tcMar>
            <w:vAlign w:val="center"/>
          </w:tcPr>
          <w:p>
            <w:pPr>
              <w:rPr>
                <w:rFonts w:hint="eastAsia" w:ascii="微软雅黑" w:hAnsi="微软雅黑" w:eastAsia="微软雅黑" w:cs="微软雅黑"/>
                <w:color w:val="393939"/>
                <w:sz w:val="15"/>
                <w:szCs w:val="15"/>
              </w:rPr>
            </w:pPr>
          </w:p>
        </w:tc>
        <w:tc>
          <w:tcPr>
            <w:tcW w:w="4502"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textAlignment w:val="center"/>
            </w:pPr>
            <w:r>
              <w:rPr>
                <w:rFonts w:hint="eastAsia" w:ascii="宋体" w:hAnsi="宋体" w:eastAsia="宋体" w:cs="宋体"/>
                <w:color w:val="393939"/>
                <w:sz w:val="19"/>
                <w:szCs w:val="19"/>
                <w:bdr w:val="none" w:color="auto" w:sz="0" w:space="0"/>
              </w:rPr>
              <w:t>有效负载：≥3KG</w:t>
            </w:r>
          </w:p>
        </w:tc>
        <w:tc>
          <w:tcPr>
            <w:tcW w:w="1082" w:type="dxa"/>
            <w:vMerge w:val="continue"/>
            <w:tcBorders>
              <w:top w:val="nil"/>
              <w:left w:val="nil"/>
              <w:bottom w:val="nil"/>
              <w:right w:val="nil"/>
            </w:tcBorders>
            <w:shd w:val="clear"/>
            <w:tcMar>
              <w:top w:w="12" w:type="dxa"/>
              <w:left w:w="12" w:type="dxa"/>
              <w:bottom w:w="12" w:type="dxa"/>
              <w:right w:w="12" w:type="dxa"/>
            </w:tcMar>
            <w:vAlign w:val="center"/>
          </w:tcPr>
          <w:p>
            <w:pPr>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72" w:hRule="atLeast"/>
          <w:tblCellSpacing w:w="15" w:type="dxa"/>
        </w:trPr>
        <w:tc>
          <w:tcPr>
            <w:tcW w:w="446" w:type="dxa"/>
            <w:vMerge w:val="continue"/>
            <w:tcBorders>
              <w:top w:val="nil"/>
              <w:left w:val="nil"/>
              <w:bottom w:val="nil"/>
              <w:right w:val="nil"/>
            </w:tcBorders>
            <w:shd w:val="clear"/>
            <w:tcMar>
              <w:top w:w="12" w:type="dxa"/>
              <w:left w:w="12" w:type="dxa"/>
              <w:bottom w:w="12" w:type="dxa"/>
              <w:right w:w="12" w:type="dxa"/>
            </w:tcMar>
            <w:vAlign w:val="center"/>
          </w:tcPr>
          <w:p>
            <w:pPr>
              <w:rPr>
                <w:rFonts w:hint="eastAsia" w:ascii="微软雅黑" w:hAnsi="微软雅黑" w:eastAsia="微软雅黑" w:cs="微软雅黑"/>
                <w:color w:val="393939"/>
                <w:sz w:val="15"/>
                <w:szCs w:val="15"/>
              </w:rPr>
            </w:pPr>
          </w:p>
        </w:tc>
        <w:tc>
          <w:tcPr>
            <w:tcW w:w="874" w:type="dxa"/>
            <w:vMerge w:val="continue"/>
            <w:tcBorders>
              <w:top w:val="nil"/>
              <w:left w:val="nil"/>
              <w:bottom w:val="nil"/>
              <w:right w:val="nil"/>
            </w:tcBorders>
            <w:shd w:val="clear"/>
            <w:tcMar>
              <w:top w:w="12" w:type="dxa"/>
              <w:left w:w="12" w:type="dxa"/>
              <w:bottom w:w="12" w:type="dxa"/>
              <w:right w:w="12" w:type="dxa"/>
            </w:tcMar>
            <w:vAlign w:val="center"/>
          </w:tcPr>
          <w:p>
            <w:pPr>
              <w:rPr>
                <w:rFonts w:hint="eastAsia" w:ascii="微软雅黑" w:hAnsi="微软雅黑" w:eastAsia="微软雅黑" w:cs="微软雅黑"/>
                <w:color w:val="393939"/>
                <w:sz w:val="15"/>
                <w:szCs w:val="15"/>
              </w:rPr>
            </w:pPr>
          </w:p>
        </w:tc>
        <w:tc>
          <w:tcPr>
            <w:tcW w:w="4502"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textAlignment w:val="center"/>
            </w:pPr>
            <w:r>
              <w:rPr>
                <w:rFonts w:hint="eastAsia" w:ascii="宋体" w:hAnsi="宋体" w:eastAsia="宋体" w:cs="宋体"/>
                <w:color w:val="393939"/>
                <w:sz w:val="19"/>
                <w:szCs w:val="19"/>
                <w:bdr w:val="none" w:color="auto" w:sz="0" w:space="0"/>
              </w:rPr>
              <w:t xml:space="preserve">重复定位精度：±0.5 mm </w:t>
            </w:r>
          </w:p>
        </w:tc>
        <w:tc>
          <w:tcPr>
            <w:tcW w:w="1082" w:type="dxa"/>
            <w:vMerge w:val="continue"/>
            <w:tcBorders>
              <w:top w:val="nil"/>
              <w:left w:val="nil"/>
              <w:bottom w:val="nil"/>
              <w:right w:val="nil"/>
            </w:tcBorders>
            <w:shd w:val="clear"/>
            <w:tcMar>
              <w:top w:w="12" w:type="dxa"/>
              <w:left w:w="12" w:type="dxa"/>
              <w:bottom w:w="12" w:type="dxa"/>
              <w:right w:w="12" w:type="dxa"/>
            </w:tcMar>
            <w:vAlign w:val="center"/>
          </w:tcPr>
          <w:p>
            <w:pPr>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72" w:hRule="atLeast"/>
          <w:tblCellSpacing w:w="15" w:type="dxa"/>
        </w:trPr>
        <w:tc>
          <w:tcPr>
            <w:tcW w:w="446" w:type="dxa"/>
            <w:vMerge w:val="continue"/>
            <w:tcBorders>
              <w:top w:val="nil"/>
              <w:left w:val="nil"/>
              <w:bottom w:val="nil"/>
              <w:right w:val="nil"/>
            </w:tcBorders>
            <w:shd w:val="clear"/>
            <w:tcMar>
              <w:top w:w="12" w:type="dxa"/>
              <w:left w:w="12" w:type="dxa"/>
              <w:bottom w:w="12" w:type="dxa"/>
              <w:right w:w="12" w:type="dxa"/>
            </w:tcMar>
            <w:vAlign w:val="center"/>
          </w:tcPr>
          <w:p>
            <w:pPr>
              <w:rPr>
                <w:rFonts w:hint="eastAsia" w:ascii="微软雅黑" w:hAnsi="微软雅黑" w:eastAsia="微软雅黑" w:cs="微软雅黑"/>
                <w:color w:val="393939"/>
                <w:sz w:val="15"/>
                <w:szCs w:val="15"/>
              </w:rPr>
            </w:pPr>
          </w:p>
        </w:tc>
        <w:tc>
          <w:tcPr>
            <w:tcW w:w="874" w:type="dxa"/>
            <w:vMerge w:val="continue"/>
            <w:tcBorders>
              <w:top w:val="nil"/>
              <w:left w:val="nil"/>
              <w:bottom w:val="nil"/>
              <w:right w:val="nil"/>
            </w:tcBorders>
            <w:shd w:val="clear"/>
            <w:tcMar>
              <w:top w:w="12" w:type="dxa"/>
              <w:left w:w="12" w:type="dxa"/>
              <w:bottom w:w="12" w:type="dxa"/>
              <w:right w:w="12" w:type="dxa"/>
            </w:tcMar>
            <w:vAlign w:val="center"/>
          </w:tcPr>
          <w:p>
            <w:pPr>
              <w:rPr>
                <w:rFonts w:hint="eastAsia" w:ascii="微软雅黑" w:hAnsi="微软雅黑" w:eastAsia="微软雅黑" w:cs="微软雅黑"/>
                <w:color w:val="393939"/>
                <w:sz w:val="15"/>
                <w:szCs w:val="15"/>
              </w:rPr>
            </w:pPr>
          </w:p>
        </w:tc>
        <w:tc>
          <w:tcPr>
            <w:tcW w:w="4502"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textAlignment w:val="center"/>
            </w:pPr>
            <w:r>
              <w:rPr>
                <w:rFonts w:hint="eastAsia" w:ascii="宋体" w:hAnsi="宋体" w:eastAsia="宋体" w:cs="宋体"/>
                <w:color w:val="393939"/>
                <w:sz w:val="19"/>
                <w:szCs w:val="19"/>
                <w:bdr w:val="none" w:color="auto" w:sz="0" w:space="0"/>
              </w:rPr>
              <w:t>最大臂长：≥1000mm</w:t>
            </w:r>
          </w:p>
        </w:tc>
        <w:tc>
          <w:tcPr>
            <w:tcW w:w="1082" w:type="dxa"/>
            <w:vMerge w:val="continue"/>
            <w:tcBorders>
              <w:top w:val="nil"/>
              <w:left w:val="nil"/>
              <w:bottom w:val="nil"/>
              <w:right w:val="nil"/>
            </w:tcBorders>
            <w:shd w:val="clear"/>
            <w:tcMar>
              <w:top w:w="12" w:type="dxa"/>
              <w:left w:w="12" w:type="dxa"/>
              <w:bottom w:w="12" w:type="dxa"/>
              <w:right w:w="12" w:type="dxa"/>
            </w:tcMar>
            <w:vAlign w:val="center"/>
          </w:tcPr>
          <w:p>
            <w:pPr>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72" w:hRule="atLeast"/>
          <w:tblCellSpacing w:w="15" w:type="dxa"/>
        </w:trPr>
        <w:tc>
          <w:tcPr>
            <w:tcW w:w="446" w:type="dxa"/>
            <w:vMerge w:val="continue"/>
            <w:tcBorders>
              <w:top w:val="nil"/>
              <w:left w:val="nil"/>
              <w:bottom w:val="nil"/>
              <w:right w:val="nil"/>
            </w:tcBorders>
            <w:shd w:val="clear"/>
            <w:tcMar>
              <w:top w:w="12" w:type="dxa"/>
              <w:left w:w="12" w:type="dxa"/>
              <w:bottom w:w="12" w:type="dxa"/>
              <w:right w:w="12" w:type="dxa"/>
            </w:tcMar>
            <w:vAlign w:val="center"/>
          </w:tcPr>
          <w:p>
            <w:pPr>
              <w:rPr>
                <w:rFonts w:hint="eastAsia" w:ascii="微软雅黑" w:hAnsi="微软雅黑" w:eastAsia="微软雅黑" w:cs="微软雅黑"/>
                <w:color w:val="393939"/>
                <w:sz w:val="15"/>
                <w:szCs w:val="15"/>
              </w:rPr>
            </w:pPr>
          </w:p>
        </w:tc>
        <w:tc>
          <w:tcPr>
            <w:tcW w:w="874" w:type="dxa"/>
            <w:vMerge w:val="continue"/>
            <w:tcBorders>
              <w:top w:val="nil"/>
              <w:left w:val="nil"/>
              <w:bottom w:val="nil"/>
              <w:right w:val="nil"/>
            </w:tcBorders>
            <w:shd w:val="clear"/>
            <w:tcMar>
              <w:top w:w="12" w:type="dxa"/>
              <w:left w:w="12" w:type="dxa"/>
              <w:bottom w:w="12" w:type="dxa"/>
              <w:right w:w="12" w:type="dxa"/>
            </w:tcMar>
            <w:vAlign w:val="center"/>
          </w:tcPr>
          <w:p>
            <w:pPr>
              <w:rPr>
                <w:rFonts w:hint="eastAsia" w:ascii="微软雅黑" w:hAnsi="微软雅黑" w:eastAsia="微软雅黑" w:cs="微软雅黑"/>
                <w:color w:val="393939"/>
                <w:sz w:val="15"/>
                <w:szCs w:val="15"/>
              </w:rPr>
            </w:pPr>
          </w:p>
        </w:tc>
        <w:tc>
          <w:tcPr>
            <w:tcW w:w="4502"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textAlignment w:val="center"/>
            </w:pPr>
            <w:r>
              <w:rPr>
                <w:rFonts w:hint="eastAsia" w:ascii="宋体" w:hAnsi="宋体" w:eastAsia="宋体" w:cs="宋体"/>
                <w:color w:val="393939"/>
                <w:sz w:val="19"/>
                <w:szCs w:val="19"/>
                <w:bdr w:val="none" w:color="auto" w:sz="0" w:space="0"/>
              </w:rPr>
              <w:t>主机重量：≤136KG</w:t>
            </w:r>
          </w:p>
        </w:tc>
        <w:tc>
          <w:tcPr>
            <w:tcW w:w="1082" w:type="dxa"/>
            <w:vMerge w:val="continue"/>
            <w:tcBorders>
              <w:top w:val="nil"/>
              <w:left w:val="nil"/>
              <w:bottom w:val="nil"/>
              <w:right w:val="nil"/>
            </w:tcBorders>
            <w:shd w:val="clear"/>
            <w:tcMar>
              <w:top w:w="12" w:type="dxa"/>
              <w:left w:w="12" w:type="dxa"/>
              <w:bottom w:w="12" w:type="dxa"/>
              <w:right w:w="12" w:type="dxa"/>
            </w:tcMar>
            <w:vAlign w:val="center"/>
          </w:tcPr>
          <w:p>
            <w:pPr>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72" w:hRule="atLeast"/>
          <w:tblCellSpacing w:w="15" w:type="dxa"/>
        </w:trPr>
        <w:tc>
          <w:tcPr>
            <w:tcW w:w="446" w:type="dxa"/>
            <w:vMerge w:val="continue"/>
            <w:tcBorders>
              <w:top w:val="nil"/>
              <w:left w:val="nil"/>
              <w:bottom w:val="nil"/>
              <w:right w:val="nil"/>
            </w:tcBorders>
            <w:shd w:val="clear"/>
            <w:tcMar>
              <w:top w:w="12" w:type="dxa"/>
              <w:left w:w="12" w:type="dxa"/>
              <w:bottom w:w="12" w:type="dxa"/>
              <w:right w:w="12" w:type="dxa"/>
            </w:tcMar>
            <w:vAlign w:val="center"/>
          </w:tcPr>
          <w:p>
            <w:pPr>
              <w:rPr>
                <w:rFonts w:hint="eastAsia" w:ascii="微软雅黑" w:hAnsi="微软雅黑" w:eastAsia="微软雅黑" w:cs="微软雅黑"/>
                <w:color w:val="393939"/>
                <w:sz w:val="15"/>
                <w:szCs w:val="15"/>
              </w:rPr>
            </w:pPr>
          </w:p>
        </w:tc>
        <w:tc>
          <w:tcPr>
            <w:tcW w:w="874" w:type="dxa"/>
            <w:vMerge w:val="continue"/>
            <w:tcBorders>
              <w:top w:val="nil"/>
              <w:left w:val="nil"/>
              <w:bottom w:val="nil"/>
              <w:right w:val="nil"/>
            </w:tcBorders>
            <w:shd w:val="clear"/>
            <w:tcMar>
              <w:top w:w="12" w:type="dxa"/>
              <w:left w:w="12" w:type="dxa"/>
              <w:bottom w:w="12" w:type="dxa"/>
              <w:right w:w="12" w:type="dxa"/>
            </w:tcMar>
            <w:vAlign w:val="center"/>
          </w:tcPr>
          <w:p>
            <w:pPr>
              <w:rPr>
                <w:rFonts w:hint="eastAsia" w:ascii="微软雅黑" w:hAnsi="微软雅黑" w:eastAsia="微软雅黑" w:cs="微软雅黑"/>
                <w:color w:val="393939"/>
                <w:sz w:val="15"/>
                <w:szCs w:val="15"/>
              </w:rPr>
            </w:pPr>
          </w:p>
        </w:tc>
        <w:tc>
          <w:tcPr>
            <w:tcW w:w="4502"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textAlignment w:val="center"/>
            </w:pPr>
            <w:r>
              <w:rPr>
                <w:rFonts w:hint="eastAsia" w:ascii="宋体" w:hAnsi="宋体" w:eastAsia="宋体" w:cs="宋体"/>
                <w:color w:val="393939"/>
                <w:sz w:val="19"/>
                <w:szCs w:val="19"/>
                <w:bdr w:val="none" w:color="auto" w:sz="0" w:space="0"/>
              </w:rPr>
              <w:t>电气系统实训电路板尺寸:≤700mm*500mm*22mm;线路可拆装式</w:t>
            </w:r>
          </w:p>
        </w:tc>
        <w:tc>
          <w:tcPr>
            <w:tcW w:w="1082" w:type="dxa"/>
            <w:vMerge w:val="continue"/>
            <w:tcBorders>
              <w:top w:val="nil"/>
              <w:left w:val="nil"/>
              <w:bottom w:val="nil"/>
              <w:right w:val="nil"/>
            </w:tcBorders>
            <w:shd w:val="clear"/>
            <w:tcMar>
              <w:top w:w="12" w:type="dxa"/>
              <w:left w:w="12" w:type="dxa"/>
              <w:bottom w:w="12" w:type="dxa"/>
              <w:right w:w="12" w:type="dxa"/>
            </w:tcMar>
            <w:vAlign w:val="center"/>
          </w:tcPr>
          <w:p>
            <w:pPr>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1152" w:hRule="atLeast"/>
          <w:tblCellSpacing w:w="15" w:type="dxa"/>
        </w:trPr>
        <w:tc>
          <w:tcPr>
            <w:tcW w:w="446" w:type="dxa"/>
            <w:vMerge w:val="continue"/>
            <w:tcBorders>
              <w:top w:val="nil"/>
              <w:left w:val="nil"/>
              <w:bottom w:val="nil"/>
              <w:right w:val="nil"/>
            </w:tcBorders>
            <w:shd w:val="clear"/>
            <w:tcMar>
              <w:top w:w="12" w:type="dxa"/>
              <w:left w:w="12" w:type="dxa"/>
              <w:bottom w:w="12" w:type="dxa"/>
              <w:right w:w="12" w:type="dxa"/>
            </w:tcMar>
            <w:vAlign w:val="center"/>
          </w:tcPr>
          <w:p>
            <w:pPr>
              <w:rPr>
                <w:rFonts w:hint="eastAsia" w:ascii="微软雅黑" w:hAnsi="微软雅黑" w:eastAsia="微软雅黑" w:cs="微软雅黑"/>
                <w:color w:val="393939"/>
                <w:sz w:val="15"/>
                <w:szCs w:val="15"/>
              </w:rPr>
            </w:pPr>
          </w:p>
        </w:tc>
        <w:tc>
          <w:tcPr>
            <w:tcW w:w="874" w:type="dxa"/>
            <w:vMerge w:val="continue"/>
            <w:tcBorders>
              <w:top w:val="nil"/>
              <w:left w:val="nil"/>
              <w:bottom w:val="nil"/>
              <w:right w:val="nil"/>
            </w:tcBorders>
            <w:shd w:val="clear"/>
            <w:tcMar>
              <w:top w:w="12" w:type="dxa"/>
              <w:left w:w="12" w:type="dxa"/>
              <w:bottom w:w="12" w:type="dxa"/>
              <w:right w:w="12" w:type="dxa"/>
            </w:tcMar>
            <w:vAlign w:val="center"/>
          </w:tcPr>
          <w:p>
            <w:pPr>
              <w:rPr>
                <w:rFonts w:hint="eastAsia" w:ascii="微软雅黑" w:hAnsi="微软雅黑" w:eastAsia="微软雅黑" w:cs="微软雅黑"/>
                <w:color w:val="393939"/>
                <w:sz w:val="15"/>
                <w:szCs w:val="15"/>
              </w:rPr>
            </w:pPr>
          </w:p>
        </w:tc>
        <w:tc>
          <w:tcPr>
            <w:tcW w:w="4502"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hd w:val="clear" w:fill="FFFFFF"/>
              <w:spacing w:line="324" w:lineRule="atLeast"/>
            </w:pPr>
            <w:r>
              <w:rPr>
                <w:rFonts w:hint="eastAsia" w:ascii="宋体" w:hAnsi="宋体" w:eastAsia="宋体" w:cs="宋体"/>
                <w:color w:val="393939"/>
                <w:sz w:val="19"/>
                <w:szCs w:val="19"/>
                <w:bdr w:val="none" w:color="auto" w:sz="0" w:space="0"/>
                <w:shd w:val="clear" w:fill="FFFFFF"/>
              </w:rPr>
              <w:t>控制系统：采用多层线路板，≥32位高性能的CPU和超大规模可编程器件FPGA，系统的整个工艺采用表贴元器件，从而使整套系统更为紧凑；采用多达≥20级的运动指令缓冲区运动控制芯片；≥12路输入，≥24路输出接口；全光耦隔离，抗干扰性强，运行稳定；有手动，自动，归零，编辑，录入操作；可通过键盘对机械手进操作；在示教编程的基础上，指挥六个、步进/伺服电机完成指 定的轨迹动作；</w:t>
            </w:r>
          </w:p>
          <w:p>
            <w:pPr>
              <w:pStyle w:val="3"/>
              <w:keepNext w:val="0"/>
              <w:keepLines w:val="0"/>
              <w:widowControl/>
              <w:suppressLineNumbers w:val="0"/>
              <w:spacing w:line="324" w:lineRule="atLeast"/>
              <w:textAlignment w:val="center"/>
            </w:pPr>
            <w:r>
              <w:rPr>
                <w:rFonts w:hint="eastAsia" w:ascii="宋体" w:hAnsi="宋体" w:eastAsia="宋体" w:cs="宋体"/>
                <w:color w:val="393939"/>
                <w:sz w:val="19"/>
                <w:szCs w:val="19"/>
                <w:bdr w:val="none" w:color="auto" w:sz="0" w:space="0"/>
              </w:rPr>
              <w:t>支持绝对位置、相对位置、延时、等待任意IO口输入信号、控制任意IO口输出信号、程序段循环调用。</w:t>
            </w:r>
          </w:p>
        </w:tc>
        <w:tc>
          <w:tcPr>
            <w:tcW w:w="1082" w:type="dxa"/>
            <w:vMerge w:val="continue"/>
            <w:tcBorders>
              <w:top w:val="nil"/>
              <w:left w:val="nil"/>
              <w:bottom w:val="nil"/>
              <w:right w:val="nil"/>
            </w:tcBorders>
            <w:shd w:val="clear"/>
            <w:tcMar>
              <w:top w:w="12" w:type="dxa"/>
              <w:left w:w="12" w:type="dxa"/>
              <w:bottom w:w="12" w:type="dxa"/>
              <w:right w:w="12" w:type="dxa"/>
            </w:tcMar>
            <w:vAlign w:val="center"/>
          </w:tcPr>
          <w:p>
            <w:pPr>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72" w:hRule="atLeast"/>
          <w:tblCellSpacing w:w="15" w:type="dxa"/>
        </w:trPr>
        <w:tc>
          <w:tcPr>
            <w:tcW w:w="446"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jc w:val="center"/>
              <w:textAlignment w:val="center"/>
            </w:pPr>
            <w:r>
              <w:rPr>
                <w:rFonts w:hint="eastAsia" w:ascii="宋体" w:hAnsi="宋体" w:eastAsia="宋体" w:cs="宋体"/>
                <w:color w:val="393939"/>
                <w:sz w:val="19"/>
                <w:szCs w:val="19"/>
                <w:bdr w:val="none" w:color="auto" w:sz="0" w:space="0"/>
              </w:rPr>
              <w:t>3</w:t>
            </w:r>
          </w:p>
        </w:tc>
        <w:tc>
          <w:tcPr>
            <w:tcW w:w="874"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jc w:val="center"/>
              <w:textAlignment w:val="center"/>
            </w:pPr>
            <w:r>
              <w:rPr>
                <w:rFonts w:hint="eastAsia" w:ascii="宋体" w:hAnsi="宋体" w:eastAsia="宋体" w:cs="宋体"/>
                <w:color w:val="393939"/>
                <w:sz w:val="19"/>
                <w:szCs w:val="19"/>
                <w:bdr w:val="none" w:color="auto" w:sz="0" w:space="0"/>
              </w:rPr>
              <w:t>气动元件</w:t>
            </w:r>
          </w:p>
        </w:tc>
        <w:tc>
          <w:tcPr>
            <w:tcW w:w="4502"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jc w:val="center"/>
              <w:textAlignment w:val="center"/>
            </w:pPr>
            <w:r>
              <w:rPr>
                <w:rFonts w:hint="eastAsia" w:ascii="宋体" w:hAnsi="宋体" w:eastAsia="宋体" w:cs="宋体"/>
                <w:color w:val="393939"/>
                <w:sz w:val="19"/>
                <w:szCs w:val="19"/>
                <w:bdr w:val="none" w:color="auto" w:sz="0" w:space="0"/>
              </w:rPr>
              <w:t>1、≤25型二指气动爪；2、24V电磁阀；3、≤6mm气管</w:t>
            </w:r>
          </w:p>
        </w:tc>
        <w:tc>
          <w:tcPr>
            <w:tcW w:w="1082"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textAlignment w:val="center"/>
            </w:pPr>
            <w:r>
              <w:rPr>
                <w:rFonts w:hint="eastAsia" w:ascii="宋体" w:hAnsi="宋体" w:eastAsia="宋体" w:cs="宋体"/>
                <w:color w:val="393939"/>
                <w:sz w:val="19"/>
                <w:szCs w:val="19"/>
                <w:bdr w:val="none" w:color="auto" w:sz="0" w:space="0"/>
              </w:rPr>
              <w:t>爪工件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72" w:hRule="atLeast"/>
          <w:tblCellSpacing w:w="15" w:type="dxa"/>
        </w:trPr>
        <w:tc>
          <w:tcPr>
            <w:tcW w:w="446"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jc w:val="center"/>
              <w:textAlignment w:val="center"/>
            </w:pPr>
            <w:r>
              <w:rPr>
                <w:rFonts w:hint="eastAsia" w:ascii="宋体" w:hAnsi="宋体" w:eastAsia="宋体" w:cs="宋体"/>
                <w:color w:val="393939"/>
                <w:sz w:val="19"/>
                <w:szCs w:val="19"/>
                <w:bdr w:val="none" w:color="auto" w:sz="0" w:space="0"/>
              </w:rPr>
              <w:t>4</w:t>
            </w:r>
          </w:p>
        </w:tc>
        <w:tc>
          <w:tcPr>
            <w:tcW w:w="874"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jc w:val="center"/>
              <w:textAlignment w:val="center"/>
            </w:pPr>
            <w:r>
              <w:rPr>
                <w:rFonts w:hint="eastAsia" w:ascii="宋体" w:hAnsi="宋体" w:eastAsia="宋体" w:cs="宋体"/>
                <w:color w:val="393939"/>
                <w:sz w:val="19"/>
                <w:szCs w:val="19"/>
                <w:bdr w:val="none" w:color="auto" w:sz="0" w:space="0"/>
              </w:rPr>
              <w:t>气泵</w:t>
            </w:r>
          </w:p>
        </w:tc>
        <w:tc>
          <w:tcPr>
            <w:tcW w:w="4502"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jc w:val="center"/>
              <w:textAlignment w:val="center"/>
            </w:pPr>
            <w:r>
              <w:rPr>
                <w:rFonts w:hint="eastAsia" w:ascii="宋体" w:hAnsi="宋体" w:eastAsia="宋体" w:cs="宋体"/>
                <w:color w:val="393939"/>
                <w:sz w:val="19"/>
                <w:szCs w:val="19"/>
                <w:bdr w:val="none" w:color="auto" w:sz="0" w:space="0"/>
              </w:rPr>
              <w:t>≥22V静音气泵</w:t>
            </w:r>
          </w:p>
        </w:tc>
        <w:tc>
          <w:tcPr>
            <w:tcW w:w="1082"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jc w:val="center"/>
              <w:textAlignment w:val="center"/>
            </w:pPr>
            <w:r>
              <w:rPr>
                <w:rFonts w:hint="eastAsia" w:ascii="宋体" w:hAnsi="宋体" w:eastAsia="宋体" w:cs="宋体"/>
                <w:color w:val="393939"/>
                <w:sz w:val="19"/>
                <w:szCs w:val="19"/>
                <w:bdr w:val="none" w:color="auto" w:sz="0" w:space="0"/>
              </w:rPr>
              <w:t>供气</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72" w:hRule="atLeast"/>
          <w:tblCellSpacing w:w="15" w:type="dxa"/>
        </w:trPr>
        <w:tc>
          <w:tcPr>
            <w:tcW w:w="446"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jc w:val="center"/>
              <w:textAlignment w:val="center"/>
            </w:pPr>
            <w:r>
              <w:rPr>
                <w:rFonts w:hint="eastAsia" w:ascii="宋体" w:hAnsi="宋体" w:eastAsia="宋体" w:cs="宋体"/>
                <w:color w:val="393939"/>
                <w:sz w:val="19"/>
                <w:szCs w:val="19"/>
                <w:bdr w:val="none" w:color="auto" w:sz="0" w:space="0"/>
              </w:rPr>
              <w:t>6</w:t>
            </w:r>
          </w:p>
        </w:tc>
        <w:tc>
          <w:tcPr>
            <w:tcW w:w="874"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jc w:val="center"/>
              <w:textAlignment w:val="center"/>
            </w:pPr>
            <w:r>
              <w:rPr>
                <w:rFonts w:hint="eastAsia" w:ascii="宋体" w:hAnsi="宋体" w:eastAsia="宋体" w:cs="宋体"/>
                <w:color w:val="393939"/>
                <w:sz w:val="19"/>
                <w:szCs w:val="19"/>
                <w:bdr w:val="none" w:color="auto" w:sz="0" w:space="0"/>
              </w:rPr>
              <w:t>工件架</w:t>
            </w:r>
          </w:p>
        </w:tc>
        <w:tc>
          <w:tcPr>
            <w:tcW w:w="4502"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jc w:val="center"/>
              <w:textAlignment w:val="center"/>
            </w:pPr>
            <w:r>
              <w:rPr>
                <w:rFonts w:hint="eastAsia" w:ascii="宋体" w:hAnsi="宋体" w:eastAsia="宋体" w:cs="宋体"/>
                <w:color w:val="393939"/>
                <w:sz w:val="19"/>
                <w:szCs w:val="19"/>
                <w:bdr w:val="none" w:color="auto" w:sz="0" w:space="0"/>
              </w:rPr>
              <w:t>1、大小≤450mm*75mm*6mm ；2、重量≤4KG</w:t>
            </w:r>
          </w:p>
        </w:tc>
        <w:tc>
          <w:tcPr>
            <w:tcW w:w="1082"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jc w:val="center"/>
              <w:textAlignment w:val="center"/>
            </w:pPr>
            <w:r>
              <w:rPr>
                <w:rFonts w:hint="eastAsia" w:ascii="宋体" w:hAnsi="宋体" w:eastAsia="宋体" w:cs="宋体"/>
                <w:color w:val="393939"/>
                <w:sz w:val="19"/>
                <w:szCs w:val="19"/>
                <w:bdr w:val="none" w:color="auto" w:sz="0" w:space="0"/>
              </w:rPr>
              <w:t>支撑工件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372" w:hRule="atLeast"/>
          <w:tblCellSpacing w:w="15" w:type="dxa"/>
        </w:trPr>
        <w:tc>
          <w:tcPr>
            <w:tcW w:w="446"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jc w:val="center"/>
              <w:textAlignment w:val="center"/>
            </w:pPr>
            <w:r>
              <w:rPr>
                <w:rFonts w:hint="eastAsia" w:ascii="宋体" w:hAnsi="宋体" w:eastAsia="宋体" w:cs="宋体"/>
                <w:color w:val="393939"/>
                <w:sz w:val="19"/>
                <w:szCs w:val="19"/>
                <w:bdr w:val="none" w:color="auto" w:sz="0" w:space="0"/>
              </w:rPr>
              <w:t>7</w:t>
            </w:r>
          </w:p>
        </w:tc>
        <w:tc>
          <w:tcPr>
            <w:tcW w:w="874"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jc w:val="center"/>
              <w:textAlignment w:val="center"/>
            </w:pPr>
            <w:r>
              <w:rPr>
                <w:rFonts w:hint="eastAsia" w:ascii="宋体" w:hAnsi="宋体" w:eastAsia="宋体" w:cs="宋体"/>
                <w:color w:val="393939"/>
                <w:sz w:val="19"/>
                <w:szCs w:val="19"/>
                <w:bdr w:val="none" w:color="auto" w:sz="0" w:space="0"/>
              </w:rPr>
              <w:t>拆装工具</w:t>
            </w:r>
          </w:p>
        </w:tc>
        <w:tc>
          <w:tcPr>
            <w:tcW w:w="4502" w:type="dxa"/>
            <w:tcBorders>
              <w:top w:val="nil"/>
              <w:left w:val="nil"/>
              <w:bottom w:val="nil"/>
              <w:right w:val="nil"/>
            </w:tcBorders>
            <w:shd w:val="clear"/>
            <w:tcMar>
              <w:top w:w="12" w:type="dxa"/>
              <w:left w:w="12" w:type="dxa"/>
              <w:bottom w:w="12" w:type="dxa"/>
              <w:right w:w="12" w:type="dxa"/>
            </w:tcMar>
            <w:vAlign w:val="center"/>
          </w:tcPr>
          <w:p>
            <w:pPr>
              <w:pStyle w:val="3"/>
              <w:keepNext w:val="0"/>
              <w:keepLines w:val="0"/>
              <w:widowControl/>
              <w:suppressLineNumbers w:val="0"/>
              <w:spacing w:line="324" w:lineRule="atLeast"/>
              <w:jc w:val="center"/>
              <w:textAlignment w:val="center"/>
            </w:pPr>
            <w:r>
              <w:rPr>
                <w:rFonts w:hint="eastAsia" w:ascii="宋体" w:hAnsi="宋体" w:eastAsia="宋体" w:cs="宋体"/>
                <w:color w:val="393939"/>
                <w:sz w:val="19"/>
                <w:szCs w:val="19"/>
                <w:bdr w:val="none" w:color="auto" w:sz="0" w:space="0"/>
              </w:rPr>
              <w:t>活动扳手、内六角扳手等</w:t>
            </w:r>
          </w:p>
        </w:tc>
        <w:tc>
          <w:tcPr>
            <w:tcW w:w="1082" w:type="dxa"/>
            <w:tcBorders>
              <w:top w:val="nil"/>
              <w:left w:val="nil"/>
              <w:bottom w:val="nil"/>
              <w:right w:val="nil"/>
            </w:tcBorders>
            <w:shd w:val="clear"/>
            <w:tcMar>
              <w:top w:w="12" w:type="dxa"/>
              <w:left w:w="12" w:type="dxa"/>
              <w:bottom w:w="12" w:type="dxa"/>
              <w:right w:w="12"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r>
    </w:tbl>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11.4 可开展的实验项目：</w:t>
      </w:r>
    </w:p>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11.4.1 实验1 6轴机器人机械结构</w:t>
      </w:r>
    </w:p>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11.4.2 实验2 机器人控制系统</w:t>
      </w:r>
    </w:p>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11.4.3 实验3 6轴机器人电路元件和电气原理图</w:t>
      </w:r>
    </w:p>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11.4.4 实验4 6轴机器人接线</w:t>
      </w:r>
    </w:p>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11.4.5 实验5 回原点操作</w:t>
      </w:r>
    </w:p>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11.4.6 实验6 多轴联动和示教编程</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12、工作站显示器</w:t>
      </w:r>
    </w:p>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12.1 颜色：黑色</w:t>
      </w:r>
    </w:p>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12.2 面板：IPS面板</w:t>
      </w:r>
    </w:p>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12.3 能效标识：≥二级</w:t>
      </w:r>
    </w:p>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12.4 显示器尺寸：≥27英寸</w:t>
      </w:r>
    </w:p>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 xml:space="preserve">12.5 屏幕类型：IPS </w:t>
      </w:r>
    </w:p>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12.6 显示器分辨率：≥1920×1080</w:t>
      </w:r>
    </w:p>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12.7 显示比例：16:9</w:t>
      </w:r>
    </w:p>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12.8 壁挂：不支持</w:t>
      </w:r>
    </w:p>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12.9 响应时间：≤5毫秒</w:t>
      </w:r>
    </w:p>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12.10 对比度：≥8000万比1</w:t>
      </w:r>
    </w:p>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12.11 亮度：≥250cd/m2</w:t>
      </w:r>
    </w:p>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12.12 可视角度：≥178</w:t>
      </w:r>
    </w:p>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12.13 内置音箱：支持</w:t>
      </w:r>
    </w:p>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12.14 HDMI接口：≥2个</w:t>
      </w:r>
    </w:p>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12.15 接口类型：HDMI VGA</w:t>
      </w:r>
    </w:p>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12.16 底座：倾斜</w:t>
      </w:r>
    </w:p>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12.17 电源:100-240V，50-60Hz</w:t>
      </w:r>
    </w:p>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12.18 机身尺寸: ≤622.6*441.3*225.2毫米</w:t>
      </w:r>
    </w:p>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12.19 重量: ≤5.2千克</w:t>
      </w:r>
    </w:p>
    <w:p>
      <w:pPr>
        <w:pStyle w:val="3"/>
        <w:keepNext w:val="0"/>
        <w:keepLines w:val="0"/>
        <w:widowControl/>
        <w:suppressLineNumbers w:val="0"/>
        <w:shd w:val="clear" w:fill="FFFFFF"/>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12.20 包装清单：显示器x1、VGA数据线x1、电源适配器x1、质量保修卡x1、安装指南x1</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13、可调直流稳压电源</w:t>
      </w:r>
    </w:p>
    <w:p>
      <w:pPr>
        <w:pStyle w:val="3"/>
        <w:keepNext w:val="0"/>
        <w:keepLines w:val="0"/>
        <w:widowControl/>
        <w:suppressLineNumbers w:val="0"/>
        <w:spacing w:before="0" w:beforeAutospacing="0" w:after="0" w:afterAutospacing="0" w:line="324" w:lineRule="atLeast"/>
        <w:ind w:left="0" w:right="0" w:firstLine="384"/>
      </w:pPr>
      <w:r>
        <w:rPr>
          <w:shd w:val="clear" w:fill="FFFFFF"/>
        </w:rPr>
        <w:drawing>
          <wp:inline distT="0" distB="0" distL="114300" distR="114300">
            <wp:extent cx="47625" cy="38100"/>
            <wp:effectExtent l="0" t="0" r="0" b="0"/>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icPr>
                  <pic:blipFill>
                    <a:blip r:embed="rId4"/>
                    <a:stretch>
                      <a:fillRect/>
                    </a:stretch>
                  </pic:blipFill>
                  <pic:spPr>
                    <a:xfrm>
                      <a:off x="0" y="0"/>
                      <a:ext cx="47625" cy="38100"/>
                    </a:xfrm>
                    <a:prstGeom prst="rect">
                      <a:avLst/>
                    </a:prstGeom>
                    <a:noFill/>
                    <a:ln w="9525">
                      <a:noFill/>
                    </a:ln>
                  </pic:spPr>
                </pic:pic>
              </a:graphicData>
            </a:graphic>
          </wp:inline>
        </w:drawing>
      </w:r>
      <w:r>
        <w:rPr>
          <w:rFonts w:hint="eastAsia" w:ascii="宋体" w:hAnsi="宋体" w:eastAsia="宋体" w:cs="宋体"/>
          <w:sz w:val="19"/>
          <w:szCs w:val="19"/>
          <w:bdr w:val="none" w:color="auto" w:sz="0" w:space="0"/>
          <w:shd w:val="clear" w:fill="FFFFFF"/>
        </w:rPr>
        <w:t>13.1 产品要求：主要用于给单片机、电动机供电，用于机械电子教学实验，该仪器≥4位精确显示电压可电流，并通过旋钮可以调节输出电压和电流，电压范围：0-30V，电流0-5A，具有保护电流设置，可同时进行≥3组输出。</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13.2 技术规格:</w:t>
      </w:r>
    </w:p>
    <w:p>
      <w:pPr>
        <w:pStyle w:val="3"/>
        <w:keepNext w:val="0"/>
        <w:keepLines w:val="0"/>
        <w:widowControl/>
        <w:suppressLineNumbers w:val="0"/>
        <w:spacing w:before="0" w:beforeAutospacing="0" w:after="0" w:afterAutospacing="0"/>
        <w:ind w:left="0" w:right="0"/>
      </w:pPr>
      <w:r>
        <w:rPr>
          <w:bdr w:val="none" w:color="auto" w:sz="0" w:space="0"/>
          <w:shd w:val="clear" w:fill="FFFFFF"/>
        </w:rPr>
        <w:drawing>
          <wp:inline distT="0" distB="0" distL="114300" distR="114300">
            <wp:extent cx="4181475" cy="5905500"/>
            <wp:effectExtent l="0" t="0" r="9525" b="7620"/>
            <wp:docPr id="3" name="图片 2" descr="15262895354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526289535456.png"/>
                    <pic:cNvPicPr>
                      <a:picLocks noChangeAspect="1"/>
                    </pic:cNvPicPr>
                  </pic:nvPicPr>
                  <pic:blipFill>
                    <a:blip r:embed="rId5"/>
                    <a:stretch>
                      <a:fillRect/>
                    </a:stretch>
                  </pic:blipFill>
                  <pic:spPr>
                    <a:xfrm>
                      <a:off x="0" y="0"/>
                      <a:ext cx="4181475" cy="5905500"/>
                    </a:xfrm>
                    <a:prstGeom prst="rect">
                      <a:avLst/>
                    </a:prstGeom>
                    <a:noFill/>
                    <a:ln w="9525">
                      <a:noFill/>
                    </a:ln>
                  </pic:spPr>
                </pic:pic>
              </a:graphicData>
            </a:graphic>
          </wp:inline>
        </w:drawing>
      </w:r>
    </w:p>
    <w:p>
      <w:pPr>
        <w:keepNext w:val="0"/>
        <w:keepLines w:val="0"/>
        <w:widowControl/>
        <w:suppressLineNumbers w:val="0"/>
        <w:spacing w:before="0" w:beforeAutospacing="0" w:after="240" w:afterAutospacing="0"/>
        <w:ind w:left="0" w:right="0"/>
        <w:jc w:val="left"/>
      </w:pP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14、排插</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14.1</w:t>
      </w:r>
      <w:r>
        <w:rPr>
          <w:rStyle w:val="5"/>
          <w:rFonts w:hint="eastAsia" w:ascii="宋体" w:hAnsi="宋体" w:eastAsia="宋体" w:cs="宋体"/>
          <w:sz w:val="19"/>
          <w:szCs w:val="19"/>
          <w:bdr w:val="none" w:color="auto" w:sz="0" w:space="0"/>
          <w:shd w:val="clear" w:fill="FFFFFF"/>
        </w:rPr>
        <w:t xml:space="preserve"> </w:t>
      </w:r>
      <w:r>
        <w:rPr>
          <w:rFonts w:hint="eastAsia" w:ascii="宋体" w:hAnsi="宋体" w:eastAsia="宋体" w:cs="宋体"/>
          <w:sz w:val="19"/>
          <w:szCs w:val="19"/>
          <w:bdr w:val="none" w:color="auto" w:sz="0" w:space="0"/>
          <w:shd w:val="clear" w:fill="FFFFFF"/>
        </w:rPr>
        <w:t>技术规格:</w:t>
      </w:r>
    </w:p>
    <w:tbl>
      <w:tblPr>
        <w:tblW w:w="6119"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2049"/>
        <w:gridCol w:w="407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2004" w:type="dxa"/>
            <w:tcBorders>
              <w:top w:val="nil"/>
              <w:left w:val="nil"/>
              <w:bottom w:val="nil"/>
              <w:right w:val="nil"/>
            </w:tcBorders>
            <w:shd w:val="clear"/>
            <w:tcMar>
              <w:top w:w="0" w:type="dxa"/>
              <w:left w:w="84" w:type="dxa"/>
              <w:bottom w:w="0" w:type="dxa"/>
              <w:right w:w="84"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电流</w:t>
            </w:r>
          </w:p>
        </w:tc>
        <w:tc>
          <w:tcPr>
            <w:tcW w:w="4025" w:type="dxa"/>
            <w:tcBorders>
              <w:top w:val="nil"/>
              <w:left w:val="nil"/>
              <w:bottom w:val="nil"/>
              <w:right w:val="nil"/>
            </w:tcBorders>
            <w:shd w:val="clear"/>
            <w:tcMar>
              <w:top w:w="0" w:type="dxa"/>
              <w:left w:w="84" w:type="dxa"/>
              <w:bottom w:w="0" w:type="dxa"/>
              <w:right w:w="84"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10A</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2004" w:type="dxa"/>
            <w:tcBorders>
              <w:top w:val="nil"/>
              <w:left w:val="nil"/>
              <w:bottom w:val="nil"/>
              <w:right w:val="nil"/>
            </w:tcBorders>
            <w:shd w:val="clear"/>
            <w:tcMar>
              <w:top w:w="0" w:type="dxa"/>
              <w:left w:w="84" w:type="dxa"/>
              <w:bottom w:w="0" w:type="dxa"/>
              <w:right w:w="84"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电压</w:t>
            </w:r>
          </w:p>
        </w:tc>
        <w:tc>
          <w:tcPr>
            <w:tcW w:w="4025" w:type="dxa"/>
            <w:tcBorders>
              <w:top w:val="nil"/>
              <w:left w:val="nil"/>
              <w:bottom w:val="nil"/>
              <w:right w:val="nil"/>
            </w:tcBorders>
            <w:shd w:val="clear"/>
            <w:tcMar>
              <w:top w:w="0" w:type="dxa"/>
              <w:left w:w="84" w:type="dxa"/>
              <w:bottom w:w="0" w:type="dxa"/>
              <w:right w:w="84"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250V</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2004" w:type="dxa"/>
            <w:tcBorders>
              <w:top w:val="nil"/>
              <w:left w:val="nil"/>
              <w:bottom w:val="nil"/>
              <w:right w:val="nil"/>
            </w:tcBorders>
            <w:shd w:val="clear"/>
            <w:tcMar>
              <w:top w:w="0" w:type="dxa"/>
              <w:left w:w="84" w:type="dxa"/>
              <w:bottom w:w="0" w:type="dxa"/>
              <w:right w:w="84"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功率</w:t>
            </w:r>
          </w:p>
        </w:tc>
        <w:tc>
          <w:tcPr>
            <w:tcW w:w="4025" w:type="dxa"/>
            <w:tcBorders>
              <w:top w:val="nil"/>
              <w:left w:val="nil"/>
              <w:bottom w:val="nil"/>
              <w:right w:val="nil"/>
            </w:tcBorders>
            <w:shd w:val="clear"/>
            <w:tcMar>
              <w:top w:w="0" w:type="dxa"/>
              <w:left w:w="84" w:type="dxa"/>
              <w:bottom w:w="0" w:type="dxa"/>
              <w:right w:w="84"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≥2500W</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2004" w:type="dxa"/>
            <w:tcBorders>
              <w:top w:val="nil"/>
              <w:left w:val="nil"/>
              <w:bottom w:val="nil"/>
              <w:right w:val="nil"/>
            </w:tcBorders>
            <w:shd w:val="clear"/>
            <w:tcMar>
              <w:top w:w="0" w:type="dxa"/>
              <w:left w:w="84" w:type="dxa"/>
              <w:bottom w:w="0" w:type="dxa"/>
              <w:right w:w="84"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重量</w:t>
            </w:r>
          </w:p>
        </w:tc>
        <w:tc>
          <w:tcPr>
            <w:tcW w:w="4025" w:type="dxa"/>
            <w:tcBorders>
              <w:top w:val="nil"/>
              <w:left w:val="nil"/>
              <w:bottom w:val="nil"/>
              <w:right w:val="nil"/>
            </w:tcBorders>
            <w:shd w:val="clear"/>
            <w:tcMar>
              <w:top w:w="0" w:type="dxa"/>
              <w:left w:w="84" w:type="dxa"/>
              <w:bottom w:w="0" w:type="dxa"/>
              <w:right w:w="84"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≤324g/414g/500g</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2004" w:type="dxa"/>
            <w:tcBorders>
              <w:top w:val="nil"/>
              <w:left w:val="nil"/>
              <w:bottom w:val="nil"/>
              <w:right w:val="nil"/>
            </w:tcBorders>
            <w:shd w:val="clear"/>
            <w:tcMar>
              <w:top w:w="0" w:type="dxa"/>
              <w:left w:w="84" w:type="dxa"/>
              <w:bottom w:w="0" w:type="dxa"/>
              <w:right w:w="84"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全长</w:t>
            </w:r>
          </w:p>
        </w:tc>
        <w:tc>
          <w:tcPr>
            <w:tcW w:w="4025" w:type="dxa"/>
            <w:tcBorders>
              <w:top w:val="nil"/>
              <w:left w:val="nil"/>
              <w:bottom w:val="nil"/>
              <w:right w:val="nil"/>
            </w:tcBorders>
            <w:shd w:val="clear"/>
            <w:tcMar>
              <w:top w:w="0" w:type="dxa"/>
              <w:left w:w="84" w:type="dxa"/>
              <w:bottom w:w="0" w:type="dxa"/>
              <w:right w:w="84"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≤1.8M/3M/4M</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2004" w:type="dxa"/>
            <w:tcBorders>
              <w:top w:val="nil"/>
              <w:left w:val="nil"/>
              <w:bottom w:val="nil"/>
              <w:right w:val="nil"/>
            </w:tcBorders>
            <w:shd w:val="clear"/>
            <w:tcMar>
              <w:top w:w="0" w:type="dxa"/>
              <w:left w:w="84" w:type="dxa"/>
              <w:bottom w:w="0" w:type="dxa"/>
              <w:right w:w="84"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产品尺寸</w:t>
            </w:r>
          </w:p>
        </w:tc>
        <w:tc>
          <w:tcPr>
            <w:tcW w:w="4025" w:type="dxa"/>
            <w:tcBorders>
              <w:top w:val="nil"/>
              <w:left w:val="nil"/>
              <w:bottom w:val="nil"/>
              <w:right w:val="nil"/>
            </w:tcBorders>
            <w:shd w:val="clear"/>
            <w:tcMar>
              <w:top w:w="0" w:type="dxa"/>
              <w:left w:w="84" w:type="dxa"/>
              <w:bottom w:w="0" w:type="dxa"/>
              <w:right w:w="84"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≥291mm*54mm*32mm</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2004" w:type="dxa"/>
            <w:tcBorders>
              <w:top w:val="nil"/>
              <w:left w:val="nil"/>
              <w:bottom w:val="nil"/>
              <w:right w:val="nil"/>
            </w:tcBorders>
            <w:shd w:val="clear"/>
            <w:tcMar>
              <w:top w:w="0" w:type="dxa"/>
              <w:left w:w="84" w:type="dxa"/>
              <w:bottom w:w="0" w:type="dxa"/>
              <w:right w:w="84"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包装</w:t>
            </w:r>
          </w:p>
        </w:tc>
        <w:tc>
          <w:tcPr>
            <w:tcW w:w="4025" w:type="dxa"/>
            <w:tcBorders>
              <w:top w:val="nil"/>
              <w:left w:val="nil"/>
              <w:bottom w:val="nil"/>
              <w:right w:val="nil"/>
            </w:tcBorders>
            <w:shd w:val="clear"/>
            <w:tcMar>
              <w:top w:w="0" w:type="dxa"/>
              <w:left w:w="84" w:type="dxa"/>
              <w:bottom w:w="0" w:type="dxa"/>
              <w:right w:w="84"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袋装</w:t>
            </w:r>
          </w:p>
        </w:tc>
      </w:tr>
    </w:tbl>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15、品 牌电脑</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15.1 基本参数</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15.1.1 产品类型：商用电脑</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15.1.2 操作系统：预装Windows 10 64bit（64位简体中文版）</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15.1.3 主板芯片组：≥Intel B250</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15.2 处理器</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15.2.1 CPU系列：≥英特尔 酷睿i7 7代系列</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15.2.2 CPU型号：≥Intel 酷睿i7 7700</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15.2.3 CPU频率：≥3.6GHz</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15.2.4 最高睿频：≥4.2GHz</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15.2.5 总线规格：≥DMI3 8GT/s</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15.2.6 缓存：≥L3 8MB</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15.2.7 核心架构：Kaby Lake</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15.2.8 核心/线程数：四核心/八线程</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15.2.9 制程工艺：≥14nm</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15.3 显示器</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15.3.1 尺寸：≥21.5英寸超薄超窄边广视角屏</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15.4 存储设备</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15.4.1 内存容量：≥8GB</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15.4.2 内存类型：DDR4</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15.4.3 内存插槽：2个DiMM插槽</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15.4.4 最大内存容量：≥32GB</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15.4.5 硬盘容量：≥1TB</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15.4.6 硬盘描述：≥7200转</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15.4.7 光驱类型：无内置光驱</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15.5 显卡/声卡</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15.5.1 显卡类型：入门级独立显卡</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15.5.2 显卡芯片：NVIDIA GeForce GT 730</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15.5.3 显存容量：≥2GB</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15.5.4 DirectX：DirectX 12</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15.6 网络通信</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15.6.1 无线网卡：支持802.11a/b/g/n/ac无线协议</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15.6.2 有线网卡：Killer 1000Mbps以太网卡</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15.7 I/O接口</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15.7.1 数据接口：2×USB2.0，6×USB3.0</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15.7.2 音频接口：耳机输出接口，麦克风输入接口</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15.7.3 视频接口：VGA，HDMI，DisplayPort</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15.7.4 网络接口：RJ45（网络接口）</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15.7.5 其它接口：电源接口</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15.8 其它参数</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15.8.1 电源：≥400W电源适配器</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15.8.2 机箱类型：立式</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15.8.3 机箱颜色：银黑色</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15.8.4 机箱尺寸：≤376×324.5×165mm</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15.8.5 机箱重量：≤9kg</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15.8.6 键鼠特性：有线鼠标，有线键盘</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15.9 PC电脑附件</w:t>
      </w:r>
    </w:p>
    <w:p>
      <w:pPr>
        <w:pStyle w:val="3"/>
        <w:keepNext w:val="0"/>
        <w:keepLines w:val="0"/>
        <w:widowControl/>
        <w:suppressLineNumbers w:val="0"/>
        <w:spacing w:before="0" w:beforeAutospacing="0" w:after="0" w:afterAutospacing="0" w:line="324" w:lineRule="atLeast"/>
        <w:ind w:left="348" w:right="0"/>
      </w:pPr>
      <w:r>
        <w:rPr>
          <w:rFonts w:hint="eastAsia" w:ascii="宋体" w:hAnsi="宋体" w:eastAsia="宋体" w:cs="宋体"/>
          <w:sz w:val="19"/>
          <w:szCs w:val="19"/>
          <w:shd w:val="clear" w:fill="FFFFFF"/>
        </w:rPr>
        <w:t>15.9.1 包装清单：主机 x1</w:t>
      </w:r>
      <w:r>
        <w:rPr>
          <w:rFonts w:hint="eastAsia" w:ascii="宋体" w:hAnsi="宋体" w:eastAsia="宋体" w:cs="宋体"/>
          <w:sz w:val="19"/>
          <w:szCs w:val="19"/>
          <w:shd w:val="clear" w:fill="FFFFFF"/>
        </w:rPr>
        <w:br w:type="textWrapping"/>
      </w:r>
      <w:r>
        <w:rPr>
          <w:rFonts w:hint="eastAsia" w:ascii="宋体" w:hAnsi="宋体" w:eastAsia="宋体" w:cs="宋体"/>
          <w:sz w:val="19"/>
          <w:szCs w:val="19"/>
          <w:shd w:val="clear" w:fill="FFFFFF"/>
        </w:rPr>
        <w:t>15.9.2 保修卡 x1</w:t>
      </w:r>
      <w:r>
        <w:rPr>
          <w:rFonts w:hint="eastAsia" w:ascii="宋体" w:hAnsi="宋体" w:eastAsia="宋体" w:cs="宋体"/>
          <w:sz w:val="19"/>
          <w:szCs w:val="19"/>
          <w:shd w:val="clear" w:fill="FFFFFF"/>
        </w:rPr>
        <w:br w:type="textWrapping"/>
      </w:r>
      <w:r>
        <w:rPr>
          <w:rFonts w:hint="eastAsia" w:ascii="宋体" w:hAnsi="宋体" w:eastAsia="宋体" w:cs="宋体"/>
          <w:sz w:val="19"/>
          <w:szCs w:val="19"/>
          <w:shd w:val="clear" w:fill="FFFFFF"/>
        </w:rPr>
        <w:t>15.9.3 说明书 x1</w:t>
      </w:r>
      <w:r>
        <w:rPr>
          <w:rFonts w:hint="eastAsia" w:ascii="宋体" w:hAnsi="宋体" w:eastAsia="宋体" w:cs="宋体"/>
          <w:sz w:val="19"/>
          <w:szCs w:val="19"/>
          <w:shd w:val="clear" w:fill="FFFFFF"/>
        </w:rPr>
        <w:br w:type="textWrapping"/>
      </w:r>
      <w:r>
        <w:rPr>
          <w:rFonts w:hint="eastAsia" w:ascii="宋体" w:hAnsi="宋体" w:eastAsia="宋体" w:cs="宋体"/>
          <w:sz w:val="19"/>
          <w:szCs w:val="19"/>
          <w:shd w:val="clear" w:fill="FFFFFF"/>
        </w:rPr>
        <w:t>15.9.4 驱动光盘 x1</w:t>
      </w:r>
      <w:r>
        <w:rPr>
          <w:rFonts w:hint="eastAsia" w:ascii="宋体" w:hAnsi="宋体" w:eastAsia="宋体" w:cs="宋体"/>
          <w:sz w:val="19"/>
          <w:szCs w:val="19"/>
          <w:shd w:val="clear" w:fill="FFFFFF"/>
        </w:rPr>
        <w:br w:type="textWrapping"/>
      </w:r>
      <w:r>
        <w:rPr>
          <w:rFonts w:hint="eastAsia" w:ascii="宋体" w:hAnsi="宋体" w:eastAsia="宋体" w:cs="宋体"/>
          <w:sz w:val="19"/>
          <w:szCs w:val="19"/>
          <w:shd w:val="clear" w:fill="FFFFFF"/>
        </w:rPr>
        <w:t>15.9.5 数据线 x1</w:t>
      </w:r>
      <w:r>
        <w:rPr>
          <w:rFonts w:hint="eastAsia" w:ascii="宋体" w:hAnsi="宋体" w:eastAsia="宋体" w:cs="宋体"/>
          <w:sz w:val="19"/>
          <w:szCs w:val="19"/>
          <w:shd w:val="clear" w:fill="FFFFFF"/>
        </w:rPr>
        <w:br w:type="textWrapping"/>
      </w:r>
      <w:r>
        <w:rPr>
          <w:rFonts w:hint="eastAsia" w:ascii="宋体" w:hAnsi="宋体" w:eastAsia="宋体" w:cs="宋体"/>
          <w:sz w:val="19"/>
          <w:szCs w:val="19"/>
          <w:shd w:val="clear" w:fill="FFFFFF"/>
        </w:rPr>
        <w:t>15.9.6 电源 x1</w:t>
      </w:r>
      <w:r>
        <w:rPr>
          <w:rFonts w:hint="eastAsia" w:ascii="宋体" w:hAnsi="宋体" w:eastAsia="宋体" w:cs="宋体"/>
          <w:sz w:val="19"/>
          <w:szCs w:val="19"/>
          <w:shd w:val="clear" w:fill="FFFFFF"/>
        </w:rPr>
        <w:br w:type="textWrapping"/>
      </w:r>
      <w:r>
        <w:rPr>
          <w:rFonts w:hint="eastAsia" w:ascii="宋体" w:hAnsi="宋体" w:eastAsia="宋体" w:cs="宋体"/>
          <w:sz w:val="19"/>
          <w:szCs w:val="19"/>
          <w:shd w:val="clear" w:fill="FFFFFF"/>
        </w:rPr>
        <w:t>15.9.7 键鼠套装 x1</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15.10 保修信息</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15.10.1 保修政策：全国联保，享受三包服务</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15.10.2 质保时间：2年</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16、玻璃开门中二斗文件柜技术参数</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16.1 文件柜整体结构为：上部为玻璃双开门，中部为≥2个横排抽屉，底部为钢制双开门。上下各配≥2层层板。</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16.2 外形尺寸：≤高1850×宽900×深400mm</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16.3 层板尺寸：≤高898×宽330×厚20mm</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16.4 重量：≤40KG</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16.5 钢板材质：冷轧钢板</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16.6 钢板厚度：≥0.8mm</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16.7 喷涂工艺：无磷静电粉末喷涂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16.8 外观颜色：灰色</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16.9 锁具：配钢构钥匙锁，开启灵活</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16.10 表面质量：焊点和钢板折弯边角光滑不扎手；内外喷塑表面光滑不粗糙、无垂留喷塑结块。</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17、数字电桥</w:t>
      </w:r>
    </w:p>
    <w:p>
      <w:pPr>
        <w:pStyle w:val="3"/>
        <w:keepNext w:val="0"/>
        <w:keepLines w:val="0"/>
        <w:widowControl/>
        <w:suppressLineNumbers w:val="0"/>
        <w:shd w:val="clear" w:fill="FFFFFF"/>
        <w:spacing w:before="0" w:beforeAutospacing="0" w:after="0" w:afterAutospacing="0" w:line="324" w:lineRule="atLeast"/>
        <w:ind w:left="336" w:right="0"/>
      </w:pPr>
      <w:r>
        <w:rPr>
          <w:rFonts w:hint="eastAsia" w:ascii="宋体" w:hAnsi="宋体" w:eastAsia="宋体" w:cs="宋体"/>
          <w:sz w:val="19"/>
          <w:szCs w:val="19"/>
          <w:shd w:val="clear" w:fill="FFFFFF"/>
        </w:rPr>
        <w:t>17.1 可选择≥8个典型测试频率,最高达≥100 kHz</w:t>
      </w:r>
      <w:r>
        <w:rPr>
          <w:rFonts w:hint="eastAsia" w:ascii="宋体" w:hAnsi="宋体" w:eastAsia="宋体" w:cs="宋体"/>
          <w:sz w:val="19"/>
          <w:szCs w:val="19"/>
          <w:shd w:val="clear" w:fill="FFFFFF"/>
        </w:rPr>
        <w:br w:type="textWrapping"/>
      </w:r>
      <w:r>
        <w:rPr>
          <w:rFonts w:hint="eastAsia" w:ascii="宋体" w:hAnsi="宋体" w:eastAsia="宋体" w:cs="宋体"/>
          <w:sz w:val="19"/>
          <w:szCs w:val="19"/>
          <w:shd w:val="clear" w:fill="FFFFFF"/>
        </w:rPr>
        <w:t>17.2 简便操作与强大功能的合理结合</w:t>
      </w:r>
      <w:r>
        <w:rPr>
          <w:rFonts w:hint="eastAsia" w:ascii="宋体" w:hAnsi="宋体" w:eastAsia="宋体" w:cs="宋体"/>
          <w:sz w:val="19"/>
          <w:szCs w:val="19"/>
          <w:shd w:val="clear" w:fill="FFFFFF"/>
        </w:rPr>
        <w:br w:type="textWrapping"/>
      </w:r>
      <w:r>
        <w:rPr>
          <w:rFonts w:hint="eastAsia" w:ascii="宋体" w:hAnsi="宋体" w:eastAsia="宋体" w:cs="宋体"/>
          <w:sz w:val="19"/>
          <w:szCs w:val="19"/>
          <w:shd w:val="clear" w:fill="FFFFFF"/>
        </w:rPr>
        <w:t>17.3 读数稳 定 性好、可监视测试电平</w:t>
      </w:r>
      <w:r>
        <w:rPr>
          <w:rFonts w:hint="eastAsia" w:ascii="宋体" w:hAnsi="宋体" w:eastAsia="宋体" w:cs="宋体"/>
          <w:sz w:val="19"/>
          <w:szCs w:val="19"/>
          <w:shd w:val="clear" w:fill="FFFFFF"/>
        </w:rPr>
        <w:br w:type="textWrapping"/>
      </w:r>
      <w:r>
        <w:rPr>
          <w:rFonts w:hint="eastAsia" w:ascii="宋体" w:hAnsi="宋体" w:eastAsia="宋体" w:cs="宋体"/>
          <w:sz w:val="19"/>
          <w:szCs w:val="19"/>
          <w:shd w:val="clear" w:fill="FFFFFF"/>
        </w:rPr>
        <w:t>17.4 30 Ω, 100 Ω≥两种输出阻抗</w:t>
      </w:r>
      <w:r>
        <w:rPr>
          <w:rFonts w:hint="eastAsia" w:ascii="宋体" w:hAnsi="宋体" w:eastAsia="宋体" w:cs="宋体"/>
          <w:sz w:val="19"/>
          <w:szCs w:val="19"/>
          <w:shd w:val="clear" w:fill="FFFFFF"/>
        </w:rPr>
        <w:br w:type="textWrapping"/>
      </w:r>
      <w:r>
        <w:rPr>
          <w:rFonts w:hint="eastAsia" w:ascii="宋体" w:hAnsi="宋体" w:eastAsia="宋体" w:cs="宋体"/>
          <w:sz w:val="19"/>
          <w:szCs w:val="19"/>
          <w:shd w:val="clear" w:fill="FFFFFF"/>
        </w:rPr>
        <w:t>17.5 ≥四档分选及HANDLER接口</w:t>
      </w:r>
    </w:p>
    <w:tbl>
      <w:tblPr>
        <w:tblW w:w="6815" w:type="dxa"/>
        <w:tblCellSpacing w:w="15" w:type="dxa"/>
        <w:tblInd w:w="-3"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992"/>
        <w:gridCol w:w="5823"/>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947" w:type="dxa"/>
            <w:tcBorders>
              <w:top w:val="outset" w:color="auto" w:sz="4" w:space="0"/>
              <w:left w:val="outset" w:color="auto" w:sz="4" w:space="0"/>
              <w:bottom w:val="outset" w:color="auto" w:sz="4" w:space="0"/>
              <w:right w:val="outset" w:color="auto" w:sz="4" w:space="0"/>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测试参数</w:t>
            </w:r>
          </w:p>
        </w:tc>
        <w:tc>
          <w:tcPr>
            <w:tcW w:w="5778" w:type="dxa"/>
            <w:tcBorders>
              <w:top w:val="outset" w:color="auto" w:sz="4" w:space="0"/>
              <w:left w:val="nil"/>
              <w:bottom w:val="outset" w:color="auto" w:sz="4" w:space="0"/>
              <w:right w:val="outset" w:color="auto" w:sz="4" w:space="0"/>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L/Q、C/D、R/Q、Z/D、Z/Q</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47" w:type="dxa"/>
            <w:tcBorders>
              <w:top w:val="nil"/>
              <w:left w:val="outset" w:color="auto" w:sz="4" w:space="0"/>
              <w:bottom w:val="outset" w:color="auto" w:sz="4" w:space="0"/>
              <w:right w:val="outset" w:color="auto" w:sz="4" w:space="0"/>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测试频率</w:t>
            </w:r>
          </w:p>
        </w:tc>
        <w:tc>
          <w:tcPr>
            <w:tcW w:w="5778" w:type="dxa"/>
            <w:tcBorders>
              <w:top w:val="nil"/>
              <w:left w:val="nil"/>
              <w:bottom w:val="outset" w:color="auto" w:sz="4" w:space="0"/>
              <w:right w:val="outset" w:color="auto" w:sz="4" w:space="0"/>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100Hz、120Hz、1kHz、10kHz、20kHz、40KHz、50kHz、100KHz</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47" w:type="dxa"/>
            <w:tcBorders>
              <w:top w:val="nil"/>
              <w:left w:val="outset" w:color="auto" w:sz="4" w:space="0"/>
              <w:bottom w:val="outset" w:color="auto" w:sz="4" w:space="0"/>
              <w:right w:val="outset" w:color="auto" w:sz="4" w:space="0"/>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测试电平</w:t>
            </w:r>
          </w:p>
        </w:tc>
        <w:tc>
          <w:tcPr>
            <w:tcW w:w="5778" w:type="dxa"/>
            <w:tcBorders>
              <w:top w:val="nil"/>
              <w:left w:val="nil"/>
              <w:bottom w:val="outset" w:color="auto" w:sz="4" w:space="0"/>
              <w:right w:val="outset" w:color="auto" w:sz="4" w:space="0"/>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0.1V、0.3V、1.0V</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47" w:type="dxa"/>
            <w:tcBorders>
              <w:top w:val="nil"/>
              <w:left w:val="outset" w:color="auto" w:sz="4" w:space="0"/>
              <w:bottom w:val="outset" w:color="auto" w:sz="4" w:space="0"/>
              <w:right w:val="outset" w:color="auto" w:sz="4" w:space="0"/>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输出阻抗</w:t>
            </w:r>
          </w:p>
        </w:tc>
        <w:tc>
          <w:tcPr>
            <w:tcW w:w="5778" w:type="dxa"/>
            <w:tcBorders>
              <w:top w:val="nil"/>
              <w:left w:val="nil"/>
              <w:bottom w:val="outset" w:color="auto" w:sz="4" w:space="0"/>
              <w:right w:val="outset" w:color="auto" w:sz="4" w:space="0"/>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30Ω、100Ω</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47" w:type="dxa"/>
            <w:tcBorders>
              <w:top w:val="nil"/>
              <w:left w:val="outset" w:color="auto" w:sz="4" w:space="0"/>
              <w:bottom w:val="outset" w:color="auto" w:sz="4" w:space="0"/>
              <w:right w:val="outset" w:color="auto" w:sz="4" w:space="0"/>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基本精度</w:t>
            </w:r>
          </w:p>
        </w:tc>
        <w:tc>
          <w:tcPr>
            <w:tcW w:w="5778" w:type="dxa"/>
            <w:tcBorders>
              <w:top w:val="nil"/>
              <w:left w:val="nil"/>
              <w:bottom w:val="outset" w:color="auto" w:sz="4" w:space="0"/>
              <w:right w:val="outset" w:color="auto" w:sz="4" w:space="0"/>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≥0.1%</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47" w:type="dxa"/>
            <w:tcBorders>
              <w:top w:val="nil"/>
              <w:left w:val="outset" w:color="auto" w:sz="4" w:space="0"/>
              <w:bottom w:val="outset" w:color="auto" w:sz="4" w:space="0"/>
              <w:right w:val="outset" w:color="auto" w:sz="4" w:space="0"/>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显示范围</w:t>
            </w:r>
          </w:p>
        </w:tc>
        <w:tc>
          <w:tcPr>
            <w:tcW w:w="5778" w:type="dxa"/>
            <w:tcBorders>
              <w:top w:val="nil"/>
              <w:left w:val="nil"/>
              <w:bottom w:val="outset" w:color="auto" w:sz="4" w:space="0"/>
              <w:right w:val="outset" w:color="auto" w:sz="4" w:space="0"/>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L：0.0001uH－99999H</w:t>
            </w:r>
          </w:p>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C：0.001pF－99999uF</w:t>
            </w:r>
          </w:p>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R/Z：0.0001Ω－99.99MΩ</w:t>
            </w:r>
          </w:p>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Q：0.0001 - 9999</w:t>
            </w:r>
          </w:p>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D：0.0001 - 9.999</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47" w:type="dxa"/>
            <w:tcBorders>
              <w:top w:val="nil"/>
              <w:left w:val="outset" w:color="auto" w:sz="4" w:space="0"/>
              <w:bottom w:val="outset" w:color="auto" w:sz="4" w:space="0"/>
              <w:right w:val="outset" w:color="auto" w:sz="4" w:space="0"/>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测量速度</w:t>
            </w:r>
          </w:p>
        </w:tc>
        <w:tc>
          <w:tcPr>
            <w:tcW w:w="5778" w:type="dxa"/>
            <w:tcBorders>
              <w:top w:val="nil"/>
              <w:left w:val="nil"/>
              <w:bottom w:val="outset" w:color="auto" w:sz="4" w:space="0"/>
              <w:right w:val="outset" w:color="auto" w:sz="4" w:space="0"/>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2次/秒、5次/秒、10次/秒</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47" w:type="dxa"/>
            <w:tcBorders>
              <w:top w:val="nil"/>
              <w:left w:val="outset" w:color="auto" w:sz="4" w:space="0"/>
              <w:bottom w:val="outset" w:color="auto" w:sz="4" w:space="0"/>
              <w:right w:val="outset" w:color="auto" w:sz="4" w:space="0"/>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等效方式</w:t>
            </w:r>
          </w:p>
        </w:tc>
        <w:tc>
          <w:tcPr>
            <w:tcW w:w="5778" w:type="dxa"/>
            <w:tcBorders>
              <w:top w:val="nil"/>
              <w:left w:val="nil"/>
              <w:bottom w:val="outset" w:color="auto" w:sz="4" w:space="0"/>
              <w:right w:val="outset" w:color="auto" w:sz="4" w:space="0"/>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串联、并联</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47" w:type="dxa"/>
            <w:tcBorders>
              <w:top w:val="nil"/>
              <w:left w:val="outset" w:color="auto" w:sz="4" w:space="0"/>
              <w:bottom w:val="outset" w:color="auto" w:sz="4" w:space="0"/>
              <w:right w:val="outset" w:color="auto" w:sz="4" w:space="0"/>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量程方式</w:t>
            </w:r>
          </w:p>
        </w:tc>
        <w:tc>
          <w:tcPr>
            <w:tcW w:w="5778" w:type="dxa"/>
            <w:tcBorders>
              <w:top w:val="nil"/>
              <w:left w:val="nil"/>
              <w:bottom w:val="outset" w:color="auto" w:sz="4" w:space="0"/>
              <w:right w:val="outset" w:color="auto" w:sz="4" w:space="0"/>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自动、保持</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47" w:type="dxa"/>
            <w:tcBorders>
              <w:top w:val="nil"/>
              <w:left w:val="outset" w:color="auto" w:sz="4" w:space="0"/>
              <w:bottom w:val="outset" w:color="auto" w:sz="4" w:space="0"/>
              <w:right w:val="outset" w:color="auto" w:sz="4" w:space="0"/>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清零功能</w:t>
            </w:r>
          </w:p>
        </w:tc>
        <w:tc>
          <w:tcPr>
            <w:tcW w:w="5778" w:type="dxa"/>
            <w:tcBorders>
              <w:top w:val="nil"/>
              <w:left w:val="nil"/>
              <w:bottom w:val="outset" w:color="auto" w:sz="4" w:space="0"/>
              <w:right w:val="outset" w:color="auto" w:sz="4" w:space="0"/>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开路、短路</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47" w:type="dxa"/>
            <w:tcBorders>
              <w:top w:val="nil"/>
              <w:left w:val="outset" w:color="auto" w:sz="4" w:space="0"/>
              <w:bottom w:val="outset" w:color="auto" w:sz="4" w:space="0"/>
              <w:right w:val="outset" w:color="auto" w:sz="4" w:space="0"/>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测试端</w:t>
            </w:r>
          </w:p>
        </w:tc>
        <w:tc>
          <w:tcPr>
            <w:tcW w:w="5778" w:type="dxa"/>
            <w:tcBorders>
              <w:top w:val="nil"/>
              <w:left w:val="nil"/>
              <w:bottom w:val="outset" w:color="auto" w:sz="4" w:space="0"/>
              <w:right w:val="outset" w:color="auto" w:sz="4" w:space="0"/>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5端</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47" w:type="dxa"/>
            <w:tcBorders>
              <w:top w:val="nil"/>
              <w:left w:val="outset" w:color="auto" w:sz="4" w:space="0"/>
              <w:bottom w:val="outset" w:color="auto" w:sz="4" w:space="0"/>
              <w:right w:val="outset" w:color="auto" w:sz="4" w:space="0"/>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尺寸(W×H×D)</w:t>
            </w:r>
          </w:p>
        </w:tc>
        <w:tc>
          <w:tcPr>
            <w:tcW w:w="5778" w:type="dxa"/>
            <w:tcBorders>
              <w:top w:val="nil"/>
              <w:left w:val="nil"/>
              <w:bottom w:val="outset" w:color="auto" w:sz="4" w:space="0"/>
              <w:right w:val="outset" w:color="auto" w:sz="4" w:space="0"/>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≤360×120×310 mm</w:t>
            </w:r>
          </w:p>
        </w:tc>
      </w:tr>
    </w:tbl>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b/>
          <w:sz w:val="19"/>
          <w:szCs w:val="19"/>
          <w:bdr w:val="none" w:color="auto" w:sz="0" w:space="0"/>
          <w:shd w:val="clear" w:fill="FFFFFF"/>
        </w:rPr>
        <w:t>18、</w:t>
      </w:r>
      <w:r>
        <w:rPr>
          <w:rStyle w:val="5"/>
          <w:rFonts w:hint="eastAsia" w:ascii="宋体" w:hAnsi="宋体" w:eastAsia="宋体" w:cs="宋体"/>
          <w:sz w:val="19"/>
          <w:szCs w:val="19"/>
          <w:bdr w:val="none" w:color="auto" w:sz="0" w:space="0"/>
          <w:shd w:val="clear" w:fill="FFFFFF"/>
        </w:rPr>
        <w:t>智能电参数测量仪</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18.1 基本功能</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18.1.1 显示: ≥4窗口显示；V,A, Apk,W,PF,F</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18.1.2 电压:1.0V~300V</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18.1.3 电流:2m A~3A</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18.1.4 功率范围:0.01W ~ 900W</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18.1.5 量程切换:自动</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18.1.6 功率因素:-1.000~+1.000</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18.1.7 精度:0.4%读数+0.1%量程+1字</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18.1.8 频率范围:15Hz ~ 650Hz,带宽：≥5kHz</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18.1.9 上下限判定功能:OK</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18.1.10 接口:RS-232</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18.2 一般特征</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18.2.1 电源:输入电压：115VAC / 230VAC；频率：47Hz～63Hz</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18.2.2 机身颜色:白+灰</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18.2.3 机身重量: ≤2.6Kg</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18.2.4 机身尺寸(W×H×D): ≤220mm×100mm×365mm</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18.2.5 标准配件:电源线</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19、函数信号发生器</w:t>
      </w:r>
    </w:p>
    <w:tbl>
      <w:tblPr>
        <w:tblW w:w="7436"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915"/>
        <w:gridCol w:w="803"/>
        <w:gridCol w:w="1281"/>
        <w:gridCol w:w="830"/>
        <w:gridCol w:w="1030"/>
        <w:gridCol w:w="1567"/>
        <w:gridCol w:w="101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870" w:type="dxa"/>
            <w:tcBorders>
              <w:top w:val="nil"/>
              <w:left w:val="nil"/>
              <w:bottom w:val="nil"/>
              <w:right w:val="nil"/>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模拟带宽</w:t>
            </w:r>
          </w:p>
        </w:tc>
        <w:tc>
          <w:tcPr>
            <w:tcW w:w="773" w:type="dxa"/>
            <w:tcBorders>
              <w:top w:val="nil"/>
              <w:left w:val="nil"/>
              <w:bottom w:val="nil"/>
              <w:right w:val="nil"/>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模拟通道</w:t>
            </w:r>
          </w:p>
        </w:tc>
        <w:tc>
          <w:tcPr>
            <w:tcW w:w="1251" w:type="dxa"/>
            <w:tcBorders>
              <w:top w:val="nil"/>
              <w:left w:val="nil"/>
              <w:bottom w:val="nil"/>
              <w:right w:val="nil"/>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输出频率</w:t>
            </w:r>
          </w:p>
        </w:tc>
        <w:tc>
          <w:tcPr>
            <w:tcW w:w="800" w:type="dxa"/>
            <w:tcBorders>
              <w:top w:val="nil"/>
              <w:left w:val="nil"/>
              <w:bottom w:val="nil"/>
              <w:right w:val="nil"/>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记忆长度</w:t>
            </w:r>
          </w:p>
        </w:tc>
        <w:tc>
          <w:tcPr>
            <w:tcW w:w="1000" w:type="dxa"/>
            <w:tcBorders>
              <w:top w:val="nil"/>
              <w:left w:val="nil"/>
              <w:bottom w:val="nil"/>
              <w:right w:val="nil"/>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采样率</w:t>
            </w:r>
          </w:p>
        </w:tc>
        <w:tc>
          <w:tcPr>
            <w:tcW w:w="1537" w:type="dxa"/>
            <w:tcBorders>
              <w:top w:val="nil"/>
              <w:left w:val="nil"/>
              <w:bottom w:val="nil"/>
              <w:right w:val="nil"/>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垂直分辨率</w:t>
            </w:r>
          </w:p>
        </w:tc>
        <w:tc>
          <w:tcPr>
            <w:tcW w:w="965" w:type="dxa"/>
            <w:tcBorders>
              <w:top w:val="nil"/>
              <w:left w:val="nil"/>
              <w:bottom w:val="nil"/>
              <w:right w:val="nil"/>
            </w:tcBorders>
            <w:shd w:val="clear" w:color="auto" w:fill="FFFFFF"/>
            <w:tcMar>
              <w:top w:w="0" w:type="dxa"/>
              <w:left w:w="0" w:type="dxa"/>
              <w:bottom w:w="0" w:type="dxa"/>
              <w:right w:w="0"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870" w:type="dxa"/>
            <w:tcBorders>
              <w:top w:val="nil"/>
              <w:left w:val="nil"/>
              <w:bottom w:val="nil"/>
              <w:right w:val="nil"/>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≥25MHz</w:t>
            </w:r>
          </w:p>
        </w:tc>
        <w:tc>
          <w:tcPr>
            <w:tcW w:w="773" w:type="dxa"/>
            <w:tcBorders>
              <w:top w:val="nil"/>
              <w:left w:val="nil"/>
              <w:bottom w:val="nil"/>
              <w:right w:val="nil"/>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≥2</w:t>
            </w:r>
          </w:p>
        </w:tc>
        <w:tc>
          <w:tcPr>
            <w:tcW w:w="1251" w:type="dxa"/>
            <w:tcBorders>
              <w:top w:val="nil"/>
              <w:left w:val="nil"/>
              <w:bottom w:val="nil"/>
              <w:right w:val="nil"/>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1uMHz到25MHz</w:t>
            </w:r>
          </w:p>
        </w:tc>
        <w:tc>
          <w:tcPr>
            <w:tcW w:w="800" w:type="dxa"/>
            <w:tcBorders>
              <w:top w:val="nil"/>
              <w:left w:val="nil"/>
              <w:bottom w:val="nil"/>
              <w:right w:val="nil"/>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≥8k点</w:t>
            </w:r>
          </w:p>
        </w:tc>
        <w:tc>
          <w:tcPr>
            <w:tcW w:w="1000" w:type="dxa"/>
            <w:tcBorders>
              <w:top w:val="nil"/>
              <w:left w:val="nil"/>
              <w:bottom w:val="nil"/>
              <w:right w:val="nil"/>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≥125MS/s</w:t>
            </w:r>
          </w:p>
        </w:tc>
        <w:tc>
          <w:tcPr>
            <w:tcW w:w="1537" w:type="dxa"/>
            <w:tcBorders>
              <w:top w:val="nil"/>
              <w:left w:val="nil"/>
              <w:bottom w:val="nil"/>
              <w:right w:val="nil"/>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≥14位</w:t>
            </w:r>
          </w:p>
        </w:tc>
        <w:tc>
          <w:tcPr>
            <w:tcW w:w="965" w:type="dxa"/>
            <w:tcBorders>
              <w:top w:val="nil"/>
              <w:left w:val="nil"/>
              <w:bottom w:val="nil"/>
              <w:right w:val="nil"/>
            </w:tcBorders>
            <w:shd w:val="clear" w:color="auto" w:fill="FFFFFF"/>
            <w:tcMar>
              <w:top w:w="0" w:type="dxa"/>
              <w:left w:w="0" w:type="dxa"/>
              <w:bottom w:w="0" w:type="dxa"/>
              <w:right w:w="0"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7376" w:type="dxa"/>
            <w:gridSpan w:val="7"/>
            <w:tcBorders>
              <w:top w:val="nil"/>
              <w:left w:val="nil"/>
              <w:bottom w:val="nil"/>
              <w:right w:val="nil"/>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要求</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7376" w:type="dxa"/>
            <w:gridSpan w:val="7"/>
            <w:tcBorders>
              <w:top w:val="nil"/>
              <w:left w:val="nil"/>
              <w:bottom w:val="nil"/>
              <w:right w:val="nil"/>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双通道，≥25MHz带宽，1mVpp 到 10Vpp输出；≥14位垂直分辨率和1uHz频率分辨率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7376" w:type="dxa"/>
            <w:gridSpan w:val="7"/>
            <w:tcBorders>
              <w:top w:val="nil"/>
              <w:left w:val="nil"/>
              <w:bottom w:val="nil"/>
              <w:right w:val="nil"/>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≥50种内置连续模式、扫描模式、突发模式和调制模式</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7376" w:type="dxa"/>
            <w:gridSpan w:val="7"/>
            <w:tcBorders>
              <w:top w:val="nil"/>
              <w:left w:val="nil"/>
              <w:bottom w:val="nil"/>
              <w:right w:val="nil"/>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≥3.95英寸专用TFT液晶显示屏，简便操作的前面板和菜单功能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7376" w:type="dxa"/>
            <w:gridSpan w:val="7"/>
            <w:tcBorders>
              <w:top w:val="nil"/>
              <w:left w:val="nil"/>
              <w:bottom w:val="nil"/>
              <w:right w:val="nil"/>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微软雅黑" w:hAnsi="微软雅黑" w:eastAsia="微软雅黑" w:cs="微软雅黑"/>
                <w:color w:val="393939"/>
                <w:sz w:val="15"/>
                <w:szCs w:val="15"/>
                <w:bdr w:val="none" w:color="auto" w:sz="0" w:space="0"/>
              </w:rPr>
              <w:drawing>
                <wp:inline distT="0" distB="0" distL="114300" distR="114300">
                  <wp:extent cx="1333500" cy="247650"/>
                  <wp:effectExtent l="0" t="0" r="7620" b="11430"/>
                  <wp:docPr id="2" name="图片 3" descr="15262895682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526289568284.png"/>
                          <pic:cNvPicPr>
                            <a:picLocks noChangeAspect="1"/>
                          </pic:cNvPicPr>
                        </pic:nvPicPr>
                        <pic:blipFill>
                          <a:blip r:embed="rId6"/>
                          <a:stretch>
                            <a:fillRect/>
                          </a:stretch>
                        </pic:blipFill>
                        <pic:spPr>
                          <a:xfrm>
                            <a:off x="0" y="0"/>
                            <a:ext cx="1333500" cy="247650"/>
                          </a:xfrm>
                          <a:prstGeom prst="rect">
                            <a:avLst/>
                          </a:prstGeom>
                          <a:noFill/>
                          <a:ln w="9525">
                            <a:noFill/>
                          </a:ln>
                        </pic:spPr>
                      </pic:pic>
                    </a:graphicData>
                  </a:graphic>
                </wp:inline>
              </w:drawing>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7376" w:type="dxa"/>
            <w:gridSpan w:val="7"/>
            <w:tcBorders>
              <w:top w:val="nil"/>
              <w:left w:val="nil"/>
              <w:bottom w:val="nil"/>
              <w:right w:val="nil"/>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内置≥200MHz，≥6位频率计</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7376" w:type="dxa"/>
            <w:gridSpan w:val="7"/>
            <w:tcBorders>
              <w:top w:val="nil"/>
              <w:left w:val="nil"/>
              <w:bottom w:val="nil"/>
              <w:right w:val="nil"/>
            </w:tcBorders>
            <w:shd w:val="clear" w:color="auto" w:fill="FFFFFF"/>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三年保修</w:t>
            </w:r>
          </w:p>
        </w:tc>
      </w:tr>
    </w:tbl>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20、三用表校验仪</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20.1 性能参数</w:t>
      </w:r>
    </w:p>
    <w:tbl>
      <w:tblPr>
        <w:tblW w:w="7736" w:type="dxa"/>
        <w:tblCellSpacing w:w="15" w:type="dxa"/>
        <w:tblInd w:w="-3"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425"/>
        <w:gridCol w:w="826"/>
        <w:gridCol w:w="1289"/>
        <w:gridCol w:w="944"/>
        <w:gridCol w:w="963"/>
        <w:gridCol w:w="1113"/>
        <w:gridCol w:w="1089"/>
        <w:gridCol w:w="108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380" w:type="dxa"/>
            <w:vMerge w:val="restart"/>
            <w:tcBorders>
              <w:top w:val="outset" w:color="000000" w:sz="4" w:space="0"/>
              <w:left w:val="outset" w:color="000000" w:sz="4" w:space="0"/>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项目</w:t>
            </w:r>
          </w:p>
        </w:tc>
        <w:tc>
          <w:tcPr>
            <w:tcW w:w="796" w:type="dxa"/>
            <w:vMerge w:val="restart"/>
            <w:tcBorders>
              <w:top w:val="outset" w:color="000000" w:sz="4" w:space="0"/>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量程</w:t>
            </w:r>
            <w:r>
              <w:rPr>
                <w:rFonts w:hint="eastAsia" w:ascii="微软雅黑" w:hAnsi="微软雅黑" w:eastAsia="微软雅黑" w:cs="微软雅黑"/>
                <w:color w:val="393939"/>
                <w:sz w:val="15"/>
                <w:szCs w:val="15"/>
                <w:bdr w:val="none" w:color="auto" w:sz="0" w:space="0"/>
              </w:rPr>
              <w:t xml:space="preserve"> </w:t>
            </w:r>
          </w:p>
        </w:tc>
        <w:tc>
          <w:tcPr>
            <w:tcW w:w="1259" w:type="dxa"/>
            <w:vMerge w:val="restart"/>
            <w:tcBorders>
              <w:top w:val="outset" w:color="000000" w:sz="4" w:space="0"/>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输出范围</w:t>
            </w:r>
          </w:p>
        </w:tc>
        <w:tc>
          <w:tcPr>
            <w:tcW w:w="914" w:type="dxa"/>
            <w:vMerge w:val="restart"/>
            <w:tcBorders>
              <w:top w:val="outset" w:color="000000" w:sz="4" w:space="0"/>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分辨率</w:t>
            </w:r>
          </w:p>
        </w:tc>
        <w:tc>
          <w:tcPr>
            <w:tcW w:w="933" w:type="dxa"/>
            <w:vMerge w:val="restart"/>
            <w:tcBorders>
              <w:top w:val="outset" w:color="000000" w:sz="4" w:space="0"/>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最大输出</w:t>
            </w:r>
          </w:p>
        </w:tc>
        <w:tc>
          <w:tcPr>
            <w:tcW w:w="3244" w:type="dxa"/>
            <w:gridSpan w:val="3"/>
            <w:tcBorders>
              <w:top w:val="outset" w:color="000000" w:sz="4" w:space="0"/>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精度±（读数值%±末位4个字）</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380" w:type="dxa"/>
            <w:vMerge w:val="continue"/>
            <w:tcBorders>
              <w:top w:val="outset" w:color="000000" w:sz="4" w:space="0"/>
              <w:left w:val="outset" w:color="000000" w:sz="4" w:space="0"/>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796" w:type="dxa"/>
            <w:vMerge w:val="continue"/>
            <w:tcBorders>
              <w:top w:val="outset" w:color="000000" w:sz="4" w:space="0"/>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259" w:type="dxa"/>
            <w:vMerge w:val="continue"/>
            <w:tcBorders>
              <w:top w:val="outset" w:color="000000" w:sz="4" w:space="0"/>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914" w:type="dxa"/>
            <w:vMerge w:val="continue"/>
            <w:tcBorders>
              <w:top w:val="outset" w:color="000000" w:sz="4" w:space="0"/>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933" w:type="dxa"/>
            <w:vMerge w:val="continue"/>
            <w:tcBorders>
              <w:top w:val="outset" w:color="000000" w:sz="4" w:space="0"/>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083"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20℃±2℃</w:t>
            </w:r>
          </w:p>
        </w:tc>
        <w:tc>
          <w:tcPr>
            <w:tcW w:w="1059" w:type="dxa"/>
            <w:tcBorders>
              <w:top w:val="outset" w:color="000000" w:sz="4" w:space="0"/>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15℃～25℃</w:t>
            </w:r>
          </w:p>
        </w:tc>
        <w:tc>
          <w:tcPr>
            <w:tcW w:w="1042" w:type="dxa"/>
            <w:tcBorders>
              <w:top w:val="outset" w:color="000000" w:sz="4" w:space="0"/>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0℃～40℃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380" w:type="dxa"/>
            <w:vMerge w:val="restart"/>
            <w:tcBorders>
              <w:top w:val="nil"/>
              <w:left w:val="outset" w:color="000000" w:sz="4" w:space="0"/>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直流电压</w:t>
            </w:r>
          </w:p>
        </w:tc>
        <w:tc>
          <w:tcPr>
            <w:tcW w:w="796"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4V</w:t>
            </w:r>
          </w:p>
        </w:tc>
        <w:tc>
          <w:tcPr>
            <w:tcW w:w="1259"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0～3.9990V</w:t>
            </w:r>
          </w:p>
        </w:tc>
        <w:tc>
          <w:tcPr>
            <w:tcW w:w="914"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0.2mV</w:t>
            </w:r>
          </w:p>
        </w:tc>
        <w:tc>
          <w:tcPr>
            <w:tcW w:w="933"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0.2A</w:t>
            </w:r>
          </w:p>
        </w:tc>
        <w:tc>
          <w:tcPr>
            <w:tcW w:w="1083" w:type="dxa"/>
            <w:vMerge w:val="restart"/>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0.05%</w:t>
            </w:r>
          </w:p>
        </w:tc>
        <w:tc>
          <w:tcPr>
            <w:tcW w:w="1059" w:type="dxa"/>
            <w:vMerge w:val="restart"/>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0.08%</w:t>
            </w:r>
          </w:p>
        </w:tc>
        <w:tc>
          <w:tcPr>
            <w:tcW w:w="1042" w:type="dxa"/>
            <w:vMerge w:val="restart"/>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0.25%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380" w:type="dxa"/>
            <w:vMerge w:val="continue"/>
            <w:tcBorders>
              <w:top w:val="nil"/>
              <w:left w:val="outset" w:color="000000" w:sz="4" w:space="0"/>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796"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40V</w:t>
            </w:r>
          </w:p>
        </w:tc>
        <w:tc>
          <w:tcPr>
            <w:tcW w:w="1259"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0～39.990V</w:t>
            </w:r>
          </w:p>
        </w:tc>
        <w:tc>
          <w:tcPr>
            <w:tcW w:w="914"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2mV</w:t>
            </w:r>
          </w:p>
        </w:tc>
        <w:tc>
          <w:tcPr>
            <w:tcW w:w="933"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0.1A</w:t>
            </w:r>
          </w:p>
        </w:tc>
        <w:tc>
          <w:tcPr>
            <w:tcW w:w="1083"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059"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042"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380" w:type="dxa"/>
            <w:vMerge w:val="continue"/>
            <w:tcBorders>
              <w:top w:val="nil"/>
              <w:left w:val="outset" w:color="000000" w:sz="4" w:space="0"/>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796"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400V</w:t>
            </w:r>
          </w:p>
        </w:tc>
        <w:tc>
          <w:tcPr>
            <w:tcW w:w="1259"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0～399.90V</w:t>
            </w:r>
          </w:p>
        </w:tc>
        <w:tc>
          <w:tcPr>
            <w:tcW w:w="914"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20mV</w:t>
            </w:r>
          </w:p>
        </w:tc>
        <w:tc>
          <w:tcPr>
            <w:tcW w:w="933"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20mA</w:t>
            </w:r>
          </w:p>
        </w:tc>
        <w:tc>
          <w:tcPr>
            <w:tcW w:w="1083"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059"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042"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380" w:type="dxa"/>
            <w:vMerge w:val="continue"/>
            <w:tcBorders>
              <w:top w:val="nil"/>
              <w:left w:val="outset" w:color="000000" w:sz="4" w:space="0"/>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796"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1kV</w:t>
            </w:r>
          </w:p>
        </w:tc>
        <w:tc>
          <w:tcPr>
            <w:tcW w:w="1259"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0～1000.0V</w:t>
            </w:r>
          </w:p>
        </w:tc>
        <w:tc>
          <w:tcPr>
            <w:tcW w:w="914"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100mV</w:t>
            </w:r>
          </w:p>
        </w:tc>
        <w:tc>
          <w:tcPr>
            <w:tcW w:w="933"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10mA</w:t>
            </w:r>
          </w:p>
        </w:tc>
        <w:tc>
          <w:tcPr>
            <w:tcW w:w="1083"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059"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042"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380" w:type="dxa"/>
            <w:vMerge w:val="restart"/>
            <w:tcBorders>
              <w:top w:val="nil"/>
              <w:left w:val="outset" w:color="000000" w:sz="4" w:space="0"/>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直流电流</w:t>
            </w:r>
          </w:p>
        </w:tc>
        <w:tc>
          <w:tcPr>
            <w:tcW w:w="796"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400μA</w:t>
            </w:r>
          </w:p>
        </w:tc>
        <w:tc>
          <w:tcPr>
            <w:tcW w:w="1259"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0～399.90μA</w:t>
            </w:r>
          </w:p>
        </w:tc>
        <w:tc>
          <w:tcPr>
            <w:tcW w:w="914"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0.02μA</w:t>
            </w:r>
          </w:p>
        </w:tc>
        <w:tc>
          <w:tcPr>
            <w:tcW w:w="933"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3V</w:t>
            </w:r>
          </w:p>
        </w:tc>
        <w:tc>
          <w:tcPr>
            <w:tcW w:w="1083" w:type="dxa"/>
            <w:vMerge w:val="restart"/>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0.05%</w:t>
            </w:r>
          </w:p>
        </w:tc>
        <w:tc>
          <w:tcPr>
            <w:tcW w:w="1059" w:type="dxa"/>
            <w:vMerge w:val="restart"/>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0.08%</w:t>
            </w:r>
          </w:p>
        </w:tc>
        <w:tc>
          <w:tcPr>
            <w:tcW w:w="1042" w:type="dxa"/>
            <w:vMerge w:val="restart"/>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0.25%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380" w:type="dxa"/>
            <w:vMerge w:val="continue"/>
            <w:tcBorders>
              <w:top w:val="nil"/>
              <w:left w:val="outset" w:color="000000" w:sz="4" w:space="0"/>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796"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4mA</w:t>
            </w:r>
          </w:p>
        </w:tc>
        <w:tc>
          <w:tcPr>
            <w:tcW w:w="1259"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0～3.9990mA</w:t>
            </w:r>
          </w:p>
        </w:tc>
        <w:tc>
          <w:tcPr>
            <w:tcW w:w="914"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0.2μA</w:t>
            </w:r>
          </w:p>
        </w:tc>
        <w:tc>
          <w:tcPr>
            <w:tcW w:w="933"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3V</w:t>
            </w:r>
          </w:p>
        </w:tc>
        <w:tc>
          <w:tcPr>
            <w:tcW w:w="1083"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059"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042"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380" w:type="dxa"/>
            <w:vMerge w:val="continue"/>
            <w:tcBorders>
              <w:top w:val="nil"/>
              <w:left w:val="outset" w:color="000000" w:sz="4" w:space="0"/>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796"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40mA</w:t>
            </w:r>
          </w:p>
        </w:tc>
        <w:tc>
          <w:tcPr>
            <w:tcW w:w="1259"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0～39. 990mA</w:t>
            </w:r>
          </w:p>
        </w:tc>
        <w:tc>
          <w:tcPr>
            <w:tcW w:w="914"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2μA</w:t>
            </w:r>
          </w:p>
        </w:tc>
        <w:tc>
          <w:tcPr>
            <w:tcW w:w="933"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3V</w:t>
            </w:r>
          </w:p>
        </w:tc>
        <w:tc>
          <w:tcPr>
            <w:tcW w:w="1083" w:type="dxa"/>
            <w:vMerge w:val="restart"/>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0.1%</w:t>
            </w:r>
          </w:p>
        </w:tc>
        <w:tc>
          <w:tcPr>
            <w:tcW w:w="1059" w:type="dxa"/>
            <w:vMerge w:val="restart"/>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0.15%</w:t>
            </w:r>
          </w:p>
        </w:tc>
        <w:tc>
          <w:tcPr>
            <w:tcW w:w="1042" w:type="dxa"/>
            <w:vMerge w:val="restart"/>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0.3%</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380" w:type="dxa"/>
            <w:vMerge w:val="continue"/>
            <w:tcBorders>
              <w:top w:val="nil"/>
              <w:left w:val="outset" w:color="000000" w:sz="4" w:space="0"/>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796"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400 mA</w:t>
            </w:r>
          </w:p>
        </w:tc>
        <w:tc>
          <w:tcPr>
            <w:tcW w:w="1259"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0～399.90mA</w:t>
            </w:r>
          </w:p>
        </w:tc>
        <w:tc>
          <w:tcPr>
            <w:tcW w:w="914"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20μA</w:t>
            </w:r>
          </w:p>
        </w:tc>
        <w:tc>
          <w:tcPr>
            <w:tcW w:w="933"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2.5 V</w:t>
            </w:r>
          </w:p>
        </w:tc>
        <w:tc>
          <w:tcPr>
            <w:tcW w:w="1083"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059"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042"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380" w:type="dxa"/>
            <w:vMerge w:val="continue"/>
            <w:tcBorders>
              <w:top w:val="nil"/>
              <w:left w:val="outset" w:color="000000" w:sz="4" w:space="0"/>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796"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2A</w:t>
            </w:r>
          </w:p>
        </w:tc>
        <w:tc>
          <w:tcPr>
            <w:tcW w:w="1259"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0～2.0000A</w:t>
            </w:r>
          </w:p>
        </w:tc>
        <w:tc>
          <w:tcPr>
            <w:tcW w:w="914"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200μA</w:t>
            </w:r>
          </w:p>
        </w:tc>
        <w:tc>
          <w:tcPr>
            <w:tcW w:w="933"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2.5V</w:t>
            </w:r>
          </w:p>
        </w:tc>
        <w:tc>
          <w:tcPr>
            <w:tcW w:w="1083"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059"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042"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380" w:type="dxa"/>
            <w:vMerge w:val="continue"/>
            <w:tcBorders>
              <w:top w:val="nil"/>
              <w:left w:val="outset" w:color="000000" w:sz="4" w:space="0"/>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796"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10A</w:t>
            </w:r>
          </w:p>
        </w:tc>
        <w:tc>
          <w:tcPr>
            <w:tcW w:w="1259"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0～10.000A</w:t>
            </w:r>
          </w:p>
        </w:tc>
        <w:tc>
          <w:tcPr>
            <w:tcW w:w="914"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2mA</w:t>
            </w:r>
          </w:p>
        </w:tc>
        <w:tc>
          <w:tcPr>
            <w:tcW w:w="933"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1V</w:t>
            </w:r>
          </w:p>
        </w:tc>
        <w:tc>
          <w:tcPr>
            <w:tcW w:w="1083"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0.2%</w:t>
            </w:r>
          </w:p>
        </w:tc>
        <w:tc>
          <w:tcPr>
            <w:tcW w:w="1059"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0.3%</w:t>
            </w:r>
          </w:p>
        </w:tc>
        <w:tc>
          <w:tcPr>
            <w:tcW w:w="1042"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380" w:type="dxa"/>
            <w:vMerge w:val="restart"/>
            <w:tcBorders>
              <w:top w:val="nil"/>
              <w:left w:val="outset" w:color="000000" w:sz="4" w:space="0"/>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交流电压</w:t>
            </w:r>
          </w:p>
        </w:tc>
        <w:tc>
          <w:tcPr>
            <w:tcW w:w="796"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3V</w:t>
            </w:r>
          </w:p>
        </w:tc>
        <w:tc>
          <w:tcPr>
            <w:tcW w:w="1259"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0～3.0000V</w:t>
            </w:r>
          </w:p>
        </w:tc>
        <w:tc>
          <w:tcPr>
            <w:tcW w:w="914"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0.2mV</w:t>
            </w:r>
          </w:p>
        </w:tc>
        <w:tc>
          <w:tcPr>
            <w:tcW w:w="933"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1 A</w:t>
            </w:r>
          </w:p>
        </w:tc>
        <w:tc>
          <w:tcPr>
            <w:tcW w:w="1083" w:type="dxa"/>
            <w:vMerge w:val="restart"/>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0.2%</w:t>
            </w:r>
          </w:p>
        </w:tc>
        <w:tc>
          <w:tcPr>
            <w:tcW w:w="1059" w:type="dxa"/>
            <w:vMerge w:val="restart"/>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0.3%</w:t>
            </w:r>
          </w:p>
        </w:tc>
        <w:tc>
          <w:tcPr>
            <w:tcW w:w="1042" w:type="dxa"/>
            <w:vMerge w:val="restart"/>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380" w:type="dxa"/>
            <w:vMerge w:val="continue"/>
            <w:tcBorders>
              <w:top w:val="nil"/>
              <w:left w:val="outset" w:color="000000" w:sz="4" w:space="0"/>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796"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30V</w:t>
            </w:r>
          </w:p>
        </w:tc>
        <w:tc>
          <w:tcPr>
            <w:tcW w:w="1259"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0～30.000V</w:t>
            </w:r>
          </w:p>
        </w:tc>
        <w:tc>
          <w:tcPr>
            <w:tcW w:w="914"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2mV</w:t>
            </w:r>
          </w:p>
        </w:tc>
        <w:tc>
          <w:tcPr>
            <w:tcW w:w="933"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0.5A</w:t>
            </w:r>
          </w:p>
        </w:tc>
        <w:tc>
          <w:tcPr>
            <w:tcW w:w="1083"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059"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042"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380" w:type="dxa"/>
            <w:vMerge w:val="continue"/>
            <w:tcBorders>
              <w:top w:val="nil"/>
              <w:left w:val="outset" w:color="000000" w:sz="4" w:space="0"/>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796"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300V</w:t>
            </w:r>
          </w:p>
        </w:tc>
        <w:tc>
          <w:tcPr>
            <w:tcW w:w="1259"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0～300.00V</w:t>
            </w:r>
          </w:p>
        </w:tc>
        <w:tc>
          <w:tcPr>
            <w:tcW w:w="914"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20mV</w:t>
            </w:r>
          </w:p>
        </w:tc>
        <w:tc>
          <w:tcPr>
            <w:tcW w:w="933"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50mA</w:t>
            </w:r>
          </w:p>
        </w:tc>
        <w:tc>
          <w:tcPr>
            <w:tcW w:w="1083"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059"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042"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380" w:type="dxa"/>
            <w:vMerge w:val="continue"/>
            <w:tcBorders>
              <w:top w:val="nil"/>
              <w:left w:val="outset" w:color="000000" w:sz="4" w:space="0"/>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796"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1kV</w:t>
            </w:r>
          </w:p>
        </w:tc>
        <w:tc>
          <w:tcPr>
            <w:tcW w:w="1259"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0～1000.0V</w:t>
            </w:r>
          </w:p>
        </w:tc>
        <w:tc>
          <w:tcPr>
            <w:tcW w:w="914"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100mV</w:t>
            </w:r>
          </w:p>
        </w:tc>
        <w:tc>
          <w:tcPr>
            <w:tcW w:w="933"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20mA</w:t>
            </w:r>
          </w:p>
        </w:tc>
        <w:tc>
          <w:tcPr>
            <w:tcW w:w="1083"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059"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042"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380" w:type="dxa"/>
            <w:vMerge w:val="restart"/>
            <w:tcBorders>
              <w:top w:val="nil"/>
              <w:left w:val="outset" w:color="000000" w:sz="4" w:space="0"/>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交流电流</w:t>
            </w:r>
          </w:p>
        </w:tc>
        <w:tc>
          <w:tcPr>
            <w:tcW w:w="796"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300μA</w:t>
            </w:r>
          </w:p>
        </w:tc>
        <w:tc>
          <w:tcPr>
            <w:tcW w:w="1259"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0～300.00μA</w:t>
            </w:r>
          </w:p>
        </w:tc>
        <w:tc>
          <w:tcPr>
            <w:tcW w:w="914"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0.02μA</w:t>
            </w:r>
          </w:p>
        </w:tc>
        <w:tc>
          <w:tcPr>
            <w:tcW w:w="933" w:type="dxa"/>
            <w:vMerge w:val="restart"/>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3V</w:t>
            </w:r>
          </w:p>
        </w:tc>
        <w:tc>
          <w:tcPr>
            <w:tcW w:w="1083" w:type="dxa"/>
            <w:vMerge w:val="restart"/>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0.2%</w:t>
            </w:r>
          </w:p>
        </w:tc>
        <w:tc>
          <w:tcPr>
            <w:tcW w:w="1059" w:type="dxa"/>
            <w:vMerge w:val="restart"/>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0.3%</w:t>
            </w:r>
          </w:p>
        </w:tc>
        <w:tc>
          <w:tcPr>
            <w:tcW w:w="1042" w:type="dxa"/>
            <w:vMerge w:val="restart"/>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380" w:type="dxa"/>
            <w:vMerge w:val="continue"/>
            <w:tcBorders>
              <w:top w:val="nil"/>
              <w:left w:val="outset" w:color="000000" w:sz="4" w:space="0"/>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796"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3 mA</w:t>
            </w:r>
          </w:p>
        </w:tc>
        <w:tc>
          <w:tcPr>
            <w:tcW w:w="1259"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0～3.0000mA</w:t>
            </w:r>
          </w:p>
        </w:tc>
        <w:tc>
          <w:tcPr>
            <w:tcW w:w="914"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0.2μA</w:t>
            </w:r>
          </w:p>
        </w:tc>
        <w:tc>
          <w:tcPr>
            <w:tcW w:w="933"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083"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059"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042"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380" w:type="dxa"/>
            <w:vMerge w:val="continue"/>
            <w:tcBorders>
              <w:top w:val="nil"/>
              <w:left w:val="outset" w:color="000000" w:sz="4" w:space="0"/>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796"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30mA</w:t>
            </w:r>
          </w:p>
        </w:tc>
        <w:tc>
          <w:tcPr>
            <w:tcW w:w="1259"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0～30.000mA</w:t>
            </w:r>
          </w:p>
        </w:tc>
        <w:tc>
          <w:tcPr>
            <w:tcW w:w="914"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2μA</w:t>
            </w:r>
          </w:p>
        </w:tc>
        <w:tc>
          <w:tcPr>
            <w:tcW w:w="933"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083"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059"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042"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380" w:type="dxa"/>
            <w:vMerge w:val="continue"/>
            <w:tcBorders>
              <w:top w:val="nil"/>
              <w:left w:val="outset" w:color="000000" w:sz="4" w:space="0"/>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796"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300mA</w:t>
            </w:r>
          </w:p>
        </w:tc>
        <w:tc>
          <w:tcPr>
            <w:tcW w:w="1259"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0～300.00mA</w:t>
            </w:r>
          </w:p>
        </w:tc>
        <w:tc>
          <w:tcPr>
            <w:tcW w:w="914"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20μA</w:t>
            </w:r>
          </w:p>
        </w:tc>
        <w:tc>
          <w:tcPr>
            <w:tcW w:w="933"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2.5 V</w:t>
            </w:r>
          </w:p>
        </w:tc>
        <w:tc>
          <w:tcPr>
            <w:tcW w:w="1083"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059"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042"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380" w:type="dxa"/>
            <w:vMerge w:val="continue"/>
            <w:tcBorders>
              <w:top w:val="nil"/>
              <w:left w:val="outset" w:color="000000" w:sz="4" w:space="0"/>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796"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2 A</w:t>
            </w:r>
          </w:p>
        </w:tc>
        <w:tc>
          <w:tcPr>
            <w:tcW w:w="1259"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0～2.0000A</w:t>
            </w:r>
          </w:p>
        </w:tc>
        <w:tc>
          <w:tcPr>
            <w:tcW w:w="914"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200μA</w:t>
            </w:r>
          </w:p>
        </w:tc>
        <w:tc>
          <w:tcPr>
            <w:tcW w:w="933"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2 V</w:t>
            </w:r>
          </w:p>
        </w:tc>
        <w:tc>
          <w:tcPr>
            <w:tcW w:w="1083"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059"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042" w:type="dxa"/>
            <w:vMerge w:val="continue"/>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380" w:type="dxa"/>
            <w:vMerge w:val="continue"/>
            <w:tcBorders>
              <w:top w:val="nil"/>
              <w:left w:val="outset" w:color="000000" w:sz="4" w:space="0"/>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796"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10A</w:t>
            </w:r>
          </w:p>
        </w:tc>
        <w:tc>
          <w:tcPr>
            <w:tcW w:w="1259"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0～10.000A</w:t>
            </w:r>
          </w:p>
        </w:tc>
        <w:tc>
          <w:tcPr>
            <w:tcW w:w="914"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2mA</w:t>
            </w:r>
          </w:p>
        </w:tc>
        <w:tc>
          <w:tcPr>
            <w:tcW w:w="933"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1 V</w:t>
            </w:r>
          </w:p>
        </w:tc>
        <w:tc>
          <w:tcPr>
            <w:tcW w:w="1083"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0.2%</w:t>
            </w:r>
          </w:p>
        </w:tc>
        <w:tc>
          <w:tcPr>
            <w:tcW w:w="1059"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0.6%</w:t>
            </w:r>
          </w:p>
        </w:tc>
        <w:tc>
          <w:tcPr>
            <w:tcW w:w="1042"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w:t>
            </w:r>
          </w:p>
        </w:tc>
      </w:tr>
    </w:tbl>
    <w:p>
      <w:pPr>
        <w:rPr>
          <w:vanish/>
          <w:sz w:val="24"/>
          <w:szCs w:val="24"/>
        </w:rPr>
      </w:pPr>
    </w:p>
    <w:tbl>
      <w:tblPr>
        <w:tblW w:w="7568" w:type="dxa"/>
        <w:tblCellSpacing w:w="15" w:type="dxa"/>
        <w:tblInd w:w="-3"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452"/>
        <w:gridCol w:w="2361"/>
        <w:gridCol w:w="826"/>
        <w:gridCol w:w="1300"/>
        <w:gridCol w:w="1294"/>
        <w:gridCol w:w="133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407" w:type="dxa"/>
            <w:vMerge w:val="restart"/>
            <w:tcBorders>
              <w:top w:val="outset" w:color="000000" w:sz="4" w:space="0"/>
              <w:left w:val="outset" w:color="000000" w:sz="4" w:space="0"/>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项目</w:t>
            </w:r>
          </w:p>
        </w:tc>
        <w:tc>
          <w:tcPr>
            <w:tcW w:w="2331" w:type="dxa"/>
            <w:vMerge w:val="restart"/>
            <w:tcBorders>
              <w:top w:val="outset" w:color="000000" w:sz="4" w:space="0"/>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示值</w:t>
            </w:r>
          </w:p>
        </w:tc>
        <w:tc>
          <w:tcPr>
            <w:tcW w:w="796" w:type="dxa"/>
            <w:vMerge w:val="restart"/>
            <w:tcBorders>
              <w:top w:val="outset" w:color="000000" w:sz="4" w:space="0"/>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功率（W）</w:t>
            </w:r>
          </w:p>
        </w:tc>
        <w:tc>
          <w:tcPr>
            <w:tcW w:w="3884" w:type="dxa"/>
            <w:gridSpan w:val="3"/>
            <w:tcBorders>
              <w:top w:val="outset" w:color="000000" w:sz="4" w:space="0"/>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精度±（示值%+1mΩ）</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407" w:type="dxa"/>
            <w:vMerge w:val="continue"/>
            <w:tcBorders>
              <w:top w:val="outset" w:color="000000" w:sz="4" w:space="0"/>
              <w:left w:val="outset" w:color="000000" w:sz="4" w:space="0"/>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2331" w:type="dxa"/>
            <w:vMerge w:val="continue"/>
            <w:tcBorders>
              <w:top w:val="outset" w:color="000000" w:sz="4" w:space="0"/>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796" w:type="dxa"/>
            <w:vMerge w:val="continue"/>
            <w:tcBorders>
              <w:top w:val="outset" w:color="000000" w:sz="4" w:space="0"/>
              <w:left w:val="nil"/>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270"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20℃±2℃</w:t>
            </w:r>
          </w:p>
        </w:tc>
        <w:tc>
          <w:tcPr>
            <w:tcW w:w="1264" w:type="dxa"/>
            <w:tcBorders>
              <w:top w:val="outset" w:color="000000" w:sz="4" w:space="0"/>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15℃～25℃</w:t>
            </w:r>
          </w:p>
        </w:tc>
        <w:tc>
          <w:tcPr>
            <w:tcW w:w="1290" w:type="dxa"/>
            <w:tcBorders>
              <w:top w:val="outset" w:color="000000" w:sz="4" w:space="0"/>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0℃～40℃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407" w:type="dxa"/>
            <w:vMerge w:val="restart"/>
            <w:tcBorders>
              <w:top w:val="nil"/>
              <w:left w:val="outset" w:color="000000" w:sz="4" w:space="0"/>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中值电阻</w:t>
            </w:r>
          </w:p>
        </w:tc>
        <w:tc>
          <w:tcPr>
            <w:tcW w:w="2331"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10Ω、12Ω、24Ω、50Ω</w:t>
            </w:r>
          </w:p>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100Ω、120Ω、240Ω、500Ω</w:t>
            </w:r>
          </w:p>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1kΩ、1.2 kΩ、2.4 kΩ、5 kΩ、</w:t>
            </w:r>
          </w:p>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10 kΩ、12 kΩ、24 kΩ、50 kΩ、</w:t>
            </w:r>
          </w:p>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100 kΩ、120 kΩ、240 kΩ、</w:t>
            </w:r>
          </w:p>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500 kΩ、1 MΩ、</w:t>
            </w:r>
          </w:p>
        </w:tc>
        <w:tc>
          <w:tcPr>
            <w:tcW w:w="796"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0.25W</w:t>
            </w:r>
          </w:p>
        </w:tc>
        <w:tc>
          <w:tcPr>
            <w:tcW w:w="1270"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0.2%</w:t>
            </w:r>
          </w:p>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+1mΩ</w:t>
            </w:r>
          </w:p>
        </w:tc>
        <w:tc>
          <w:tcPr>
            <w:tcW w:w="1264"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0.3%</w:t>
            </w:r>
          </w:p>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+1mΩ</w:t>
            </w:r>
          </w:p>
        </w:tc>
        <w:tc>
          <w:tcPr>
            <w:tcW w:w="1290"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0.5%</w:t>
            </w:r>
          </w:p>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+1mΩ</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407" w:type="dxa"/>
            <w:vMerge w:val="continue"/>
            <w:tcBorders>
              <w:top w:val="nil"/>
              <w:left w:val="outset" w:color="000000" w:sz="4" w:space="0"/>
              <w:bottom w:val="outset" w:color="000000" w:sz="4" w:space="0"/>
              <w:right w:val="outset" w:color="000000"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2331"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10 MΩ、100 MΩ</w:t>
            </w:r>
          </w:p>
        </w:tc>
        <w:tc>
          <w:tcPr>
            <w:tcW w:w="796"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0.25W</w:t>
            </w:r>
          </w:p>
        </w:tc>
        <w:tc>
          <w:tcPr>
            <w:tcW w:w="1270"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10 MΩ：0.5%</w:t>
            </w:r>
          </w:p>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100 MΩ：2%</w:t>
            </w:r>
          </w:p>
        </w:tc>
        <w:tc>
          <w:tcPr>
            <w:tcW w:w="1264"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10 MΩ：1%</w:t>
            </w:r>
          </w:p>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100MΩ：3%</w:t>
            </w:r>
          </w:p>
        </w:tc>
        <w:tc>
          <w:tcPr>
            <w:tcW w:w="1290" w:type="dxa"/>
            <w:tcBorders>
              <w:top w:val="nil"/>
              <w:left w:val="nil"/>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10 MΩ：1.5%</w:t>
            </w:r>
          </w:p>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100MΩ：5%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7508" w:type="dxa"/>
            <w:gridSpan w:val="6"/>
            <w:tcBorders>
              <w:top w:val="nil"/>
              <w:left w:val="outset" w:color="000000" w:sz="4" w:space="0"/>
              <w:bottom w:val="outset" w:color="000000" w:sz="4" w:space="0"/>
              <w:right w:val="outset" w:color="000000"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注：交流各档只考核≥60Hz。直流各档只考核≥400 Hz。</w:t>
            </w:r>
          </w:p>
        </w:tc>
      </w:tr>
    </w:tbl>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20.2.2交流失真度：不大于1%。</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20.2.3直流纹波系数：不大于1%；电流10A档不大于3%。</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20.2.4稳 定 性：校验仪预热1h后，1min内输出值漂移应小于基本满量程（DC4V档）的±0.02%，AC3V档时±0.1%。电源变化±10%，输出值变化应小于基本满量程（DC4V）的±0.05%，作精密测量时校验仪需预热≥2小时。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20.2.5交流输出频率400Hz±4Hz、60 Hz±0.6 Hz、50 Hz±0.5 Hz</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b/>
          <w:sz w:val="19"/>
          <w:szCs w:val="19"/>
          <w:bdr w:val="none" w:color="auto" w:sz="0" w:space="0"/>
          <w:shd w:val="clear" w:fill="FFFFFF"/>
        </w:rPr>
        <w:t>21、</w:t>
      </w:r>
      <w:r>
        <w:rPr>
          <w:rStyle w:val="5"/>
          <w:rFonts w:hint="eastAsia" w:ascii="宋体" w:hAnsi="宋体" w:eastAsia="宋体" w:cs="宋体"/>
          <w:sz w:val="19"/>
          <w:szCs w:val="19"/>
          <w:bdr w:val="none" w:color="auto" w:sz="0" w:space="0"/>
          <w:shd w:val="clear" w:fill="FFFFFF"/>
        </w:rPr>
        <w:t>电容漏电流测试仪绝缘电阻测量仪</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21.1 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21.1.1 电容器漏电流（LC）测试功能</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21.1.2 绝缘电阻（IR）测试功能</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21.1.3 基本精度：≥0.3%</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21.1.4 铝箔耐压及上升时间测试功能</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21.1.5 精密低定电流充电功能（0.5mA±0.05mA）</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21.1.6 大电流（500mA）提高低压大电容充电速度</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21.1.7 测试电压(TH2689 1.0V～800V/TH2689A 1.0V～500V) 连续可调，实时监视输出的电压</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21.1.8 0.001uA～20.00mA的测量范围，≥4位数字显示</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21.1.9 内有数位计时器</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21.1.10 标配RS232接口，Handler接口，可选的GPIB接口</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21.1.11 大型LCD（≥240×64点阵）显示</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21.1.12 人性化操作界面</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21.1.13 可通过RS232C自动升级仪器工作程序。</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21.2 技术参数</w:t>
      </w:r>
    </w:p>
    <w:tbl>
      <w:tblPr>
        <w:tblW w:w="7079" w:type="dxa"/>
        <w:tblCellSpacing w:w="15" w:type="dxa"/>
        <w:tblInd w:w="-3"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1102"/>
        <w:gridCol w:w="597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PrEx>
        <w:trPr>
          <w:tblCellSpacing w:w="15" w:type="dxa"/>
        </w:trPr>
        <w:tc>
          <w:tcPr>
            <w:tcW w:w="1057" w:type="dxa"/>
            <w:tcBorders>
              <w:top w:val="outset" w:color="auto" w:sz="4" w:space="0"/>
              <w:left w:val="outset" w:color="auto" w:sz="4" w:space="0"/>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测试电压</w:t>
            </w:r>
          </w:p>
        </w:tc>
        <w:tc>
          <w:tcPr>
            <w:tcW w:w="5932" w:type="dxa"/>
            <w:tcBorders>
              <w:top w:val="outset" w:color="auto" w:sz="4" w:space="0"/>
              <w:left w:val="nil"/>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1V-800V</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057" w:type="dxa"/>
            <w:tcBorders>
              <w:top w:val="nil"/>
              <w:left w:val="outset" w:color="auto" w:sz="4" w:space="0"/>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电压准确度</w:t>
            </w:r>
          </w:p>
        </w:tc>
        <w:tc>
          <w:tcPr>
            <w:tcW w:w="5932" w:type="dxa"/>
            <w:tcBorders>
              <w:top w:val="nil"/>
              <w:left w:val="nil"/>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±（0.5%设定值+0.2V）</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057" w:type="dxa"/>
            <w:tcBorders>
              <w:top w:val="nil"/>
              <w:left w:val="outset" w:color="auto" w:sz="4" w:space="0"/>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充电电流</w:t>
            </w:r>
          </w:p>
        </w:tc>
        <w:tc>
          <w:tcPr>
            <w:tcW w:w="5932" w:type="dxa"/>
            <w:tcBorders>
              <w:top w:val="nil"/>
              <w:left w:val="nil"/>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测试电压≤100V时，0.5mA-500mA ; 测试电压&gt;100V时，0.5mA-IMAX,IMAX=50W/测试电压±（3%设定值+0.05mA）</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057" w:type="dxa"/>
            <w:tcBorders>
              <w:top w:val="nil"/>
              <w:left w:val="outset" w:color="auto" w:sz="4" w:space="0"/>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测量范围</w:t>
            </w:r>
          </w:p>
        </w:tc>
        <w:tc>
          <w:tcPr>
            <w:tcW w:w="5932" w:type="dxa"/>
            <w:tcBorders>
              <w:top w:val="nil"/>
              <w:left w:val="nil"/>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LC(0.001μA-20.00mA) IR(0.01KΩ-99.99GΩ)</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057" w:type="dxa"/>
            <w:tcBorders>
              <w:top w:val="nil"/>
              <w:left w:val="outset" w:color="auto" w:sz="4" w:space="0"/>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基本精度</w:t>
            </w:r>
          </w:p>
        </w:tc>
        <w:tc>
          <w:tcPr>
            <w:tcW w:w="5932" w:type="dxa"/>
            <w:tcBorders>
              <w:top w:val="nil"/>
              <w:left w:val="nil"/>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LC：±(0.3%+0.05μA)</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057" w:type="dxa"/>
            <w:tcBorders>
              <w:top w:val="nil"/>
              <w:left w:val="outset" w:color="auto" w:sz="4" w:space="0"/>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充电时间</w:t>
            </w:r>
          </w:p>
        </w:tc>
        <w:tc>
          <w:tcPr>
            <w:tcW w:w="5932" w:type="dxa"/>
            <w:tcBorders>
              <w:top w:val="nil"/>
              <w:left w:val="nil"/>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0-999秒手控</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057" w:type="dxa"/>
            <w:tcBorders>
              <w:top w:val="nil"/>
              <w:left w:val="outset" w:color="auto" w:sz="4" w:space="0"/>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测试时间</w:t>
            </w:r>
          </w:p>
        </w:tc>
        <w:tc>
          <w:tcPr>
            <w:tcW w:w="5932" w:type="dxa"/>
            <w:tcBorders>
              <w:top w:val="nil"/>
              <w:left w:val="nil"/>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快速：≤40ms , 中速：≤60ms , 慢速: ≤ 120ms(测量条件为量程锁定，触发模式为EXT,且外部触发电压立即显示关闭)</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057" w:type="dxa"/>
            <w:tcBorders>
              <w:top w:val="nil"/>
              <w:left w:val="outset" w:color="auto" w:sz="4" w:space="0"/>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极限设置</w:t>
            </w:r>
          </w:p>
        </w:tc>
        <w:tc>
          <w:tcPr>
            <w:tcW w:w="5932" w:type="dxa"/>
            <w:tcBorders>
              <w:top w:val="nil"/>
              <w:left w:val="nil"/>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LC(0-999.999mA) IR(0-999.999GΩ)</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057" w:type="dxa"/>
            <w:tcBorders>
              <w:top w:val="nil"/>
              <w:left w:val="outset" w:color="auto" w:sz="4" w:space="0"/>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分选</w:t>
            </w:r>
          </w:p>
        </w:tc>
        <w:tc>
          <w:tcPr>
            <w:tcW w:w="5932" w:type="dxa"/>
            <w:tcBorders>
              <w:top w:val="nil"/>
              <w:left w:val="nil"/>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合格，不合格，报警设置</w:t>
            </w:r>
          </w:p>
        </w:tc>
      </w:tr>
    </w:tbl>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22、SMT贴片机生产线</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22.1 产品主要要求：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22.1.1 平台传动采用伺服电机，轨道，保证平台移动的平稳性和控制精度。</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22.1.2 X,Y轴采用伺服驱动，配合直线导轨，保证贴片的高精度，高速度，一流的稳 定 性。</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22.1.3 6组高速贴片头同时工作，大大提高设备性价比。吸头上下采用导轨，精度高，耐用时间长。</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22.1.4 简单易懂的图形化编程方式，大大提高操作的便利性，自动视觉定位辅助定位，定位精确方便。</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22.1.5 多种配料器的选用，能满足不同LED封装元件的贴装要求。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22.1.6 采用工控电脑+自主专用控制器控制，系统稳定，操作简单，易学。</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22.1.7 软件功能强大，编程坐标采用数字和图形化显示方式，坐标校正和更改方便，生产过程图形化显示贴片进度和元件，补贴料方便。</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22.1.8 软件采用数据库系统，不同种类PCB编程可存储，方便调用，新产品一次编程，终身调用。</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22.1.9 平台，Y轴，X轴可手动移动，移动速度自由调节，实现任意点可以手动到达，方便编程。</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22.1.10 采用负压检测系统，对吸料进行准确检测，有效防止漏料，抛料的情况。</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22.1.11 标准配置：工控电脑1套，贴片头4组，吸嘴12个，喂料器FEEDER10个</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22.2 技术参数</w:t>
      </w:r>
    </w:p>
    <w:tbl>
      <w:tblPr>
        <w:tblW w:w="7079"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1613"/>
        <w:gridCol w:w="546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1568" w:type="dxa"/>
            <w:tcBorders>
              <w:top w:val="nil"/>
              <w:left w:val="nil"/>
              <w:bottom w:val="nil"/>
              <w:right w:val="nil"/>
            </w:tcBorders>
            <w:shd w:val="clear"/>
            <w:tcMar>
              <w:top w:w="0" w:type="dxa"/>
              <w:left w:w="0" w:type="dxa"/>
              <w:bottom w:w="0" w:type="dxa"/>
              <w:right w:w="0"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最大电路板面积</w:t>
            </w:r>
          </w:p>
        </w:tc>
        <w:tc>
          <w:tcPr>
            <w:tcW w:w="5421"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 xml:space="preserve">≤1200×325mm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568" w:type="dxa"/>
            <w:tcBorders>
              <w:top w:val="nil"/>
              <w:left w:val="nil"/>
              <w:bottom w:val="nil"/>
              <w:right w:val="nil"/>
            </w:tcBorders>
            <w:shd w:val="clear"/>
            <w:tcMar>
              <w:top w:w="0" w:type="dxa"/>
              <w:left w:w="0" w:type="dxa"/>
              <w:bottom w:w="0" w:type="dxa"/>
              <w:right w:w="0"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最大移动范围</w:t>
            </w:r>
          </w:p>
        </w:tc>
        <w:tc>
          <w:tcPr>
            <w:tcW w:w="5421"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≥X轴1220mm，Y轴360mm，Z轴10mm</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568" w:type="dxa"/>
            <w:tcBorders>
              <w:top w:val="nil"/>
              <w:left w:val="nil"/>
              <w:bottom w:val="nil"/>
              <w:right w:val="nil"/>
            </w:tcBorders>
            <w:shd w:val="clear"/>
            <w:tcMar>
              <w:top w:w="0" w:type="dxa"/>
              <w:left w:w="0" w:type="dxa"/>
              <w:bottom w:w="0" w:type="dxa"/>
              <w:right w:w="0"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典型贴片速度</w:t>
            </w:r>
          </w:p>
        </w:tc>
        <w:tc>
          <w:tcPr>
            <w:tcW w:w="5421" w:type="dxa"/>
            <w:tcBorders>
              <w:top w:val="nil"/>
              <w:left w:val="nil"/>
              <w:bottom w:val="nil"/>
              <w:right w:val="nil"/>
            </w:tcBorders>
            <w:shd w:val="clear"/>
            <w:tcMar>
              <w:top w:w="0" w:type="dxa"/>
              <w:left w:w="0" w:type="dxa"/>
              <w:bottom w:w="0" w:type="dxa"/>
              <w:right w:w="0"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≥22000cph-35000cph</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568" w:type="dxa"/>
            <w:tcBorders>
              <w:top w:val="nil"/>
              <w:left w:val="nil"/>
              <w:bottom w:val="nil"/>
              <w:right w:val="nil"/>
            </w:tcBorders>
            <w:shd w:val="clear"/>
            <w:tcMar>
              <w:top w:w="0" w:type="dxa"/>
              <w:left w:w="0" w:type="dxa"/>
              <w:bottom w:w="0" w:type="dxa"/>
              <w:right w:w="0"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理论最大贴片速度</w:t>
            </w:r>
          </w:p>
        </w:tc>
        <w:tc>
          <w:tcPr>
            <w:tcW w:w="5421" w:type="dxa"/>
            <w:tcBorders>
              <w:top w:val="nil"/>
              <w:left w:val="nil"/>
              <w:bottom w:val="nil"/>
              <w:right w:val="nil"/>
            </w:tcBorders>
            <w:shd w:val="clear"/>
            <w:tcMar>
              <w:top w:w="0" w:type="dxa"/>
              <w:left w:w="0" w:type="dxa"/>
              <w:bottom w:w="0" w:type="dxa"/>
              <w:right w:w="0"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≥35000cph</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568" w:type="dxa"/>
            <w:tcBorders>
              <w:top w:val="nil"/>
              <w:left w:val="nil"/>
              <w:bottom w:val="nil"/>
              <w:right w:val="nil"/>
            </w:tcBorders>
            <w:shd w:val="clear"/>
            <w:tcMar>
              <w:top w:w="0" w:type="dxa"/>
              <w:left w:w="0" w:type="dxa"/>
              <w:bottom w:w="0" w:type="dxa"/>
              <w:right w:w="0"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定位精度</w:t>
            </w:r>
          </w:p>
        </w:tc>
        <w:tc>
          <w:tcPr>
            <w:tcW w:w="5421" w:type="dxa"/>
            <w:tcBorders>
              <w:top w:val="nil"/>
              <w:left w:val="nil"/>
              <w:bottom w:val="nil"/>
              <w:right w:val="nil"/>
            </w:tcBorders>
            <w:shd w:val="clear"/>
            <w:tcMar>
              <w:top w:w="0" w:type="dxa"/>
              <w:left w:w="0" w:type="dxa"/>
              <w:bottom w:w="0" w:type="dxa"/>
              <w:right w:w="0"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±0.1mm(可选配视觉校正功能）</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568" w:type="dxa"/>
            <w:tcBorders>
              <w:top w:val="nil"/>
              <w:left w:val="nil"/>
              <w:bottom w:val="nil"/>
              <w:right w:val="nil"/>
            </w:tcBorders>
            <w:shd w:val="clear"/>
            <w:tcMar>
              <w:top w:w="0" w:type="dxa"/>
              <w:left w:w="0" w:type="dxa"/>
              <w:bottom w:w="0" w:type="dxa"/>
              <w:right w:w="0"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定位方式</w:t>
            </w:r>
          </w:p>
        </w:tc>
        <w:tc>
          <w:tcPr>
            <w:tcW w:w="5421" w:type="dxa"/>
            <w:tcBorders>
              <w:top w:val="nil"/>
              <w:left w:val="nil"/>
              <w:bottom w:val="nil"/>
              <w:right w:val="nil"/>
            </w:tcBorders>
            <w:shd w:val="clear"/>
            <w:tcMar>
              <w:top w:w="0" w:type="dxa"/>
              <w:left w:w="0" w:type="dxa"/>
              <w:bottom w:w="0" w:type="dxa"/>
              <w:right w:w="0"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视觉定位（MRKE点自动对位识别）</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568"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可以贴装元器件</w:t>
            </w:r>
          </w:p>
        </w:tc>
        <w:tc>
          <w:tcPr>
            <w:tcW w:w="5421"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0603个RC和2835片以上5050，5630，5730片等LED芯片，并兼容各种高功率芯片放置</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568" w:type="dxa"/>
            <w:tcBorders>
              <w:top w:val="nil"/>
              <w:left w:val="nil"/>
              <w:bottom w:val="nil"/>
              <w:right w:val="nil"/>
            </w:tcBorders>
            <w:shd w:val="clear"/>
            <w:tcMar>
              <w:top w:w="0" w:type="dxa"/>
              <w:left w:w="0" w:type="dxa"/>
              <w:bottom w:w="0" w:type="dxa"/>
              <w:right w:w="0"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编程方式</w:t>
            </w:r>
          </w:p>
        </w:tc>
        <w:tc>
          <w:tcPr>
            <w:tcW w:w="5421"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计算机图形编程模式+视觉相机</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568" w:type="dxa"/>
            <w:tcBorders>
              <w:top w:val="nil"/>
              <w:left w:val="nil"/>
              <w:bottom w:val="nil"/>
              <w:right w:val="nil"/>
            </w:tcBorders>
            <w:shd w:val="clear"/>
            <w:tcMar>
              <w:top w:w="0" w:type="dxa"/>
              <w:left w:w="0" w:type="dxa"/>
              <w:bottom w:w="0" w:type="dxa"/>
              <w:right w:w="0"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适用带式喂料器</w:t>
            </w:r>
          </w:p>
        </w:tc>
        <w:tc>
          <w:tcPr>
            <w:tcW w:w="5421"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 xml:space="preserve">8mm，12mm，16mm，24 mm，32mm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568" w:type="dxa"/>
            <w:tcBorders>
              <w:top w:val="nil"/>
              <w:left w:val="nil"/>
              <w:bottom w:val="nil"/>
              <w:right w:val="nil"/>
            </w:tcBorders>
            <w:shd w:val="clear"/>
            <w:tcMar>
              <w:top w:w="0" w:type="dxa"/>
              <w:left w:w="0" w:type="dxa"/>
              <w:bottom w:w="0" w:type="dxa"/>
              <w:right w:w="0"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喂料器数量</w:t>
            </w:r>
          </w:p>
        </w:tc>
        <w:tc>
          <w:tcPr>
            <w:tcW w:w="5421" w:type="dxa"/>
            <w:tcBorders>
              <w:top w:val="nil"/>
              <w:left w:val="nil"/>
              <w:bottom w:val="nil"/>
              <w:right w:val="nil"/>
            </w:tcBorders>
            <w:shd w:val="clear"/>
            <w:tcMar>
              <w:top w:w="0" w:type="dxa"/>
              <w:left w:w="0" w:type="dxa"/>
              <w:bottom w:w="0" w:type="dxa"/>
              <w:right w:w="0"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标准6馈线，最大的≥14个馈线扩展</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568" w:type="dxa"/>
            <w:tcBorders>
              <w:top w:val="nil"/>
              <w:left w:val="nil"/>
              <w:bottom w:val="nil"/>
              <w:right w:val="nil"/>
            </w:tcBorders>
            <w:shd w:val="clear"/>
            <w:tcMar>
              <w:top w:w="0" w:type="dxa"/>
              <w:left w:w="0" w:type="dxa"/>
              <w:bottom w:w="0" w:type="dxa"/>
              <w:right w:w="0"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吸嘴</w:t>
            </w:r>
          </w:p>
        </w:tc>
        <w:tc>
          <w:tcPr>
            <w:tcW w:w="5421" w:type="dxa"/>
            <w:tcBorders>
              <w:top w:val="nil"/>
              <w:left w:val="nil"/>
              <w:bottom w:val="nil"/>
              <w:right w:val="nil"/>
            </w:tcBorders>
            <w:shd w:val="clear"/>
            <w:tcMar>
              <w:top w:w="0" w:type="dxa"/>
              <w:left w:w="0" w:type="dxa"/>
              <w:bottom w:w="0" w:type="dxa"/>
              <w:right w:w="0"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504、505 506</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568" w:type="dxa"/>
            <w:tcBorders>
              <w:top w:val="nil"/>
              <w:left w:val="nil"/>
              <w:bottom w:val="nil"/>
              <w:right w:val="nil"/>
            </w:tcBorders>
            <w:shd w:val="clear"/>
            <w:tcMar>
              <w:top w:w="0" w:type="dxa"/>
              <w:left w:w="0" w:type="dxa"/>
              <w:bottom w:w="0" w:type="dxa"/>
              <w:right w:w="0"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操作系统</w:t>
            </w:r>
          </w:p>
        </w:tc>
        <w:tc>
          <w:tcPr>
            <w:tcW w:w="5421"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 xml:space="preserve">≥WINDOWS 7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568" w:type="dxa"/>
            <w:tcBorders>
              <w:top w:val="nil"/>
              <w:left w:val="nil"/>
              <w:bottom w:val="nil"/>
              <w:right w:val="nil"/>
            </w:tcBorders>
            <w:shd w:val="clear"/>
            <w:tcMar>
              <w:top w:w="0" w:type="dxa"/>
              <w:left w:w="0" w:type="dxa"/>
              <w:bottom w:w="0" w:type="dxa"/>
              <w:right w:w="0"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负压</w:t>
            </w:r>
          </w:p>
        </w:tc>
        <w:tc>
          <w:tcPr>
            <w:tcW w:w="5421"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外部送风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568" w:type="dxa"/>
            <w:tcBorders>
              <w:top w:val="nil"/>
              <w:left w:val="nil"/>
              <w:bottom w:val="nil"/>
              <w:right w:val="nil"/>
            </w:tcBorders>
            <w:shd w:val="clear"/>
            <w:tcMar>
              <w:top w:w="0" w:type="dxa"/>
              <w:left w:w="0" w:type="dxa"/>
              <w:bottom w:w="0" w:type="dxa"/>
              <w:right w:w="0"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电源 功率</w:t>
            </w:r>
          </w:p>
        </w:tc>
        <w:tc>
          <w:tcPr>
            <w:tcW w:w="5421"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220V,50Hz，1.5KW</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568" w:type="dxa"/>
            <w:tcBorders>
              <w:top w:val="nil"/>
              <w:left w:val="nil"/>
              <w:bottom w:val="nil"/>
              <w:right w:val="nil"/>
            </w:tcBorders>
            <w:shd w:val="clear"/>
            <w:tcMar>
              <w:top w:w="0" w:type="dxa"/>
              <w:left w:w="0" w:type="dxa"/>
              <w:bottom w:w="0" w:type="dxa"/>
              <w:right w:w="0"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重量</w:t>
            </w:r>
          </w:p>
        </w:tc>
        <w:tc>
          <w:tcPr>
            <w:tcW w:w="5421" w:type="dxa"/>
            <w:tcBorders>
              <w:top w:val="nil"/>
              <w:left w:val="nil"/>
              <w:bottom w:val="nil"/>
              <w:right w:val="nil"/>
            </w:tcBorders>
            <w:shd w:val="clear"/>
            <w:tcMar>
              <w:top w:w="0" w:type="dxa"/>
              <w:left w:w="0" w:type="dxa"/>
              <w:bottom w:w="0" w:type="dxa"/>
              <w:right w:w="0"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≤850Kg</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568" w:type="dxa"/>
            <w:tcBorders>
              <w:top w:val="nil"/>
              <w:left w:val="nil"/>
              <w:bottom w:val="nil"/>
              <w:right w:val="nil"/>
            </w:tcBorders>
            <w:shd w:val="clear"/>
            <w:tcMar>
              <w:top w:w="0" w:type="dxa"/>
              <w:left w:w="0" w:type="dxa"/>
              <w:bottom w:w="0" w:type="dxa"/>
              <w:right w:w="0"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外形体积</w:t>
            </w:r>
          </w:p>
        </w:tc>
        <w:tc>
          <w:tcPr>
            <w:tcW w:w="5421" w:type="dxa"/>
            <w:tcBorders>
              <w:top w:val="nil"/>
              <w:left w:val="nil"/>
              <w:bottom w:val="nil"/>
              <w:right w:val="nil"/>
            </w:tcBorders>
            <w:shd w:val="clear"/>
            <w:tcMar>
              <w:top w:w="0" w:type="dxa"/>
              <w:left w:w="0" w:type="dxa"/>
              <w:bottom w:w="0" w:type="dxa"/>
              <w:right w:w="0" w:type="dxa"/>
            </w:tcMar>
            <w:vAlign w:val="top"/>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≤2000MM(L)*1050MM(W)*1550MM(H)</w:t>
            </w:r>
          </w:p>
        </w:tc>
      </w:tr>
    </w:tbl>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23、半导体管特性图示仪</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23.1产品要求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半导体管特性图示仪可测量二极管、三极管的低频直流参数，最大集电极电流超过50A，能满足500VA以下器件的测试。本机附有高压测装置，可对5KV以下的二极管、三极管进行击穿电压及反向漏电脑测试。其测试电流最高灵敏度≥0.5μA/div。</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21.2 集电极扫描信号</w:t>
      </w:r>
    </w:p>
    <w:tbl>
      <w:tblPr>
        <w:tblW w:w="6646" w:type="dxa"/>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1434"/>
        <w:gridCol w:w="2369"/>
        <w:gridCol w:w="1920"/>
        <w:gridCol w:w="923"/>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5678" w:type="dxa"/>
            <w:gridSpan w:val="3"/>
            <w:tcBorders>
              <w:top w:val="outset" w:color="auto" w:sz="6" w:space="0"/>
              <w:left w:val="outset" w:color="auto" w:sz="6" w:space="0"/>
              <w:bottom w:val="outset" w:color="auto" w:sz="6" w:space="0"/>
              <w:right w:val="outset" w:color="auto" w:sz="6" w:space="0"/>
            </w:tcBorders>
            <w:shd w:val="clear"/>
            <w:tcMar>
              <w:top w:w="0" w:type="dxa"/>
              <w:left w:w="0" w:type="dxa"/>
              <w:bottom w:w="0" w:type="dxa"/>
              <w:right w:w="0"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878"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389" w:type="dxa"/>
            <w:vMerge w:val="restart"/>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三极管</w:t>
            </w:r>
          </w:p>
        </w:tc>
        <w:tc>
          <w:tcPr>
            <w:tcW w:w="2339"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输出电压范围</w:t>
            </w:r>
          </w:p>
        </w:tc>
        <w:tc>
          <w:tcPr>
            <w:tcW w:w="2798" w:type="dxa"/>
            <w:gridSpan w:val="2"/>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电流容量</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389" w:type="dxa"/>
            <w:vMerge w:val="continue"/>
            <w:tcBorders>
              <w:top w:val="nil"/>
              <w:left w:val="nil"/>
              <w:bottom w:val="nil"/>
              <w:right w:val="nil"/>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2339" w:type="dxa"/>
            <w:vMerge w:val="restart"/>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0～10V</w:t>
            </w:r>
          </w:p>
        </w:tc>
        <w:tc>
          <w:tcPr>
            <w:tcW w:w="2798" w:type="dxa"/>
            <w:gridSpan w:val="2"/>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50A（脉冲阶梯）</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389" w:type="dxa"/>
            <w:vMerge w:val="continue"/>
            <w:tcBorders>
              <w:top w:val="nil"/>
              <w:left w:val="nil"/>
              <w:bottom w:val="nil"/>
              <w:right w:val="nil"/>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2339" w:type="dxa"/>
            <w:vMerge w:val="continue"/>
            <w:tcBorders>
              <w:top w:val="nil"/>
              <w:left w:val="nil"/>
              <w:bottom w:val="nil"/>
              <w:right w:val="nil"/>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2798" w:type="dxa"/>
            <w:gridSpan w:val="2"/>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20A（平均值）</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389" w:type="dxa"/>
            <w:vMerge w:val="continue"/>
            <w:tcBorders>
              <w:top w:val="nil"/>
              <w:left w:val="nil"/>
              <w:bottom w:val="nil"/>
              <w:right w:val="nil"/>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2339"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0～50V</w:t>
            </w:r>
          </w:p>
        </w:tc>
        <w:tc>
          <w:tcPr>
            <w:tcW w:w="2798" w:type="dxa"/>
            <w:gridSpan w:val="2"/>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10A（平均值）</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389" w:type="dxa"/>
            <w:vMerge w:val="continue"/>
            <w:tcBorders>
              <w:top w:val="nil"/>
              <w:left w:val="nil"/>
              <w:bottom w:val="nil"/>
              <w:right w:val="nil"/>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2339"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0～100V</w:t>
            </w:r>
          </w:p>
        </w:tc>
        <w:tc>
          <w:tcPr>
            <w:tcW w:w="2798" w:type="dxa"/>
            <w:gridSpan w:val="2"/>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5A（平均值）</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389" w:type="dxa"/>
            <w:vMerge w:val="continue"/>
            <w:tcBorders>
              <w:top w:val="nil"/>
              <w:left w:val="nil"/>
              <w:bottom w:val="nil"/>
              <w:right w:val="nil"/>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2339"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0～500V</w:t>
            </w:r>
          </w:p>
        </w:tc>
        <w:tc>
          <w:tcPr>
            <w:tcW w:w="2798" w:type="dxa"/>
            <w:gridSpan w:val="2"/>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0.5A（平均值）</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389"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二极管</w:t>
            </w:r>
          </w:p>
        </w:tc>
        <w:tc>
          <w:tcPr>
            <w:tcW w:w="2339"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0～5KV</w:t>
            </w:r>
          </w:p>
        </w:tc>
        <w:tc>
          <w:tcPr>
            <w:tcW w:w="2798" w:type="dxa"/>
            <w:gridSpan w:val="2"/>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5mA（最大）</w:t>
            </w:r>
          </w:p>
        </w:tc>
      </w:tr>
    </w:tbl>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21.3 基极阶梯信号</w:t>
      </w:r>
    </w:p>
    <w:tbl>
      <w:tblPr>
        <w:tblW w:w="6575"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1626"/>
        <w:gridCol w:w="4949"/>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1581"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ind w:left="0" w:firstLine="384"/>
            </w:pPr>
            <w:r>
              <w:rPr>
                <w:rFonts w:hint="eastAsia" w:ascii="宋体" w:hAnsi="宋体" w:eastAsia="宋体" w:cs="宋体"/>
                <w:color w:val="393939"/>
                <w:sz w:val="19"/>
                <w:szCs w:val="19"/>
                <w:bdr w:val="none" w:color="auto" w:sz="0" w:space="0"/>
              </w:rPr>
              <w:t>阶梯电流</w:t>
            </w:r>
          </w:p>
        </w:tc>
        <w:tc>
          <w:tcPr>
            <w:tcW w:w="4904"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ind w:left="0" w:firstLine="384"/>
            </w:pPr>
            <w:r>
              <w:rPr>
                <w:rFonts w:hint="eastAsia" w:ascii="宋体" w:hAnsi="宋体" w:eastAsia="宋体" w:cs="宋体"/>
                <w:color w:val="393939"/>
                <w:sz w:val="19"/>
                <w:szCs w:val="19"/>
                <w:bdr w:val="none" w:color="auto" w:sz="0" w:space="0"/>
              </w:rPr>
              <w:t>1μA/级～200mA/级，分17档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581"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ind w:left="0" w:firstLine="384"/>
            </w:pPr>
            <w:r>
              <w:rPr>
                <w:rFonts w:hint="eastAsia" w:ascii="宋体" w:hAnsi="宋体" w:eastAsia="宋体" w:cs="宋体"/>
                <w:color w:val="393939"/>
                <w:sz w:val="19"/>
                <w:szCs w:val="19"/>
                <w:bdr w:val="none" w:color="auto" w:sz="0" w:space="0"/>
              </w:rPr>
              <w:t>阶梯电压</w:t>
            </w:r>
          </w:p>
        </w:tc>
        <w:tc>
          <w:tcPr>
            <w:tcW w:w="4904"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ind w:left="0" w:firstLine="384"/>
            </w:pPr>
            <w:r>
              <w:rPr>
                <w:rFonts w:hint="eastAsia" w:ascii="宋体" w:hAnsi="宋体" w:eastAsia="宋体" w:cs="宋体"/>
                <w:color w:val="393939"/>
                <w:sz w:val="19"/>
                <w:szCs w:val="19"/>
                <w:bdr w:val="none" w:color="auto" w:sz="0" w:space="0"/>
              </w:rPr>
              <w:t>0.05V级～1V/级，分5档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581"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ind w:left="0" w:firstLine="384"/>
            </w:pPr>
            <w:r>
              <w:rPr>
                <w:rFonts w:hint="eastAsia" w:ascii="宋体" w:hAnsi="宋体" w:eastAsia="宋体" w:cs="宋体"/>
                <w:color w:val="393939"/>
                <w:sz w:val="19"/>
                <w:szCs w:val="19"/>
                <w:bdr w:val="none" w:color="auto" w:sz="0" w:space="0"/>
              </w:rPr>
              <w:t>阶梯波形</w:t>
            </w:r>
          </w:p>
        </w:tc>
        <w:tc>
          <w:tcPr>
            <w:tcW w:w="4904"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ind w:left="0" w:firstLine="384"/>
            </w:pPr>
            <w:r>
              <w:rPr>
                <w:rFonts w:hint="eastAsia" w:ascii="宋体" w:hAnsi="宋体" w:eastAsia="宋体" w:cs="宋体"/>
                <w:color w:val="393939"/>
                <w:sz w:val="19"/>
                <w:szCs w:val="19"/>
                <w:bdr w:val="none" w:color="auto" w:sz="0" w:space="0"/>
              </w:rPr>
              <w:t>正常（100%），脉冲（10～40%）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6515" w:type="dxa"/>
            <w:gridSpan w:val="2"/>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ind w:left="0" w:firstLine="384"/>
            </w:pPr>
            <w:r>
              <w:rPr>
                <w:rStyle w:val="5"/>
                <w:rFonts w:hint="eastAsia" w:ascii="宋体" w:hAnsi="宋体" w:eastAsia="宋体" w:cs="宋体"/>
                <w:color w:val="393939"/>
                <w:sz w:val="19"/>
                <w:szCs w:val="19"/>
                <w:bdr w:val="none" w:color="auto" w:sz="0" w:space="0"/>
              </w:rPr>
              <w:t>Y轴偏转系数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581"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ind w:left="0" w:firstLine="384"/>
            </w:pPr>
            <w:r>
              <w:rPr>
                <w:rFonts w:hint="eastAsia" w:ascii="宋体" w:hAnsi="宋体" w:eastAsia="宋体" w:cs="宋体"/>
                <w:color w:val="393939"/>
                <w:sz w:val="19"/>
                <w:szCs w:val="19"/>
                <w:bdr w:val="none" w:color="auto" w:sz="0" w:space="0"/>
              </w:rPr>
              <w:t>集电极电流</w:t>
            </w:r>
          </w:p>
        </w:tc>
        <w:tc>
          <w:tcPr>
            <w:tcW w:w="4904"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ind w:left="0" w:firstLine="384"/>
            </w:pPr>
            <w:r>
              <w:rPr>
                <w:rFonts w:hint="eastAsia" w:ascii="宋体" w:hAnsi="宋体" w:eastAsia="宋体" w:cs="宋体"/>
                <w:color w:val="393939"/>
                <w:sz w:val="19"/>
                <w:szCs w:val="19"/>
                <w:bdr w:val="none" w:color="auto" w:sz="0" w:space="0"/>
              </w:rPr>
              <w:t>1μA/div～5A/div，分21档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581"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ind w:left="0" w:firstLine="384"/>
            </w:pPr>
            <w:r>
              <w:rPr>
                <w:rFonts w:hint="eastAsia" w:ascii="宋体" w:hAnsi="宋体" w:eastAsia="宋体" w:cs="宋体"/>
                <w:color w:val="393939"/>
                <w:sz w:val="19"/>
                <w:szCs w:val="19"/>
                <w:bdr w:val="none" w:color="auto" w:sz="0" w:space="0"/>
              </w:rPr>
              <w:t>二极管电流</w:t>
            </w:r>
          </w:p>
        </w:tc>
        <w:tc>
          <w:tcPr>
            <w:tcW w:w="4904"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ind w:left="0" w:firstLine="384"/>
            </w:pPr>
            <w:r>
              <w:rPr>
                <w:rFonts w:hint="eastAsia" w:ascii="宋体" w:hAnsi="宋体" w:eastAsia="宋体" w:cs="宋体"/>
                <w:color w:val="393939"/>
                <w:sz w:val="19"/>
                <w:szCs w:val="19"/>
                <w:bdr w:val="none" w:color="auto" w:sz="0" w:space="0"/>
              </w:rPr>
              <w:t>1μA/div～500μA/div，分9档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581"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ind w:left="0" w:firstLine="384"/>
            </w:pPr>
            <w:r>
              <w:rPr>
                <w:rFonts w:hint="eastAsia" w:ascii="宋体" w:hAnsi="宋体" w:eastAsia="宋体" w:cs="宋体"/>
                <w:color w:val="393939"/>
                <w:sz w:val="19"/>
                <w:szCs w:val="19"/>
                <w:bdr w:val="none" w:color="auto" w:sz="0" w:space="0"/>
              </w:rPr>
              <w:t>倍率</w:t>
            </w:r>
          </w:p>
        </w:tc>
        <w:tc>
          <w:tcPr>
            <w:tcW w:w="4904"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ind w:left="0" w:firstLine="384"/>
            </w:pPr>
            <w:r>
              <w:rPr>
                <w:rFonts w:hint="eastAsia" w:ascii="宋体" w:hAnsi="宋体" w:eastAsia="宋体" w:cs="宋体"/>
                <w:color w:val="393939"/>
                <w:sz w:val="19"/>
                <w:szCs w:val="19"/>
                <w:bdr w:val="none" w:color="auto" w:sz="0" w:space="0"/>
              </w:rPr>
              <w:t>×0.5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6515" w:type="dxa"/>
            <w:gridSpan w:val="2"/>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ind w:left="0" w:firstLine="384"/>
            </w:pPr>
            <w:r>
              <w:rPr>
                <w:rStyle w:val="5"/>
                <w:rFonts w:hint="eastAsia" w:ascii="宋体" w:hAnsi="宋体" w:eastAsia="宋体" w:cs="宋体"/>
                <w:color w:val="393939"/>
                <w:sz w:val="19"/>
                <w:szCs w:val="19"/>
                <w:bdr w:val="none" w:color="auto" w:sz="0" w:space="0"/>
              </w:rPr>
              <w:t>X轴偏转系数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581"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ind w:left="0" w:firstLine="384"/>
            </w:pPr>
            <w:r>
              <w:rPr>
                <w:rFonts w:hint="eastAsia" w:ascii="宋体" w:hAnsi="宋体" w:eastAsia="宋体" w:cs="宋体"/>
                <w:color w:val="393939"/>
                <w:sz w:val="19"/>
                <w:szCs w:val="19"/>
                <w:bdr w:val="none" w:color="auto" w:sz="0" w:space="0"/>
              </w:rPr>
              <w:t>集电极电压</w:t>
            </w:r>
          </w:p>
        </w:tc>
        <w:tc>
          <w:tcPr>
            <w:tcW w:w="4904"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ind w:left="0" w:firstLine="384"/>
            </w:pPr>
            <w:r>
              <w:rPr>
                <w:rFonts w:hint="eastAsia" w:ascii="宋体" w:hAnsi="宋体" w:eastAsia="宋体" w:cs="宋体"/>
                <w:color w:val="393939"/>
                <w:sz w:val="19"/>
                <w:szCs w:val="19"/>
                <w:bdr w:val="none" w:color="auto" w:sz="0" w:space="0"/>
              </w:rPr>
              <w:t>10mV/div～50V/div，分12档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581"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ind w:left="0" w:firstLine="384"/>
            </w:pPr>
            <w:r>
              <w:rPr>
                <w:rFonts w:hint="eastAsia" w:ascii="宋体" w:hAnsi="宋体" w:eastAsia="宋体" w:cs="宋体"/>
                <w:color w:val="393939"/>
                <w:sz w:val="19"/>
                <w:szCs w:val="19"/>
                <w:bdr w:val="none" w:color="auto" w:sz="0" w:space="0"/>
              </w:rPr>
              <w:t>二极管电压</w:t>
            </w:r>
          </w:p>
        </w:tc>
        <w:tc>
          <w:tcPr>
            <w:tcW w:w="4904"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ind w:left="0" w:firstLine="384"/>
            </w:pPr>
            <w:r>
              <w:rPr>
                <w:rFonts w:hint="eastAsia" w:ascii="宋体" w:hAnsi="宋体" w:eastAsia="宋体" w:cs="宋体"/>
                <w:color w:val="393939"/>
                <w:sz w:val="19"/>
                <w:szCs w:val="19"/>
                <w:bdr w:val="none" w:color="auto" w:sz="0" w:space="0"/>
              </w:rPr>
              <w:t>100V/div～500V/div，分3档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6515" w:type="dxa"/>
            <w:gridSpan w:val="2"/>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ind w:left="0" w:firstLine="384"/>
            </w:pPr>
            <w:r>
              <w:rPr>
                <w:rStyle w:val="5"/>
                <w:rFonts w:hint="eastAsia" w:ascii="宋体" w:hAnsi="宋体" w:eastAsia="宋体" w:cs="宋体"/>
                <w:color w:val="393939"/>
                <w:sz w:val="19"/>
                <w:szCs w:val="19"/>
                <w:bdr w:val="none" w:color="auto" w:sz="0" w:space="0"/>
              </w:rPr>
              <w:t>一般性能</w:t>
            </w:r>
          </w:p>
        </w:tc>
      </w:tr>
    </w:tbl>
    <w:p>
      <w:pPr>
        <w:rPr>
          <w:vanish/>
          <w:sz w:val="24"/>
          <w:szCs w:val="24"/>
        </w:rPr>
      </w:pPr>
    </w:p>
    <w:tbl>
      <w:tblPr>
        <w:tblW w:w="6251"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1618"/>
        <w:gridCol w:w="4633"/>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1573"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ind w:left="0" w:firstLine="384"/>
            </w:pPr>
            <w:r>
              <w:rPr>
                <w:rFonts w:hint="eastAsia" w:ascii="宋体" w:hAnsi="宋体" w:eastAsia="宋体" w:cs="宋体"/>
                <w:color w:val="393939"/>
                <w:sz w:val="19"/>
                <w:szCs w:val="19"/>
                <w:bdr w:val="none" w:color="auto" w:sz="0" w:space="0"/>
              </w:rPr>
              <w:t>有效显示面</w:t>
            </w:r>
          </w:p>
        </w:tc>
        <w:tc>
          <w:tcPr>
            <w:tcW w:w="4588"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ind w:left="0" w:firstLine="384"/>
            </w:pPr>
            <w:r>
              <w:rPr>
                <w:rFonts w:hint="eastAsia" w:ascii="宋体" w:hAnsi="宋体" w:eastAsia="宋体" w:cs="宋体"/>
                <w:color w:val="393939"/>
                <w:sz w:val="19"/>
                <w:szCs w:val="19"/>
                <w:bdr w:val="none" w:color="auto" w:sz="0" w:space="0"/>
              </w:rPr>
              <w:t>10×10div(1div=0.8cm)</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573"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ind w:left="0" w:firstLine="384"/>
            </w:pPr>
            <w:r>
              <w:rPr>
                <w:rFonts w:hint="eastAsia" w:ascii="宋体" w:hAnsi="宋体" w:eastAsia="宋体" w:cs="宋体"/>
                <w:color w:val="393939"/>
                <w:sz w:val="19"/>
                <w:szCs w:val="19"/>
                <w:bdr w:val="none" w:color="auto" w:sz="0" w:space="0"/>
              </w:rPr>
              <w:t>使用电源</w:t>
            </w:r>
          </w:p>
        </w:tc>
        <w:tc>
          <w:tcPr>
            <w:tcW w:w="4588"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ind w:left="0" w:firstLine="384"/>
            </w:pPr>
            <w:r>
              <w:rPr>
                <w:rFonts w:hint="eastAsia" w:ascii="宋体" w:hAnsi="宋体" w:eastAsia="宋体" w:cs="宋体"/>
                <w:color w:val="393939"/>
                <w:sz w:val="19"/>
                <w:szCs w:val="19"/>
                <w:bdr w:val="none" w:color="auto" w:sz="0" w:space="0"/>
              </w:rPr>
              <w:t>AC220V/50Hz</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573"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ind w:left="0" w:firstLine="384"/>
            </w:pPr>
            <w:r>
              <w:rPr>
                <w:rFonts w:hint="eastAsia" w:ascii="宋体" w:hAnsi="宋体" w:eastAsia="宋体" w:cs="宋体"/>
                <w:color w:val="393939"/>
                <w:sz w:val="19"/>
                <w:szCs w:val="19"/>
                <w:bdr w:val="none" w:color="auto" w:sz="0" w:space="0"/>
              </w:rPr>
              <w:t>视在功率</w:t>
            </w:r>
          </w:p>
        </w:tc>
        <w:tc>
          <w:tcPr>
            <w:tcW w:w="4588"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ind w:left="0" w:firstLine="384"/>
            </w:pPr>
            <w:r>
              <w:rPr>
                <w:rFonts w:hint="eastAsia" w:ascii="宋体" w:hAnsi="宋体" w:eastAsia="宋体" w:cs="宋体"/>
                <w:color w:val="393939"/>
                <w:sz w:val="19"/>
                <w:szCs w:val="19"/>
                <w:bdr w:val="none" w:color="auto" w:sz="0" w:space="0"/>
              </w:rPr>
              <w:t>≥80VA</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573"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ind w:left="0" w:firstLine="384"/>
            </w:pPr>
            <w:r>
              <w:rPr>
                <w:rFonts w:hint="eastAsia" w:ascii="宋体" w:hAnsi="宋体" w:eastAsia="宋体" w:cs="宋体"/>
                <w:color w:val="393939"/>
                <w:sz w:val="19"/>
                <w:szCs w:val="19"/>
                <w:bdr w:val="none" w:color="auto" w:sz="0" w:space="0"/>
              </w:rPr>
              <w:t>外形尺寸</w:t>
            </w:r>
          </w:p>
        </w:tc>
        <w:tc>
          <w:tcPr>
            <w:tcW w:w="4588"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ind w:left="0" w:firstLine="384"/>
            </w:pPr>
            <w:r>
              <w:rPr>
                <w:rFonts w:hint="eastAsia" w:ascii="宋体" w:hAnsi="宋体" w:eastAsia="宋体" w:cs="宋体"/>
                <w:color w:val="393939"/>
                <w:sz w:val="19"/>
                <w:szCs w:val="19"/>
                <w:bdr w:val="none" w:color="auto" w:sz="0" w:space="0"/>
              </w:rPr>
              <w:t>≤300B×408H×520Dmm</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573"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ind w:left="0" w:firstLine="384"/>
            </w:pPr>
            <w:r>
              <w:rPr>
                <w:rFonts w:hint="eastAsia" w:ascii="宋体" w:hAnsi="宋体" w:eastAsia="宋体" w:cs="宋体"/>
                <w:color w:val="393939"/>
                <w:sz w:val="19"/>
                <w:szCs w:val="19"/>
                <w:bdr w:val="none" w:color="auto" w:sz="0" w:space="0"/>
              </w:rPr>
              <w:t>重量</w:t>
            </w:r>
          </w:p>
        </w:tc>
        <w:tc>
          <w:tcPr>
            <w:tcW w:w="4588" w:type="dxa"/>
            <w:tcBorders>
              <w:top w:val="nil"/>
              <w:left w:val="nil"/>
              <w:bottom w:val="nil"/>
              <w:right w:val="nil"/>
            </w:tcBorders>
            <w:shd w:val="clear"/>
            <w:tcMar>
              <w:top w:w="0" w:type="dxa"/>
              <w:left w:w="0" w:type="dxa"/>
              <w:bottom w:w="0" w:type="dxa"/>
              <w:right w:w="0" w:type="dxa"/>
            </w:tcMar>
            <w:vAlign w:val="center"/>
          </w:tcPr>
          <w:p>
            <w:pPr>
              <w:pStyle w:val="3"/>
              <w:keepNext w:val="0"/>
              <w:keepLines w:val="0"/>
              <w:widowControl/>
              <w:suppressLineNumbers w:val="0"/>
              <w:spacing w:line="324" w:lineRule="atLeast"/>
              <w:ind w:left="0" w:firstLine="384"/>
            </w:pPr>
            <w:r>
              <w:rPr>
                <w:rFonts w:hint="eastAsia" w:ascii="宋体" w:hAnsi="宋体" w:eastAsia="宋体" w:cs="宋体"/>
                <w:color w:val="393939"/>
                <w:sz w:val="19"/>
                <w:szCs w:val="19"/>
                <w:bdr w:val="none" w:color="auto" w:sz="0" w:space="0"/>
              </w:rPr>
              <w:t>≤30kg</w:t>
            </w:r>
          </w:p>
        </w:tc>
      </w:tr>
    </w:tbl>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24、高温干燥箱</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24.1 炉膛尺寸：≤300x300x275mm（深X宽X高) 25L</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24.2 外形尺寸：≤600x460x460mm</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 xml:space="preserve">24.3 最高温度：≤250oC </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24.4 炉膛材质：不锈钢内胆≥2层铝架并可调整高度</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 xml:space="preserve">24.5 炉壳：08冷轧薄板 </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24.6 控制系统：采用具有超温偏差保护、数字显示的微电脑P.I.D温度控制器，带有定时功能，控温精确可靠。</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24.7 恒温波动度:±1℃</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24.8 升温速率：4~6oC/min</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24.9 加热元件：Ni-Crwire</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24.10 密封：采用新型的合成硅密封条，能长期高温运行，使用寿命长，便于更换。</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24.11 电炉循环系统：热风循环系统由能在高温下连续运转的风机和合适风道组成，提高工作室内温度均匀。</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24.12 电压：AC220V±10% 50Hz±1Hz</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24.13 功率：≥500w</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25、高温高湿试验箱</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25.1 系统由以下部份组成：试验箱作用是提供高低温湿度恒定、高低温湿度交变等试验环境；含制冷系统、加热系统、加湿/除湿/水路系统、风道系统、控制系统、系统安全保护装置等；</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25.2 技术指标</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25.2.1 工作室尺寸：≤400×400×500mm（深×宽×高）；</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25.2.2 外形尺寸：≤870×950×1700mm（深×宽×高）；</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25.2.3 温度范围：-40℃～+150℃；</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25.2.4 温度波动度：≤±0.5℃；</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25.2.5 温度均匀度：≤±1℃；</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25.2.6 温度偏差：≤±2℃；</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25.2.7 升降温速率：</w:t>
      </w:r>
    </w:p>
    <w:p>
      <w:pPr>
        <w:pStyle w:val="3"/>
        <w:keepNext w:val="0"/>
        <w:keepLines w:val="0"/>
        <w:widowControl/>
        <w:suppressLineNumbers w:val="0"/>
        <w:spacing w:before="0" w:beforeAutospacing="0" w:after="0" w:afterAutospacing="0" w:line="324" w:lineRule="atLeast"/>
        <w:ind w:left="0" w:right="0" w:firstLine="1152"/>
      </w:pPr>
      <w:r>
        <w:rPr>
          <w:rFonts w:hint="eastAsia" w:ascii="宋体" w:hAnsi="宋体" w:eastAsia="宋体" w:cs="宋体"/>
          <w:sz w:val="19"/>
          <w:szCs w:val="19"/>
          <w:bdr w:val="none" w:color="auto" w:sz="0" w:space="0"/>
          <w:shd w:val="clear" w:fill="FFFFFF"/>
        </w:rPr>
        <w:t>从+20～-40℃，≤60min</w:t>
      </w:r>
    </w:p>
    <w:p>
      <w:pPr>
        <w:pStyle w:val="3"/>
        <w:keepNext w:val="0"/>
        <w:keepLines w:val="0"/>
        <w:widowControl/>
        <w:suppressLineNumbers w:val="0"/>
        <w:spacing w:before="0" w:beforeAutospacing="0" w:after="0" w:afterAutospacing="0" w:line="324" w:lineRule="atLeast"/>
        <w:ind w:left="0" w:right="0" w:firstLine="1152"/>
      </w:pPr>
      <w:r>
        <w:rPr>
          <w:rFonts w:hint="eastAsia" w:ascii="宋体" w:hAnsi="宋体" w:eastAsia="宋体" w:cs="宋体"/>
          <w:sz w:val="19"/>
          <w:szCs w:val="19"/>
          <w:bdr w:val="none" w:color="auto" w:sz="0" w:space="0"/>
          <w:shd w:val="clear" w:fill="FFFFFF"/>
        </w:rPr>
        <w:t>从+20―100℃，≤40min</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25.2.8 湿度范围：20%―98%R.H（AT+25℃～+85℃）</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25.2.9 湿度误差：+2/-3%R.H（75%R.H以上），±5% R.H（75%R.H以下）</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25.2.10 风速：1.7～2.5m/s；</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以上指标均在环境温度≤25℃，常压，空载、无负荷条件下、距箱体内壁1/6空间内测试测得；</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25.2.11 功率：≥3.5Kw；</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25.2.12 电源：220V±10%V；50Hz；</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25.2.13 满足相关标准及试验方法：</w:t>
      </w:r>
    </w:p>
    <w:p>
      <w:pPr>
        <w:pStyle w:val="3"/>
        <w:keepNext w:val="0"/>
        <w:keepLines w:val="0"/>
        <w:widowControl/>
        <w:suppressLineNumbers w:val="0"/>
        <w:spacing w:before="0" w:beforeAutospacing="0" w:after="0" w:afterAutospacing="0" w:line="324" w:lineRule="atLeast"/>
        <w:ind w:left="0" w:right="0" w:firstLine="960"/>
      </w:pPr>
      <w:r>
        <w:rPr>
          <w:rFonts w:hint="eastAsia" w:ascii="宋体" w:hAnsi="宋体" w:eastAsia="宋体" w:cs="宋体"/>
          <w:sz w:val="19"/>
          <w:szCs w:val="19"/>
          <w:bdr w:val="none" w:color="auto" w:sz="0" w:space="0"/>
          <w:shd w:val="clear" w:fill="FFFFFF"/>
        </w:rPr>
        <w:t>GB/T2423.22-87Nb GJB1032-90 MIL-STD-2164/(E/C)</w:t>
      </w:r>
    </w:p>
    <w:p>
      <w:pPr>
        <w:pStyle w:val="3"/>
        <w:keepNext w:val="0"/>
        <w:keepLines w:val="0"/>
        <w:widowControl/>
        <w:suppressLineNumbers w:val="0"/>
        <w:spacing w:before="0" w:beforeAutospacing="0" w:after="0" w:afterAutospacing="0" w:line="324" w:lineRule="atLeast"/>
        <w:ind w:left="0" w:right="0" w:firstLine="960"/>
      </w:pPr>
      <w:r>
        <w:rPr>
          <w:rFonts w:hint="eastAsia" w:ascii="宋体" w:hAnsi="宋体" w:eastAsia="宋体" w:cs="宋体"/>
          <w:sz w:val="19"/>
          <w:szCs w:val="19"/>
          <w:bdr w:val="none" w:color="auto" w:sz="0" w:space="0"/>
          <w:shd w:val="clear" w:fill="FFFFFF"/>
        </w:rPr>
        <w:t>GB/T2423.4-93 GB/T2423.34-86 GJB150.9-86</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25.3 箱体结构</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25.3.1 结构形式：</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整体式结构，即试验箱体、制冷系统、加热/加湿系统、空气调节系统、电器控制柜、制冷机组为一整体，制冷机组位于箱体底部，电器控制部份置于试验箱的侧面，便于操作。</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25.3.2 箱体：</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a）工作室一端的风道夹层内，分布加热/加湿器、制冷蒸发器、鼓风电机、风叶等装置；</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b)试验箱侧面设有电缆穿线孔1个，尺寸为≤ф50mm ;</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c）试验箱工作室采用≥1mm厚SUS304不锈钢板制造，箱体外壳采用1mm厚不锈钢制造</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d）保温材料采用聚胺酯发泡，厚度≥100mm，保温效果良好，试验箱外表面不结霜，不凝露。</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e）工作室配备两层可调节高度的不锈钢条形搁板；</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f）箱体设有冷凝水排水口。</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25.3.3 大门：</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单开门，大门密封均采用双线硅橡胶密封条；</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25.3.4 观察、照明装置：</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大门上安装一个多层中空玻璃观察窗，尺寸约：≤300×275mm、并设有加热防霜装置。试验箱大门上安装一个（AC12V）20W卤素灯。</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26、三相稳压器</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主要技术参数</w:t>
      </w:r>
    </w:p>
    <w:tbl>
      <w:tblPr>
        <w:tblW w:w="6549" w:type="dxa"/>
        <w:tblCellSpacing w:w="15" w:type="dxa"/>
        <w:tblInd w:w="-3"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1018"/>
        <w:gridCol w:w="2148"/>
        <w:gridCol w:w="302"/>
        <w:gridCol w:w="1171"/>
        <w:gridCol w:w="191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973" w:type="dxa"/>
            <w:tcBorders>
              <w:top w:val="outset" w:color="auto" w:sz="4" w:space="0"/>
              <w:left w:val="outset" w:color="auto" w:sz="4" w:space="0"/>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输入电压</w:t>
            </w:r>
          </w:p>
        </w:tc>
        <w:tc>
          <w:tcPr>
            <w:tcW w:w="2118" w:type="dxa"/>
            <w:tcBorders>
              <w:top w:val="outset" w:color="auto" w:sz="4" w:space="0"/>
              <w:left w:val="nil"/>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单相150V-250V 三相260V-430V</w:t>
            </w:r>
          </w:p>
        </w:tc>
        <w:tc>
          <w:tcPr>
            <w:tcW w:w="272" w:type="dxa"/>
            <w:vMerge w:val="restart"/>
            <w:tcBorders>
              <w:top w:val="outset" w:color="auto" w:sz="4" w:space="0"/>
              <w:left w:val="nil"/>
              <w:bottom w:val="outset" w:color="auto" w:sz="4" w:space="0"/>
              <w:right w:val="outset" w:color="auto" w:sz="4" w:space="0"/>
            </w:tcBorders>
            <w:shd w:val="clear"/>
            <w:tcMar>
              <w:top w:w="0" w:type="dxa"/>
              <w:left w:w="0" w:type="dxa"/>
              <w:bottom w:w="0" w:type="dxa"/>
              <w:right w:w="0"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1141" w:type="dxa"/>
            <w:tcBorders>
              <w:top w:val="outset" w:color="auto" w:sz="4" w:space="0"/>
              <w:left w:val="nil"/>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调整时间</w:t>
            </w:r>
          </w:p>
        </w:tc>
        <w:tc>
          <w:tcPr>
            <w:tcW w:w="1865" w:type="dxa"/>
            <w:tcBorders>
              <w:top w:val="outset" w:color="auto" w:sz="4" w:space="0"/>
              <w:left w:val="nil"/>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&lt;1秒(输入电压变化10%时)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73" w:type="dxa"/>
            <w:vMerge w:val="restart"/>
            <w:tcBorders>
              <w:top w:val="nil"/>
              <w:left w:val="outset" w:color="auto" w:sz="4" w:space="0"/>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输出电压</w:t>
            </w:r>
          </w:p>
        </w:tc>
        <w:tc>
          <w:tcPr>
            <w:tcW w:w="2118" w:type="dxa"/>
            <w:vMerge w:val="restart"/>
            <w:tcBorders>
              <w:top w:val="nil"/>
              <w:left w:val="nil"/>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单相 220V与110V（0.5kVA-3kVA）</w:t>
            </w:r>
          </w:p>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单相 220V（5kVA-30kVA）</w:t>
            </w:r>
            <w:r>
              <w:rPr>
                <w:rFonts w:hint="eastAsia" w:ascii="宋体" w:hAnsi="宋体" w:eastAsia="宋体" w:cs="宋体"/>
                <w:color w:val="393939"/>
                <w:sz w:val="19"/>
                <w:szCs w:val="19"/>
                <w:bdr w:val="none" w:color="auto" w:sz="0" w:space="0"/>
              </w:rPr>
              <w:br w:type="textWrapping"/>
            </w:r>
            <w:r>
              <w:rPr>
                <w:rFonts w:hint="eastAsia" w:ascii="宋体" w:hAnsi="宋体" w:eastAsia="宋体" w:cs="宋体"/>
                <w:color w:val="393939"/>
                <w:sz w:val="19"/>
                <w:szCs w:val="19"/>
                <w:bdr w:val="none" w:color="auto" w:sz="0" w:space="0"/>
              </w:rPr>
              <w:t>三相 线电压380V 相电压220V</w:t>
            </w:r>
          </w:p>
        </w:tc>
        <w:tc>
          <w:tcPr>
            <w:tcW w:w="272" w:type="dxa"/>
            <w:vMerge w:val="continue"/>
            <w:tcBorders>
              <w:top w:val="outset" w:color="auto" w:sz="4" w:space="0"/>
              <w:left w:val="nil"/>
              <w:bottom w:val="outset" w:color="auto" w:sz="4" w:space="0"/>
              <w:right w:val="outset" w:color="auto"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141" w:type="dxa"/>
            <w:tcBorders>
              <w:top w:val="nil"/>
              <w:left w:val="nil"/>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环境温度</w:t>
            </w:r>
          </w:p>
        </w:tc>
        <w:tc>
          <w:tcPr>
            <w:tcW w:w="1865" w:type="dxa"/>
            <w:tcBorders>
              <w:top w:val="nil"/>
              <w:left w:val="nil"/>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-10℃-+40℃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73" w:type="dxa"/>
            <w:vMerge w:val="continue"/>
            <w:tcBorders>
              <w:top w:val="nil"/>
              <w:left w:val="outset" w:color="auto" w:sz="4" w:space="0"/>
              <w:bottom w:val="outset" w:color="auto" w:sz="4" w:space="0"/>
              <w:right w:val="outset" w:color="auto"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2118" w:type="dxa"/>
            <w:vMerge w:val="continue"/>
            <w:tcBorders>
              <w:top w:val="nil"/>
              <w:left w:val="nil"/>
              <w:bottom w:val="outset" w:color="auto" w:sz="4" w:space="0"/>
              <w:right w:val="outset" w:color="auto"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272" w:type="dxa"/>
            <w:vMerge w:val="continue"/>
            <w:tcBorders>
              <w:top w:val="outset" w:color="auto" w:sz="4" w:space="0"/>
              <w:left w:val="nil"/>
              <w:bottom w:val="outset" w:color="auto" w:sz="4" w:space="0"/>
              <w:right w:val="outset" w:color="auto"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141" w:type="dxa"/>
            <w:tcBorders>
              <w:top w:val="nil"/>
              <w:left w:val="nil"/>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温　　升</w:t>
            </w:r>
          </w:p>
        </w:tc>
        <w:tc>
          <w:tcPr>
            <w:tcW w:w="1865" w:type="dxa"/>
            <w:tcBorders>
              <w:top w:val="nil"/>
              <w:left w:val="nil"/>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&lt;60℃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73" w:type="dxa"/>
            <w:tcBorders>
              <w:top w:val="nil"/>
              <w:left w:val="outset" w:color="auto" w:sz="4" w:space="0"/>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稳压精度</w:t>
            </w:r>
          </w:p>
        </w:tc>
        <w:tc>
          <w:tcPr>
            <w:tcW w:w="2118" w:type="dxa"/>
            <w:tcBorders>
              <w:top w:val="nil"/>
              <w:left w:val="nil"/>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相电压220V±3% 110V±6%</w:t>
            </w:r>
          </w:p>
        </w:tc>
        <w:tc>
          <w:tcPr>
            <w:tcW w:w="272" w:type="dxa"/>
            <w:vMerge w:val="continue"/>
            <w:tcBorders>
              <w:top w:val="outset" w:color="auto" w:sz="4" w:space="0"/>
              <w:left w:val="nil"/>
              <w:bottom w:val="outset" w:color="auto" w:sz="4" w:space="0"/>
              <w:right w:val="outset" w:color="auto"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141" w:type="dxa"/>
            <w:tcBorders>
              <w:top w:val="nil"/>
              <w:left w:val="nil"/>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波形失真</w:t>
            </w:r>
          </w:p>
        </w:tc>
        <w:tc>
          <w:tcPr>
            <w:tcW w:w="1865" w:type="dxa"/>
            <w:tcBorders>
              <w:top w:val="nil"/>
              <w:left w:val="nil"/>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无附加波形失真</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73" w:type="dxa"/>
            <w:tcBorders>
              <w:top w:val="nil"/>
              <w:left w:val="outset" w:color="auto" w:sz="4" w:space="0"/>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频 率</w:t>
            </w:r>
          </w:p>
        </w:tc>
        <w:tc>
          <w:tcPr>
            <w:tcW w:w="2118" w:type="dxa"/>
            <w:tcBorders>
              <w:top w:val="nil"/>
              <w:left w:val="nil"/>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50Hz/60Hz</w:t>
            </w:r>
          </w:p>
        </w:tc>
        <w:tc>
          <w:tcPr>
            <w:tcW w:w="272" w:type="dxa"/>
            <w:vMerge w:val="continue"/>
            <w:tcBorders>
              <w:top w:val="outset" w:color="auto" w:sz="4" w:space="0"/>
              <w:left w:val="nil"/>
              <w:bottom w:val="outset" w:color="auto" w:sz="4" w:space="0"/>
              <w:right w:val="outset" w:color="auto"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141" w:type="dxa"/>
            <w:tcBorders>
              <w:top w:val="nil"/>
              <w:left w:val="nil"/>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负载功率因素</w:t>
            </w:r>
          </w:p>
        </w:tc>
        <w:tc>
          <w:tcPr>
            <w:tcW w:w="1865" w:type="dxa"/>
            <w:tcBorders>
              <w:top w:val="nil"/>
              <w:left w:val="nil"/>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≥0.8</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73" w:type="dxa"/>
            <w:tcBorders>
              <w:top w:val="nil"/>
              <w:left w:val="outset" w:color="auto" w:sz="4" w:space="0"/>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绝缘电阻相对湿度</w:t>
            </w:r>
          </w:p>
        </w:tc>
        <w:tc>
          <w:tcPr>
            <w:tcW w:w="2118" w:type="dxa"/>
            <w:tcBorders>
              <w:top w:val="nil"/>
              <w:left w:val="nil"/>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 xml:space="preserve">＞5MΩ </w:t>
            </w:r>
          </w:p>
        </w:tc>
        <w:tc>
          <w:tcPr>
            <w:tcW w:w="272" w:type="dxa"/>
            <w:vMerge w:val="continue"/>
            <w:tcBorders>
              <w:top w:val="outset" w:color="auto" w:sz="4" w:space="0"/>
              <w:left w:val="nil"/>
              <w:bottom w:val="outset" w:color="auto" w:sz="4" w:space="0"/>
              <w:right w:val="outset" w:color="auto"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141" w:type="dxa"/>
            <w:tcBorders>
              <w:top w:val="nil"/>
              <w:left w:val="nil"/>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抗电强度</w:t>
            </w:r>
          </w:p>
        </w:tc>
        <w:tc>
          <w:tcPr>
            <w:tcW w:w="1865" w:type="dxa"/>
            <w:tcBorders>
              <w:top w:val="nil"/>
              <w:left w:val="nil"/>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≥1500V/1min</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73" w:type="dxa"/>
            <w:tcBorders>
              <w:top w:val="nil"/>
              <w:left w:val="outset" w:color="auto" w:sz="4" w:space="0"/>
              <w:bottom w:val="outset" w:color="auto" w:sz="4" w:space="0"/>
              <w:right w:val="outset" w:color="auto" w:sz="4" w:space="0"/>
            </w:tcBorders>
            <w:shd w:val="clear"/>
            <w:tcMar>
              <w:top w:w="0" w:type="dxa"/>
              <w:left w:w="0" w:type="dxa"/>
              <w:bottom w:w="0" w:type="dxa"/>
              <w:right w:w="0"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2118" w:type="dxa"/>
            <w:tcBorders>
              <w:top w:val="nil"/>
              <w:left w:val="nil"/>
              <w:bottom w:val="outset" w:color="auto" w:sz="4" w:space="0"/>
              <w:right w:val="outset" w:color="auto" w:sz="4" w:space="0"/>
            </w:tcBorders>
            <w:shd w:val="clear"/>
            <w:tcMar>
              <w:top w:w="0" w:type="dxa"/>
              <w:left w:w="0" w:type="dxa"/>
              <w:bottom w:w="0" w:type="dxa"/>
              <w:right w:w="0"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272" w:type="dxa"/>
            <w:vMerge w:val="continue"/>
            <w:tcBorders>
              <w:top w:val="outset" w:color="auto" w:sz="4" w:space="0"/>
              <w:left w:val="nil"/>
              <w:bottom w:val="outset" w:color="auto" w:sz="4" w:space="0"/>
              <w:right w:val="outset" w:color="auto" w:sz="4" w:space="0"/>
            </w:tcBorders>
            <w:shd w:val="clear"/>
            <w:tcMar>
              <w:top w:w="0" w:type="dxa"/>
              <w:left w:w="0" w:type="dxa"/>
              <w:bottom w:w="0" w:type="dxa"/>
              <w:right w:w="0" w:type="dxa"/>
            </w:tcMar>
            <w:vAlign w:val="center"/>
          </w:tcPr>
          <w:p>
            <w:pPr>
              <w:rPr>
                <w:rFonts w:hint="eastAsia" w:ascii="微软雅黑" w:hAnsi="微软雅黑" w:eastAsia="微软雅黑" w:cs="微软雅黑"/>
                <w:color w:val="393939"/>
                <w:sz w:val="15"/>
                <w:szCs w:val="15"/>
              </w:rPr>
            </w:pPr>
          </w:p>
        </w:tc>
        <w:tc>
          <w:tcPr>
            <w:tcW w:w="1141" w:type="dxa"/>
            <w:tcBorders>
              <w:top w:val="nil"/>
              <w:left w:val="nil"/>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相对湿度</w:t>
            </w:r>
          </w:p>
        </w:tc>
        <w:tc>
          <w:tcPr>
            <w:tcW w:w="1865" w:type="dxa"/>
            <w:tcBorders>
              <w:top w:val="nil"/>
              <w:left w:val="nil"/>
              <w:bottom w:val="outset" w:color="auto" w:sz="4" w:space="0"/>
              <w:right w:val="outset" w:color="auto" w:sz="4" w:space="0"/>
            </w:tcBorders>
            <w:shd w:val="clear"/>
            <w:tcMar>
              <w:top w:w="0" w:type="dxa"/>
              <w:left w:w="0" w:type="dxa"/>
              <w:bottom w:w="0" w:type="dxa"/>
              <w:right w:w="0"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&lt;95%</w:t>
            </w:r>
          </w:p>
        </w:tc>
      </w:tr>
    </w:tbl>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27、静电脉冲群静电干扰仪</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27.1 主要性能参数</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27.1.1 高压发生器空载电压可达10～12KV，经过变压器藕合后，干扰脉冲峰峰值可达500V-5KV（可调）。静电干扰≥12KV。</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27.1.2 干扰强度控制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干扰强度控制主要是控制干扰脉冲的输出幅度，如下图所示：</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27.2 藕合方式选择</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27.2.1 干扰仪使用时可选择电源藕合和表笔藕合两种。</w:t>
      </w:r>
    </w:p>
    <w:p>
      <w:pPr>
        <w:pStyle w:val="3"/>
        <w:keepNext w:val="0"/>
        <w:keepLines w:val="0"/>
        <w:widowControl/>
        <w:suppressLineNumbers w:val="0"/>
        <w:spacing w:before="0" w:beforeAutospacing="0" w:after="0" w:afterAutospacing="0" w:line="324" w:lineRule="atLeast"/>
        <w:ind w:left="0" w:right="0" w:firstLine="588"/>
      </w:pPr>
      <w:r>
        <w:rPr>
          <w:rFonts w:hint="eastAsia" w:ascii="宋体" w:hAnsi="宋体" w:eastAsia="宋体" w:cs="宋体"/>
          <w:sz w:val="19"/>
          <w:szCs w:val="19"/>
          <w:bdr w:val="none" w:color="auto" w:sz="0" w:space="0"/>
          <w:shd w:val="clear" w:fill="FFFFFF"/>
        </w:rPr>
        <w:t>27.2.1.1 电源藕合：干扰脉冲群将从干扰仪前电源板藕合对被试设备进行干扰试验（注：输出负载≥200W）。</w:t>
      </w:r>
    </w:p>
    <w:p>
      <w:pPr>
        <w:pStyle w:val="3"/>
        <w:keepNext w:val="0"/>
        <w:keepLines w:val="0"/>
        <w:widowControl/>
        <w:suppressLineNumbers w:val="0"/>
        <w:spacing w:before="0" w:beforeAutospacing="0" w:after="0" w:afterAutospacing="0" w:line="324" w:lineRule="atLeast"/>
        <w:ind w:left="0" w:right="0" w:firstLine="588"/>
      </w:pPr>
      <w:r>
        <w:rPr>
          <w:rFonts w:hint="eastAsia" w:ascii="宋体" w:hAnsi="宋体" w:eastAsia="宋体" w:cs="宋体"/>
          <w:sz w:val="19"/>
          <w:szCs w:val="19"/>
          <w:bdr w:val="none" w:color="auto" w:sz="0" w:space="0"/>
          <w:shd w:val="clear" w:fill="FFFFFF"/>
        </w:rPr>
        <w:t>27.2.1.2 表笔藕合：将表笔插孔前盖拧开插入高压表笔，干扰脉冲将直接由表笔输出，测试时将干扰仪后板接地端与受试设备外壳连接，表笔接近受试设备所选定的测试点（请勿将表笔直接与电子电路接触，以免损坏被试设备）。</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27.3 定时时间选择</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定时时间一般为</w:t>
      </w:r>
      <w:r>
        <w:rPr>
          <w:rFonts w:hint="eastAsia" w:ascii="宋体" w:hAnsi="宋体" w:eastAsia="宋体" w:cs="宋体"/>
          <w:sz w:val="16"/>
          <w:szCs w:val="16"/>
          <w:bdr w:val="none" w:color="auto" w:sz="0" w:space="0"/>
          <w:shd w:val="clear" w:fill="FFFFFF"/>
        </w:rPr>
        <w:t>≤</w:t>
      </w:r>
      <w:r>
        <w:rPr>
          <w:rFonts w:hint="eastAsia" w:ascii="宋体" w:hAnsi="宋体" w:eastAsia="宋体" w:cs="宋体"/>
          <w:sz w:val="19"/>
          <w:szCs w:val="19"/>
          <w:bdr w:val="none" w:color="auto" w:sz="0" w:space="0"/>
          <w:shd w:val="clear" w:fill="FFFFFF"/>
        </w:rPr>
        <w:t>5分钟左右测试，根据需要合适选择。</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27.4 干扰强度选择</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bdr w:val="none" w:color="auto" w:sz="0" w:space="0"/>
          <w:shd w:val="clear" w:fill="FFFFFF"/>
        </w:rPr>
        <w:t>干扰强度为可调，使用时注意调节旋转开关以免损坏设备，其控制群脉冲电压为500V—5KV。</w:t>
      </w:r>
    </w:p>
    <w:p>
      <w:pPr>
        <w:pStyle w:val="3"/>
        <w:keepNext w:val="0"/>
        <w:keepLines w:val="0"/>
        <w:widowControl/>
        <w:suppressLineNumbers w:val="0"/>
        <w:spacing w:before="0" w:beforeAutospacing="0" w:after="0" w:afterAutospacing="0"/>
        <w:ind w:left="0" w:right="0"/>
      </w:pP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27.5 启动/停止和重复键</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干扰仪电源开启后，按下启动/停止键，红灯亮，即有干扰脉冲输出。定时时间到后干扰输出断开，当按下重复键时，干扰脉冲重新定时输出。</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28、20X放大镜烙铁架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bdr w:val="none" w:color="auto" w:sz="0" w:space="0"/>
          <w:shd w:val="clear" w:fill="FFFFFF"/>
        </w:rPr>
        <w:t>28.1 产品要求：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bdr w:val="none" w:color="auto" w:sz="0" w:space="0"/>
          <w:shd w:val="clear" w:fill="FFFFFF"/>
        </w:rPr>
        <w:t>28.1.1 电子镇流器电路功率因素高，</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bdr w:val="none" w:color="auto" w:sz="0" w:space="0"/>
          <w:shd w:val="clear" w:fill="FFFFFF"/>
        </w:rPr>
        <w:t>28.1.2 AC:22W,高度省电</w:t>
      </w:r>
      <w:r>
        <w:rPr>
          <w:rFonts w:hint="eastAsia" w:ascii="宋体" w:hAnsi="宋体" w:eastAsia="宋体" w:cs="宋体"/>
          <w:sz w:val="19"/>
          <w:szCs w:val="19"/>
          <w:bdr w:val="none" w:color="auto" w:sz="0" w:space="0"/>
          <w:shd w:val="clear" w:fill="FFFFFF"/>
        </w:rPr>
        <w:t>≥</w:t>
      </w:r>
      <w:r>
        <w:rPr>
          <w:rFonts w:hint="eastAsia" w:ascii="宋体" w:hAnsi="宋体" w:eastAsia="宋体" w:cs="宋体"/>
          <w:bdr w:val="none" w:color="auto" w:sz="0" w:space="0"/>
          <w:shd w:val="clear" w:fill="FFFFFF"/>
        </w:rPr>
        <w:t>80%; 高频点灯，消除灯光频闪；</w:t>
      </w:r>
    </w:p>
    <w:p>
      <w:pPr>
        <w:pStyle w:val="3"/>
        <w:keepNext w:val="0"/>
        <w:keepLines w:val="0"/>
        <w:widowControl/>
        <w:suppressLineNumbers w:val="0"/>
        <w:spacing w:before="0" w:beforeAutospacing="0" w:after="0" w:afterAutospacing="0"/>
        <w:ind w:left="0" w:right="0"/>
      </w:pPr>
      <w:r>
        <w:rPr>
          <w:bdr w:val="none" w:color="auto" w:sz="0" w:space="0"/>
          <w:shd w:val="clear" w:fill="FFFFFF"/>
        </w:rPr>
        <w:drawing>
          <wp:inline distT="0" distB="0" distL="114300" distR="114300">
            <wp:extent cx="6048375" cy="2857500"/>
            <wp:effectExtent l="0" t="0" r="1905" b="7620"/>
            <wp:docPr id="1" name="图片 4" descr="15262896566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1526289656683.png"/>
                    <pic:cNvPicPr>
                      <a:picLocks noChangeAspect="1"/>
                    </pic:cNvPicPr>
                  </pic:nvPicPr>
                  <pic:blipFill>
                    <a:blip r:embed="rId7"/>
                    <a:stretch>
                      <a:fillRect/>
                    </a:stretch>
                  </pic:blipFill>
                  <pic:spPr>
                    <a:xfrm>
                      <a:off x="0" y="0"/>
                      <a:ext cx="6048375" cy="2857500"/>
                    </a:xfrm>
                    <a:prstGeom prst="rect">
                      <a:avLst/>
                    </a:prstGeom>
                    <a:noFill/>
                    <a:ln w="9525">
                      <a:noFill/>
                    </a:ln>
                  </pic:spPr>
                </pic:pic>
              </a:graphicData>
            </a:graphic>
          </wp:inline>
        </w:drawing>
      </w:r>
    </w:p>
    <w:p>
      <w:pPr>
        <w:pStyle w:val="3"/>
        <w:keepNext w:val="0"/>
        <w:keepLines w:val="0"/>
        <w:widowControl/>
        <w:suppressLineNumbers w:val="0"/>
        <w:spacing w:before="0" w:beforeAutospacing="0" w:after="240" w:afterAutospacing="0" w:line="324" w:lineRule="atLeast"/>
        <w:ind w:left="0" w:right="0" w:firstLine="384"/>
      </w:pP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bdr w:val="none" w:color="auto" w:sz="0" w:space="0"/>
          <w:shd w:val="clear" w:fill="FFFFFF"/>
        </w:rPr>
        <w:t>28.1.3 光线柔和、自然、照程远、照度宽；</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bdr w:val="none" w:color="auto" w:sz="0" w:space="0"/>
          <w:shd w:val="clear" w:fill="FFFFFF"/>
        </w:rPr>
        <w:t>28.1.4 人工智能设 计，放大镜可放大5-10倍；</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bdr w:val="none" w:color="auto" w:sz="0" w:space="0"/>
          <w:shd w:val="clear" w:fill="FFFFFF"/>
        </w:rPr>
        <w:t>28.2 适用范围</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bdr w:val="none" w:color="auto" w:sz="0" w:space="0"/>
          <w:shd w:val="clear" w:fill="FFFFFF"/>
        </w:rPr>
        <w:t>28.2.1 适用电子工程、化学工程、印刷制版、集邮、五金;</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bdr w:val="none" w:color="auto" w:sz="0" w:space="0"/>
          <w:shd w:val="clear" w:fill="FFFFFF"/>
        </w:rPr>
        <w:t>28.2.2 动植物标本研制、珠宝饰业、学生看书、老年看报。</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bdr w:val="none" w:color="auto" w:sz="0" w:space="0"/>
          <w:shd w:val="clear" w:fill="FFFFFF"/>
        </w:rPr>
        <w:t>28.3 规格参数</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bdr w:val="none" w:color="auto" w:sz="0" w:space="0"/>
          <w:shd w:val="clear" w:fill="FFFFFF"/>
        </w:rPr>
        <w:t>28.3.1 220V 22W/110V 22W；</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bdr w:val="none" w:color="auto" w:sz="0" w:space="0"/>
          <w:shd w:val="clear" w:fill="FFFFFF"/>
        </w:rPr>
        <w:t>28.3.2 此款放大镜灯管有环形节能灯和LED两种供选择</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bdr w:val="none" w:color="auto" w:sz="0" w:space="0"/>
          <w:shd w:val="clear" w:fill="FFFFFF"/>
        </w:rPr>
        <w:t>28.3.3 规格有3X 5X 8X10X 15X 20X倍供选择</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bdr w:val="none" w:color="auto" w:sz="0" w:space="0"/>
          <w:shd w:val="clear" w:fill="FFFFFF"/>
        </w:rPr>
        <w:t>28.3.4 镜片直径</w:t>
      </w:r>
      <w:r>
        <w:rPr>
          <w:rFonts w:hint="eastAsia" w:ascii="宋体" w:hAnsi="宋体" w:eastAsia="宋体" w:cs="宋体"/>
          <w:sz w:val="19"/>
          <w:szCs w:val="19"/>
          <w:bdr w:val="none" w:color="auto" w:sz="0" w:space="0"/>
          <w:shd w:val="clear" w:fill="FFFFFF"/>
        </w:rPr>
        <w:t>≤</w:t>
      </w:r>
      <w:r>
        <w:rPr>
          <w:rFonts w:hint="eastAsia" w:ascii="宋体" w:hAnsi="宋体" w:eastAsia="宋体" w:cs="宋体"/>
          <w:bdr w:val="none" w:color="auto" w:sz="0" w:space="0"/>
          <w:shd w:val="clear" w:fill="FFFFFF"/>
        </w:rPr>
        <w:t>127mm</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29、静音数显滴胶机 点胶机</w:t>
      </w:r>
    </w:p>
    <w:p>
      <w:pPr>
        <w:pStyle w:val="3"/>
        <w:keepNext w:val="0"/>
        <w:keepLines w:val="0"/>
        <w:widowControl/>
        <w:suppressLineNumbers w:val="0"/>
        <w:spacing w:before="0" w:beforeAutospacing="0" w:after="0" w:afterAutospacing="0" w:line="324" w:lineRule="atLeast"/>
        <w:ind w:left="420" w:right="0"/>
      </w:pPr>
      <w:r>
        <w:rPr>
          <w:rStyle w:val="5"/>
          <w:rFonts w:hint="eastAsia" w:ascii="宋体" w:hAnsi="宋体" w:eastAsia="宋体" w:cs="宋体"/>
          <w:sz w:val="19"/>
          <w:szCs w:val="19"/>
          <w:shd w:val="clear" w:fill="FFFFFF"/>
        </w:rPr>
        <w:t>29.1 自动点胶机要求</w:t>
      </w:r>
      <w:r>
        <w:rPr>
          <w:rFonts w:hint="eastAsia" w:ascii="宋体" w:hAnsi="宋体" w:eastAsia="宋体" w:cs="宋体"/>
          <w:sz w:val="19"/>
          <w:szCs w:val="19"/>
          <w:shd w:val="clear" w:fill="FFFFFF"/>
        </w:rPr>
        <w:t>：</w:t>
      </w:r>
    </w:p>
    <w:p>
      <w:pPr>
        <w:pStyle w:val="3"/>
        <w:keepNext w:val="0"/>
        <w:keepLines w:val="0"/>
        <w:widowControl/>
        <w:suppressLineNumbers w:val="0"/>
        <w:spacing w:before="0" w:beforeAutospacing="0" w:after="0" w:afterAutospacing="0" w:line="324" w:lineRule="atLeast"/>
        <w:ind w:left="0" w:right="0" w:firstLine="396"/>
      </w:pPr>
      <w:r>
        <w:rPr>
          <w:rFonts w:hint="eastAsia" w:ascii="宋体" w:hAnsi="宋体" w:eastAsia="宋体" w:cs="宋体"/>
          <w:sz w:val="19"/>
          <w:szCs w:val="19"/>
          <w:bdr w:val="none" w:color="auto" w:sz="0" w:space="0"/>
          <w:shd w:val="clear" w:fill="FFFFFF"/>
        </w:rPr>
        <w:t>29.1.1 由计时器控制每次注滴时间，定时、定量出胶，确保每次注胶量一致。</w:t>
      </w:r>
    </w:p>
    <w:p>
      <w:pPr>
        <w:pStyle w:val="3"/>
        <w:keepNext w:val="0"/>
        <w:keepLines w:val="0"/>
        <w:widowControl/>
        <w:suppressLineNumbers w:val="0"/>
        <w:spacing w:before="0" w:beforeAutospacing="0" w:after="0" w:afterAutospacing="0" w:line="324" w:lineRule="atLeast"/>
        <w:ind w:left="0" w:right="0" w:firstLine="396"/>
      </w:pPr>
      <w:r>
        <w:rPr>
          <w:rFonts w:hint="eastAsia" w:ascii="宋体" w:hAnsi="宋体" w:eastAsia="宋体" w:cs="宋体"/>
          <w:sz w:val="19"/>
          <w:szCs w:val="19"/>
          <w:bdr w:val="none" w:color="auto" w:sz="0" w:space="0"/>
          <w:shd w:val="clear" w:fill="FFFFFF"/>
        </w:rPr>
        <w:t>29.1.2 手动定时、自动定时等≥16种方式可自由设定。</w:t>
      </w:r>
    </w:p>
    <w:p>
      <w:pPr>
        <w:pStyle w:val="3"/>
        <w:keepNext w:val="0"/>
        <w:keepLines w:val="0"/>
        <w:widowControl/>
        <w:suppressLineNumbers w:val="0"/>
        <w:spacing w:before="0" w:beforeAutospacing="0" w:after="0" w:afterAutospacing="0" w:line="324" w:lineRule="atLeast"/>
        <w:ind w:left="0" w:right="0" w:firstLine="396"/>
      </w:pPr>
      <w:r>
        <w:rPr>
          <w:rFonts w:hint="eastAsia" w:ascii="宋体" w:hAnsi="宋体" w:eastAsia="宋体" w:cs="宋体"/>
          <w:sz w:val="19"/>
          <w:szCs w:val="19"/>
          <w:bdr w:val="none" w:color="auto" w:sz="0" w:space="0"/>
          <w:shd w:val="clear" w:fill="FFFFFF"/>
        </w:rPr>
        <w:t>29.1.3 可注滴液体或浆料，有红胶、黄胶、环氧树脂、锡浆、矽胶、助焊剂等等。</w:t>
      </w:r>
    </w:p>
    <w:p>
      <w:pPr>
        <w:pStyle w:val="3"/>
        <w:keepNext w:val="0"/>
        <w:keepLines w:val="0"/>
        <w:widowControl/>
        <w:suppressLineNumbers w:val="0"/>
        <w:spacing w:before="0" w:beforeAutospacing="0" w:after="0" w:afterAutospacing="0" w:line="324" w:lineRule="atLeast"/>
        <w:ind w:left="420" w:right="0"/>
      </w:pPr>
      <w:r>
        <w:rPr>
          <w:rFonts w:hint="eastAsia" w:ascii="宋体" w:hAnsi="宋体" w:eastAsia="宋体" w:cs="宋体"/>
          <w:sz w:val="19"/>
          <w:szCs w:val="19"/>
          <w:shd w:val="clear" w:fill="FFFFFF"/>
        </w:rPr>
        <w:t>29.1.4 微型脚踏控制板</w:t>
      </w:r>
      <w:r>
        <w:rPr>
          <w:rFonts w:hint="eastAsia" w:ascii="宋体" w:hAnsi="宋体" w:eastAsia="宋体" w:cs="宋体"/>
          <w:sz w:val="19"/>
          <w:szCs w:val="19"/>
          <w:shd w:val="clear" w:fill="FFFFFF"/>
        </w:rPr>
        <w:br w:type="textWrapping"/>
      </w:r>
      <w:r>
        <w:rPr>
          <w:rFonts w:hint="eastAsia" w:ascii="宋体" w:hAnsi="宋体" w:eastAsia="宋体" w:cs="宋体"/>
          <w:sz w:val="19"/>
          <w:szCs w:val="19"/>
          <w:shd w:val="clear" w:fill="FFFFFF"/>
        </w:rPr>
        <w:t>29.1.5 多种规格的塑胶嘴适合不同需要。</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29.2 自动点胶机规格：</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29.2.1 定时:手动定时、自动定时等≥16等方式可自由设定</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29.2.2 重 复精度:±0.05%</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 xml:space="preserve">29.2.3 最 小 滴胶量: </w:t>
      </w:r>
      <w:r>
        <w:rPr>
          <w:rFonts w:hint="eastAsia" w:ascii="宋体" w:hAnsi="宋体" w:eastAsia="宋体" w:cs="宋体"/>
          <w:sz w:val="16"/>
          <w:szCs w:val="16"/>
          <w:bdr w:val="none" w:color="auto" w:sz="0" w:space="0"/>
          <w:shd w:val="clear" w:fill="FFFFFF"/>
        </w:rPr>
        <w:t>≤</w:t>
      </w:r>
      <w:r>
        <w:rPr>
          <w:rFonts w:hint="eastAsia" w:ascii="宋体" w:hAnsi="宋体" w:eastAsia="宋体" w:cs="宋体"/>
          <w:sz w:val="19"/>
          <w:szCs w:val="19"/>
          <w:bdr w:val="none" w:color="auto" w:sz="0" w:space="0"/>
          <w:shd w:val="clear" w:fill="FFFFFF"/>
        </w:rPr>
        <w:t>0.01ml</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29.2.4 输入气压:35-100Psi(0.25-0.7MPa)</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29.2.5 输出气压:1-100Psi(0.01-0.7MPa)</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29.2.6 输入电压:220V/110V AC</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29.2.7 尺寸:</w:t>
      </w:r>
      <w:r>
        <w:rPr>
          <w:rFonts w:hint="eastAsia" w:ascii="宋体" w:hAnsi="宋体" w:eastAsia="宋体" w:cs="宋体"/>
          <w:sz w:val="16"/>
          <w:szCs w:val="16"/>
          <w:bdr w:val="none" w:color="auto" w:sz="0" w:space="0"/>
          <w:shd w:val="clear" w:fill="FFFFFF"/>
        </w:rPr>
        <w:t xml:space="preserve"> ≤</w:t>
      </w:r>
      <w:r>
        <w:rPr>
          <w:rFonts w:hint="eastAsia" w:ascii="宋体" w:hAnsi="宋体" w:eastAsia="宋体" w:cs="宋体"/>
          <w:sz w:val="19"/>
          <w:szCs w:val="19"/>
          <w:bdr w:val="none" w:color="auto" w:sz="0" w:space="0"/>
          <w:shd w:val="clear" w:fill="FFFFFF"/>
        </w:rPr>
        <w:t>238*150*60mm</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29.2.8 重量:</w:t>
      </w:r>
      <w:r>
        <w:rPr>
          <w:rFonts w:hint="eastAsia" w:ascii="宋体" w:hAnsi="宋体" w:eastAsia="宋体" w:cs="宋体"/>
          <w:sz w:val="16"/>
          <w:szCs w:val="16"/>
          <w:bdr w:val="none" w:color="auto" w:sz="0" w:space="0"/>
          <w:shd w:val="clear" w:fill="FFFFFF"/>
        </w:rPr>
        <w:t xml:space="preserve"> ≤</w:t>
      </w:r>
      <w:r>
        <w:rPr>
          <w:rFonts w:hint="eastAsia" w:ascii="宋体" w:hAnsi="宋体" w:eastAsia="宋体" w:cs="宋体"/>
          <w:sz w:val="19"/>
          <w:szCs w:val="19"/>
          <w:bdr w:val="none" w:color="auto" w:sz="0" w:space="0"/>
          <w:shd w:val="clear" w:fill="FFFFFF"/>
        </w:rPr>
        <w:t>1.7kg</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30、机房电脑与多媒体综合布线工程</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30.1 机房电脑、多媒体综合布线工程总体技术要求：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30.1.1 机房新增电脑40台，对新增电脑进行布电源线网络线。</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30.1.1.1 电源布线要求：电源线从机房现有静电地板下方走线。机房配电箱引出电源干线》6 m</w:t>
      </w:r>
      <w:r>
        <w:rPr>
          <w:rFonts w:hint="eastAsia" w:ascii="宋体" w:hAnsi="宋体" w:eastAsia="宋体" w:cs="宋体"/>
          <w:sz w:val="19"/>
          <w:szCs w:val="19"/>
          <w:bdr w:val="none" w:color="auto" w:sz="0" w:space="0"/>
          <w:shd w:val="clear" w:fill="FFFFFF"/>
          <w:vertAlign w:val="superscript"/>
        </w:rPr>
        <w:t>2</w:t>
      </w:r>
      <w:r>
        <w:rPr>
          <w:rFonts w:hint="eastAsia" w:ascii="宋体" w:hAnsi="宋体" w:eastAsia="宋体" w:cs="宋体"/>
          <w:sz w:val="19"/>
          <w:szCs w:val="19"/>
          <w:bdr w:val="none" w:color="auto" w:sz="0" w:space="0"/>
          <w:shd w:val="clear" w:fill="FFFFFF"/>
        </w:rPr>
        <w:t>，每张电脑桌供电电源线》国标2.5m</w:t>
      </w:r>
      <w:r>
        <w:rPr>
          <w:rFonts w:hint="eastAsia" w:ascii="宋体" w:hAnsi="宋体" w:eastAsia="宋体" w:cs="宋体"/>
          <w:sz w:val="19"/>
          <w:szCs w:val="19"/>
          <w:bdr w:val="none" w:color="auto" w:sz="0" w:space="0"/>
          <w:shd w:val="clear" w:fill="FFFFFF"/>
          <w:vertAlign w:val="superscript"/>
        </w:rPr>
        <w:t>2</w:t>
      </w:r>
      <w:r>
        <w:rPr>
          <w:rFonts w:hint="eastAsia" w:ascii="宋体" w:hAnsi="宋体" w:eastAsia="宋体" w:cs="宋体"/>
          <w:sz w:val="19"/>
          <w:szCs w:val="19"/>
          <w:bdr w:val="none" w:color="auto" w:sz="0" w:space="0"/>
          <w:shd w:val="clear" w:fill="FFFFFF"/>
        </w:rPr>
        <w:t>，电源线颜色标识、布线规范参照电气施工标准；静电地板引出线终端为新国标220V/2500W五孔接线板，接线板孔位为≥5位，接线板在静电地板地面长度为≥1.5米。</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30.1.1.2 组网要求：机房交换机有预留新增电脑端口。新增电脑与现有机房所有电脑组网，并保证机房内局域网畅通。网线在静电地板地面长度为≥1.5米。交换机水晶头端口和对应电脑要做明显的标识记号。</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30.2 机房教学多媒体设备安装。</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30.2.1 ≥150英寸电动投影幕布安装，电源接线。</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30.2.2 机房教学扩音音响在指 定位置安装，接音频线；音响音量调试均衡。</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30.2.3 多媒体讲台中控调试。</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30.2.3.1 一键开启（关闭）教师机电脑、2台投影机、2面投影幕布、扩音功放。</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30.2.3.2 讲台面板安装新国标220V/10A五孔插座一个。讲台台面预留外接VGA数据线一条。中控面板设置一键切换外接VGA信号。</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30.3 机房电脑、多媒体综合布线工程配套设备技术参数：</w:t>
      </w:r>
    </w:p>
    <w:tbl>
      <w:tblPr>
        <w:tblW w:w="7918"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1373"/>
        <w:gridCol w:w="3146"/>
        <w:gridCol w:w="1451"/>
        <w:gridCol w:w="194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PrEx>
        <w:trPr>
          <w:tblCellSpacing w:w="15" w:type="dxa"/>
        </w:trPr>
        <w:tc>
          <w:tcPr>
            <w:tcW w:w="1328"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设备名 称</w:t>
            </w:r>
          </w:p>
        </w:tc>
        <w:tc>
          <w:tcPr>
            <w:tcW w:w="3116"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规格参数</w:t>
            </w:r>
          </w:p>
        </w:tc>
        <w:tc>
          <w:tcPr>
            <w:tcW w:w="142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数量</w:t>
            </w:r>
          </w:p>
        </w:tc>
        <w:tc>
          <w:tcPr>
            <w:tcW w:w="190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使用说明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328"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水晶头</w:t>
            </w:r>
          </w:p>
        </w:tc>
        <w:tc>
          <w:tcPr>
            <w:tcW w:w="3116"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超五类水晶头</w:t>
            </w:r>
          </w:p>
        </w:tc>
        <w:tc>
          <w:tcPr>
            <w:tcW w:w="142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适配电脑和</w:t>
            </w:r>
          </w:p>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交换机端口</w:t>
            </w:r>
          </w:p>
        </w:tc>
        <w:tc>
          <w:tcPr>
            <w:tcW w:w="1903" w:type="dxa"/>
            <w:tcBorders>
              <w:top w:val="nil"/>
              <w:left w:val="nil"/>
              <w:bottom w:val="nil"/>
              <w:right w:val="nil"/>
            </w:tcBorders>
            <w:shd w:val="clear"/>
            <w:tcMar>
              <w:top w:w="0" w:type="dxa"/>
              <w:left w:w="84" w:type="dxa"/>
              <w:bottom w:w="0" w:type="dxa"/>
              <w:right w:w="84" w:type="dxa"/>
            </w:tcMar>
            <w:vAlign w:val="top"/>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电脑网卡、</w:t>
            </w:r>
          </w:p>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交换机网线接头</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328"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接线板</w:t>
            </w:r>
          </w:p>
        </w:tc>
        <w:tc>
          <w:tcPr>
            <w:tcW w:w="3116"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额定电压：250V，额定功率：2500W，</w:t>
            </w:r>
          </w:p>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新国标五孔插座，带开关，插孔位5位。</w:t>
            </w:r>
          </w:p>
        </w:tc>
        <w:tc>
          <w:tcPr>
            <w:tcW w:w="142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20个</w:t>
            </w:r>
          </w:p>
        </w:tc>
        <w:tc>
          <w:tcPr>
            <w:tcW w:w="190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新增电脑电源供电</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328"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投影仪吊架</w:t>
            </w:r>
          </w:p>
        </w:tc>
        <w:tc>
          <w:tcPr>
            <w:tcW w:w="3116"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2m伸缩吊架，吊架管厚》1mm，</w:t>
            </w:r>
          </w:p>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吊架安装必须保证投影机不晃动</w:t>
            </w:r>
          </w:p>
        </w:tc>
        <w:tc>
          <w:tcPr>
            <w:tcW w:w="142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1个</w:t>
            </w:r>
          </w:p>
        </w:tc>
        <w:tc>
          <w:tcPr>
            <w:tcW w:w="190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吊装投影仪</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328"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电动投影幕布</w:t>
            </w:r>
          </w:p>
        </w:tc>
        <w:tc>
          <w:tcPr>
            <w:tcW w:w="3116"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投影幕布画面比例：4:3，幕布尺寸：≥2310×3050mm，幕布材质：白玻纤高清幕布，幕布尺寸：≥150英寸，电机类型：同步电机，配幕布安装挂架。</w:t>
            </w:r>
          </w:p>
        </w:tc>
        <w:tc>
          <w:tcPr>
            <w:tcW w:w="142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1个</w:t>
            </w:r>
          </w:p>
        </w:tc>
        <w:tc>
          <w:tcPr>
            <w:tcW w:w="190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图像投影</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328"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教学扩音音响</w:t>
            </w:r>
          </w:p>
        </w:tc>
        <w:tc>
          <w:tcPr>
            <w:tcW w:w="3116"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频率响应：60H</w:t>
            </w:r>
            <w:r>
              <w:rPr>
                <w:rFonts w:hint="eastAsia" w:ascii="宋体" w:hAnsi="宋体" w:eastAsia="宋体" w:cs="宋体"/>
                <w:color w:val="393939"/>
                <w:sz w:val="19"/>
                <w:szCs w:val="19"/>
                <w:bdr w:val="none" w:color="auto" w:sz="0" w:space="0"/>
                <w:vertAlign w:val="subscript"/>
              </w:rPr>
              <w:t>z</w:t>
            </w:r>
            <w:r>
              <w:rPr>
                <w:rFonts w:hint="eastAsia" w:ascii="宋体" w:hAnsi="宋体" w:eastAsia="宋体" w:cs="宋体"/>
                <w:color w:val="393939"/>
                <w:sz w:val="19"/>
                <w:szCs w:val="19"/>
                <w:bdr w:val="none" w:color="auto" w:sz="0" w:space="0"/>
              </w:rPr>
              <w:t>—20KH</w:t>
            </w:r>
            <w:r>
              <w:rPr>
                <w:rFonts w:hint="eastAsia" w:ascii="宋体" w:hAnsi="宋体" w:eastAsia="宋体" w:cs="宋体"/>
                <w:color w:val="393939"/>
                <w:sz w:val="19"/>
                <w:szCs w:val="19"/>
                <w:bdr w:val="none" w:color="auto" w:sz="0" w:space="0"/>
                <w:vertAlign w:val="subscript"/>
              </w:rPr>
              <w:t>z</w:t>
            </w:r>
            <w:r>
              <w:rPr>
                <w:rFonts w:hint="eastAsia" w:ascii="宋体" w:hAnsi="宋体" w:eastAsia="宋体" w:cs="宋体"/>
                <w:color w:val="393939"/>
                <w:sz w:val="19"/>
                <w:szCs w:val="19"/>
                <w:bdr w:val="none" w:color="auto" w:sz="0" w:space="0"/>
              </w:rPr>
              <w:t>，额定功率：≥70W，信噪比：≥86dB，灵敏度：95±3 dB，</w:t>
            </w:r>
          </w:p>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失真度：＜0.1% at1W，单只音响外形尺寸：≥长215×宽195×高300mm，单只音响配置≥5英寸纸盆低音喇叭单元+≥1英寸麦拉高音单元，配音响挂架</w:t>
            </w:r>
          </w:p>
        </w:tc>
        <w:tc>
          <w:tcPr>
            <w:tcW w:w="142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1对</w:t>
            </w:r>
          </w:p>
        </w:tc>
        <w:tc>
          <w:tcPr>
            <w:tcW w:w="190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教学扩音</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328"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高纯度无氧铜</w:t>
            </w:r>
          </w:p>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金银音频线</w:t>
            </w:r>
          </w:p>
        </w:tc>
        <w:tc>
          <w:tcPr>
            <w:tcW w:w="3116"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单股线材线径：≥2.26m</w:t>
            </w:r>
            <w:r>
              <w:rPr>
                <w:rFonts w:hint="eastAsia" w:ascii="宋体" w:hAnsi="宋体" w:eastAsia="宋体" w:cs="宋体"/>
                <w:color w:val="393939"/>
                <w:sz w:val="19"/>
                <w:szCs w:val="19"/>
                <w:bdr w:val="none" w:color="auto" w:sz="0" w:space="0"/>
                <w:vertAlign w:val="superscript"/>
              </w:rPr>
              <w:t>2</w:t>
            </w:r>
            <w:r>
              <w:rPr>
                <w:rFonts w:hint="eastAsia" w:ascii="宋体" w:hAnsi="宋体" w:eastAsia="宋体" w:cs="宋体"/>
                <w:color w:val="393939"/>
                <w:sz w:val="19"/>
                <w:szCs w:val="19"/>
                <w:bdr w:val="none" w:color="auto" w:sz="0" w:space="0"/>
              </w:rPr>
              <w:t>，双股线材≥4.52m</w:t>
            </w:r>
            <w:r>
              <w:rPr>
                <w:rFonts w:hint="eastAsia" w:ascii="宋体" w:hAnsi="宋体" w:eastAsia="宋体" w:cs="宋体"/>
                <w:color w:val="393939"/>
                <w:sz w:val="19"/>
                <w:szCs w:val="19"/>
                <w:bdr w:val="none" w:color="auto" w:sz="0" w:space="0"/>
                <w:vertAlign w:val="superscript"/>
              </w:rPr>
              <w:t>2</w:t>
            </w:r>
            <w:r>
              <w:rPr>
                <w:rFonts w:hint="eastAsia" w:ascii="宋体" w:hAnsi="宋体" w:eastAsia="宋体" w:cs="宋体"/>
                <w:color w:val="393939"/>
                <w:sz w:val="19"/>
                <w:szCs w:val="19"/>
                <w:bdr w:val="none" w:color="auto" w:sz="0" w:space="0"/>
              </w:rPr>
              <w:t>，音频线：≥200芯，</w:t>
            </w:r>
          </w:p>
        </w:tc>
        <w:tc>
          <w:tcPr>
            <w:tcW w:w="142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线材长度根据功放和音响位置 适配</w:t>
            </w:r>
          </w:p>
        </w:tc>
        <w:tc>
          <w:tcPr>
            <w:tcW w:w="190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连接功放机和扩音音响</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328"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hd w:val="clear" w:fill="FFFFFF"/>
              <w:spacing w:before="0" w:beforeAutospacing="0" w:after="0" w:afterAutospacing="0" w:line="324" w:lineRule="atLeast"/>
            </w:pPr>
            <w:r>
              <w:rPr>
                <w:rFonts w:hint="eastAsia" w:ascii="宋体" w:hAnsi="宋体" w:eastAsia="宋体" w:cs="宋体"/>
                <w:color w:val="393939"/>
                <w:sz w:val="19"/>
                <w:szCs w:val="19"/>
                <w:bdr w:val="none" w:color="auto" w:sz="0" w:space="0"/>
                <w:shd w:val="clear" w:fill="FFFFFF"/>
              </w:rPr>
              <w:t>高纯度无氧铜八芯超五类高速网线</w:t>
            </w:r>
          </w:p>
        </w:tc>
        <w:tc>
          <w:tcPr>
            <w:tcW w:w="3116"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规格：≥24AWG（约0.511mm），导体材质：无氧铜，绝缘材质：聚乙烯</w:t>
            </w:r>
          </w:p>
        </w:tc>
        <w:tc>
          <w:tcPr>
            <w:tcW w:w="142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线材长度根据电脑位置和交换机位置适配</w:t>
            </w:r>
          </w:p>
        </w:tc>
        <w:tc>
          <w:tcPr>
            <w:tcW w:w="190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局域网网络布线</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328"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hd w:val="clear" w:fill="FFFFFF"/>
              <w:spacing w:before="0" w:beforeAutospacing="0" w:after="0" w:afterAutospacing="0" w:line="324" w:lineRule="atLeast"/>
            </w:pPr>
            <w:r>
              <w:rPr>
                <w:rFonts w:hint="eastAsia" w:ascii="宋体" w:hAnsi="宋体" w:eastAsia="宋体" w:cs="宋体"/>
                <w:color w:val="393939"/>
                <w:sz w:val="19"/>
                <w:szCs w:val="19"/>
                <w:bdr w:val="none" w:color="auto" w:sz="0" w:space="0"/>
                <w:shd w:val="clear" w:fill="FFFFFF"/>
              </w:rPr>
              <w:t>一分四VGA</w:t>
            </w:r>
          </w:p>
          <w:p>
            <w:pPr>
              <w:pStyle w:val="3"/>
              <w:keepNext w:val="0"/>
              <w:keepLines w:val="0"/>
              <w:widowControl/>
              <w:suppressLineNumbers w:val="0"/>
              <w:shd w:val="clear" w:fill="FFFFFF"/>
              <w:spacing w:before="0" w:beforeAutospacing="0" w:after="0" w:afterAutospacing="0" w:line="324" w:lineRule="atLeast"/>
            </w:pPr>
            <w:r>
              <w:rPr>
                <w:rFonts w:hint="eastAsia" w:ascii="宋体" w:hAnsi="宋体" w:eastAsia="宋体" w:cs="宋体"/>
                <w:color w:val="393939"/>
                <w:sz w:val="19"/>
                <w:szCs w:val="19"/>
                <w:bdr w:val="none" w:color="auto" w:sz="0" w:space="0"/>
                <w:shd w:val="clear" w:fill="FFFFFF"/>
              </w:rPr>
              <w:t>分配器</w:t>
            </w:r>
          </w:p>
        </w:tc>
        <w:tc>
          <w:tcPr>
            <w:tcW w:w="3116"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一路视频信号输入，四路视频信号输出，</w:t>
            </w:r>
          </w:p>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带独立电源供电。</w:t>
            </w:r>
          </w:p>
        </w:tc>
        <w:tc>
          <w:tcPr>
            <w:tcW w:w="142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1个</w:t>
            </w:r>
          </w:p>
        </w:tc>
        <w:tc>
          <w:tcPr>
            <w:tcW w:w="190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将电脑主机信号分为三个视频输出，接在讲台液晶显示器及两个投影仪上。</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328"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VGA带磁环屏蔽高清视频线</w:t>
            </w:r>
          </w:p>
        </w:tc>
        <w:tc>
          <w:tcPr>
            <w:tcW w:w="3116"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hd w:val="clear" w:fill="FFFFFF"/>
              <w:spacing w:before="0" w:beforeAutospacing="0" w:after="0" w:afterAutospacing="0" w:line="324" w:lineRule="atLeast"/>
            </w:pPr>
            <w:r>
              <w:rPr>
                <w:rFonts w:hint="eastAsia" w:ascii="宋体" w:hAnsi="宋体" w:eastAsia="宋体" w:cs="宋体"/>
                <w:color w:val="393939"/>
                <w:sz w:val="19"/>
                <w:szCs w:val="19"/>
                <w:bdr w:val="none" w:color="auto" w:sz="0" w:space="0"/>
                <w:shd w:val="clear" w:fill="FFFFFF"/>
              </w:rPr>
              <w:t>线材针脚：3+9VGA线，</w:t>
            </w:r>
          </w:p>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传输图像：≥1920×1080（1080P）不失真</w:t>
            </w:r>
          </w:p>
        </w:tc>
        <w:tc>
          <w:tcPr>
            <w:tcW w:w="142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线材长度根据VGA分配器和投影机位置适配</w:t>
            </w:r>
          </w:p>
        </w:tc>
        <w:tc>
          <w:tcPr>
            <w:tcW w:w="190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用于连接投影仪与VGA分配器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328"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各类布线辅材和线槽等</w:t>
            </w:r>
          </w:p>
        </w:tc>
        <w:tc>
          <w:tcPr>
            <w:tcW w:w="3116"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规格适配</w:t>
            </w:r>
          </w:p>
        </w:tc>
        <w:tc>
          <w:tcPr>
            <w:tcW w:w="142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适配</w:t>
            </w:r>
          </w:p>
        </w:tc>
        <w:tc>
          <w:tcPr>
            <w:tcW w:w="1903"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r>
    </w:tbl>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31、可移动视频传输教学系统</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31.1 可移动视频传输教学系统系统应达到以下总体技术要求：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31.1.1 可移动视频传输教学系统由液晶电视、移动笔记本电脑桌、高清教学摄像头、高清摄像头显示器、音频视频传输系统等部分组成。系统可以和每一台液晶电视实现视频和音频同步，视频高清传输，图像无拖尾、无延迟卡顿、无变形等现象；音频传输无失真，无额外噪音；高清摄像头显示器可以分别切换教学现场和学生上课现场；可移动视频传输教学系统制作尽量美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31.1.2 其它要求：液晶电视需要吊装在逸夫实训楼二楼和三楼大厅，安装高度根据楼层实际高度和观看效果；可移动视频传输教学系统根据实际情况可能有稍微变动，最终是要满足实际教学的要求；9台液晶电视，逸夫实训楼A座二楼大厅安装6台，三楼大厅安装3台；</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所购所有设备均包安装，三年保修，终身维护。</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31.2 可移动视频传输教学系统包含设备数量和参数见下表：</w:t>
      </w:r>
    </w:p>
    <w:tbl>
      <w:tblPr>
        <w:tblW w:w="6742"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2063"/>
        <w:gridCol w:w="3279"/>
        <w:gridCol w:w="140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cantSplit/>
          <w:trHeight w:val="888" w:hRule="atLeast"/>
          <w:tblCellSpacing w:w="15" w:type="dxa"/>
        </w:trPr>
        <w:tc>
          <w:tcPr>
            <w:tcW w:w="2018"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名 称</w:t>
            </w:r>
          </w:p>
        </w:tc>
        <w:tc>
          <w:tcPr>
            <w:tcW w:w="3249"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规格参数</w:t>
            </w:r>
          </w:p>
        </w:tc>
        <w:tc>
          <w:tcPr>
            <w:tcW w:w="1355"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数量</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216" w:hRule="atLeast"/>
          <w:tblCellSpacing w:w="15" w:type="dxa"/>
        </w:trPr>
        <w:tc>
          <w:tcPr>
            <w:tcW w:w="2018"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液晶电视</w:t>
            </w:r>
          </w:p>
        </w:tc>
        <w:tc>
          <w:tcPr>
            <w:tcW w:w="3249"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见液晶电视参数</w:t>
            </w:r>
          </w:p>
        </w:tc>
        <w:tc>
          <w:tcPr>
            <w:tcW w:w="1355"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9台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blCellSpacing w:w="15" w:type="dxa"/>
        </w:trPr>
        <w:tc>
          <w:tcPr>
            <w:tcW w:w="2018"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hd w:val="clear" w:fill="FFFFFF"/>
              <w:spacing w:before="0" w:beforeAutospacing="0" w:after="0" w:afterAutospacing="0" w:line="324" w:lineRule="atLeast"/>
              <w:jc w:val="center"/>
            </w:pPr>
            <w:r>
              <w:rPr>
                <w:rFonts w:hint="eastAsia" w:ascii="宋体" w:hAnsi="宋体" w:eastAsia="宋体" w:cs="宋体"/>
                <w:color w:val="393939"/>
                <w:sz w:val="19"/>
                <w:szCs w:val="19"/>
                <w:bdr w:val="none" w:color="auto" w:sz="0" w:space="0"/>
                <w:shd w:val="clear" w:fill="FFFFFF"/>
              </w:rPr>
              <w:t>hdmi高清视频线</w:t>
            </w:r>
          </w:p>
        </w:tc>
        <w:tc>
          <w:tcPr>
            <w:tcW w:w="3249"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传输速度：≥10.2Gbps，</w:t>
            </w:r>
          </w:p>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高纯度4N无氧铜导体</w:t>
            </w:r>
          </w:p>
        </w:tc>
        <w:tc>
          <w:tcPr>
            <w:tcW w:w="1355"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9个</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blCellSpacing w:w="15" w:type="dxa"/>
        </w:trPr>
        <w:tc>
          <w:tcPr>
            <w:tcW w:w="2018"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电视吊架</w:t>
            </w:r>
          </w:p>
        </w:tc>
        <w:tc>
          <w:tcPr>
            <w:tcW w:w="3249"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≥3m加厚伸缩吊架</w:t>
            </w:r>
          </w:p>
        </w:tc>
        <w:tc>
          <w:tcPr>
            <w:tcW w:w="1355"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9个</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444" w:hRule="atLeast"/>
          <w:tblCellSpacing w:w="15" w:type="dxa"/>
        </w:trPr>
        <w:tc>
          <w:tcPr>
            <w:tcW w:w="2018"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Hdmi分配器</w:t>
            </w:r>
          </w:p>
        </w:tc>
        <w:tc>
          <w:tcPr>
            <w:tcW w:w="3249"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Hdmi信号一进八出，支持≥4k信号</w:t>
            </w:r>
          </w:p>
        </w:tc>
        <w:tc>
          <w:tcPr>
            <w:tcW w:w="1355"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2个</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408" w:hRule="atLeast"/>
          <w:tblCellSpacing w:w="15" w:type="dxa"/>
        </w:trPr>
        <w:tc>
          <w:tcPr>
            <w:tcW w:w="2018"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高清教学摄像头</w:t>
            </w:r>
          </w:p>
        </w:tc>
        <w:tc>
          <w:tcPr>
            <w:tcW w:w="3249"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≥1080p高清摄像头，usb直插</w:t>
            </w:r>
          </w:p>
        </w:tc>
        <w:tc>
          <w:tcPr>
            <w:tcW w:w="1355"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3套</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408" w:hRule="atLeast"/>
          <w:tblCellSpacing w:w="15" w:type="dxa"/>
        </w:trPr>
        <w:tc>
          <w:tcPr>
            <w:tcW w:w="2018"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移动笔记本电脑桌</w:t>
            </w:r>
          </w:p>
        </w:tc>
        <w:tc>
          <w:tcPr>
            <w:tcW w:w="3249"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带滚轮万象轮，移动立柱式笔记本</w:t>
            </w:r>
          </w:p>
        </w:tc>
        <w:tc>
          <w:tcPr>
            <w:tcW w:w="1355"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3个</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408" w:hRule="atLeast"/>
          <w:tblCellSpacing w:w="15" w:type="dxa"/>
        </w:trPr>
        <w:tc>
          <w:tcPr>
            <w:tcW w:w="2018"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高清摄像头显示器</w:t>
            </w:r>
          </w:p>
        </w:tc>
        <w:tc>
          <w:tcPr>
            <w:tcW w:w="3249"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屏幕：≥10英寸，屏幕比例≥4:3，最佳分辨率：≥1024×768，亮度：≥250cd/m2，对比度：≥500:1，LED背光：是，HDMI1个，USB接口：2个。</w:t>
            </w:r>
          </w:p>
        </w:tc>
        <w:tc>
          <w:tcPr>
            <w:tcW w:w="1355"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3套</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408" w:hRule="atLeast"/>
          <w:tblCellSpacing w:w="15" w:type="dxa"/>
        </w:trPr>
        <w:tc>
          <w:tcPr>
            <w:tcW w:w="2018"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可移动支架投影幕布</w:t>
            </w:r>
          </w:p>
        </w:tc>
        <w:tc>
          <w:tcPr>
            <w:tcW w:w="3249"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pPr>
            <w:r>
              <w:rPr>
                <w:rFonts w:hint="eastAsia" w:ascii="宋体" w:hAnsi="宋体" w:eastAsia="宋体" w:cs="宋体"/>
                <w:color w:val="393939"/>
                <w:sz w:val="19"/>
                <w:szCs w:val="19"/>
                <w:bdr w:val="none" w:color="auto" w:sz="0" w:space="0"/>
              </w:rPr>
              <w:t>尺寸：≥150寸，比例：≥4:3，幕布材质：白玻纤增益倍数：≥2.5倍，支撑架：可伸缩移动双支架。</w:t>
            </w:r>
          </w:p>
        </w:tc>
        <w:tc>
          <w:tcPr>
            <w:tcW w:w="1355"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1套</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cantSplit/>
          <w:trHeight w:val="408" w:hRule="atLeast"/>
          <w:tblCellSpacing w:w="15" w:type="dxa"/>
        </w:trPr>
        <w:tc>
          <w:tcPr>
            <w:tcW w:w="2018"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辅材</w:t>
            </w:r>
          </w:p>
        </w:tc>
        <w:tc>
          <w:tcPr>
            <w:tcW w:w="3249"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适配</w:t>
            </w:r>
          </w:p>
        </w:tc>
        <w:tc>
          <w:tcPr>
            <w:tcW w:w="1355"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324" w:lineRule="atLeast"/>
              <w:jc w:val="center"/>
            </w:pPr>
            <w:r>
              <w:rPr>
                <w:rFonts w:hint="eastAsia" w:ascii="宋体" w:hAnsi="宋体" w:eastAsia="宋体" w:cs="宋体"/>
                <w:color w:val="393939"/>
                <w:sz w:val="19"/>
                <w:szCs w:val="19"/>
                <w:bdr w:val="none" w:color="auto" w:sz="0" w:space="0"/>
              </w:rPr>
              <w:t>1批</w:t>
            </w:r>
          </w:p>
        </w:tc>
      </w:tr>
    </w:tbl>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31.3 液晶电视参数</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31.3.1 屏幕尺寸：≥65英寸</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31.3.2 屏幕分辨率：≥超高清4K（3840x2160）</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31.3.3 屏幕比例：≥16:9</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31.3.4 屏幕等级：A+</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31.3.5 背光源 ：LED</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31.3.6 背光方式：直下式</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31.3.7 亮度：400-600</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31.3.8 流明刷屏率：≥60HZ</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31.3.9 响应时间：不大于6ms</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31.3.10 支持格式（高清）：≥2160p</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31.3.11 智能电视： 是</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31.3.12 CPU 64位A53芯片</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31.3.13 内部存储空间：DDR：≥1GB</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31.3.14 eMMC：≥4GB</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31.3.15 数字电视：地面无线传输</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31.3.16 音频参数：音频系统杜比解码多声道功能立体声扬声器类型辐射方向向后/向下扬声器数量2个输出功率≥5W*2耳机端口1个</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31.3.17 具备和支持以下端口：USB2.0接口，1USB3.0接口，1HDMI1.3接口，HDMI1.4接口，光纤音频输出，，数字RF接口，模拟RF接口，数字电视，SD卡槽。</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32、实验桌技术参数</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32.1 整体要求：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32.1.1 桌面平整光滑；桌体牢固、不得摇晃；喷漆不退色，不掉漆。</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32.1.2 每张桌尺寸必须一致，任何部位无毛边，不扎手。桌面前端、桌角、抽屉边等需要倒圆角。</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32.2 板材：使用环保三聚氰胺板材，PVC胶边封边。桌面厚≥20mm，其余≥18mm。</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32.3 颜色：白灰色。</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32.4 板材连接形式：环保胶水胶合、螺栓紧固。</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32.5 抽屉采用静音滑轨推拉条，每个抽屉可以分别承重≥20KG的仪器设备。</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32.6 桌凳外形尺寸：桌子长≥120CM、宽≥65CM,、高≥80CM.，每列抽屉位宽≥40CM、抽屉高度自上而下依次为16CM、30CM、30CM。</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32.7 桌子背面或桌面留有合适的一个孔，以便仪器设备的数据线或键盘鼠标等线的布置。</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33、实验椅子技术参数</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33.1 产品展开高度（cm) ：50-65cm</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33.2 产品座面直径（cm) ：≥33cm</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33.3产品净重（kg）：≥4KG</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33.4 商品承重量（kg）≥150kg</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33.5其他要求：材质为金属，可旋转，带滚轮，高度可调。</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34、机构运动创新设 计方案拼装及仿真实验台技术参数</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34.1 实验台性能要求</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34.1.1 机架：外形尺寸为≥1000×350×650mm，材料为45#型钢。上下横梁为精加工≥70×60mm45#方钢表面镀铬，五根立柱为精加工≥45×30mm45#方钢表面镀硬铬，并配备≥15个可调节带铜轴瓦轴承座。配有机械与电子双重保护装置，运动副平面座标任意调节精度为≥0.15mm。</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34.1.2 零件存放柜 尺寸：≥1600×450×1000 mm 材料：≥2mm厚冷轧钢板 表面处理：喷塑 存放零件数1000多个 存放方式分门别类，一目了然。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34.1.3 零件、连杆等杆组可进行大范围尺寸调整便于机构组合拼装，复合铰链接头构思新颖，可避免不同平面之间构件发生干涉，运转灵活有张紧装置使传动更平稳有力，也便于机构调整，表面处理镀铬或发蓝处理。</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34.2 主要技术参数</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 xml:space="preserve">34.2.1 实验台机架: ≥1000×350×650mm(长×宽×高)。 </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34.2.2 交流带减速器电机: 数量≥3个， N≥90W 220V 输出转速 n≥10转/分</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34.2.3 带减速器的大传动比交流直线电机:数量≥1个 N≥25W 220V 工作行程≥L≥500 10mm/s；原动件运动形式不受限制，既可手动又可电动</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34.2.4 实验台配零件存放柜≥（1600×450×1000 mm）1个</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34.2.5 各类机械零件及标准件近100种1000多个。</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34.2.6 产品重量：净重不小于420公 斤。</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34.2.7 电器控制箱1个，行程开关 2个。</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34.3 配套多媒体教学资源</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34.3.1 要求实验台配有专用多媒体仿真实验软件，能进行以下仿真功能</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34.3.1.1 必须有三维零件库；</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34.3.1.2 可进行装配训练；</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34.3.1.3 具有机构运动仿真；</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34.3.1.4 能绘制拆卸爆炸图：能完成不少于24种平面机构及≥30种空间机构、≥42种轮系虚拟装配与仿真的形象逼真三维运动演示，具有网络功能及正确与错误的判断功能。</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34.3.1.5 该实验台可对学生进行机构运动创新设 计的两次训练，第一次是虚拟实验，第二次是物理实验。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实验项目：</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1）不少于24种平面机构组成原理及创新设 计的拼装设 计实验和11种空间机构的搭接设 计实验。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2）计算机软件虚拟实验。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3）课程设 计、毕业设 计中进行机构系统方案设 计的拼装实验。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4）创意性设 计组合拼装实验。</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另外，提供相应的实验指导书，实验指导书要满足本科院校实验教学，包括实验目的、实验设备和工具、实验台结构和工作原理、实验步骤、注意事项、实验结果分析等，目的是能帮助学生完成撰写实验报告。</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35、扫描打印复印一体机</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35.1 主体：黑白激光多功能打印扫描复印一体机，打印幅面：A4 幅面</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35.2 打印功能</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35.3 分辨率：≥600×600×2dpi</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35.4 打印速度：（黑白、标准模式、A4）≥ 14 页/分钟</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35.5 首页打印时间：（黑色，A4）小于 10 秒</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35.6 打印机语言：基于主机</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35.7 打印负荷：（每月、A4） ≥5000 页/月</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35.8 扫描类型：平板式</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35.9 扫描分辨率：≥1200×1200 dpi 24位彩色(≥ 19200 dpi 光学扫描分辨率</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35.10 色彩深度：≥24 位</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35.11 复印分辨率：（黑白图形）≥ 600 x 600dpi</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35.12 复印速度：（黑色，草稿质量，A4） ≥ 14 页/分钟</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35.13 复印比例：25% 到 400%</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35.14 最大复印页数：≥99 个</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35.15 系统参数：Microsoft Windows 2000、XP Home、XP Professional、Server 2003等；Mac OS X v 10.3 或更高版本。 Mac OS X最新系统中可以通过Mac系统下的“软件更新”来 实现打印功能，但扫描功能不支持。</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35.16 接口：高速 USB 端口（兼容 USB 2.0 规范）</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35.17 电源：输入电压：220到240伏交流电（+/-10%）、50/60赫兹（+/-2赫兹）、1.5安培</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35.18 外形尺寸：≥437 x 363 x 308mm</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35.19 重量：≥约8.2kg</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35.20 随机附件：电源线 × 1； USB电缆 × 1 ；1000页t黑色体验硒鼓 × 1； 入门指南 × 1 ；软件和文档CD × 1 ；Readiris PRO文字识别软件 × 1；150页进纸盒 × 1 ；出纸托盘 × 1</w:t>
      </w:r>
    </w:p>
    <w:p>
      <w:pPr>
        <w:pStyle w:val="3"/>
        <w:keepNext w:val="0"/>
        <w:keepLines w:val="0"/>
        <w:widowControl/>
        <w:suppressLineNumbers w:val="0"/>
        <w:spacing w:before="0" w:beforeAutospacing="0" w:after="0" w:afterAutospacing="0" w:line="324" w:lineRule="atLeast"/>
        <w:ind w:left="0" w:right="0" w:firstLine="384"/>
      </w:pPr>
      <w:r>
        <w:rPr>
          <w:rStyle w:val="5"/>
          <w:rFonts w:hint="eastAsia" w:ascii="宋体" w:hAnsi="宋体" w:eastAsia="宋体" w:cs="宋体"/>
          <w:sz w:val="19"/>
          <w:szCs w:val="19"/>
          <w:bdr w:val="none" w:color="auto" w:sz="0" w:space="0"/>
          <w:shd w:val="clear" w:fill="FFFFFF"/>
        </w:rPr>
        <w:t>36、定频冷暖立柜式空调技术参数</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36.1 能效比：≥3.08，空调机执行GB12021.32010房间空气调节器能效限定值及能效等级。</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36.2 匹数：≥3P</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36.3 额定制冷量：≥7200W</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36.4 额定制热量：≥7850W</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36.5 电辅热：≥2100W</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36.6 电源规格：220V-50H</w:t>
      </w:r>
      <w:r>
        <w:rPr>
          <w:rFonts w:hint="eastAsia" w:ascii="宋体" w:hAnsi="宋体" w:eastAsia="宋体" w:cs="宋体"/>
          <w:sz w:val="19"/>
          <w:szCs w:val="19"/>
          <w:bdr w:val="none" w:color="auto" w:sz="0" w:space="0"/>
          <w:shd w:val="clear" w:fill="FFFFFF"/>
          <w:vertAlign w:val="subscript"/>
        </w:rPr>
        <w:t>Z</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36.7 循环风量：≥1200m</w:t>
      </w:r>
      <w:r>
        <w:rPr>
          <w:rFonts w:hint="eastAsia" w:ascii="宋体" w:hAnsi="宋体" w:eastAsia="宋体" w:cs="宋体"/>
          <w:sz w:val="19"/>
          <w:szCs w:val="19"/>
          <w:bdr w:val="none" w:color="auto" w:sz="0" w:space="0"/>
          <w:shd w:val="clear" w:fill="FFFFFF"/>
          <w:vertAlign w:val="superscript"/>
        </w:rPr>
        <w:t>3</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36.8 适用面积：32-50m</w:t>
      </w:r>
      <w:r>
        <w:rPr>
          <w:rFonts w:hint="eastAsia" w:ascii="宋体" w:hAnsi="宋体" w:eastAsia="宋体" w:cs="宋体"/>
          <w:sz w:val="19"/>
          <w:szCs w:val="19"/>
          <w:bdr w:val="none" w:color="auto" w:sz="0" w:space="0"/>
          <w:shd w:val="clear" w:fill="FFFFFF"/>
          <w:vertAlign w:val="superscript"/>
        </w:rPr>
        <w:t>2</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36.9 机身重量：室内机≥42公 斤，室外机≥58公 斤</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36.10 室外机挂架：标配挂架</w:t>
      </w:r>
    </w:p>
    <w:p>
      <w:pPr>
        <w:pStyle w:val="3"/>
        <w:keepNext w:val="0"/>
        <w:keepLines w:val="0"/>
        <w:widowControl/>
        <w:suppressLineNumbers w:val="0"/>
        <w:spacing w:before="0" w:beforeAutospacing="0" w:after="0" w:afterAutospacing="0" w:line="324" w:lineRule="atLeast"/>
        <w:ind w:left="0" w:right="0" w:firstLine="384"/>
      </w:pPr>
      <w:r>
        <w:rPr>
          <w:rFonts w:hint="eastAsia" w:ascii="宋体" w:hAnsi="宋体" w:eastAsia="宋体" w:cs="宋体"/>
          <w:sz w:val="19"/>
          <w:szCs w:val="19"/>
          <w:bdr w:val="none" w:color="auto" w:sz="0" w:space="0"/>
          <w:shd w:val="clear" w:fill="FFFFFF"/>
        </w:rPr>
        <w:t>36.11 外形尺寸：内机宽≥500×高1770×深320mm；外机宽≥955×高700×深396mm</w:t>
      </w:r>
    </w:p>
    <w:p>
      <w:pPr>
        <w:pStyle w:val="3"/>
        <w:keepNext w:val="0"/>
        <w:keepLines w:val="0"/>
        <w:widowControl/>
        <w:suppressLineNumbers w:val="0"/>
        <w:shd w:val="clear" w:fill="FFFFFF"/>
        <w:spacing w:before="0" w:beforeAutospacing="0" w:after="120" w:afterAutospacing="0" w:line="324" w:lineRule="atLeast"/>
        <w:ind w:left="0" w:right="0" w:firstLine="384"/>
      </w:pPr>
      <w:r>
        <w:rPr>
          <w:rStyle w:val="5"/>
          <w:rFonts w:hint="eastAsia" w:ascii="宋体" w:hAnsi="宋体" w:eastAsia="宋体" w:cs="宋体"/>
          <w:bdr w:val="none" w:color="auto" w:sz="0" w:space="0"/>
          <w:shd w:val="clear" w:fill="FFFFFF"/>
        </w:rPr>
        <w:t>（二）技术服务要求：</w:t>
      </w:r>
    </w:p>
    <w:p>
      <w:pPr>
        <w:pStyle w:val="3"/>
        <w:keepNext w:val="0"/>
        <w:keepLines w:val="0"/>
        <w:widowControl/>
        <w:suppressLineNumbers w:val="0"/>
        <w:shd w:val="clear" w:fill="FFFFFF"/>
        <w:spacing w:before="0" w:beforeAutospacing="0" w:after="120" w:afterAutospacing="0" w:line="324" w:lineRule="atLeast"/>
        <w:ind w:left="0" w:right="0" w:firstLine="384"/>
      </w:pPr>
      <w:r>
        <w:rPr>
          <w:rStyle w:val="5"/>
          <w:rFonts w:hint="eastAsia" w:ascii="宋体" w:hAnsi="宋体" w:eastAsia="宋体" w:cs="宋体"/>
          <w:bdr w:val="none" w:color="auto" w:sz="0" w:space="0"/>
          <w:shd w:val="clear" w:fill="FFFFFF"/>
        </w:rPr>
        <w:t>1、安装调试要求</w:t>
      </w:r>
    </w:p>
    <w:p>
      <w:pPr>
        <w:pStyle w:val="3"/>
        <w:keepNext w:val="0"/>
        <w:keepLines w:val="0"/>
        <w:widowControl/>
        <w:suppressLineNumbers w:val="0"/>
        <w:spacing w:before="0" w:beforeAutospacing="0" w:after="120" w:afterAutospacing="0" w:line="324" w:lineRule="atLeast"/>
        <w:ind w:left="0" w:right="0" w:firstLine="384"/>
      </w:pPr>
      <w:r>
        <w:rPr>
          <w:rFonts w:hint="eastAsia" w:ascii="宋体" w:hAnsi="宋体" w:eastAsia="宋体" w:cs="宋体"/>
          <w:sz w:val="19"/>
          <w:szCs w:val="19"/>
          <w:bdr w:val="none" w:color="auto" w:sz="0" w:space="0"/>
          <w:shd w:val="clear" w:fill="FFFFFF"/>
        </w:rPr>
        <w:t>1.1由中标人负责设备的现场安装和调试，在接到用户通知后派技术人员到现场进行安装调试，直至验收合格（由采购单位签字确认，附验收报告）；安装须符合我国国家有关技术规范和技术标准。</w:t>
      </w:r>
    </w:p>
    <w:p>
      <w:pPr>
        <w:pStyle w:val="3"/>
        <w:keepNext w:val="0"/>
        <w:keepLines w:val="0"/>
        <w:widowControl/>
        <w:suppressLineNumbers w:val="0"/>
        <w:spacing w:before="0" w:beforeAutospacing="0" w:after="120" w:afterAutospacing="0" w:line="324" w:lineRule="atLeast"/>
        <w:ind w:left="0" w:right="0" w:firstLine="384"/>
      </w:pPr>
      <w:r>
        <w:rPr>
          <w:rFonts w:hint="eastAsia" w:ascii="宋体" w:hAnsi="宋体" w:eastAsia="宋体" w:cs="宋体"/>
          <w:sz w:val="19"/>
          <w:szCs w:val="19"/>
          <w:bdr w:val="none" w:color="auto" w:sz="0" w:space="0"/>
          <w:shd w:val="clear" w:fill="FFFFFF"/>
        </w:rPr>
        <w:t>1.2中标人应在货物运抵现场一周前，向买方提供安装调试及运行的进度计划表。</w:t>
      </w:r>
    </w:p>
    <w:p>
      <w:pPr>
        <w:pStyle w:val="3"/>
        <w:keepNext w:val="0"/>
        <w:keepLines w:val="0"/>
        <w:widowControl/>
        <w:suppressLineNumbers w:val="0"/>
        <w:spacing w:before="0" w:beforeAutospacing="0" w:after="120" w:afterAutospacing="0" w:line="324" w:lineRule="atLeast"/>
        <w:ind w:left="0" w:right="0" w:firstLine="384"/>
      </w:pPr>
      <w:r>
        <w:rPr>
          <w:rFonts w:hint="eastAsia" w:ascii="宋体" w:hAnsi="宋体" w:eastAsia="宋体" w:cs="宋体"/>
          <w:sz w:val="19"/>
          <w:szCs w:val="19"/>
          <w:bdr w:val="none" w:color="auto" w:sz="0" w:space="0"/>
          <w:shd w:val="clear" w:fill="FFFFFF"/>
        </w:rPr>
        <w:t>1.3在设备的安装、调试、试运行期间，中标人安装调试人员一切费用自理。</w:t>
      </w:r>
    </w:p>
    <w:p>
      <w:pPr>
        <w:pStyle w:val="3"/>
        <w:keepNext w:val="0"/>
        <w:keepLines w:val="0"/>
        <w:widowControl/>
        <w:suppressLineNumbers w:val="0"/>
        <w:spacing w:before="0" w:beforeAutospacing="0" w:after="120" w:afterAutospacing="0" w:line="324" w:lineRule="atLeast"/>
        <w:ind w:left="0" w:right="0" w:firstLine="384"/>
      </w:pPr>
      <w:r>
        <w:rPr>
          <w:rFonts w:hint="eastAsia" w:ascii="宋体" w:hAnsi="宋体" w:eastAsia="宋体" w:cs="宋体"/>
          <w:sz w:val="19"/>
          <w:szCs w:val="19"/>
          <w:bdr w:val="none" w:color="auto" w:sz="0" w:space="0"/>
          <w:shd w:val="clear" w:fill="FFFFFF"/>
        </w:rPr>
        <w:t>1.4中标人安装结束后应在规定的交付使用时间之前将废物移离现场,清理妥当,费用由中标人负责。</w:t>
      </w:r>
    </w:p>
    <w:p>
      <w:pPr>
        <w:pStyle w:val="3"/>
        <w:keepNext w:val="0"/>
        <w:keepLines w:val="0"/>
        <w:widowControl/>
        <w:suppressLineNumbers w:val="0"/>
        <w:spacing w:before="0" w:beforeAutospacing="0" w:after="120" w:afterAutospacing="0" w:line="324" w:lineRule="atLeast"/>
        <w:ind w:left="0" w:right="0" w:firstLine="384"/>
      </w:pPr>
      <w:r>
        <w:rPr>
          <w:rFonts w:hint="eastAsia" w:ascii="宋体" w:hAnsi="宋体" w:eastAsia="宋体" w:cs="宋体"/>
          <w:sz w:val="19"/>
          <w:szCs w:val="19"/>
          <w:bdr w:val="none" w:color="auto" w:sz="0" w:space="0"/>
          <w:shd w:val="clear" w:fill="FFFFFF"/>
        </w:rPr>
        <w:t>1.5中标人提供的设备、材料及施工用具，在进入采购人安装地现场后的保管，由中标人负责；中标人在安装地现场施工人员的安全、保险、食宿，由中标人负责。</w:t>
      </w:r>
    </w:p>
    <w:p>
      <w:pPr>
        <w:pStyle w:val="3"/>
        <w:keepNext w:val="0"/>
        <w:keepLines w:val="0"/>
        <w:widowControl/>
        <w:suppressLineNumbers w:val="0"/>
        <w:shd w:val="clear" w:fill="FFFFFF"/>
        <w:spacing w:before="0" w:beforeAutospacing="0" w:after="120" w:afterAutospacing="0" w:line="324" w:lineRule="atLeast"/>
        <w:ind w:left="0" w:right="0" w:firstLine="384"/>
      </w:pPr>
      <w:r>
        <w:rPr>
          <w:rStyle w:val="5"/>
          <w:rFonts w:hint="eastAsia" w:ascii="宋体" w:hAnsi="宋体" w:eastAsia="宋体" w:cs="宋体"/>
          <w:bdr w:val="none" w:color="auto" w:sz="0" w:space="0"/>
          <w:shd w:val="clear" w:fill="FFFFFF"/>
        </w:rPr>
        <w:t>2、培 训要求</w:t>
      </w:r>
    </w:p>
    <w:p>
      <w:pPr>
        <w:pStyle w:val="3"/>
        <w:keepNext w:val="0"/>
        <w:keepLines w:val="0"/>
        <w:widowControl/>
        <w:suppressLineNumbers w:val="0"/>
        <w:shd w:val="clear" w:fill="FFFFFF"/>
        <w:spacing w:before="0" w:beforeAutospacing="0" w:after="120" w:afterAutospacing="0" w:line="324" w:lineRule="atLeast"/>
        <w:ind w:left="0" w:right="0" w:firstLine="384"/>
      </w:pPr>
      <w:r>
        <w:rPr>
          <w:rFonts w:hint="eastAsia" w:ascii="宋体" w:hAnsi="宋体" w:eastAsia="宋体" w:cs="宋体"/>
          <w:sz w:val="19"/>
          <w:szCs w:val="19"/>
          <w:bdr w:val="none" w:color="auto" w:sz="0" w:space="0"/>
          <w:shd w:val="clear" w:fill="FFFFFF"/>
        </w:rPr>
        <w:t>2.1现场培训：中标人在设备的安装、调试、验收完毕后即进行现场培训直至需方基本掌握使用操作、维护保养技术。</w:t>
      </w:r>
    </w:p>
    <w:p>
      <w:pPr>
        <w:pStyle w:val="3"/>
        <w:keepNext w:val="0"/>
        <w:keepLines w:val="0"/>
        <w:widowControl/>
        <w:suppressLineNumbers w:val="0"/>
        <w:shd w:val="clear" w:fill="FFFFFF"/>
        <w:spacing w:before="0" w:beforeAutospacing="0" w:after="120" w:afterAutospacing="0" w:line="324" w:lineRule="atLeast"/>
        <w:ind w:left="0" w:right="0" w:firstLine="384"/>
      </w:pPr>
      <w:r>
        <w:rPr>
          <w:rFonts w:hint="eastAsia" w:ascii="宋体" w:hAnsi="宋体" w:eastAsia="宋体" w:cs="宋体"/>
          <w:sz w:val="19"/>
          <w:szCs w:val="19"/>
          <w:bdr w:val="none" w:color="auto" w:sz="0" w:space="0"/>
          <w:shd w:val="clear" w:fill="FFFFFF"/>
        </w:rPr>
        <w:t>2.2专门培训：中标人就设备的安装、检验、调试、使用和维护等培训需方</w:t>
      </w:r>
      <w:r>
        <w:rPr>
          <w:rFonts w:hint="eastAsia" w:ascii="宋体" w:hAnsi="宋体" w:eastAsia="宋体" w:cs="宋体"/>
          <w:sz w:val="19"/>
          <w:szCs w:val="19"/>
          <w:u w:val="single"/>
          <w:bdr w:val="none" w:color="auto" w:sz="0" w:space="0"/>
          <w:shd w:val="clear" w:fill="FFFFFF"/>
        </w:rPr>
        <w:t>2</w:t>
      </w:r>
      <w:r>
        <w:rPr>
          <w:rFonts w:hint="eastAsia" w:ascii="宋体" w:hAnsi="宋体" w:eastAsia="宋体" w:cs="宋体"/>
          <w:sz w:val="19"/>
          <w:szCs w:val="19"/>
          <w:bdr w:val="none" w:color="auto" w:sz="0" w:space="0"/>
          <w:shd w:val="clear" w:fill="FFFFFF"/>
        </w:rPr>
        <w:t>名技术人员，直到采购人受训人员全部掌握运行操作、维护保养技术，并能达到正确检修、维护、排除一般故障为止。</w:t>
      </w:r>
    </w:p>
    <w:p>
      <w:pPr>
        <w:pStyle w:val="3"/>
        <w:keepNext w:val="0"/>
        <w:keepLines w:val="0"/>
        <w:widowControl/>
        <w:suppressLineNumbers w:val="0"/>
        <w:shd w:val="clear" w:fill="FFFFFF"/>
        <w:spacing w:before="0" w:beforeAutospacing="0" w:after="120" w:afterAutospacing="0" w:line="324" w:lineRule="atLeast"/>
        <w:ind w:left="0" w:right="0" w:firstLine="384"/>
      </w:pPr>
      <w:r>
        <w:rPr>
          <w:rFonts w:hint="eastAsia" w:ascii="宋体" w:hAnsi="宋体" w:eastAsia="宋体" w:cs="宋体"/>
          <w:sz w:val="19"/>
          <w:szCs w:val="19"/>
          <w:bdr w:val="none" w:color="auto" w:sz="0" w:space="0"/>
          <w:shd w:val="clear" w:fill="FFFFFF"/>
        </w:rPr>
        <w:t>2.3培训方式：技术培训、操作培训。</w:t>
      </w:r>
    </w:p>
    <w:p>
      <w:pPr>
        <w:pStyle w:val="3"/>
        <w:keepNext w:val="0"/>
        <w:keepLines w:val="0"/>
        <w:widowControl/>
        <w:suppressLineNumbers w:val="0"/>
        <w:shd w:val="clear" w:fill="FFFFFF"/>
        <w:spacing w:before="0" w:beforeAutospacing="0" w:after="120" w:afterAutospacing="0" w:line="324" w:lineRule="atLeast"/>
        <w:ind w:left="0" w:right="0" w:firstLine="384"/>
      </w:pPr>
      <w:r>
        <w:rPr>
          <w:rFonts w:hint="eastAsia" w:ascii="宋体" w:hAnsi="宋体" w:eastAsia="宋体" w:cs="宋体"/>
          <w:sz w:val="19"/>
          <w:szCs w:val="19"/>
          <w:bdr w:val="none" w:color="auto" w:sz="0" w:space="0"/>
          <w:shd w:val="clear" w:fill="FFFFFF"/>
        </w:rPr>
        <w:t>2.4此项费用应包含在投标总价中。</w:t>
      </w:r>
    </w:p>
    <w:p>
      <w:pPr>
        <w:pStyle w:val="3"/>
        <w:keepNext w:val="0"/>
        <w:keepLines w:val="0"/>
        <w:widowControl/>
        <w:suppressLineNumbers w:val="0"/>
        <w:shd w:val="clear" w:fill="FFFFFF"/>
        <w:spacing w:before="0" w:beforeAutospacing="0" w:after="120" w:afterAutospacing="0" w:line="324" w:lineRule="atLeast"/>
        <w:ind w:left="0" w:right="0" w:firstLine="384"/>
      </w:pPr>
      <w:r>
        <w:rPr>
          <w:rStyle w:val="5"/>
          <w:rFonts w:hint="eastAsia" w:ascii="宋体" w:hAnsi="宋体" w:eastAsia="宋体" w:cs="宋体"/>
          <w:bdr w:val="none" w:color="auto" w:sz="0" w:space="0"/>
          <w:shd w:val="clear" w:fill="FFFFFF"/>
        </w:rPr>
        <w:t>3、质保期和售 后服 务要求</w:t>
      </w:r>
    </w:p>
    <w:p>
      <w:pPr>
        <w:pStyle w:val="3"/>
        <w:keepNext w:val="0"/>
        <w:keepLines w:val="0"/>
        <w:widowControl/>
        <w:suppressLineNumbers w:val="0"/>
        <w:shd w:val="clear" w:fill="FFFFFF"/>
        <w:spacing w:before="0" w:beforeAutospacing="0" w:after="120" w:afterAutospacing="0" w:line="324" w:lineRule="atLeast"/>
        <w:ind w:left="0" w:right="0" w:firstLine="384"/>
      </w:pPr>
      <w:r>
        <w:rPr>
          <w:rStyle w:val="5"/>
          <w:rFonts w:hint="eastAsia" w:ascii="宋体" w:hAnsi="宋体" w:eastAsia="宋体" w:cs="宋体"/>
          <w:bdr w:val="none" w:color="auto" w:sz="0" w:space="0"/>
          <w:shd w:val="clear" w:fill="FFFFFF"/>
        </w:rPr>
        <w:t>3.1设备质保期为整机验收合格后3年，</w:t>
      </w:r>
      <w:r>
        <w:rPr>
          <w:rStyle w:val="5"/>
          <w:rFonts w:hint="eastAsia" w:ascii="宋体" w:hAnsi="宋体" w:eastAsia="宋体" w:cs="宋体"/>
          <w:sz w:val="19"/>
          <w:szCs w:val="19"/>
          <w:bdr w:val="none" w:color="auto" w:sz="0" w:space="0"/>
          <w:shd w:val="clear" w:fill="FFFFFF"/>
        </w:rPr>
        <w:t>技术参数条款要求中已明确有质保期从其要求</w:t>
      </w:r>
      <w:r>
        <w:rPr>
          <w:rStyle w:val="5"/>
          <w:rFonts w:hint="eastAsia" w:ascii="宋体" w:hAnsi="宋体" w:eastAsia="宋体" w:cs="宋体"/>
          <w:bdr w:val="none" w:color="auto" w:sz="0" w:space="0"/>
          <w:shd w:val="clear" w:fill="FFFFFF"/>
        </w:rPr>
        <w:t>（厂家或国家有更长质量保证期限规定的从其规定），从验收合格双方签字之日起计算，维护期后售 后服 务方仍应对该系统软件的运行管理提供终身服务。</w:t>
      </w:r>
    </w:p>
    <w:p>
      <w:pPr>
        <w:pStyle w:val="3"/>
        <w:keepNext w:val="0"/>
        <w:keepLines w:val="0"/>
        <w:widowControl/>
        <w:suppressLineNumbers w:val="0"/>
        <w:shd w:val="clear" w:fill="FFFFFF"/>
        <w:spacing w:before="0" w:beforeAutospacing="0" w:after="120" w:afterAutospacing="0" w:line="300" w:lineRule="atLeast"/>
        <w:ind w:left="0" w:right="0" w:firstLine="384"/>
      </w:pPr>
      <w:r>
        <w:rPr>
          <w:rFonts w:hint="eastAsia" w:ascii="宋体" w:hAnsi="宋体" w:eastAsia="宋体" w:cs="宋体"/>
          <w:sz w:val="19"/>
          <w:szCs w:val="19"/>
          <w:bdr w:val="none" w:color="auto" w:sz="0" w:space="0"/>
          <w:shd w:val="clear" w:fill="FFFFFF"/>
        </w:rPr>
        <w:t>3.2在质量保证期内设备运行发生故障时，卖方在接到买方故障通知后24小时内应委派专业技术人员到现场提供咨询、维修和更换零部件等服务，并及时填写维修报告（包括故障原因、处理情况及买方意见等）报买方备案，其中发生一切费用由卖方承担。质量保证期内卖方有责任对设备进行不定期的巡查检修。</w:t>
      </w:r>
    </w:p>
    <w:p>
      <w:pPr>
        <w:pStyle w:val="3"/>
        <w:keepNext w:val="0"/>
        <w:keepLines w:val="0"/>
        <w:widowControl/>
        <w:suppressLineNumbers w:val="0"/>
        <w:shd w:val="clear" w:fill="FFFFFF"/>
        <w:spacing w:before="0" w:beforeAutospacing="0" w:after="120" w:afterAutospacing="0" w:line="300" w:lineRule="atLeast"/>
        <w:ind w:left="0" w:right="0" w:firstLine="384"/>
      </w:pPr>
      <w:r>
        <w:rPr>
          <w:rFonts w:hint="eastAsia" w:ascii="宋体" w:hAnsi="宋体" w:eastAsia="宋体" w:cs="宋体"/>
          <w:sz w:val="19"/>
          <w:szCs w:val="19"/>
          <w:bdr w:val="none" w:color="auto" w:sz="0" w:space="0"/>
          <w:shd w:val="clear" w:fill="FFFFFF"/>
        </w:rPr>
        <w:t>3.3在保修期以后，保证用户在设备正常使用寿命期内，以合理价格购买到零配件和易损件，但只能收取配件费，不收人工服务费。</w:t>
      </w:r>
    </w:p>
    <w:p>
      <w:pPr>
        <w:pStyle w:val="3"/>
        <w:keepNext w:val="0"/>
        <w:keepLines w:val="0"/>
        <w:widowControl/>
        <w:suppressLineNumbers w:val="0"/>
        <w:shd w:val="clear" w:fill="FFFFFF"/>
        <w:spacing w:before="0" w:beforeAutospacing="0" w:after="120" w:afterAutospacing="0" w:line="300" w:lineRule="atLeast"/>
        <w:ind w:left="0" w:right="0" w:firstLine="384"/>
      </w:pPr>
      <w:r>
        <w:rPr>
          <w:rFonts w:hint="eastAsia" w:ascii="宋体" w:hAnsi="宋体" w:eastAsia="宋体" w:cs="宋体"/>
          <w:sz w:val="19"/>
          <w:szCs w:val="19"/>
          <w:bdr w:val="none" w:color="auto" w:sz="0" w:space="0"/>
          <w:shd w:val="clear" w:fill="FFFFFF"/>
        </w:rPr>
        <w:t>3.4中标人应提供售 后服 务承诺书，提供所投产品售 后服 务机构有关资格证明文件、售 后服 务机构设置和售 后服 务专业人员配置等方面情况：提供维修中心详细地址及联系电话。</w:t>
      </w:r>
    </w:p>
    <w:p>
      <w:pPr>
        <w:pStyle w:val="3"/>
        <w:keepNext w:val="0"/>
        <w:keepLines w:val="0"/>
        <w:widowControl/>
        <w:suppressLineNumbers w:val="0"/>
        <w:shd w:val="clear" w:fill="FFFFFF"/>
        <w:spacing w:before="0" w:beforeAutospacing="0" w:after="120" w:afterAutospacing="0" w:line="324" w:lineRule="atLeast"/>
        <w:ind w:left="0" w:right="0" w:firstLine="384"/>
      </w:pPr>
      <w:r>
        <w:rPr>
          <w:rStyle w:val="5"/>
          <w:rFonts w:hint="eastAsia" w:ascii="宋体" w:hAnsi="宋体" w:eastAsia="宋体" w:cs="宋体"/>
          <w:bdr w:val="none" w:color="auto" w:sz="0" w:space="0"/>
          <w:shd w:val="clear" w:fill="FFFFFF"/>
        </w:rPr>
        <w:t>4、验收标准和验收方法</w:t>
      </w:r>
    </w:p>
    <w:p>
      <w:pPr>
        <w:pStyle w:val="3"/>
        <w:keepNext w:val="0"/>
        <w:keepLines w:val="0"/>
        <w:widowControl/>
        <w:suppressLineNumbers w:val="0"/>
        <w:shd w:val="clear" w:fill="FFFFFF"/>
        <w:spacing w:before="0" w:beforeAutospacing="0" w:after="120" w:afterAutospacing="0" w:line="324" w:lineRule="atLeast"/>
        <w:ind w:left="0" w:right="0" w:firstLine="384"/>
      </w:pPr>
      <w:r>
        <w:rPr>
          <w:rFonts w:hint="eastAsia" w:ascii="宋体" w:hAnsi="宋体" w:eastAsia="宋体" w:cs="宋体"/>
          <w:sz w:val="19"/>
          <w:szCs w:val="19"/>
          <w:bdr w:val="none" w:color="auto" w:sz="0" w:space="0"/>
          <w:shd w:val="clear" w:fill="FFFFFF"/>
        </w:rPr>
        <w:t>4.1 验收标准：设备按国家相关标准、招标文件及合同中相关条款要求进行验收。产品质量达到设 计要求，安装调试各项指标符合技术参数。除采购文件另有规定外，若出现有关法律、法规和规章有强制性规定但采购文件未列明的情形，则成交供 应 商应按照有关法律、法规和规章强制性规定执行。成交后应向采购人提供其产品符合国家强制规定的证明材料。否则采购人有权视为验收不合格。</w:t>
      </w:r>
    </w:p>
    <w:p>
      <w:pPr>
        <w:pStyle w:val="3"/>
        <w:keepNext w:val="0"/>
        <w:keepLines w:val="0"/>
        <w:widowControl/>
        <w:suppressLineNumbers w:val="0"/>
        <w:shd w:val="clear" w:fill="FFFFFF"/>
        <w:spacing w:before="0" w:beforeAutospacing="0" w:after="120" w:afterAutospacing="0" w:line="324" w:lineRule="atLeast"/>
        <w:ind w:left="0" w:right="0" w:firstLine="384"/>
      </w:pPr>
      <w:r>
        <w:rPr>
          <w:rFonts w:hint="eastAsia" w:ascii="宋体" w:hAnsi="宋体" w:eastAsia="宋体" w:cs="宋体"/>
          <w:sz w:val="19"/>
          <w:szCs w:val="19"/>
          <w:bdr w:val="none" w:color="auto" w:sz="0" w:space="0"/>
          <w:shd w:val="clear" w:fill="FFFFFF"/>
        </w:rPr>
        <w:t>4.2验收程序：货物验收分卖方出厂检验、安装调试检验及最终验收三个阶段。</w:t>
      </w:r>
    </w:p>
    <w:p>
      <w:pPr>
        <w:pStyle w:val="3"/>
        <w:keepNext w:val="0"/>
        <w:keepLines w:val="0"/>
        <w:widowControl/>
        <w:suppressLineNumbers w:val="0"/>
        <w:shd w:val="clear" w:fill="FFFFFF"/>
        <w:spacing w:before="0" w:beforeAutospacing="0" w:after="120" w:afterAutospacing="0" w:line="324" w:lineRule="atLeast"/>
        <w:ind w:left="0" w:right="0" w:firstLine="384"/>
      </w:pPr>
      <w:r>
        <w:rPr>
          <w:rFonts w:hint="eastAsia" w:ascii="宋体" w:hAnsi="宋体" w:eastAsia="宋体" w:cs="宋体"/>
          <w:sz w:val="19"/>
          <w:szCs w:val="19"/>
          <w:bdr w:val="none" w:color="auto" w:sz="0" w:space="0"/>
          <w:shd w:val="clear" w:fill="FFFFFF"/>
        </w:rPr>
        <w:t>4.2.1出厂检验：中标人在货物出厂前，应按产品技术标准规定的检验项目和试验方法进行全面检验，中标人应随同货物提供出厂检验报告、产品质量合格证，结果必须符合4.1验收标准的要求。</w:t>
      </w:r>
    </w:p>
    <w:p>
      <w:pPr>
        <w:pStyle w:val="3"/>
        <w:keepNext w:val="0"/>
        <w:keepLines w:val="0"/>
        <w:widowControl/>
        <w:suppressLineNumbers w:val="0"/>
        <w:shd w:val="clear" w:fill="FFFFFF"/>
        <w:spacing w:before="0" w:beforeAutospacing="0" w:after="120" w:afterAutospacing="0" w:line="324" w:lineRule="atLeast"/>
        <w:ind w:left="0" w:right="0" w:firstLine="384"/>
      </w:pPr>
      <w:r>
        <w:rPr>
          <w:rFonts w:hint="eastAsia" w:ascii="宋体" w:hAnsi="宋体" w:eastAsia="宋体" w:cs="宋体"/>
          <w:sz w:val="19"/>
          <w:szCs w:val="19"/>
          <w:bdr w:val="none" w:color="auto" w:sz="0" w:space="0"/>
          <w:shd w:val="clear" w:fill="FFFFFF"/>
        </w:rPr>
        <w:t>4.2.2安装调试检验：设备安装、调试过程，中标人应作详细检验记录。安装调试检验结果应符合制造厂产品标准和招标文件规定。检验记录应真实并提供给采购人。</w:t>
      </w:r>
    </w:p>
    <w:p>
      <w:pPr>
        <w:pStyle w:val="3"/>
        <w:keepNext w:val="0"/>
        <w:keepLines w:val="0"/>
        <w:widowControl/>
        <w:suppressLineNumbers w:val="0"/>
        <w:shd w:val="clear" w:fill="FFFFFF"/>
        <w:spacing w:before="0" w:beforeAutospacing="0" w:after="120" w:afterAutospacing="0" w:line="324" w:lineRule="atLeast"/>
        <w:ind w:left="0" w:right="0" w:firstLine="384"/>
      </w:pPr>
      <w:r>
        <w:rPr>
          <w:rFonts w:hint="eastAsia" w:ascii="宋体" w:hAnsi="宋体" w:eastAsia="宋体" w:cs="宋体"/>
          <w:sz w:val="19"/>
          <w:szCs w:val="19"/>
          <w:bdr w:val="none" w:color="auto" w:sz="0" w:space="0"/>
          <w:shd w:val="clear" w:fill="FFFFFF"/>
        </w:rPr>
        <w:t xml:space="preserve">4.2.3最终验收：设备安装、调试结束后，由中标人负责并会同采购人及有关部门或专家（如需）按第4.1款规定的标准要求进行最终验收。发现虚假响应参数，将不予以验收。 </w:t>
      </w:r>
    </w:p>
    <w:p>
      <w:pPr>
        <w:pStyle w:val="3"/>
        <w:keepNext w:val="0"/>
        <w:keepLines w:val="0"/>
        <w:widowControl/>
        <w:suppressLineNumbers w:val="0"/>
        <w:shd w:val="clear" w:fill="FFFFFF"/>
        <w:spacing w:before="0" w:beforeAutospacing="0" w:after="120" w:afterAutospacing="0" w:line="288" w:lineRule="atLeast"/>
        <w:ind w:left="0" w:right="0" w:firstLine="384"/>
      </w:pPr>
      <w:r>
        <w:rPr>
          <w:rFonts w:hint="eastAsia" w:ascii="宋体" w:hAnsi="宋体" w:eastAsia="宋体" w:cs="宋体"/>
          <w:sz w:val="19"/>
          <w:szCs w:val="19"/>
          <w:bdr w:val="none" w:color="auto" w:sz="0" w:space="0"/>
          <w:shd w:val="clear" w:fill="FFFFFF"/>
        </w:rPr>
        <w:t>4.3 中标人对国内交货的货物应单列清单注明。属于进口货物的须提供报关单等相关完税证明。如需办理进口手续，所需费用由中标人承担并负责办理相关手续。</w:t>
      </w:r>
    </w:p>
    <w:p>
      <w:pPr>
        <w:pStyle w:val="3"/>
        <w:keepNext w:val="0"/>
        <w:keepLines w:val="0"/>
        <w:widowControl/>
        <w:suppressLineNumbers w:val="0"/>
        <w:shd w:val="clear" w:fill="FFFFFF"/>
        <w:spacing w:before="0" w:beforeAutospacing="0" w:after="120" w:afterAutospacing="0" w:line="324" w:lineRule="atLeast"/>
        <w:ind w:left="0" w:right="0" w:firstLine="384"/>
      </w:pPr>
      <w:r>
        <w:rPr>
          <w:rFonts w:hint="eastAsia" w:ascii="宋体" w:hAnsi="宋体" w:eastAsia="宋体" w:cs="宋体"/>
          <w:sz w:val="19"/>
          <w:szCs w:val="19"/>
          <w:bdr w:val="none" w:color="auto" w:sz="0" w:space="0"/>
          <w:shd w:val="clear" w:fill="FFFFFF"/>
        </w:rPr>
        <w:t>4.4本章节《技术规格要求》内容只提及产品主要配置，中标人应根据投标产品的特点，提供足够的部件，确保产品能通过验收和法定计量部门检定。因中标人提供的部件不足够，导致产品不能通过验收和法定部门计量检定，则所欠缺的部件由中标人负责免费提供，且每逾期一天，中标人须向采购人偿付不能通过验收和法定计量部门计量检定的产品总价的2‰的延误金。</w:t>
      </w:r>
    </w:p>
    <w:p>
      <w:pPr>
        <w:pStyle w:val="3"/>
        <w:keepNext w:val="0"/>
        <w:keepLines w:val="0"/>
        <w:widowControl/>
        <w:suppressLineNumbers w:val="0"/>
        <w:shd w:val="clear" w:fill="FFFFFF"/>
        <w:spacing w:before="0" w:beforeAutospacing="0" w:after="120" w:afterAutospacing="0" w:line="324" w:lineRule="atLeast"/>
        <w:ind w:left="0" w:right="0" w:firstLine="384"/>
      </w:pPr>
      <w:r>
        <w:rPr>
          <w:rFonts w:hint="eastAsia" w:ascii="宋体" w:hAnsi="宋体" w:eastAsia="宋体" w:cs="宋体"/>
          <w:sz w:val="19"/>
          <w:szCs w:val="19"/>
          <w:bdr w:val="none" w:color="auto" w:sz="0" w:space="0"/>
          <w:shd w:val="clear" w:fill="FFFFFF"/>
        </w:rPr>
        <w:t>4.5在验收时所发生的一切费用由中标供 应商承担。</w:t>
      </w:r>
    </w:p>
    <w:p>
      <w:pPr>
        <w:pStyle w:val="3"/>
        <w:keepNext w:val="0"/>
        <w:keepLines w:val="0"/>
        <w:widowControl/>
        <w:suppressLineNumbers w:val="0"/>
        <w:shd w:val="clear" w:fill="FFFFFF"/>
        <w:spacing w:before="0" w:beforeAutospacing="0" w:after="120" w:afterAutospacing="0" w:line="324" w:lineRule="atLeast"/>
        <w:ind w:left="0" w:right="0" w:firstLine="384"/>
      </w:pPr>
      <w:r>
        <w:rPr>
          <w:rFonts w:hint="eastAsia" w:ascii="宋体" w:hAnsi="宋体" w:eastAsia="宋体" w:cs="宋体"/>
          <w:sz w:val="19"/>
          <w:szCs w:val="19"/>
          <w:bdr w:val="none" w:color="auto" w:sz="0" w:space="0"/>
          <w:shd w:val="clear" w:fill="FFFFFF"/>
        </w:rPr>
        <w:t>4.6若验收不能符合要求，采购人将按合同商务条款的有关规定执行。</w:t>
      </w:r>
    </w:p>
    <w:p>
      <w:pPr>
        <w:pStyle w:val="3"/>
        <w:keepNext w:val="0"/>
        <w:keepLines w:val="0"/>
        <w:widowControl/>
        <w:suppressLineNumbers w:val="0"/>
        <w:shd w:val="clear" w:fill="FFFFFF"/>
        <w:spacing w:before="0" w:beforeAutospacing="0" w:after="120" w:afterAutospacing="0" w:line="324" w:lineRule="atLeast"/>
        <w:ind w:left="0" w:right="0" w:firstLine="384"/>
      </w:pPr>
      <w:r>
        <w:rPr>
          <w:rStyle w:val="5"/>
          <w:rFonts w:hint="eastAsia" w:ascii="宋体" w:hAnsi="宋体" w:eastAsia="宋体" w:cs="宋体"/>
          <w:bdr w:val="none" w:color="auto" w:sz="0" w:space="0"/>
          <w:shd w:val="clear" w:fill="FFFFFF"/>
        </w:rPr>
        <w:t>5、技术资料要求</w:t>
      </w:r>
    </w:p>
    <w:p>
      <w:pPr>
        <w:pStyle w:val="3"/>
        <w:keepNext w:val="0"/>
        <w:keepLines w:val="0"/>
        <w:widowControl/>
        <w:suppressLineNumbers w:val="0"/>
        <w:shd w:val="clear" w:fill="FFFFFF"/>
        <w:spacing w:before="0" w:beforeAutospacing="0" w:after="120" w:afterAutospacing="0" w:line="324" w:lineRule="atLeast"/>
        <w:ind w:left="0" w:right="0" w:firstLine="384"/>
      </w:pPr>
      <w:r>
        <w:rPr>
          <w:rFonts w:hint="eastAsia" w:ascii="宋体" w:hAnsi="宋体" w:eastAsia="宋体" w:cs="宋体"/>
          <w:sz w:val="19"/>
          <w:szCs w:val="19"/>
          <w:bdr w:val="none" w:color="auto" w:sz="0" w:space="0"/>
          <w:shd w:val="clear" w:fill="FFFFFF"/>
        </w:rPr>
        <w:t xml:space="preserve">中标人应在设备交货时向采购人提供完整的技术资料，包括：产品验收标准（含产品合格证验收清单等）；技术操作手册、技术说明书；使用说明书；设备安装调试资料、维修线路原理图及其维修资料；零部件目录；备品备件易耗件清单及合同中要求的其他文件资料。 </w:t>
      </w:r>
    </w:p>
    <w:p>
      <w:pPr>
        <w:pStyle w:val="3"/>
        <w:keepNext w:val="0"/>
        <w:keepLines w:val="0"/>
        <w:widowControl/>
        <w:suppressLineNumbers w:val="0"/>
        <w:shd w:val="clear" w:fill="FFFFFF"/>
        <w:spacing w:before="0" w:beforeAutospacing="0" w:after="120" w:afterAutospacing="0" w:line="324" w:lineRule="atLeast"/>
        <w:ind w:left="0" w:right="0" w:firstLine="384"/>
      </w:pPr>
      <w:r>
        <w:rPr>
          <w:rStyle w:val="5"/>
          <w:rFonts w:hint="eastAsia" w:ascii="宋体" w:hAnsi="宋体" w:eastAsia="宋体" w:cs="宋体"/>
          <w:bdr w:val="none" w:color="auto" w:sz="0" w:space="0"/>
          <w:shd w:val="clear" w:fill="FFFFFF"/>
        </w:rPr>
        <w:t>6、专用工具</w:t>
      </w:r>
    </w:p>
    <w:p>
      <w:pPr>
        <w:pStyle w:val="3"/>
        <w:keepNext w:val="0"/>
        <w:keepLines w:val="0"/>
        <w:widowControl/>
        <w:suppressLineNumbers w:val="0"/>
        <w:shd w:val="clear" w:fill="FFFFFF"/>
        <w:spacing w:before="0" w:beforeAutospacing="0" w:after="120" w:afterAutospacing="0" w:line="324" w:lineRule="atLeast"/>
        <w:ind w:left="0" w:right="0" w:firstLine="384"/>
      </w:pPr>
      <w:r>
        <w:rPr>
          <w:rFonts w:hint="eastAsia" w:ascii="宋体" w:hAnsi="宋体" w:eastAsia="宋体" w:cs="宋体"/>
          <w:sz w:val="19"/>
          <w:szCs w:val="19"/>
          <w:bdr w:val="none" w:color="auto" w:sz="0" w:space="0"/>
          <w:shd w:val="clear" w:fill="FFFFFF"/>
        </w:rPr>
        <w:t>中标供 应商应向采购人提供安装和维修所需的特殊专用工具及清单(如果有的话)，其费用包括在投标总价内。</w:t>
      </w:r>
    </w:p>
    <w:p>
      <w:pPr>
        <w:pStyle w:val="3"/>
        <w:keepNext w:val="0"/>
        <w:keepLines w:val="0"/>
        <w:widowControl/>
        <w:suppressLineNumbers w:val="0"/>
        <w:shd w:val="clear" w:fill="FFFFFF"/>
        <w:spacing w:before="0" w:beforeAutospacing="0" w:after="120" w:afterAutospacing="0" w:line="324" w:lineRule="atLeast"/>
        <w:ind w:left="0" w:right="0" w:firstLine="384"/>
      </w:pPr>
      <w:r>
        <w:rPr>
          <w:rStyle w:val="5"/>
          <w:rFonts w:hint="eastAsia" w:ascii="宋体" w:hAnsi="宋体" w:eastAsia="宋体" w:cs="宋体"/>
          <w:bdr w:val="none" w:color="auto" w:sz="0" w:space="0"/>
          <w:shd w:val="clear" w:fill="FFFFFF"/>
        </w:rPr>
        <w:t>7、备品备件</w:t>
      </w:r>
    </w:p>
    <w:p>
      <w:pPr>
        <w:pStyle w:val="3"/>
        <w:keepNext w:val="0"/>
        <w:keepLines w:val="0"/>
        <w:widowControl/>
        <w:suppressLineNumbers w:val="0"/>
        <w:shd w:val="clear" w:fill="FFFFFF"/>
        <w:spacing w:before="144" w:beforeAutospacing="0" w:after="120" w:afterAutospacing="0" w:line="276" w:lineRule="atLeast"/>
        <w:ind w:left="0" w:right="0" w:firstLine="336"/>
      </w:pPr>
      <w:r>
        <w:rPr>
          <w:rFonts w:hint="eastAsia" w:ascii="宋体" w:hAnsi="宋体" w:eastAsia="宋体" w:cs="宋体"/>
          <w:sz w:val="19"/>
          <w:szCs w:val="19"/>
          <w:bdr w:val="none" w:color="auto" w:sz="0" w:space="0"/>
          <w:shd w:val="clear" w:fill="FFFFFF"/>
        </w:rPr>
        <w:t>中标供 应商应提供设备在质量保证期内所需的备品备件(如果有的话),其费用含在投标总价中。</w:t>
      </w:r>
    </w:p>
    <w:p>
      <w:pPr>
        <w:pStyle w:val="3"/>
        <w:keepNext w:val="0"/>
        <w:keepLines w:val="0"/>
        <w:widowControl/>
        <w:suppressLineNumbers w:val="0"/>
        <w:spacing w:before="0" w:beforeAutospacing="0" w:after="0" w:afterAutospacing="0"/>
        <w:ind w:left="0" w:right="0"/>
      </w:pP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三、商务条件</w:t>
      </w:r>
      <w:r>
        <w:rPr>
          <w:rStyle w:val="5"/>
          <w:rFonts w:hint="eastAsia" w:ascii="宋体" w:hAnsi="宋体" w:eastAsia="宋体" w:cs="宋体"/>
          <w:spacing w:val="0"/>
          <w:sz w:val="19"/>
          <w:szCs w:val="19"/>
          <w:shd w:val="clear" w:fill="FFFFFF"/>
        </w:rPr>
        <w:t>（以“★”标示的内容为不允许负偏离的实质性要求）</w:t>
      </w:r>
    </w:p>
    <w:p>
      <w:pPr>
        <w:pStyle w:val="3"/>
        <w:keepNext w:val="0"/>
        <w:keepLines w:val="0"/>
        <w:widowControl/>
        <w:suppressLineNumbers w:val="0"/>
        <w:spacing w:before="60" w:beforeAutospacing="0" w:after="60" w:afterAutospacing="0"/>
        <w:ind w:left="0" w:right="0" w:firstLine="0"/>
      </w:pPr>
      <w:r>
        <w:rPr>
          <w:rStyle w:val="5"/>
          <w:rFonts w:hint="eastAsia" w:ascii="宋体" w:hAnsi="宋体" w:eastAsia="宋体" w:cs="宋体"/>
          <w:spacing w:val="0"/>
          <w:sz w:val="19"/>
          <w:szCs w:val="19"/>
          <w:shd w:val="clear" w:fill="FFFFFF"/>
        </w:rPr>
        <w:t>包：1</w:t>
      </w:r>
      <w:r>
        <w:rPr>
          <w:rStyle w:val="5"/>
          <w:rFonts w:hint="eastAsia" w:ascii="宋体" w:hAnsi="宋体" w:eastAsia="宋体" w:cs="宋体"/>
          <w:spacing w:val="0"/>
          <w:sz w:val="19"/>
          <w:szCs w:val="19"/>
          <w:shd w:val="clear" w:fill="FFFFFF"/>
        </w:rPr>
        <w:br w:type="textWrapping"/>
      </w:r>
      <w:r>
        <w:rPr>
          <w:rStyle w:val="5"/>
          <w:rFonts w:hint="eastAsia" w:ascii="宋体" w:hAnsi="宋体" w:eastAsia="宋体" w:cs="宋体"/>
          <w:spacing w:val="0"/>
          <w:sz w:val="19"/>
          <w:szCs w:val="19"/>
          <w:shd w:val="clear" w:fill="FFFFFF"/>
        </w:rPr>
        <w:t xml:space="preserve">1、交付地点：福建省宁德市蕉城区宁德师院新校区 </w:t>
      </w:r>
      <w:r>
        <w:rPr>
          <w:rStyle w:val="5"/>
          <w:rFonts w:hint="eastAsia" w:ascii="宋体" w:hAnsi="宋体" w:eastAsia="宋体" w:cs="宋体"/>
          <w:spacing w:val="0"/>
          <w:sz w:val="19"/>
          <w:szCs w:val="19"/>
          <w:shd w:val="clear" w:fill="FFFFFF"/>
        </w:rPr>
        <w:br w:type="textWrapping"/>
      </w:r>
      <w:r>
        <w:rPr>
          <w:rStyle w:val="5"/>
          <w:rFonts w:hint="eastAsia" w:ascii="宋体" w:hAnsi="宋体" w:eastAsia="宋体" w:cs="宋体"/>
          <w:spacing w:val="0"/>
          <w:sz w:val="19"/>
          <w:szCs w:val="19"/>
          <w:shd w:val="clear" w:fill="FFFFFF"/>
        </w:rPr>
        <w:t>2、交付时间：合同签订后 (45) 天内交货</w:t>
      </w:r>
      <w:r>
        <w:rPr>
          <w:rStyle w:val="5"/>
          <w:rFonts w:hint="eastAsia" w:ascii="宋体" w:hAnsi="宋体" w:eastAsia="宋体" w:cs="宋体"/>
          <w:spacing w:val="0"/>
          <w:sz w:val="19"/>
          <w:szCs w:val="19"/>
          <w:shd w:val="clear" w:fill="FFFFFF"/>
        </w:rPr>
        <w:br w:type="textWrapping"/>
      </w:r>
      <w:r>
        <w:rPr>
          <w:rStyle w:val="5"/>
          <w:rFonts w:hint="eastAsia" w:ascii="宋体" w:hAnsi="宋体" w:eastAsia="宋体" w:cs="宋体"/>
          <w:spacing w:val="0"/>
          <w:sz w:val="19"/>
          <w:szCs w:val="19"/>
          <w:shd w:val="clear" w:fill="FFFFFF"/>
        </w:rPr>
        <w:t>3、交付条件：详见招标文件</w:t>
      </w:r>
      <w:r>
        <w:rPr>
          <w:rStyle w:val="5"/>
          <w:rFonts w:hint="eastAsia" w:ascii="宋体" w:hAnsi="宋体" w:eastAsia="宋体" w:cs="宋体"/>
          <w:spacing w:val="0"/>
          <w:sz w:val="19"/>
          <w:szCs w:val="19"/>
          <w:shd w:val="clear" w:fill="FFFFFF"/>
        </w:rPr>
        <w:br w:type="textWrapping"/>
      </w:r>
      <w:r>
        <w:rPr>
          <w:rStyle w:val="5"/>
          <w:rFonts w:hint="eastAsia" w:ascii="宋体" w:hAnsi="宋体" w:eastAsia="宋体" w:cs="宋体"/>
          <w:spacing w:val="0"/>
          <w:sz w:val="19"/>
          <w:szCs w:val="19"/>
          <w:shd w:val="clear" w:fill="FFFFFF"/>
        </w:rPr>
        <w:t>4、是否收取履约保证金： 是。履约保证金百分比：5%。说明：合同签订后5个工作日内汇入合同金额5%作为履约保证金，验收合格后，履约保证金转为质量保证金于一年后无质量问题无息退还。</w:t>
      </w:r>
      <w:r>
        <w:rPr>
          <w:rStyle w:val="5"/>
          <w:rFonts w:hint="eastAsia" w:ascii="宋体" w:hAnsi="宋体" w:eastAsia="宋体" w:cs="宋体"/>
          <w:spacing w:val="0"/>
          <w:sz w:val="19"/>
          <w:szCs w:val="19"/>
          <w:shd w:val="clear" w:fill="FFFFFF"/>
        </w:rPr>
        <w:br w:type="textWrapping"/>
      </w:r>
      <w:r>
        <w:rPr>
          <w:rStyle w:val="5"/>
          <w:rFonts w:hint="eastAsia" w:ascii="宋体" w:hAnsi="宋体" w:eastAsia="宋体" w:cs="宋体"/>
          <w:spacing w:val="0"/>
          <w:sz w:val="19"/>
          <w:szCs w:val="19"/>
          <w:shd w:val="clear" w:fill="FFFFFF"/>
        </w:rPr>
        <w:t>5、是否邀请投标人参与验收：否</w:t>
      </w:r>
      <w:r>
        <w:rPr>
          <w:rStyle w:val="5"/>
          <w:rFonts w:hint="eastAsia" w:ascii="宋体" w:hAnsi="宋体" w:eastAsia="宋体" w:cs="宋体"/>
          <w:spacing w:val="0"/>
          <w:sz w:val="19"/>
          <w:szCs w:val="19"/>
          <w:shd w:val="clear" w:fill="FFFFFF"/>
        </w:rPr>
        <w:br w:type="textWrapping"/>
      </w:r>
      <w:r>
        <w:rPr>
          <w:rStyle w:val="5"/>
          <w:rFonts w:hint="eastAsia" w:ascii="宋体" w:hAnsi="宋体" w:eastAsia="宋体" w:cs="宋体"/>
          <w:spacing w:val="0"/>
          <w:sz w:val="19"/>
          <w:szCs w:val="19"/>
          <w:shd w:val="clear" w:fill="FFFFFF"/>
        </w:rPr>
        <w:t xml:space="preserve">6、验收方式数据表格 </w:t>
      </w:r>
    </w:p>
    <w:tbl>
      <w:tblPr>
        <w:tblW w:w="8305" w:type="dxa"/>
        <w:tblCellSpacing w:w="0" w:type="dxa"/>
        <w:tblInd w:w="-129"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1661"/>
        <w:gridCol w:w="6644"/>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blHeader/>
          <w:tblCellSpacing w:w="0" w:type="dxa"/>
        </w:trPr>
        <w:tc>
          <w:tcPr>
            <w:tcW w:w="1661"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验收期次</w:t>
            </w:r>
          </w:p>
        </w:tc>
        <w:tc>
          <w:tcPr>
            <w:tcW w:w="6644"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验收期次说明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1661"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1</w:t>
            </w:r>
          </w:p>
        </w:tc>
        <w:tc>
          <w:tcPr>
            <w:tcW w:w="6644"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详见标书和合同要求</w:t>
            </w:r>
          </w:p>
        </w:tc>
      </w:tr>
    </w:tbl>
    <w:p>
      <w:pPr>
        <w:keepNext w:val="0"/>
        <w:keepLines w:val="0"/>
        <w:widowControl/>
        <w:suppressLineNumbers w:val="0"/>
        <w:spacing w:before="0" w:beforeAutospacing="0" w:after="0" w:afterAutospacing="0"/>
        <w:ind w:left="0" w:right="0"/>
        <w:jc w:val="left"/>
      </w:pPr>
      <w:r>
        <w:rPr>
          <w:rStyle w:val="5"/>
          <w:rFonts w:ascii="宋体" w:hAnsi="宋体" w:eastAsia="宋体" w:cs="宋体"/>
          <w:kern w:val="0"/>
          <w:sz w:val="24"/>
          <w:szCs w:val="24"/>
          <w:bdr w:val="none" w:color="auto" w:sz="0" w:space="0"/>
          <w:shd w:val="clear" w:fill="FFFFFF"/>
          <w:lang w:val="en-US" w:eastAsia="zh-CN" w:bidi="ar"/>
        </w:rPr>
        <w:t xml:space="preserve">7、支付方式数据表格 </w:t>
      </w:r>
    </w:p>
    <w:tbl>
      <w:tblPr>
        <w:tblW w:w="8305" w:type="dxa"/>
        <w:tblCellSpacing w:w="0" w:type="dxa"/>
        <w:tblInd w:w="-129"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1661"/>
        <w:gridCol w:w="1661"/>
        <w:gridCol w:w="4983"/>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blHeader/>
          <w:tblCellSpacing w:w="0" w:type="dxa"/>
        </w:trPr>
        <w:tc>
          <w:tcPr>
            <w:tcW w:w="1661"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支付期次</w:t>
            </w:r>
          </w:p>
        </w:tc>
        <w:tc>
          <w:tcPr>
            <w:tcW w:w="1661"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支付比例(%)</w:t>
            </w:r>
          </w:p>
        </w:tc>
        <w:tc>
          <w:tcPr>
            <w:tcW w:w="4983"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支付期次说明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1661"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1</w:t>
            </w:r>
          </w:p>
        </w:tc>
        <w:tc>
          <w:tcPr>
            <w:tcW w:w="1661"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50</w:t>
            </w:r>
          </w:p>
        </w:tc>
        <w:tc>
          <w:tcPr>
            <w:tcW w:w="4983"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中标供应商与采购人签订合同后，支付合同款的50%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blCellSpacing w:w="0" w:type="dxa"/>
        </w:trPr>
        <w:tc>
          <w:tcPr>
            <w:tcW w:w="1661"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2</w:t>
            </w:r>
          </w:p>
        </w:tc>
        <w:tc>
          <w:tcPr>
            <w:tcW w:w="1661"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50</w:t>
            </w:r>
          </w:p>
        </w:tc>
        <w:tc>
          <w:tcPr>
            <w:tcW w:w="4983" w:type="dxa"/>
            <w:tcBorders>
              <w:top w:val="outset" w:color="auto" w:sz="6" w:space="0"/>
              <w:left w:val="outset" w:color="auto" w:sz="6" w:space="0"/>
              <w:bottom w:val="outset" w:color="auto" w:sz="6" w:space="0"/>
              <w:right w:val="outset" w:color="auto" w:sz="6" w:space="0"/>
            </w:tcBorders>
            <w:shd w:val="cle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r>
              <w:rPr>
                <w:rFonts w:hint="eastAsia" w:ascii="微软雅黑" w:hAnsi="微软雅黑" w:eastAsia="微软雅黑" w:cs="微软雅黑"/>
                <w:color w:val="393939"/>
                <w:kern w:val="0"/>
                <w:sz w:val="15"/>
                <w:szCs w:val="15"/>
                <w:bdr w:val="none" w:color="auto" w:sz="0" w:space="0"/>
                <w:lang w:val="en-US" w:eastAsia="zh-CN" w:bidi="ar"/>
              </w:rPr>
              <w:t>验收合格后支付剩余50%的货款，履约保证金转为质量保证金于一年后无质量问题无息退还。</w:t>
            </w:r>
          </w:p>
        </w:tc>
      </w:tr>
    </w:tbl>
    <w:p>
      <w:pPr>
        <w:pStyle w:val="3"/>
        <w:keepNext w:val="0"/>
        <w:keepLines w:val="0"/>
        <w:widowControl/>
        <w:suppressLineNumbers w:val="0"/>
        <w:autoSpaceDE w:val="0"/>
        <w:autoSpaceDN/>
        <w:spacing w:before="0" w:beforeAutospacing="0" w:after="120" w:afterAutospacing="0" w:line="348" w:lineRule="atLeast"/>
        <w:ind w:left="0" w:right="0" w:firstLine="384"/>
      </w:pPr>
      <w:r>
        <w:rPr>
          <w:rFonts w:hint="eastAsia" w:ascii="宋体" w:hAnsi="宋体" w:eastAsia="宋体" w:cs="宋体"/>
          <w:sz w:val="19"/>
          <w:szCs w:val="19"/>
          <w:shd w:val="clear" w:fill="FFFFFF"/>
        </w:rPr>
        <w:t>★8、违约责任</w:t>
      </w:r>
    </w:p>
    <w:p>
      <w:pPr>
        <w:pStyle w:val="3"/>
        <w:keepNext w:val="0"/>
        <w:keepLines w:val="0"/>
        <w:widowControl/>
        <w:suppressLineNumbers w:val="0"/>
        <w:autoSpaceDE w:val="0"/>
        <w:autoSpaceDN/>
        <w:spacing w:before="0" w:beforeAutospacing="0" w:after="0" w:afterAutospacing="0" w:line="348" w:lineRule="atLeast"/>
        <w:ind w:left="0" w:right="0" w:firstLine="384"/>
      </w:pPr>
      <w:r>
        <w:rPr>
          <w:rFonts w:hint="eastAsia" w:ascii="宋体" w:hAnsi="宋体" w:eastAsia="宋体" w:cs="宋体"/>
          <w:sz w:val="19"/>
          <w:szCs w:val="19"/>
          <w:shd w:val="clear" w:fill="FFFFFF"/>
        </w:rPr>
        <w:t>8.1 因中标人原因造成采购合同无法按时签订的，视为中标人违约，对采购人造成的损失的，中标人还需另行支付相应的赔偿。</w:t>
      </w:r>
    </w:p>
    <w:p>
      <w:pPr>
        <w:pStyle w:val="3"/>
        <w:keepNext w:val="0"/>
        <w:keepLines w:val="0"/>
        <w:widowControl/>
        <w:suppressLineNumbers w:val="0"/>
        <w:autoSpaceDE w:val="0"/>
        <w:autoSpaceDN/>
        <w:spacing w:before="0" w:beforeAutospacing="0" w:after="0" w:afterAutospacing="0" w:line="348" w:lineRule="atLeast"/>
        <w:ind w:left="0" w:right="0" w:firstLine="384"/>
      </w:pPr>
      <w:r>
        <w:rPr>
          <w:rFonts w:hint="eastAsia" w:ascii="宋体" w:hAnsi="宋体" w:eastAsia="宋体" w:cs="宋体"/>
          <w:sz w:val="19"/>
          <w:szCs w:val="19"/>
          <w:shd w:val="clear" w:fill="FFFFFF"/>
        </w:rPr>
        <w:t>8.2 在签定采购合同之后，有下列情形之一的，将视为中标人违约，采购人有权从履约保证金中取得补偿（如有提交履约保证金的），并可进一步提出追索和索赔：</w:t>
      </w:r>
    </w:p>
    <w:p>
      <w:pPr>
        <w:pStyle w:val="3"/>
        <w:keepNext w:val="0"/>
        <w:keepLines w:val="0"/>
        <w:widowControl/>
        <w:suppressLineNumbers w:val="0"/>
        <w:autoSpaceDE w:val="0"/>
        <w:autoSpaceDN/>
        <w:spacing w:before="0" w:beforeAutospacing="0" w:after="0" w:afterAutospacing="0" w:line="348" w:lineRule="atLeast"/>
        <w:ind w:left="0" w:right="0" w:firstLine="384"/>
      </w:pPr>
      <w:r>
        <w:rPr>
          <w:rFonts w:hint="eastAsia" w:ascii="宋体" w:hAnsi="宋体" w:eastAsia="宋体" w:cs="宋体"/>
          <w:sz w:val="19"/>
          <w:szCs w:val="19"/>
          <w:shd w:val="clear" w:fill="FFFFFF"/>
        </w:rPr>
        <w:t>8.2.1中标人提供的产品实际情况与投标文件响应不符，或未按合同规定的质量要求交货的，采购人有权拒收，由此造成的直接损失和间接损失由中标人赔偿；</w:t>
      </w:r>
    </w:p>
    <w:p>
      <w:pPr>
        <w:pStyle w:val="3"/>
        <w:keepNext w:val="0"/>
        <w:keepLines w:val="0"/>
        <w:widowControl/>
        <w:suppressLineNumbers w:val="0"/>
        <w:autoSpaceDE w:val="0"/>
        <w:autoSpaceDN/>
        <w:spacing w:before="0" w:beforeAutospacing="0" w:after="0" w:afterAutospacing="0" w:line="348" w:lineRule="atLeast"/>
        <w:ind w:left="0" w:right="0" w:firstLine="384"/>
      </w:pPr>
      <w:r>
        <w:rPr>
          <w:rFonts w:hint="eastAsia" w:ascii="宋体" w:hAnsi="宋体" w:eastAsia="宋体" w:cs="宋体"/>
          <w:sz w:val="19"/>
          <w:szCs w:val="19"/>
          <w:shd w:val="clear" w:fill="FFFFFF"/>
        </w:rPr>
        <w:t>8.2.2中标人提供的产品不是原装正品或来源渠道不合法、不合规，不能享受原厂或原厂认可的售后维修机构售 后服 务的；</w:t>
      </w:r>
    </w:p>
    <w:p>
      <w:pPr>
        <w:pStyle w:val="3"/>
        <w:keepNext w:val="0"/>
        <w:keepLines w:val="0"/>
        <w:widowControl/>
        <w:suppressLineNumbers w:val="0"/>
        <w:autoSpaceDE w:val="0"/>
        <w:autoSpaceDN/>
        <w:spacing w:before="0" w:beforeAutospacing="0" w:after="0" w:afterAutospacing="0" w:line="348" w:lineRule="atLeast"/>
        <w:ind w:left="0" w:right="0" w:firstLine="384"/>
      </w:pPr>
      <w:r>
        <w:rPr>
          <w:rFonts w:hint="eastAsia" w:ascii="宋体" w:hAnsi="宋体" w:eastAsia="宋体" w:cs="宋体"/>
          <w:sz w:val="19"/>
          <w:szCs w:val="19"/>
          <w:shd w:val="clear" w:fill="FFFFFF"/>
        </w:rPr>
        <w:t>8.2.3 售 后服 务：务标人逾期交货（包括整修、返工、补交或由需方提出更改、中标人承诺，但未在承诺的工期内完成等）的，每逾期一天，按合同价格的万分之五偿付违约金；</w:t>
      </w:r>
    </w:p>
    <w:p>
      <w:pPr>
        <w:pStyle w:val="3"/>
        <w:keepNext w:val="0"/>
        <w:keepLines w:val="0"/>
        <w:widowControl/>
        <w:suppressLineNumbers w:val="0"/>
        <w:autoSpaceDE w:val="0"/>
        <w:autoSpaceDN/>
        <w:spacing w:before="0" w:beforeAutospacing="0" w:after="0" w:afterAutospacing="0" w:line="348" w:lineRule="atLeast"/>
        <w:ind w:left="0" w:right="0" w:firstLine="384"/>
      </w:pPr>
      <w:r>
        <w:rPr>
          <w:rFonts w:hint="eastAsia" w:ascii="宋体" w:hAnsi="宋体" w:eastAsia="宋体" w:cs="宋体"/>
          <w:sz w:val="19"/>
          <w:szCs w:val="19"/>
          <w:shd w:val="clear" w:fill="FFFFFF"/>
        </w:rPr>
        <w:t>8.2.4中标人不能交货或不能完成合同的（不可抗力因素造成的除外），中标人应双倍返还买方支付的定金；</w:t>
      </w:r>
    </w:p>
    <w:p>
      <w:pPr>
        <w:pStyle w:val="3"/>
        <w:keepNext w:val="0"/>
        <w:keepLines w:val="0"/>
        <w:widowControl/>
        <w:suppressLineNumbers w:val="0"/>
        <w:autoSpaceDE w:val="0"/>
        <w:autoSpaceDN/>
        <w:spacing w:before="0" w:beforeAutospacing="0" w:after="0" w:afterAutospacing="0" w:line="348" w:lineRule="atLeast"/>
        <w:ind w:left="0" w:right="0" w:firstLine="384"/>
      </w:pPr>
      <w:r>
        <w:rPr>
          <w:rFonts w:hint="eastAsia" w:ascii="宋体" w:hAnsi="宋体" w:eastAsia="宋体" w:cs="宋体"/>
          <w:sz w:val="19"/>
          <w:szCs w:val="19"/>
          <w:shd w:val="clear" w:fill="FFFFFF"/>
        </w:rPr>
        <w:t>8.2.5中标人未能按合同规定履行其义务的；</w:t>
      </w:r>
    </w:p>
    <w:p>
      <w:pPr>
        <w:pStyle w:val="3"/>
        <w:keepNext w:val="0"/>
        <w:keepLines w:val="0"/>
        <w:widowControl/>
        <w:suppressLineNumbers w:val="0"/>
        <w:autoSpaceDE w:val="0"/>
        <w:autoSpaceDN/>
        <w:spacing w:before="0" w:beforeAutospacing="0" w:after="0" w:afterAutospacing="0" w:line="348" w:lineRule="atLeast"/>
        <w:ind w:left="0" w:right="0" w:firstLine="384"/>
      </w:pPr>
      <w:r>
        <w:rPr>
          <w:rFonts w:hint="eastAsia" w:ascii="宋体" w:hAnsi="宋体" w:eastAsia="宋体" w:cs="宋体"/>
          <w:sz w:val="19"/>
          <w:szCs w:val="19"/>
          <w:shd w:val="clear" w:fill="FFFFFF"/>
        </w:rPr>
        <w:t>8.2.6在签定采购合同之后，中标人要求解除合同的；</w:t>
      </w:r>
    </w:p>
    <w:p>
      <w:pPr>
        <w:pStyle w:val="3"/>
        <w:keepNext w:val="0"/>
        <w:keepLines w:val="0"/>
        <w:widowControl/>
        <w:suppressLineNumbers w:val="0"/>
        <w:autoSpaceDE w:val="0"/>
        <w:autoSpaceDN/>
        <w:spacing w:before="0" w:beforeAutospacing="0" w:after="0" w:afterAutospacing="0" w:line="348" w:lineRule="atLeast"/>
        <w:ind w:left="0" w:right="0" w:firstLine="384"/>
      </w:pPr>
      <w:r>
        <w:rPr>
          <w:rFonts w:hint="eastAsia" w:ascii="宋体" w:hAnsi="宋体" w:eastAsia="宋体" w:cs="宋体"/>
          <w:sz w:val="19"/>
          <w:szCs w:val="19"/>
          <w:shd w:val="clear" w:fill="FFFFFF"/>
        </w:rPr>
        <w:t>8.3 本合同所有设备、材料的制造、安装及服务，都必须由中标人自己或在投标文件中明确的单位承担，不得以任何名义和理由进行分包或转包。如有发现，视为中标人违约，采购人有权单方终止合同，对采购人造成损失的，需另行支付相应的赔偿。</w:t>
      </w:r>
    </w:p>
    <w:p>
      <w:pPr>
        <w:pStyle w:val="3"/>
        <w:keepNext w:val="0"/>
        <w:keepLines w:val="0"/>
        <w:widowControl/>
        <w:suppressLineNumbers w:val="0"/>
        <w:autoSpaceDE w:val="0"/>
        <w:autoSpaceDN/>
        <w:spacing w:before="0" w:beforeAutospacing="0" w:after="0" w:afterAutospacing="0" w:line="348" w:lineRule="atLeast"/>
        <w:ind w:left="0" w:right="0" w:firstLine="384"/>
      </w:pPr>
      <w:r>
        <w:rPr>
          <w:rFonts w:hint="eastAsia" w:ascii="宋体" w:hAnsi="宋体" w:eastAsia="宋体" w:cs="宋体"/>
          <w:sz w:val="19"/>
          <w:szCs w:val="19"/>
          <w:shd w:val="clear" w:fill="FFFFFF"/>
        </w:rPr>
        <w:t>8.4 中标人履行义务不符合合同约定时，采购人有权扣减尾款。</w:t>
      </w:r>
    </w:p>
    <w:p>
      <w:pPr>
        <w:pStyle w:val="3"/>
        <w:keepNext w:val="0"/>
        <w:keepLines w:val="0"/>
        <w:widowControl/>
        <w:suppressLineNumbers w:val="0"/>
        <w:autoSpaceDE w:val="0"/>
        <w:autoSpaceDN/>
        <w:spacing w:before="0" w:beforeAutospacing="0" w:after="0" w:afterAutospacing="0" w:line="348" w:lineRule="atLeast"/>
        <w:ind w:left="0" w:right="0" w:firstLine="384"/>
      </w:pPr>
      <w:r>
        <w:rPr>
          <w:rFonts w:hint="eastAsia" w:ascii="宋体" w:hAnsi="宋体" w:eastAsia="宋体" w:cs="宋体"/>
          <w:sz w:val="19"/>
          <w:szCs w:val="19"/>
          <w:shd w:val="clear" w:fill="FFFFFF"/>
        </w:rPr>
        <w:t>8.5 因中标人原因发生重大质量事故，除依约承担赔偿责任外，还将按有关质量管理办法规定执行。同时，采购人有权保留更换中标人的权利，并报相关行政主管部门处罚。</w:t>
      </w:r>
    </w:p>
    <w:p>
      <w:pPr>
        <w:pStyle w:val="3"/>
        <w:keepNext w:val="0"/>
        <w:keepLines w:val="0"/>
        <w:widowControl/>
        <w:suppressLineNumbers w:val="0"/>
        <w:autoSpaceDE w:val="0"/>
        <w:autoSpaceDN/>
        <w:spacing w:before="0" w:beforeAutospacing="0" w:after="0" w:afterAutospacing="0" w:line="348" w:lineRule="atLeast"/>
        <w:ind w:left="0" w:right="0" w:firstLine="384"/>
      </w:pPr>
      <w:r>
        <w:rPr>
          <w:rFonts w:hint="eastAsia" w:ascii="宋体" w:hAnsi="宋体" w:eastAsia="宋体" w:cs="宋体"/>
          <w:sz w:val="19"/>
          <w:szCs w:val="19"/>
          <w:shd w:val="clear" w:fill="FFFFFF"/>
        </w:rPr>
        <w:t>8.6 若发生死亡安全事故，除按国家有关安全管理规定及采购人有关安全管理办法执行外，并报相关行政主管部门处罚；发生重大安全事故或特大安全事故，除按国家有关安全管理规定及采购人有关安全管理办法执行外，采购人有权终止合同，给采购人造成的损失，还应承担赔偿责任。</w:t>
      </w:r>
    </w:p>
    <w:p>
      <w:pPr>
        <w:pStyle w:val="3"/>
        <w:keepNext w:val="0"/>
        <w:keepLines w:val="0"/>
        <w:widowControl/>
        <w:suppressLineNumbers w:val="0"/>
        <w:autoSpaceDE w:val="0"/>
        <w:autoSpaceDN/>
        <w:spacing w:before="0" w:beforeAutospacing="0" w:after="0" w:afterAutospacing="0" w:line="348" w:lineRule="atLeast"/>
        <w:ind w:left="0" w:right="0" w:firstLine="384"/>
      </w:pPr>
      <w:r>
        <w:rPr>
          <w:rFonts w:hint="eastAsia" w:ascii="宋体" w:hAnsi="宋体" w:eastAsia="宋体" w:cs="宋体"/>
          <w:sz w:val="19"/>
          <w:szCs w:val="19"/>
          <w:shd w:val="clear" w:fill="FFFFFF"/>
        </w:rPr>
        <w:t>8.7 在明确违约责任后，中标人应在接到书面通知书起七天内支付违约金、赔偿金等。</w:t>
      </w:r>
    </w:p>
    <w:p>
      <w:pPr>
        <w:pStyle w:val="3"/>
        <w:keepNext w:val="0"/>
        <w:keepLines w:val="0"/>
        <w:widowControl/>
        <w:suppressLineNumbers w:val="0"/>
        <w:autoSpaceDE w:val="0"/>
        <w:autoSpaceDN/>
        <w:spacing w:before="0" w:beforeAutospacing="0" w:after="0" w:afterAutospacing="0" w:line="348" w:lineRule="atLeast"/>
        <w:ind w:left="0" w:right="0" w:firstLine="384"/>
      </w:pPr>
      <w:r>
        <w:rPr>
          <w:rFonts w:hint="eastAsia" w:ascii="宋体" w:hAnsi="宋体" w:eastAsia="宋体" w:cs="宋体"/>
          <w:sz w:val="19"/>
          <w:szCs w:val="19"/>
          <w:shd w:val="clear" w:fill="FFFFFF"/>
        </w:rPr>
        <w:t>8.8 本招标文件未明确的其它约定事项或条款，待采购人与中标人签订合同时，由双方协商订立。</w:t>
      </w:r>
    </w:p>
    <w:p>
      <w:pPr>
        <w:pStyle w:val="3"/>
        <w:keepNext w:val="0"/>
        <w:keepLines w:val="0"/>
        <w:widowControl/>
        <w:suppressLineNumbers w:val="0"/>
        <w:spacing w:before="0" w:beforeAutospacing="0" w:after="0" w:afterAutospacing="0"/>
        <w:ind w:left="0" w:right="0"/>
      </w:pP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四、其他事项</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1、除招标文件另有规定外，若出现有关法律、法规和规章有强制性规定但招标文件未列明的情形，则投标人应按照有关法律、法规和规章强制性规定执行。</w:t>
      </w:r>
    </w:p>
    <w:p>
      <w:pPr>
        <w:pStyle w:val="3"/>
        <w:keepNext w:val="0"/>
        <w:keepLines w:val="0"/>
        <w:widowControl/>
        <w:suppressLineNumbers w:val="0"/>
        <w:spacing w:before="60" w:beforeAutospacing="0" w:after="60" w:afterAutospacing="0"/>
        <w:ind w:left="0" w:right="0" w:firstLine="0"/>
      </w:pPr>
      <w:r>
        <w:rPr>
          <w:spacing w:val="0"/>
          <w:sz w:val="19"/>
          <w:szCs w:val="19"/>
          <w:shd w:val="clear" w:fill="FFFFFF"/>
        </w:rPr>
        <w:t>2、其他：</w:t>
      </w:r>
    </w:p>
    <w:p>
      <w:pPr>
        <w:pStyle w:val="3"/>
        <w:keepNext w:val="0"/>
        <w:keepLines w:val="0"/>
        <w:widowControl/>
        <w:suppressLineNumbers w:val="0"/>
        <w:shd w:val="clear" w:fill="FFFFFF"/>
        <w:spacing w:before="0" w:beforeAutospacing="0" w:after="120" w:afterAutospacing="0" w:line="324" w:lineRule="atLeast"/>
        <w:ind w:left="0" w:right="0" w:firstLine="384"/>
      </w:pPr>
      <w:r>
        <w:rPr>
          <w:rFonts w:hint="eastAsia" w:ascii="宋体" w:hAnsi="宋体" w:eastAsia="宋体" w:cs="宋体"/>
          <w:sz w:val="19"/>
          <w:szCs w:val="19"/>
          <w:bdr w:val="none" w:color="auto" w:sz="0" w:space="0"/>
          <w:shd w:val="clear" w:fill="FFFFFF"/>
        </w:rPr>
        <w:t xml:space="preserve">★（一）、报价要求： </w:t>
      </w:r>
    </w:p>
    <w:p>
      <w:pPr>
        <w:pStyle w:val="3"/>
        <w:keepNext w:val="0"/>
        <w:keepLines w:val="0"/>
        <w:widowControl/>
        <w:suppressLineNumbers w:val="0"/>
        <w:shd w:val="clear" w:fill="FFFFFF"/>
        <w:spacing w:before="0" w:beforeAutospacing="0" w:after="120" w:afterAutospacing="0" w:line="324" w:lineRule="atLeast"/>
        <w:ind w:left="0" w:right="0" w:firstLine="384"/>
      </w:pPr>
      <w:r>
        <w:rPr>
          <w:rFonts w:hint="eastAsia" w:ascii="宋体" w:hAnsi="宋体" w:eastAsia="宋体" w:cs="宋体"/>
          <w:sz w:val="19"/>
          <w:szCs w:val="19"/>
          <w:bdr w:val="none" w:color="auto" w:sz="0" w:space="0"/>
          <w:shd w:val="clear" w:fill="FFFFFF"/>
        </w:rPr>
        <w:t>投标报价不得超出招标文件规定的各合同包及各品目号最高限价。投标报价应包含投标货物所涉及的所有费用，包括货物制造、包装、运输、装卸、税金、保险、安装、搬运、调试、验收、培训、检验、保修、外贸代 理费（若有）、关税（若有）、招 标代 理费等一切相关费用。</w:t>
      </w:r>
    </w:p>
    <w:p>
      <w:pPr>
        <w:pStyle w:val="3"/>
        <w:keepNext w:val="0"/>
        <w:keepLines w:val="0"/>
        <w:widowControl/>
        <w:suppressLineNumbers w:val="0"/>
        <w:spacing w:before="0" w:beforeAutospacing="0" w:after="0" w:afterAutospacing="0" w:line="348" w:lineRule="atLeast"/>
        <w:ind w:left="0" w:right="0" w:firstLine="384"/>
      </w:pPr>
      <w:r>
        <w:rPr>
          <w:rFonts w:hint="eastAsia" w:ascii="宋体" w:hAnsi="宋体" w:eastAsia="宋体" w:cs="宋体"/>
          <w:sz w:val="19"/>
          <w:szCs w:val="19"/>
          <w:bdr w:val="none" w:color="auto" w:sz="0" w:space="0"/>
          <w:shd w:val="clear" w:fill="FFFFFF"/>
        </w:rPr>
        <w:t>★（二）现场勘查证明</w:t>
      </w:r>
    </w:p>
    <w:p>
      <w:pPr>
        <w:pStyle w:val="3"/>
        <w:keepNext w:val="0"/>
        <w:keepLines w:val="0"/>
        <w:widowControl/>
        <w:suppressLineNumbers w:val="0"/>
        <w:spacing w:before="0" w:beforeAutospacing="0" w:after="0" w:afterAutospacing="0" w:line="348" w:lineRule="atLeast"/>
        <w:ind w:left="0" w:right="0" w:firstLine="384"/>
      </w:pPr>
      <w:r>
        <w:rPr>
          <w:rFonts w:hint="eastAsia" w:ascii="宋体" w:hAnsi="宋体" w:eastAsia="宋体" w:cs="宋体"/>
          <w:sz w:val="19"/>
          <w:szCs w:val="19"/>
          <w:bdr w:val="none" w:color="auto" w:sz="0" w:space="0"/>
          <w:shd w:val="clear" w:fill="FFFFFF"/>
        </w:rPr>
        <w:t>现场勘察完毕，采购人将在已勘察过的潜在投标人的现场勘查证明上盖系章或签字确认已勘察过现场，确认后的现场勘查证明原件应胶装在纸质投标文件商务部分正本中，投标文件副本或网上附复印件或扫描件，否则投标无效。</w:t>
      </w:r>
    </w:p>
    <w:p>
      <w:pPr>
        <w:pStyle w:val="3"/>
        <w:keepNext w:val="0"/>
        <w:keepLines w:val="0"/>
        <w:widowControl/>
        <w:suppressLineNumbers w:val="0"/>
        <w:spacing w:before="0" w:beforeAutospacing="0" w:after="0" w:afterAutospacing="0" w:line="348" w:lineRule="atLeast"/>
        <w:ind w:left="0" w:right="0"/>
      </w:pPr>
      <w:r>
        <w:rPr>
          <w:rStyle w:val="5"/>
          <w:rFonts w:hint="eastAsia" w:ascii="宋体" w:hAnsi="宋体" w:eastAsia="宋体" w:cs="宋体"/>
          <w:u w:val="single"/>
          <w:bdr w:val="none" w:color="auto" w:sz="0" w:space="0"/>
          <w:shd w:val="clear" w:fill="FFFFFF"/>
        </w:rPr>
        <w:t>未提供现场勘察证明原件的将导致投标无效。</w:t>
      </w:r>
    </w:p>
    <w:p>
      <w:pPr>
        <w:pStyle w:val="3"/>
        <w:keepNext w:val="0"/>
        <w:keepLines w:val="0"/>
        <w:widowControl/>
        <w:suppressLineNumbers w:val="0"/>
        <w:spacing w:before="0" w:beforeAutospacing="0" w:after="0" w:afterAutospacing="0" w:line="348" w:lineRule="atLeast"/>
        <w:ind w:left="0" w:right="0"/>
      </w:pPr>
      <w:r>
        <w:rPr>
          <w:rFonts w:hint="eastAsia" w:ascii="宋体" w:hAnsi="宋体" w:eastAsia="宋体" w:cs="宋体"/>
          <w:sz w:val="19"/>
          <w:szCs w:val="19"/>
          <w:bdr w:val="none" w:color="auto" w:sz="0" w:space="0"/>
          <w:shd w:val="clear" w:fill="FFFFFF"/>
        </w:rPr>
        <w:t>格式：</w:t>
      </w:r>
      <w:r>
        <w:rPr>
          <w:rFonts w:hint="eastAsia" w:ascii="微软雅黑" w:hAnsi="微软雅黑" w:eastAsia="微软雅黑" w:cs="微软雅黑"/>
          <w:sz w:val="19"/>
          <w:szCs w:val="19"/>
          <w:bdr w:val="none" w:color="auto" w:sz="0" w:space="0"/>
          <w:shd w:val="clear" w:fill="FFFFFF"/>
        </w:rPr>
        <w:br w:type="textWrapping"/>
      </w:r>
      <w:r>
        <w:rPr>
          <w:rFonts w:hint="eastAsia" w:ascii="宋体" w:hAnsi="宋体" w:eastAsia="宋体" w:cs="宋体"/>
          <w:sz w:val="19"/>
          <w:szCs w:val="19"/>
          <w:bdr w:val="none" w:color="auto" w:sz="0" w:space="0"/>
          <w:shd w:val="clear" w:fill="FFFFFF"/>
        </w:rPr>
        <w:t>现场勘查证明</w:t>
      </w:r>
      <w:r>
        <w:rPr>
          <w:rFonts w:hint="eastAsia" w:ascii="宋体" w:hAnsi="宋体" w:eastAsia="宋体" w:cs="宋体"/>
          <w:sz w:val="19"/>
          <w:szCs w:val="19"/>
          <w:bdr w:val="none" w:color="auto" w:sz="0" w:space="0"/>
          <w:shd w:val="clear" w:fill="FFFFFF"/>
        </w:rPr>
        <w:br w:type="textWrapping"/>
      </w:r>
      <w:r>
        <w:rPr>
          <w:rFonts w:hint="eastAsia" w:ascii="宋体" w:hAnsi="宋体" w:eastAsia="宋体" w:cs="宋体"/>
          <w:sz w:val="19"/>
          <w:szCs w:val="19"/>
          <w:bdr w:val="none" w:color="auto" w:sz="0" w:space="0"/>
          <w:shd w:val="clear" w:fill="FFFFFF"/>
        </w:rPr>
        <w:br w:type="textWrapping"/>
      </w:r>
      <w:r>
        <w:rPr>
          <w:rFonts w:hint="eastAsia" w:ascii="宋体" w:hAnsi="宋体" w:eastAsia="宋体" w:cs="宋体"/>
          <w:sz w:val="19"/>
          <w:szCs w:val="19"/>
          <w:bdr w:val="none" w:color="auto" w:sz="0" w:space="0"/>
          <w:shd w:val="clear" w:fill="FFFFFF"/>
        </w:rPr>
        <w:t xml:space="preserve">本回执单复印无效 </w:t>
      </w:r>
    </w:p>
    <w:p>
      <w:pPr>
        <w:pStyle w:val="3"/>
        <w:keepNext w:val="0"/>
        <w:keepLines w:val="0"/>
        <w:widowControl/>
        <w:suppressLineNumbers w:val="0"/>
        <w:spacing w:before="0" w:beforeAutospacing="0" w:after="0" w:afterAutospacing="0" w:line="348" w:lineRule="atLeast"/>
        <w:ind w:left="0" w:right="0"/>
      </w:pPr>
      <w:r>
        <w:rPr>
          <w:rFonts w:hint="eastAsia" w:ascii="宋体" w:hAnsi="宋体" w:eastAsia="宋体" w:cs="宋体"/>
          <w:sz w:val="19"/>
          <w:szCs w:val="19"/>
          <w:u w:val="single"/>
          <w:bdr w:val="none" w:color="auto" w:sz="0" w:space="0"/>
          <w:shd w:val="clear" w:fill="FFFFFF"/>
        </w:rPr>
        <w:t>（投标人）：</w:t>
      </w:r>
      <w:r>
        <w:rPr>
          <w:rFonts w:hint="eastAsia" w:ascii="宋体" w:hAnsi="宋体" w:eastAsia="宋体" w:cs="宋体"/>
          <w:sz w:val="19"/>
          <w:szCs w:val="19"/>
          <w:bdr w:val="none" w:color="auto" w:sz="0" w:space="0"/>
          <w:shd w:val="clear" w:fill="FFFFFF"/>
        </w:rPr>
        <w:t>参加了宁德师范学院机电一体化技术实验教学示范中心仪器设备采购项目[350900]ZDZB[GK]2018009的现场勘查。</w:t>
      </w:r>
    </w:p>
    <w:p>
      <w:pPr>
        <w:pStyle w:val="3"/>
        <w:keepNext w:val="0"/>
        <w:keepLines w:val="0"/>
        <w:widowControl/>
        <w:suppressLineNumbers w:val="0"/>
        <w:spacing w:before="0" w:beforeAutospacing="0" w:after="0" w:afterAutospacing="0" w:line="348" w:lineRule="atLeast"/>
        <w:ind w:left="0" w:right="0"/>
      </w:pPr>
      <w:r>
        <w:rPr>
          <w:rFonts w:hint="eastAsia" w:ascii="宋体" w:hAnsi="宋体" w:eastAsia="宋体" w:cs="宋体"/>
          <w:sz w:val="19"/>
          <w:szCs w:val="19"/>
          <w:bdr w:val="none" w:color="auto" w:sz="0" w:space="0"/>
          <w:shd w:val="clear" w:fill="FFFFFF"/>
        </w:rPr>
        <w:t xml:space="preserve">特此证明！ </w:t>
      </w:r>
    </w:p>
    <w:p>
      <w:pPr>
        <w:pStyle w:val="3"/>
        <w:keepNext w:val="0"/>
        <w:keepLines w:val="0"/>
        <w:widowControl/>
        <w:suppressLineNumbers w:val="0"/>
        <w:spacing w:before="0" w:beforeAutospacing="0" w:after="0" w:afterAutospacing="0" w:line="348" w:lineRule="atLeast"/>
        <w:ind w:left="0" w:right="0"/>
        <w:jc w:val="right"/>
      </w:pPr>
      <w:r>
        <w:rPr>
          <w:rFonts w:hint="eastAsia" w:ascii="宋体" w:hAnsi="宋体" w:eastAsia="宋体" w:cs="宋体"/>
          <w:sz w:val="19"/>
          <w:szCs w:val="19"/>
          <w:bdr w:val="none" w:color="auto" w:sz="0" w:space="0"/>
          <w:shd w:val="clear" w:fill="FFFFFF"/>
        </w:rPr>
        <w:t xml:space="preserve">采购人： </w:t>
      </w:r>
    </w:p>
    <w:p>
      <w:pPr>
        <w:pStyle w:val="3"/>
        <w:keepNext w:val="0"/>
        <w:keepLines w:val="0"/>
        <w:widowControl/>
        <w:suppressLineNumbers w:val="0"/>
        <w:spacing w:before="0" w:beforeAutospacing="0" w:after="0" w:afterAutospacing="0" w:line="348" w:lineRule="atLeast"/>
        <w:ind w:left="0" w:right="0"/>
        <w:jc w:val="right"/>
      </w:pPr>
      <w:r>
        <w:rPr>
          <w:rFonts w:hint="eastAsia" w:ascii="宋体" w:hAnsi="宋体" w:eastAsia="宋体" w:cs="宋体"/>
          <w:sz w:val="19"/>
          <w:szCs w:val="19"/>
          <w:bdr w:val="none" w:color="auto" w:sz="0" w:space="0"/>
          <w:shd w:val="clear" w:fill="FFFFFF"/>
        </w:rPr>
        <w:t>年 月 日</w:t>
      </w:r>
    </w:p>
    <w:p>
      <w:pPr>
        <w:pStyle w:val="3"/>
        <w:keepNext w:val="0"/>
        <w:keepLines w:val="0"/>
        <w:widowControl/>
        <w:suppressLineNumbers w:val="0"/>
        <w:shd w:val="clear" w:fill="FFFFFF"/>
        <w:spacing w:before="0" w:beforeAutospacing="0" w:after="120" w:afterAutospacing="0" w:line="324" w:lineRule="atLeast"/>
        <w:ind w:left="0" w:right="0" w:firstLine="384"/>
      </w:pPr>
    </w:p>
    <w:p>
      <w:pPr>
        <w:pStyle w:val="3"/>
        <w:keepNext w:val="0"/>
        <w:keepLines w:val="0"/>
        <w:widowControl/>
        <w:suppressLineNumbers w:val="0"/>
        <w:spacing w:before="60" w:beforeAutospacing="0" w:after="60" w:afterAutospacing="0"/>
        <w:ind w:left="0" w:right="0" w:firstLine="0"/>
        <w:jc w:val="center"/>
      </w:pPr>
      <w:r>
        <w:rPr>
          <w:rStyle w:val="5"/>
          <w:rFonts w:hint="eastAsia" w:ascii="宋体" w:hAnsi="宋体" w:eastAsia="宋体" w:cs="宋体"/>
          <w:spacing w:val="0"/>
          <w:sz w:val="25"/>
          <w:szCs w:val="25"/>
          <w:shd w:val="clear" w:fill="FFFFFF"/>
        </w:rPr>
        <w:t>第六章 政府采购合同（参考文本）</w:t>
      </w:r>
    </w:p>
    <w:p>
      <w:pPr>
        <w:pStyle w:val="3"/>
        <w:keepNext w:val="0"/>
        <w:keepLines w:val="0"/>
        <w:widowControl/>
        <w:suppressLineNumbers w:val="0"/>
        <w:spacing w:before="60" w:beforeAutospacing="0" w:after="60" w:afterAutospacing="0"/>
        <w:ind w:left="0" w:right="0" w:firstLine="0"/>
        <w:jc w:val="center"/>
      </w:pPr>
      <w:r>
        <w:rPr>
          <w:rStyle w:val="5"/>
          <w:rFonts w:hint="eastAsia" w:ascii="宋体" w:hAnsi="宋体" w:eastAsia="宋体" w:cs="宋体"/>
          <w:spacing w:val="0"/>
          <w:sz w:val="19"/>
          <w:szCs w:val="19"/>
          <w:shd w:val="clear" w:fill="FFFFFF"/>
        </w:rPr>
        <w:t>编制说明</w:t>
      </w:r>
    </w:p>
    <w:p>
      <w:pPr>
        <w:pStyle w:val="3"/>
        <w:keepNext w:val="0"/>
        <w:keepLines w:val="0"/>
        <w:widowControl/>
        <w:suppressLineNumbers w:val="0"/>
        <w:spacing w:before="60" w:beforeAutospacing="0" w:after="60" w:afterAutospacing="0"/>
        <w:ind w:left="0" w:right="0" w:firstLine="0"/>
      </w:pPr>
      <w:r>
        <w:rPr>
          <w:rStyle w:val="5"/>
          <w:rFonts w:hint="eastAsia" w:ascii="宋体" w:hAnsi="宋体" w:eastAsia="宋体" w:cs="宋体"/>
          <w:spacing w:val="0"/>
          <w:sz w:val="19"/>
          <w:szCs w:val="19"/>
          <w:shd w:val="clear" w:fill="FFFFFF"/>
        </w:rPr>
        <w:t>1、签订合同应遵守政府采购法、合同法。</w:t>
      </w:r>
    </w:p>
    <w:p>
      <w:pPr>
        <w:pStyle w:val="3"/>
        <w:keepNext w:val="0"/>
        <w:keepLines w:val="0"/>
        <w:widowControl/>
        <w:suppressLineNumbers w:val="0"/>
        <w:spacing w:before="60" w:beforeAutospacing="0" w:after="60" w:afterAutospacing="0"/>
        <w:ind w:left="0" w:right="0" w:firstLine="0"/>
      </w:pPr>
      <w:r>
        <w:rPr>
          <w:rStyle w:val="5"/>
          <w:rFonts w:hint="eastAsia" w:ascii="宋体" w:hAnsi="宋体" w:eastAsia="宋体" w:cs="宋体"/>
          <w:spacing w:val="0"/>
          <w:sz w:val="19"/>
          <w:szCs w:val="19"/>
          <w:shd w:val="clear" w:fill="FFFFFF"/>
        </w:rPr>
        <w:t>2、签订合同时，采购人与中标人应结合招标文件第五章规定填列相应内容。招标文件第五章已有规定的，双方均不得变更或调整；招标文件第五章未作规定的，双方可通过友好协商进行约定。</w:t>
      </w:r>
    </w:p>
    <w:p>
      <w:pPr>
        <w:pStyle w:val="3"/>
        <w:keepNext w:val="0"/>
        <w:keepLines w:val="0"/>
        <w:widowControl/>
        <w:suppressLineNumbers w:val="0"/>
        <w:spacing w:before="60" w:beforeAutospacing="0" w:after="60" w:afterAutospacing="0"/>
        <w:ind w:left="0" w:right="0" w:firstLine="0"/>
      </w:pPr>
      <w:r>
        <w:rPr>
          <w:rStyle w:val="5"/>
          <w:rFonts w:hint="eastAsia" w:ascii="宋体" w:hAnsi="宋体" w:eastAsia="宋体" w:cs="宋体"/>
          <w:spacing w:val="0"/>
          <w:sz w:val="19"/>
          <w:szCs w:val="19"/>
          <w:shd w:val="clear" w:fill="FFFFFF"/>
        </w:rPr>
        <w:t>3、国家有关部门对若干合同有规范文本的，可使用相应合同文本。</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甲方：</w:t>
      </w:r>
      <w:r>
        <w:rPr>
          <w:rFonts w:hint="eastAsia" w:ascii="宋体" w:hAnsi="宋体" w:eastAsia="宋体" w:cs="宋体"/>
          <w:spacing w:val="0"/>
          <w:sz w:val="19"/>
          <w:szCs w:val="19"/>
          <w:u w:val="single"/>
          <w:shd w:val="clear" w:fill="FFFFFF"/>
        </w:rPr>
        <w:t>（采购人全称）</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乙方：</w:t>
      </w:r>
      <w:r>
        <w:rPr>
          <w:rFonts w:hint="eastAsia" w:ascii="宋体" w:hAnsi="宋体" w:eastAsia="宋体" w:cs="宋体"/>
          <w:spacing w:val="0"/>
          <w:sz w:val="19"/>
          <w:szCs w:val="19"/>
          <w:u w:val="single"/>
          <w:shd w:val="clear" w:fill="FFFFFF"/>
        </w:rPr>
        <w:t>（中标人全称）</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根据招标编号为</w:t>
      </w:r>
      <w:r>
        <w:rPr>
          <w:rFonts w:hint="eastAsia" w:ascii="宋体" w:hAnsi="宋体" w:eastAsia="宋体" w:cs="宋体"/>
          <w:spacing w:val="0"/>
          <w:sz w:val="19"/>
          <w:szCs w:val="19"/>
          <w:u w:val="single"/>
          <w:shd w:val="clear" w:fill="FFFFFF"/>
        </w:rPr>
        <w:t xml:space="preserve"> </w:t>
      </w:r>
      <w:r>
        <w:rPr>
          <w:rFonts w:hint="eastAsia" w:ascii="宋体" w:hAnsi="宋体" w:eastAsia="宋体" w:cs="宋体"/>
          <w:spacing w:val="0"/>
          <w:sz w:val="19"/>
          <w:szCs w:val="19"/>
          <w:shd w:val="clear" w:fill="FFFFFF"/>
        </w:rPr>
        <w:t>的</w:t>
      </w:r>
      <w:r>
        <w:rPr>
          <w:rFonts w:hint="eastAsia" w:ascii="宋体" w:hAnsi="宋体" w:eastAsia="宋体" w:cs="宋体"/>
          <w:spacing w:val="0"/>
          <w:sz w:val="19"/>
          <w:szCs w:val="19"/>
          <w:u w:val="single"/>
          <w:shd w:val="clear" w:fill="FFFFFF"/>
        </w:rPr>
        <w:t>（填写“项目名称”）</w:t>
      </w:r>
      <w:r>
        <w:rPr>
          <w:rFonts w:hint="eastAsia" w:ascii="宋体" w:hAnsi="宋体" w:eastAsia="宋体" w:cs="宋体"/>
          <w:spacing w:val="0"/>
          <w:sz w:val="19"/>
          <w:szCs w:val="19"/>
          <w:shd w:val="clear" w:fill="FFFFFF"/>
        </w:rPr>
        <w:t>项目（以下简称：“本项目”）的招标结果，乙方为中标人。现经甲乙双方友好协商，就以下事项达成一致并签订本合同：</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1、下列合同文件是构成本合同不可分割的部分：</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1.1合同条款；</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1.2招标文件、乙方的投标文件；</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1.3其他文件或材料：□无。□</w:t>
      </w:r>
      <w:r>
        <w:rPr>
          <w:rFonts w:hint="eastAsia" w:ascii="宋体" w:hAnsi="宋体" w:eastAsia="宋体" w:cs="宋体"/>
          <w:spacing w:val="0"/>
          <w:sz w:val="19"/>
          <w:szCs w:val="19"/>
          <w:u w:val="single"/>
          <w:shd w:val="clear" w:fill="FFFFFF"/>
        </w:rPr>
        <w:t>（按照实际情况编制填写需要增加的内容）</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2、合同标的</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u w:val="single"/>
          <w:shd w:val="clear" w:fill="FFFFFF"/>
        </w:rPr>
        <w:t>（按照实际情况编制填写，可以是表格或文字描述）</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3、合同总金额</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3.1合同总金额为人民币大写：</w:t>
      </w:r>
      <w:r>
        <w:rPr>
          <w:rFonts w:hint="eastAsia" w:ascii="宋体" w:hAnsi="宋体" w:eastAsia="宋体" w:cs="宋体"/>
          <w:spacing w:val="0"/>
          <w:sz w:val="19"/>
          <w:szCs w:val="19"/>
          <w:u w:val="single"/>
          <w:shd w:val="clear" w:fill="FFFFFF"/>
        </w:rPr>
        <w:t xml:space="preserve"> </w:t>
      </w:r>
      <w:r>
        <w:rPr>
          <w:rFonts w:hint="eastAsia" w:ascii="宋体" w:hAnsi="宋体" w:eastAsia="宋体" w:cs="宋体"/>
          <w:spacing w:val="0"/>
          <w:sz w:val="19"/>
          <w:szCs w:val="19"/>
          <w:shd w:val="clear" w:fill="FFFFFF"/>
        </w:rPr>
        <w:t>元（￥</w:t>
      </w:r>
      <w:r>
        <w:rPr>
          <w:rFonts w:hint="eastAsia" w:ascii="宋体" w:hAnsi="宋体" w:eastAsia="宋体" w:cs="宋体"/>
          <w:spacing w:val="0"/>
          <w:sz w:val="19"/>
          <w:szCs w:val="19"/>
          <w:u w:val="single"/>
          <w:shd w:val="clear" w:fill="FFFFFF"/>
        </w:rPr>
        <w:t xml:space="preserve"> </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4、合同标的交付时间、地点和条件</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4.1交付时间：</w:t>
      </w:r>
      <w:r>
        <w:rPr>
          <w:rFonts w:hint="eastAsia" w:ascii="宋体" w:hAnsi="宋体" w:eastAsia="宋体" w:cs="宋体"/>
          <w:spacing w:val="0"/>
          <w:sz w:val="19"/>
          <w:szCs w:val="19"/>
          <w:u w:val="single"/>
          <w:shd w:val="clear" w:fill="FFFFFF"/>
        </w:rPr>
        <w:t xml:space="preserve"> </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4.2交付地点：</w:t>
      </w:r>
      <w:r>
        <w:rPr>
          <w:rFonts w:hint="eastAsia" w:ascii="宋体" w:hAnsi="宋体" w:eastAsia="宋体" w:cs="宋体"/>
          <w:spacing w:val="0"/>
          <w:sz w:val="19"/>
          <w:szCs w:val="19"/>
          <w:u w:val="single"/>
          <w:shd w:val="clear" w:fill="FFFFFF"/>
        </w:rPr>
        <w:t xml:space="preserve"> </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4.3交付条件：</w:t>
      </w:r>
      <w:r>
        <w:rPr>
          <w:rFonts w:hint="eastAsia" w:ascii="宋体" w:hAnsi="宋体" w:eastAsia="宋体" w:cs="宋体"/>
          <w:spacing w:val="0"/>
          <w:sz w:val="19"/>
          <w:szCs w:val="19"/>
          <w:u w:val="single"/>
          <w:shd w:val="clear" w:fill="FFFFFF"/>
        </w:rPr>
        <w:t xml:space="preserve"> </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5、合同标的应符合招标文件、乙方投标文件的规定或约定，具体如下：</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u w:val="single"/>
          <w:shd w:val="clear" w:fill="FFFFFF"/>
        </w:rPr>
        <w:t>（按照实际情况编制填写，可以是表格或文字描述）</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6、验收</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6.1验收应按照招标文件、乙方投标文件的规定或约定进行，具体如下：</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u w:val="single"/>
          <w:shd w:val="clear" w:fill="FFFFFF"/>
        </w:rPr>
        <w:t>（按照实际情况编制填写，可以是表格或文字描述）</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6.2本项目是否邀请其他投标人参与验收：</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□不邀请。□邀请，具体如下：</w:t>
      </w:r>
      <w:r>
        <w:rPr>
          <w:rFonts w:hint="eastAsia" w:ascii="宋体" w:hAnsi="宋体" w:eastAsia="宋体" w:cs="宋体"/>
          <w:spacing w:val="0"/>
          <w:sz w:val="19"/>
          <w:szCs w:val="19"/>
          <w:u w:val="single"/>
          <w:shd w:val="clear" w:fill="FFFFFF"/>
        </w:rPr>
        <w:t>（按照招标文件规定填写）</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7、合同款项的支付应按照招标文件的规定进行，具体如下：</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u w:val="single"/>
          <w:shd w:val="clear" w:fill="FFFFFF"/>
        </w:rPr>
        <w:t>（按照实际情况编制填写，可以是表格或文字描述，包括一次性支付或分期支付等）</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8、履约保证金</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□无。□有，具体如下：</w:t>
      </w:r>
      <w:r>
        <w:rPr>
          <w:rFonts w:hint="eastAsia" w:ascii="宋体" w:hAnsi="宋体" w:eastAsia="宋体" w:cs="宋体"/>
          <w:spacing w:val="0"/>
          <w:sz w:val="19"/>
          <w:szCs w:val="19"/>
          <w:u w:val="single"/>
          <w:shd w:val="clear" w:fill="FFFFFF"/>
        </w:rPr>
        <w:t>（按照招标文件规定填写）</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9、合同有效期</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u w:val="single"/>
          <w:shd w:val="clear" w:fill="FFFFFF"/>
        </w:rPr>
        <w:t>（按照实际情况编制填写，可以是表格或文字描述）</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10、违约责任</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u w:val="single"/>
          <w:shd w:val="clear" w:fill="FFFFFF"/>
        </w:rPr>
        <w:t>（按照实际情况编制填写，可以是表格或文字描述）</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11、知识产权</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11.1乙方提供的采购标的应符合国家知识产权法律、法规的规定且非假冒伪劣品；乙方还应保证甲方不受到第三方关于侵犯知识产权及专利权、商标权或工业设计权等知识产权方面的指控，若任何第三方提出此方面指控均与甲方无关，乙方应与第三方交涉，并承担可能发生的一切法律责任、费用和后果；若甲方因此而遭致损失，则乙方应赔偿该损失。</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11.2若乙方提供的采购标的不符合国家知识产权法律、法规的规定或被有关主管机关认定为假冒伪劣品，则乙方中标资格将被取消；甲方还将按照有关法律、法规和规章的规定进行处理，具体如下：</w:t>
      </w:r>
      <w:r>
        <w:rPr>
          <w:rFonts w:hint="eastAsia" w:ascii="宋体" w:hAnsi="宋体" w:eastAsia="宋体" w:cs="宋体"/>
          <w:spacing w:val="0"/>
          <w:sz w:val="19"/>
          <w:szCs w:val="19"/>
          <w:u w:val="single"/>
          <w:shd w:val="clear" w:fill="FFFFFF"/>
        </w:rPr>
        <w:t>（按照实际情况编制填写）</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12、解决争议的方法</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12.1甲、乙双方协商解决。</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12.2若协商解决不成，则通过下列途径之一解决：</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□提交仲裁委员会仲裁，具体如下：</w:t>
      </w:r>
      <w:r>
        <w:rPr>
          <w:rFonts w:hint="eastAsia" w:ascii="宋体" w:hAnsi="宋体" w:eastAsia="宋体" w:cs="宋体"/>
          <w:spacing w:val="0"/>
          <w:sz w:val="19"/>
          <w:szCs w:val="19"/>
          <w:u w:val="single"/>
          <w:shd w:val="clear" w:fill="FFFFFF"/>
        </w:rPr>
        <w:t>（按照实际情况编制填写）</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□向人民法院提起诉讼，具体如下：</w:t>
      </w:r>
      <w:r>
        <w:rPr>
          <w:rFonts w:hint="eastAsia" w:ascii="宋体" w:hAnsi="宋体" w:eastAsia="宋体" w:cs="宋体"/>
          <w:spacing w:val="0"/>
          <w:sz w:val="19"/>
          <w:szCs w:val="19"/>
          <w:u w:val="single"/>
          <w:shd w:val="clear" w:fill="FFFFFF"/>
        </w:rPr>
        <w:t>（按照实际情况编制填写）</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13、不可抗力</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13.1因不可抗力造成违约的，遭受不可抗力一方应及时向对方通报不能履行或不能完全履行的理由，并在随后取得有关主管机关证明后的</w:t>
      </w:r>
      <w:r>
        <w:rPr>
          <w:rFonts w:hint="default" w:ascii="Calibri" w:hAnsi="Calibri" w:cs="Calibri"/>
          <w:spacing w:val="0"/>
          <w:sz w:val="19"/>
          <w:szCs w:val="19"/>
          <w:shd w:val="clear" w:fill="FFFFFF"/>
        </w:rPr>
        <w:t>15</w:t>
      </w:r>
      <w:r>
        <w:rPr>
          <w:rFonts w:hint="eastAsia" w:ascii="宋体" w:hAnsi="宋体" w:eastAsia="宋体" w:cs="宋体"/>
          <w:spacing w:val="0"/>
          <w:sz w:val="19"/>
          <w:szCs w:val="19"/>
          <w:shd w:val="clear" w:fill="FFFFFF"/>
        </w:rPr>
        <w:t>日内向另一方提供不可抗力发生及持续期间的充分证据。基于以上行为，允许遭受不可抗力一方延期履行、部分履行或不履行合同，并根据情况可部分或全部免于承担违约责任。</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13.2本合同中的不可抗力指不能预见、不能避免、不能克服的客观情况，包括但不限于：自然灾害如地震、台风、洪水、火灾及政府行为、法律规定或其适用的变化或其他任何无法预见、避免或控制的事件。</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14、合同条款</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u w:val="single"/>
          <w:shd w:val="clear" w:fill="FFFFFF"/>
        </w:rPr>
        <w:t>（按照实际情况编制填写。招标文件第五章已有规定的，双方均不得变更或调整；招标文件第五章未作规定的，双方可通过友好协商进行约定）</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15、其他约定</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15.1合同文件与本合同具有同等法律效力。</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15.2本合同未尽事宜，双方可另行补充。</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15.3合同生效：自签订之日起生效；通过福建省政府采购网上公开信息系统采用电子形式签订合同的，签订之日以系统记载的双方使用各自</w:t>
      </w:r>
      <w:r>
        <w:rPr>
          <w:rFonts w:hint="default" w:ascii="Calibri" w:hAnsi="Calibri" w:cs="Calibri"/>
          <w:spacing w:val="0"/>
          <w:sz w:val="19"/>
          <w:szCs w:val="19"/>
          <w:shd w:val="clear" w:fill="FFFFFF"/>
        </w:rPr>
        <w:t>CA</w:t>
      </w:r>
      <w:r>
        <w:rPr>
          <w:rFonts w:hint="eastAsia" w:ascii="宋体" w:hAnsi="宋体" w:eastAsia="宋体" w:cs="宋体"/>
          <w:spacing w:val="0"/>
          <w:sz w:val="19"/>
          <w:szCs w:val="19"/>
          <w:shd w:val="clear" w:fill="FFFFFF"/>
        </w:rPr>
        <w:t>证书在合同上加盖单位公章或合同章的日期中的最晚时间为准。</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15.4本合同一式</w:t>
      </w:r>
      <w:r>
        <w:rPr>
          <w:rFonts w:hint="eastAsia" w:ascii="宋体" w:hAnsi="宋体" w:eastAsia="宋体" w:cs="宋体"/>
          <w:spacing w:val="0"/>
          <w:sz w:val="19"/>
          <w:szCs w:val="19"/>
          <w:u w:val="single"/>
          <w:shd w:val="clear" w:fill="FFFFFF"/>
        </w:rPr>
        <w:t>（填写具体份数）</w:t>
      </w:r>
      <w:r>
        <w:rPr>
          <w:rFonts w:hint="eastAsia" w:ascii="宋体" w:hAnsi="宋体" w:eastAsia="宋体" w:cs="宋体"/>
          <w:spacing w:val="0"/>
          <w:sz w:val="19"/>
          <w:szCs w:val="19"/>
          <w:shd w:val="clear" w:fill="FFFFFF"/>
        </w:rPr>
        <w:t>份，经双方授权代表签字并盖章后生效。甲方、乙方各执</w:t>
      </w:r>
      <w:r>
        <w:rPr>
          <w:rFonts w:hint="eastAsia" w:ascii="宋体" w:hAnsi="宋体" w:eastAsia="宋体" w:cs="宋体"/>
          <w:spacing w:val="0"/>
          <w:sz w:val="19"/>
          <w:szCs w:val="19"/>
          <w:u w:val="single"/>
          <w:shd w:val="clear" w:fill="FFFFFF"/>
        </w:rPr>
        <w:t>（填写具体份数）</w:t>
      </w:r>
      <w:r>
        <w:rPr>
          <w:rFonts w:hint="eastAsia" w:ascii="宋体" w:hAnsi="宋体" w:eastAsia="宋体" w:cs="宋体"/>
          <w:spacing w:val="0"/>
          <w:sz w:val="19"/>
          <w:szCs w:val="19"/>
          <w:shd w:val="clear" w:fill="FFFFFF"/>
        </w:rPr>
        <w:t>份，送</w:t>
      </w:r>
      <w:r>
        <w:rPr>
          <w:rFonts w:hint="eastAsia" w:ascii="宋体" w:hAnsi="宋体" w:eastAsia="宋体" w:cs="宋体"/>
          <w:spacing w:val="0"/>
          <w:sz w:val="19"/>
          <w:szCs w:val="19"/>
          <w:u w:val="single"/>
          <w:shd w:val="clear" w:fill="FFFFFF"/>
        </w:rPr>
        <w:t>（填写需要备案的监管部门的全称）</w:t>
      </w:r>
      <w:r>
        <w:rPr>
          <w:rFonts w:hint="eastAsia" w:ascii="宋体" w:hAnsi="宋体" w:eastAsia="宋体" w:cs="宋体"/>
          <w:spacing w:val="0"/>
          <w:sz w:val="19"/>
          <w:szCs w:val="19"/>
          <w:shd w:val="clear" w:fill="FFFFFF"/>
        </w:rPr>
        <w:t>备案</w:t>
      </w:r>
      <w:r>
        <w:rPr>
          <w:rFonts w:hint="eastAsia" w:ascii="宋体" w:hAnsi="宋体" w:eastAsia="宋体" w:cs="宋体"/>
          <w:spacing w:val="0"/>
          <w:sz w:val="19"/>
          <w:szCs w:val="19"/>
          <w:u w:val="single"/>
          <w:shd w:val="clear" w:fill="FFFFFF"/>
        </w:rPr>
        <w:t>（填写具体份数）</w:t>
      </w:r>
      <w:r>
        <w:rPr>
          <w:rFonts w:hint="eastAsia" w:ascii="宋体" w:hAnsi="宋体" w:eastAsia="宋体" w:cs="宋体"/>
          <w:spacing w:val="0"/>
          <w:sz w:val="19"/>
          <w:szCs w:val="19"/>
          <w:shd w:val="clear" w:fill="FFFFFF"/>
        </w:rPr>
        <w:t>份，具有同等效力。</w:t>
      </w:r>
    </w:p>
    <w:p>
      <w:pPr>
        <w:pStyle w:val="3"/>
        <w:keepNext w:val="0"/>
        <w:keepLines w:val="0"/>
        <w:widowControl/>
        <w:suppressLineNumbers w:val="0"/>
        <w:spacing w:before="60" w:beforeAutospacing="0" w:after="60" w:afterAutospacing="0"/>
        <w:ind w:left="0" w:right="0" w:firstLine="384"/>
      </w:pPr>
      <w:r>
        <w:rPr>
          <w:rFonts w:hint="eastAsia" w:ascii="宋体" w:hAnsi="宋体" w:eastAsia="宋体" w:cs="宋体"/>
          <w:spacing w:val="0"/>
          <w:sz w:val="19"/>
          <w:szCs w:val="19"/>
          <w:shd w:val="clear" w:fill="FFFFFF"/>
        </w:rPr>
        <w:t>15.5其他：□无。□</w:t>
      </w:r>
      <w:r>
        <w:rPr>
          <w:rFonts w:hint="eastAsia" w:ascii="宋体" w:hAnsi="宋体" w:eastAsia="宋体" w:cs="宋体"/>
          <w:spacing w:val="0"/>
          <w:sz w:val="19"/>
          <w:szCs w:val="19"/>
          <w:u w:val="single"/>
          <w:shd w:val="clear" w:fill="FFFFFF"/>
        </w:rPr>
        <w:t>（按照实际情况编制填写需要增加的内容）</w:t>
      </w:r>
      <w:r>
        <w:rPr>
          <w:rFonts w:hint="eastAsia" w:ascii="宋体" w:hAnsi="宋体" w:eastAsia="宋体" w:cs="宋体"/>
          <w:spacing w:val="0"/>
          <w:sz w:val="19"/>
          <w:szCs w:val="19"/>
          <w:shd w:val="clear" w:fill="FFFFFF"/>
        </w:rPr>
        <w:t>。</w:t>
      </w:r>
    </w:p>
    <w:p>
      <w:pPr>
        <w:pStyle w:val="3"/>
        <w:keepNext w:val="0"/>
        <w:keepLines w:val="0"/>
        <w:widowControl/>
        <w:suppressLineNumbers w:val="0"/>
        <w:spacing w:before="60" w:beforeAutospacing="0" w:after="60" w:afterAutospacing="0"/>
        <w:ind w:left="0" w:right="0" w:firstLine="0"/>
        <w:jc w:val="center"/>
      </w:pPr>
      <w:r>
        <w:rPr>
          <w:rFonts w:hint="eastAsia" w:ascii="宋体" w:hAnsi="宋体" w:eastAsia="宋体" w:cs="宋体"/>
          <w:spacing w:val="0"/>
          <w:sz w:val="19"/>
          <w:szCs w:val="19"/>
          <w:shd w:val="clear" w:fill="FFFFFF"/>
        </w:rPr>
        <w:t>（以下无正文）</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甲方： 乙方：</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住所： 住所：</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单位负责人： 单位负责人：</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委托代理人： 委托代理人：</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联系方法： 联系方法：</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开户银行： 开户银行：</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账号： 账号：</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签订地点：</w:t>
      </w:r>
      <w:r>
        <w:rPr>
          <w:rFonts w:hint="eastAsia" w:ascii="宋体" w:hAnsi="宋体" w:eastAsia="宋体" w:cs="宋体"/>
          <w:spacing w:val="0"/>
          <w:sz w:val="19"/>
          <w:szCs w:val="19"/>
          <w:u w:val="single"/>
          <w:shd w:val="clear" w:fill="FFFFFF"/>
        </w:rPr>
        <w:t xml:space="preserve"> </w:t>
      </w:r>
    </w:p>
    <w:p>
      <w:pPr>
        <w:pStyle w:val="3"/>
        <w:keepNext w:val="0"/>
        <w:keepLines w:val="0"/>
        <w:widowControl/>
        <w:suppressLineNumbers w:val="0"/>
        <w:spacing w:before="60" w:beforeAutospacing="0" w:after="60" w:afterAutospacing="0"/>
        <w:ind w:left="0" w:right="0" w:firstLine="0"/>
      </w:pPr>
      <w:r>
        <w:rPr>
          <w:rFonts w:hint="eastAsia" w:ascii="宋体" w:hAnsi="宋体" w:eastAsia="宋体" w:cs="宋体"/>
          <w:spacing w:val="0"/>
          <w:sz w:val="19"/>
          <w:szCs w:val="19"/>
          <w:shd w:val="clear" w:fill="FFFFFF"/>
        </w:rPr>
        <w:t>签订日期：</w:t>
      </w:r>
      <w:r>
        <w:rPr>
          <w:rFonts w:hint="eastAsia" w:ascii="宋体" w:hAnsi="宋体" w:eastAsia="宋体" w:cs="宋体"/>
          <w:spacing w:val="0"/>
          <w:sz w:val="19"/>
          <w:szCs w:val="19"/>
          <w:u w:val="single"/>
          <w:shd w:val="clear" w:fill="FFFFFF"/>
        </w:rPr>
        <w:t xml:space="preserve"> </w:t>
      </w:r>
      <w:r>
        <w:rPr>
          <w:rFonts w:hint="eastAsia" w:ascii="宋体" w:hAnsi="宋体" w:eastAsia="宋体" w:cs="宋体"/>
          <w:spacing w:val="0"/>
          <w:sz w:val="19"/>
          <w:szCs w:val="19"/>
          <w:shd w:val="clear" w:fill="FFFFFF"/>
        </w:rPr>
        <w:t>年</w:t>
      </w:r>
      <w:r>
        <w:rPr>
          <w:rFonts w:hint="eastAsia" w:ascii="宋体" w:hAnsi="宋体" w:eastAsia="宋体" w:cs="宋体"/>
          <w:spacing w:val="0"/>
          <w:sz w:val="19"/>
          <w:szCs w:val="19"/>
          <w:u w:val="single"/>
          <w:shd w:val="clear" w:fill="FFFFFF"/>
        </w:rPr>
        <w:t xml:space="preserve"> </w:t>
      </w:r>
      <w:r>
        <w:rPr>
          <w:rFonts w:hint="eastAsia" w:ascii="宋体" w:hAnsi="宋体" w:eastAsia="宋体" w:cs="宋体"/>
          <w:spacing w:val="0"/>
          <w:sz w:val="19"/>
          <w:szCs w:val="19"/>
          <w:shd w:val="clear" w:fill="FFFFFF"/>
        </w:rPr>
        <w:t>月</w:t>
      </w:r>
      <w:r>
        <w:rPr>
          <w:rFonts w:hint="eastAsia" w:ascii="宋体" w:hAnsi="宋体" w:eastAsia="宋体" w:cs="宋体"/>
          <w:spacing w:val="0"/>
          <w:sz w:val="19"/>
          <w:szCs w:val="19"/>
          <w:u w:val="single"/>
          <w:shd w:val="clear" w:fill="FFFFFF"/>
        </w:rPr>
        <w:t xml:space="preserve"> </w:t>
      </w:r>
      <w:r>
        <w:rPr>
          <w:rFonts w:hint="eastAsia" w:ascii="宋体" w:hAnsi="宋体" w:eastAsia="宋体" w:cs="宋体"/>
          <w:spacing w:val="0"/>
          <w:sz w:val="19"/>
          <w:szCs w:val="19"/>
          <w:shd w:val="clear" w:fill="FFFFFF"/>
        </w:rPr>
        <w:t>日</w:t>
      </w:r>
    </w:p>
    <w:p>
      <w:pPr>
        <w:pStyle w:val="3"/>
        <w:keepNext w:val="0"/>
        <w:keepLines w:val="0"/>
        <w:widowControl/>
        <w:suppressLineNumbers w:val="0"/>
        <w:spacing w:before="60" w:beforeAutospacing="0" w:after="60" w:afterAutospacing="0"/>
        <w:ind w:left="0" w:right="0" w:firstLine="0"/>
        <w:jc w:val="center"/>
      </w:pPr>
      <w:r>
        <w:rPr>
          <w:rStyle w:val="5"/>
          <w:rFonts w:hint="eastAsia" w:ascii="宋体" w:hAnsi="宋体" w:eastAsia="宋体" w:cs="宋体"/>
          <w:spacing w:val="0"/>
          <w:sz w:val="25"/>
          <w:szCs w:val="25"/>
          <w:shd w:val="clear" w:fill="FFFFFF"/>
        </w:rPr>
        <w:t>第七章 投标文件格式</w:t>
      </w:r>
    </w:p>
    <w:p>
      <w:pPr>
        <w:pStyle w:val="3"/>
        <w:keepNext w:val="0"/>
        <w:keepLines w:val="0"/>
        <w:widowControl/>
        <w:suppressLineNumbers w:val="0"/>
        <w:spacing w:before="0" w:beforeAutospacing="0" w:after="0" w:afterAutospacing="0"/>
        <w:ind w:left="0" w:right="0"/>
        <w:jc w:val="center"/>
      </w:pPr>
      <w:r>
        <w:rPr>
          <w:rStyle w:val="5"/>
          <w:rFonts w:hint="eastAsia" w:ascii="宋体" w:hAnsi="宋体" w:eastAsia="宋体" w:cs="宋体"/>
          <w:sz w:val="19"/>
          <w:szCs w:val="19"/>
          <w:bdr w:val="none" w:color="auto" w:sz="0" w:space="0"/>
          <w:shd w:val="clear" w:fill="FFFFFF"/>
        </w:rPr>
        <w:t>编制说明</w:t>
      </w:r>
    </w:p>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1、除招标文件另有规定外，本章中：</w:t>
      </w:r>
    </w:p>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1.1涉及投标人的</w:t>
      </w:r>
      <w:r>
        <w:rPr>
          <w:rStyle w:val="5"/>
          <w:rFonts w:hint="eastAsia" w:ascii="宋体" w:hAnsi="宋体" w:eastAsia="宋体" w:cs="宋体"/>
          <w:sz w:val="19"/>
          <w:szCs w:val="19"/>
          <w:bdr w:val="none" w:color="auto" w:sz="0" w:space="0"/>
          <w:shd w:val="clear" w:fill="FFFFFF"/>
        </w:rPr>
        <w:t>“全称”</w:t>
      </w:r>
      <w:r>
        <w:rPr>
          <w:rFonts w:hint="eastAsia" w:ascii="宋体" w:hAnsi="宋体" w:eastAsia="宋体" w:cs="宋体"/>
          <w:sz w:val="19"/>
          <w:szCs w:val="19"/>
          <w:bdr w:val="none" w:color="auto" w:sz="0" w:space="0"/>
          <w:shd w:val="clear" w:fill="FFFFFF"/>
        </w:rPr>
        <w:t>：</w:t>
      </w:r>
    </w:p>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（1）不接受联合体投标的，指</w:t>
      </w:r>
      <w:r>
        <w:rPr>
          <w:rStyle w:val="5"/>
          <w:rFonts w:hint="eastAsia" w:ascii="宋体" w:hAnsi="宋体" w:eastAsia="宋体" w:cs="宋体"/>
          <w:sz w:val="19"/>
          <w:szCs w:val="19"/>
          <w:bdr w:val="none" w:color="auto" w:sz="0" w:space="0"/>
          <w:shd w:val="clear" w:fill="FFFFFF"/>
        </w:rPr>
        <w:t>投标人的全称</w:t>
      </w:r>
      <w:r>
        <w:rPr>
          <w:rFonts w:hint="eastAsia" w:ascii="宋体" w:hAnsi="宋体" w:eastAsia="宋体" w:cs="宋体"/>
          <w:sz w:val="19"/>
          <w:szCs w:val="19"/>
          <w:bdr w:val="none" w:color="auto" w:sz="0" w:space="0"/>
          <w:shd w:val="clear" w:fill="FFFFFF"/>
        </w:rPr>
        <w:t>。</w:t>
      </w:r>
    </w:p>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（2）接受联合体投标且投标人为联合体的，指</w:t>
      </w:r>
      <w:r>
        <w:rPr>
          <w:rStyle w:val="5"/>
          <w:rFonts w:hint="eastAsia" w:ascii="宋体" w:hAnsi="宋体" w:eastAsia="宋体" w:cs="宋体"/>
          <w:sz w:val="19"/>
          <w:szCs w:val="19"/>
          <w:bdr w:val="none" w:color="auto" w:sz="0" w:space="0"/>
          <w:shd w:val="clear" w:fill="FFFFFF"/>
        </w:rPr>
        <w:t>牵头方的全称</w:t>
      </w:r>
      <w:r>
        <w:rPr>
          <w:rFonts w:hint="eastAsia" w:ascii="宋体" w:hAnsi="宋体" w:eastAsia="宋体" w:cs="宋体"/>
          <w:sz w:val="19"/>
          <w:szCs w:val="19"/>
          <w:bdr w:val="none" w:color="auto" w:sz="0" w:space="0"/>
          <w:shd w:val="clear" w:fill="FFFFFF"/>
        </w:rPr>
        <w:t>并加注</w:t>
      </w:r>
      <w:r>
        <w:rPr>
          <w:rStyle w:val="5"/>
          <w:rFonts w:hint="eastAsia" w:ascii="宋体" w:hAnsi="宋体" w:eastAsia="宋体" w:cs="宋体"/>
          <w:sz w:val="19"/>
          <w:szCs w:val="19"/>
          <w:bdr w:val="none" w:color="auto" w:sz="0" w:space="0"/>
          <w:shd w:val="clear" w:fill="FFFFFF"/>
        </w:rPr>
        <w:t>（联合体牵头方）</w:t>
      </w:r>
      <w:r>
        <w:rPr>
          <w:rFonts w:hint="eastAsia" w:ascii="宋体" w:hAnsi="宋体" w:eastAsia="宋体" w:cs="宋体"/>
          <w:sz w:val="19"/>
          <w:szCs w:val="19"/>
          <w:bdr w:val="none" w:color="auto" w:sz="0" w:space="0"/>
          <w:shd w:val="clear" w:fill="FFFFFF"/>
        </w:rPr>
        <w:t>，即应表述为：</w:t>
      </w:r>
      <w:r>
        <w:rPr>
          <w:rStyle w:val="5"/>
          <w:rFonts w:hint="eastAsia" w:ascii="宋体" w:hAnsi="宋体" w:eastAsia="宋体" w:cs="宋体"/>
          <w:sz w:val="19"/>
          <w:szCs w:val="19"/>
          <w:bdr w:val="none" w:color="auto" w:sz="0" w:space="0"/>
          <w:shd w:val="clear" w:fill="FFFFFF"/>
        </w:rPr>
        <w:t>“牵头方的全称（联合体牵头方）”</w:t>
      </w:r>
      <w:r>
        <w:rPr>
          <w:rFonts w:hint="eastAsia" w:ascii="宋体" w:hAnsi="宋体" w:eastAsia="宋体" w:cs="宋体"/>
          <w:sz w:val="19"/>
          <w:szCs w:val="19"/>
          <w:bdr w:val="none" w:color="auto" w:sz="0" w:space="0"/>
          <w:shd w:val="clear" w:fill="FFFFFF"/>
        </w:rPr>
        <w:t>。</w:t>
      </w:r>
    </w:p>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1.2涉及投标人</w:t>
      </w:r>
      <w:r>
        <w:rPr>
          <w:rStyle w:val="5"/>
          <w:rFonts w:hint="eastAsia" w:ascii="宋体" w:hAnsi="宋体" w:eastAsia="宋体" w:cs="宋体"/>
          <w:sz w:val="19"/>
          <w:szCs w:val="19"/>
          <w:bdr w:val="none" w:color="auto" w:sz="0" w:space="0"/>
          <w:shd w:val="clear" w:fill="FFFFFF"/>
        </w:rPr>
        <w:t>“加盖单位公章”</w:t>
      </w:r>
      <w:r>
        <w:rPr>
          <w:rFonts w:hint="eastAsia" w:ascii="宋体" w:hAnsi="宋体" w:eastAsia="宋体" w:cs="宋体"/>
          <w:sz w:val="19"/>
          <w:szCs w:val="19"/>
          <w:bdr w:val="none" w:color="auto" w:sz="0" w:space="0"/>
          <w:shd w:val="clear" w:fill="FFFFFF"/>
        </w:rPr>
        <w:t>：</w:t>
      </w:r>
    </w:p>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（1）不接受联合体投标的，指</w:t>
      </w:r>
      <w:r>
        <w:rPr>
          <w:rStyle w:val="5"/>
          <w:rFonts w:hint="eastAsia" w:ascii="宋体" w:hAnsi="宋体" w:eastAsia="宋体" w:cs="宋体"/>
          <w:sz w:val="19"/>
          <w:szCs w:val="19"/>
          <w:bdr w:val="none" w:color="auto" w:sz="0" w:space="0"/>
          <w:shd w:val="clear" w:fill="FFFFFF"/>
        </w:rPr>
        <w:t>加盖投标人的单位公章</w:t>
      </w:r>
      <w:r>
        <w:rPr>
          <w:rFonts w:hint="eastAsia" w:ascii="宋体" w:hAnsi="宋体" w:eastAsia="宋体" w:cs="宋体"/>
          <w:sz w:val="19"/>
          <w:szCs w:val="19"/>
          <w:bdr w:val="none" w:color="auto" w:sz="0" w:space="0"/>
          <w:shd w:val="clear" w:fill="FFFFFF"/>
        </w:rPr>
        <w:t>。</w:t>
      </w:r>
    </w:p>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（2）接受联合体投标且投标人为联合体的，指</w:t>
      </w:r>
      <w:r>
        <w:rPr>
          <w:rStyle w:val="5"/>
          <w:rFonts w:hint="eastAsia" w:ascii="宋体" w:hAnsi="宋体" w:eastAsia="宋体" w:cs="宋体"/>
          <w:sz w:val="19"/>
          <w:szCs w:val="19"/>
          <w:bdr w:val="none" w:color="auto" w:sz="0" w:space="0"/>
          <w:shd w:val="clear" w:fill="FFFFFF"/>
        </w:rPr>
        <w:t>加盖联合体牵头方的单位公章</w:t>
      </w:r>
      <w:r>
        <w:rPr>
          <w:rFonts w:hint="eastAsia" w:ascii="宋体" w:hAnsi="宋体" w:eastAsia="宋体" w:cs="宋体"/>
          <w:sz w:val="19"/>
          <w:szCs w:val="19"/>
          <w:bdr w:val="none" w:color="auto" w:sz="0" w:space="0"/>
          <w:shd w:val="clear" w:fill="FFFFFF"/>
        </w:rPr>
        <w:t>。</w:t>
      </w:r>
    </w:p>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1.3涉及</w:t>
      </w:r>
      <w:r>
        <w:rPr>
          <w:rStyle w:val="5"/>
          <w:rFonts w:hint="eastAsia" w:ascii="宋体" w:hAnsi="宋体" w:eastAsia="宋体" w:cs="宋体"/>
          <w:sz w:val="19"/>
          <w:szCs w:val="19"/>
          <w:bdr w:val="none" w:color="auto" w:sz="0" w:space="0"/>
          <w:shd w:val="clear" w:fill="FFFFFF"/>
        </w:rPr>
        <w:t>“投标人代表签字”</w:t>
      </w:r>
      <w:r>
        <w:rPr>
          <w:rFonts w:hint="eastAsia" w:ascii="宋体" w:hAnsi="宋体" w:eastAsia="宋体" w:cs="宋体"/>
          <w:sz w:val="19"/>
          <w:szCs w:val="19"/>
          <w:bdr w:val="none" w:color="auto" w:sz="0" w:space="0"/>
          <w:shd w:val="clear" w:fill="FFFFFF"/>
        </w:rPr>
        <w:t>：</w:t>
      </w:r>
    </w:p>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（1）不接受联合体投标的，指由</w:t>
      </w:r>
      <w:r>
        <w:rPr>
          <w:rStyle w:val="5"/>
          <w:rFonts w:hint="eastAsia" w:ascii="宋体" w:hAnsi="宋体" w:eastAsia="宋体" w:cs="宋体"/>
          <w:sz w:val="19"/>
          <w:szCs w:val="19"/>
          <w:bdr w:val="none" w:color="auto" w:sz="0" w:space="0"/>
          <w:shd w:val="clear" w:fill="FFFFFF"/>
        </w:rPr>
        <w:t>投标人的单位负责人或其授权的委托代理人签字</w:t>
      </w:r>
      <w:r>
        <w:rPr>
          <w:rFonts w:hint="eastAsia" w:ascii="宋体" w:hAnsi="宋体" w:eastAsia="宋体" w:cs="宋体"/>
          <w:sz w:val="19"/>
          <w:szCs w:val="19"/>
          <w:bdr w:val="none" w:color="auto" w:sz="0" w:space="0"/>
          <w:shd w:val="clear" w:fill="FFFFFF"/>
        </w:rPr>
        <w:t>，由委托代理人签字的，应提供“单位负责人授权书”。</w:t>
      </w:r>
    </w:p>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（2）接受联合体投标且投标人为联合体的，指由</w:t>
      </w:r>
      <w:r>
        <w:rPr>
          <w:rStyle w:val="5"/>
          <w:rFonts w:hint="eastAsia" w:ascii="宋体" w:hAnsi="宋体" w:eastAsia="宋体" w:cs="宋体"/>
          <w:sz w:val="19"/>
          <w:szCs w:val="19"/>
          <w:bdr w:val="none" w:color="auto" w:sz="0" w:space="0"/>
          <w:shd w:val="clear" w:fill="FFFFFF"/>
        </w:rPr>
        <w:t>联合体牵头方的单位负责人或其授权的委托代理人签字</w:t>
      </w:r>
      <w:r>
        <w:rPr>
          <w:rFonts w:hint="eastAsia" w:ascii="宋体" w:hAnsi="宋体" w:eastAsia="宋体" w:cs="宋体"/>
          <w:sz w:val="19"/>
          <w:szCs w:val="19"/>
          <w:bdr w:val="none" w:color="auto" w:sz="0" w:space="0"/>
          <w:shd w:val="clear" w:fill="FFFFFF"/>
        </w:rPr>
        <w:t>，由委托代理人签字的，应提供“单位负责人授权书”。</w:t>
      </w:r>
    </w:p>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1.4</w:t>
      </w:r>
      <w:r>
        <w:rPr>
          <w:rStyle w:val="5"/>
          <w:rFonts w:hint="eastAsia" w:ascii="宋体" w:hAnsi="宋体" w:eastAsia="宋体" w:cs="宋体"/>
          <w:sz w:val="19"/>
          <w:szCs w:val="19"/>
          <w:bdr w:val="none" w:color="auto" w:sz="0" w:space="0"/>
          <w:shd w:val="clear" w:fill="FFFFFF"/>
        </w:rPr>
        <w:t>“其他组织”</w:t>
      </w:r>
      <w:r>
        <w:rPr>
          <w:rFonts w:hint="eastAsia" w:ascii="宋体" w:hAnsi="宋体" w:eastAsia="宋体" w:cs="宋体"/>
          <w:sz w:val="19"/>
          <w:szCs w:val="19"/>
          <w:bdr w:val="none" w:color="auto" w:sz="0" w:space="0"/>
          <w:shd w:val="clear" w:fill="FFFFFF"/>
        </w:rPr>
        <w:t>指合伙企业、非企业专业服务机构、个体工商户、农村承包经营户等。</w:t>
      </w:r>
    </w:p>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1.5</w:t>
      </w:r>
      <w:r>
        <w:rPr>
          <w:rStyle w:val="5"/>
          <w:rFonts w:hint="eastAsia" w:ascii="宋体" w:hAnsi="宋体" w:eastAsia="宋体" w:cs="宋体"/>
          <w:sz w:val="19"/>
          <w:szCs w:val="19"/>
          <w:bdr w:val="none" w:color="auto" w:sz="0" w:space="0"/>
          <w:shd w:val="clear" w:fill="FFFFFF"/>
        </w:rPr>
        <w:t>“自然人”</w:t>
      </w:r>
      <w:r>
        <w:rPr>
          <w:rFonts w:hint="eastAsia" w:ascii="宋体" w:hAnsi="宋体" w:eastAsia="宋体" w:cs="宋体"/>
          <w:sz w:val="19"/>
          <w:szCs w:val="19"/>
          <w:bdr w:val="none" w:color="auto" w:sz="0" w:space="0"/>
          <w:shd w:val="clear" w:fill="FFFFFF"/>
        </w:rPr>
        <w:t>指具有完全民事行为能力、能够承担民事责任和义务的中国公民。</w:t>
      </w:r>
    </w:p>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2、除招标文件另有规定外，本章中</w:t>
      </w:r>
      <w:r>
        <w:rPr>
          <w:rStyle w:val="5"/>
          <w:rFonts w:hint="eastAsia" w:ascii="宋体" w:hAnsi="宋体" w:eastAsia="宋体" w:cs="宋体"/>
          <w:sz w:val="19"/>
          <w:szCs w:val="19"/>
          <w:bdr w:val="none" w:color="auto" w:sz="0" w:space="0"/>
          <w:shd w:val="clear" w:fill="FFFFFF"/>
        </w:rPr>
        <w:t>“投标人的资格及资信证明文件”</w:t>
      </w:r>
      <w:r>
        <w:rPr>
          <w:rFonts w:hint="eastAsia" w:ascii="宋体" w:hAnsi="宋体" w:eastAsia="宋体" w:cs="宋体"/>
          <w:sz w:val="19"/>
          <w:szCs w:val="19"/>
          <w:bdr w:val="none" w:color="auto" w:sz="0" w:space="0"/>
          <w:shd w:val="clear" w:fill="FFFFFF"/>
        </w:rPr>
        <w:t>：</w:t>
      </w:r>
    </w:p>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2.1投标人应按照招标文件第四章第</w:t>
      </w:r>
      <w:r>
        <w:rPr>
          <w:rFonts w:hint="default" w:ascii="Calibri" w:hAnsi="Calibri" w:eastAsia="宋体" w:cs="Calibri"/>
          <w:sz w:val="19"/>
          <w:szCs w:val="19"/>
          <w:bdr w:val="none" w:color="auto" w:sz="0" w:space="0"/>
          <w:shd w:val="clear" w:fill="FFFFFF"/>
        </w:rPr>
        <w:t>1.3</w:t>
      </w:r>
      <w:r>
        <w:rPr>
          <w:rFonts w:hint="eastAsia" w:ascii="宋体" w:hAnsi="宋体" w:eastAsia="宋体" w:cs="宋体"/>
          <w:sz w:val="19"/>
          <w:szCs w:val="19"/>
          <w:bdr w:val="none" w:color="auto" w:sz="0" w:space="0"/>
          <w:shd w:val="clear" w:fill="FFFFFF"/>
        </w:rPr>
        <w:t>条第（</w:t>
      </w:r>
      <w:r>
        <w:rPr>
          <w:rFonts w:hint="default" w:ascii="Calibri" w:hAnsi="Calibri" w:eastAsia="宋体" w:cs="Calibri"/>
          <w:sz w:val="19"/>
          <w:szCs w:val="19"/>
          <w:bdr w:val="none" w:color="auto" w:sz="0" w:space="0"/>
          <w:shd w:val="clear" w:fill="FFFFFF"/>
        </w:rPr>
        <w:t>2</w:t>
      </w:r>
      <w:r>
        <w:rPr>
          <w:rFonts w:hint="eastAsia" w:ascii="宋体" w:hAnsi="宋体" w:eastAsia="宋体" w:cs="宋体"/>
          <w:sz w:val="19"/>
          <w:szCs w:val="19"/>
          <w:bdr w:val="none" w:color="auto" w:sz="0" w:space="0"/>
          <w:shd w:val="clear" w:fill="FFFFFF"/>
        </w:rPr>
        <w:t>）款规定及本章规定进行编制，如有必要，可增加附页，附页作为资格及资信文件的组成部分。</w:t>
      </w:r>
    </w:p>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2.2接受联合体投标且投标人为联合体的，联合体中的各方均应按照本章第</w:t>
      </w:r>
      <w:r>
        <w:rPr>
          <w:rFonts w:hint="default" w:ascii="Calibri" w:hAnsi="Calibri" w:eastAsia="宋体" w:cs="Calibri"/>
          <w:sz w:val="19"/>
          <w:szCs w:val="19"/>
          <w:bdr w:val="none" w:color="auto" w:sz="0" w:space="0"/>
          <w:shd w:val="clear" w:fill="FFFFFF"/>
        </w:rPr>
        <w:t>2.1</w:t>
      </w:r>
      <w:r>
        <w:rPr>
          <w:rFonts w:hint="eastAsia" w:ascii="宋体" w:hAnsi="宋体" w:eastAsia="宋体" w:cs="宋体"/>
          <w:sz w:val="19"/>
          <w:szCs w:val="19"/>
          <w:bdr w:val="none" w:color="auto" w:sz="0" w:space="0"/>
          <w:shd w:val="clear" w:fill="FFFFFF"/>
        </w:rPr>
        <w:t>条规定提交相应的全部资料。</w:t>
      </w:r>
    </w:p>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3、投标人对投标文件的索引应编制页码。</w:t>
      </w:r>
    </w:p>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4、除招标文件另有规定外，本章中：</w:t>
      </w:r>
    </w:p>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4.1除《检察机关行贿犯罪档案查询结果告知函》外，招标文件要求原件的，投标人在纸质投标文件正本中应提供原件；招标文件要求复印件的，投标人在纸质投标文件中提供原件、复印件（含扫描件）皆可；招标文件对原件、复印件未作要求的，投标人在纸质投标文件中提供原件、复印件（含扫描件）皆可。</w:t>
      </w:r>
    </w:p>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4.2除《检察机关行贿犯罪档案查询结果告知函》外，若投标人提供注明“复印件无效”的证明材料或资料，其纸质投标文件正本中应提供原件。</w:t>
      </w:r>
    </w:p>
    <w:p>
      <w:pPr>
        <w:pStyle w:val="3"/>
        <w:keepNext w:val="0"/>
        <w:keepLines w:val="0"/>
        <w:widowControl/>
        <w:suppressLineNumbers w:val="0"/>
        <w:spacing w:before="0" w:beforeAutospacing="0" w:after="0" w:afterAutospacing="0"/>
        <w:ind w:left="0" w:right="0" w:firstLine="384"/>
      </w:pPr>
      <w:r>
        <w:rPr>
          <w:rFonts w:hint="eastAsia" w:ascii="宋体" w:hAnsi="宋体" w:eastAsia="宋体" w:cs="宋体"/>
          <w:sz w:val="19"/>
          <w:szCs w:val="19"/>
          <w:bdr w:val="none" w:color="auto" w:sz="0" w:space="0"/>
          <w:shd w:val="clear" w:fill="FFFFFF"/>
        </w:rPr>
        <w:t>4.3《检察机关行贿犯罪档案查询结果告知函》：投标人在纸质投标文件正本中提供原件、复印件（含扫描件）、符合本章规定的打印件（或截图）皆可。</w:t>
      </w:r>
    </w:p>
    <w:p>
      <w:pPr>
        <w:pStyle w:val="3"/>
        <w:keepNext w:val="0"/>
        <w:keepLines w:val="0"/>
        <w:widowControl/>
        <w:suppressLineNumbers w:val="0"/>
        <w:spacing w:before="0" w:beforeAutospacing="0" w:after="0" w:afterAutospacing="0"/>
        <w:ind w:left="0" w:right="0"/>
      </w:pPr>
    </w:p>
    <w:p>
      <w:pPr>
        <w:pStyle w:val="3"/>
        <w:keepNext w:val="0"/>
        <w:keepLines w:val="0"/>
        <w:widowControl/>
        <w:suppressLineNumbers w:val="0"/>
        <w:spacing w:before="0" w:beforeAutospacing="0" w:after="0" w:afterAutospacing="0"/>
        <w:ind w:left="0" w:right="0"/>
        <w:jc w:val="center"/>
      </w:pPr>
      <w:r>
        <w:rPr>
          <w:rStyle w:val="5"/>
          <w:rFonts w:hint="eastAsia" w:ascii="宋体" w:hAnsi="宋体" w:eastAsia="宋体" w:cs="宋体"/>
          <w:sz w:val="22"/>
          <w:szCs w:val="22"/>
          <w:bdr w:val="none" w:color="auto" w:sz="0" w:space="0"/>
          <w:shd w:val="clear" w:fill="FFFFFF"/>
        </w:rPr>
        <w:t>封面格式</w:t>
      </w:r>
    </w:p>
    <w:p>
      <w:pPr>
        <w:pStyle w:val="3"/>
        <w:keepNext w:val="0"/>
        <w:keepLines w:val="0"/>
        <w:widowControl/>
        <w:suppressLineNumbers w:val="0"/>
        <w:spacing w:before="0" w:beforeAutospacing="0" w:after="0" w:afterAutospacing="0"/>
        <w:ind w:left="0" w:right="0"/>
        <w:jc w:val="center"/>
      </w:pPr>
      <w:r>
        <w:rPr>
          <w:rStyle w:val="5"/>
          <w:rFonts w:hint="eastAsia" w:ascii="宋体" w:hAnsi="宋体" w:eastAsia="宋体" w:cs="宋体"/>
          <w:sz w:val="38"/>
          <w:szCs w:val="38"/>
          <w:bdr w:val="none" w:color="auto" w:sz="0" w:space="0"/>
          <w:shd w:val="clear" w:fill="FFFFFF"/>
        </w:rPr>
        <w:t>福建省政府采购投标文件</w:t>
      </w:r>
    </w:p>
    <w:p>
      <w:pPr>
        <w:pStyle w:val="3"/>
        <w:keepNext w:val="0"/>
        <w:keepLines w:val="0"/>
        <w:widowControl/>
        <w:suppressLineNumbers w:val="0"/>
        <w:spacing w:before="0" w:beforeAutospacing="0" w:after="0" w:afterAutospacing="0"/>
        <w:ind w:left="0" w:right="0"/>
        <w:jc w:val="center"/>
      </w:pPr>
      <w:r>
        <w:rPr>
          <w:rStyle w:val="5"/>
          <w:rFonts w:hint="eastAsia" w:ascii="宋体" w:hAnsi="宋体" w:eastAsia="宋体" w:cs="宋体"/>
          <w:sz w:val="38"/>
          <w:szCs w:val="38"/>
          <w:bdr w:val="none" w:color="auto" w:sz="0" w:space="0"/>
          <w:shd w:val="clear" w:fill="FFFFFF"/>
        </w:rPr>
        <w:t>（资格及资信证明部分）</w:t>
      </w:r>
    </w:p>
    <w:p>
      <w:pPr>
        <w:pStyle w:val="3"/>
        <w:keepNext w:val="0"/>
        <w:keepLines w:val="0"/>
        <w:widowControl/>
        <w:suppressLineNumbers w:val="0"/>
        <w:spacing w:before="0" w:beforeAutospacing="0" w:after="0" w:afterAutospacing="0"/>
        <w:ind w:left="0" w:right="0"/>
        <w:jc w:val="center"/>
      </w:pPr>
      <w:r>
        <w:rPr>
          <w:rStyle w:val="5"/>
          <w:rFonts w:hint="eastAsia" w:ascii="宋体" w:hAnsi="宋体" w:eastAsia="宋体" w:cs="宋体"/>
          <w:sz w:val="28"/>
          <w:szCs w:val="28"/>
          <w:u w:val="single"/>
          <w:bdr w:val="none" w:color="auto" w:sz="0" w:space="0"/>
          <w:shd w:val="clear" w:fill="FFFFFF"/>
        </w:rPr>
        <w:t>（填写正本或副本）</w:t>
      </w:r>
    </w:p>
    <w:p>
      <w:pPr>
        <w:pStyle w:val="3"/>
        <w:keepNext w:val="0"/>
        <w:keepLines w:val="0"/>
        <w:widowControl/>
        <w:suppressLineNumbers w:val="0"/>
        <w:spacing w:before="0" w:beforeAutospacing="0" w:after="0" w:afterAutospacing="0"/>
        <w:ind w:left="0" w:right="0" w:firstLine="1536"/>
      </w:pPr>
      <w:r>
        <w:rPr>
          <w:rStyle w:val="5"/>
          <w:rFonts w:hint="eastAsia" w:ascii="宋体" w:hAnsi="宋体" w:eastAsia="宋体" w:cs="宋体"/>
          <w:sz w:val="25"/>
          <w:szCs w:val="25"/>
          <w:bdr w:val="none" w:color="auto" w:sz="0" w:space="0"/>
          <w:shd w:val="clear" w:fill="FFFFFF"/>
        </w:rPr>
        <w:t>项目名称：</w:t>
      </w:r>
      <w:r>
        <w:rPr>
          <w:rStyle w:val="5"/>
          <w:rFonts w:hint="eastAsia" w:ascii="宋体" w:hAnsi="宋体" w:eastAsia="宋体" w:cs="宋体"/>
          <w:sz w:val="25"/>
          <w:szCs w:val="25"/>
          <w:u w:val="single"/>
          <w:bdr w:val="none" w:color="auto" w:sz="0" w:space="0"/>
          <w:shd w:val="clear" w:fill="FFFFFF"/>
        </w:rPr>
        <w:t>（由投标人填写）</w:t>
      </w:r>
    </w:p>
    <w:p>
      <w:pPr>
        <w:pStyle w:val="3"/>
        <w:keepNext w:val="0"/>
        <w:keepLines w:val="0"/>
        <w:widowControl/>
        <w:suppressLineNumbers w:val="0"/>
        <w:spacing w:before="0" w:beforeAutospacing="0" w:after="0" w:afterAutospacing="0"/>
        <w:ind w:left="0" w:right="0" w:firstLine="1536"/>
      </w:pPr>
      <w:r>
        <w:rPr>
          <w:rStyle w:val="5"/>
          <w:rFonts w:hint="eastAsia" w:ascii="宋体" w:hAnsi="宋体" w:eastAsia="宋体" w:cs="宋体"/>
          <w:sz w:val="25"/>
          <w:szCs w:val="25"/>
          <w:bdr w:val="none" w:color="auto" w:sz="0" w:space="0"/>
          <w:shd w:val="clear" w:fill="FFFFFF"/>
        </w:rPr>
        <w:t>备案编号：</w:t>
      </w:r>
      <w:r>
        <w:rPr>
          <w:rStyle w:val="5"/>
          <w:rFonts w:hint="eastAsia" w:ascii="宋体" w:hAnsi="宋体" w:eastAsia="宋体" w:cs="宋体"/>
          <w:sz w:val="25"/>
          <w:szCs w:val="25"/>
          <w:u w:val="single"/>
          <w:bdr w:val="none" w:color="auto" w:sz="0" w:space="0"/>
          <w:shd w:val="clear" w:fill="FFFFFF"/>
        </w:rPr>
        <w:t>（由投标人填写）</w:t>
      </w:r>
    </w:p>
    <w:p>
      <w:pPr>
        <w:pStyle w:val="3"/>
        <w:keepNext w:val="0"/>
        <w:keepLines w:val="0"/>
        <w:widowControl/>
        <w:suppressLineNumbers w:val="0"/>
        <w:spacing w:before="0" w:beforeAutospacing="0" w:after="0" w:afterAutospacing="0"/>
        <w:ind w:left="0" w:right="0" w:firstLine="1536"/>
      </w:pPr>
      <w:r>
        <w:rPr>
          <w:rStyle w:val="5"/>
          <w:rFonts w:hint="eastAsia" w:ascii="宋体" w:hAnsi="宋体" w:eastAsia="宋体" w:cs="宋体"/>
          <w:sz w:val="25"/>
          <w:szCs w:val="25"/>
          <w:bdr w:val="none" w:color="auto" w:sz="0" w:space="0"/>
          <w:shd w:val="clear" w:fill="FFFFFF"/>
        </w:rPr>
        <w:t>招标编号：</w:t>
      </w:r>
      <w:r>
        <w:rPr>
          <w:rStyle w:val="5"/>
          <w:rFonts w:hint="eastAsia" w:ascii="宋体" w:hAnsi="宋体" w:eastAsia="宋体" w:cs="宋体"/>
          <w:sz w:val="25"/>
          <w:szCs w:val="25"/>
          <w:u w:val="single"/>
          <w:bdr w:val="none" w:color="auto" w:sz="0" w:space="0"/>
          <w:shd w:val="clear" w:fill="FFFFFF"/>
        </w:rPr>
        <w:t>（由投标人填写）</w:t>
      </w:r>
    </w:p>
    <w:p>
      <w:pPr>
        <w:pStyle w:val="3"/>
        <w:keepNext w:val="0"/>
        <w:keepLines w:val="0"/>
        <w:widowControl/>
        <w:suppressLineNumbers w:val="0"/>
        <w:spacing w:before="0" w:beforeAutospacing="0" w:after="0" w:afterAutospacing="0"/>
        <w:ind w:left="0" w:right="0" w:firstLine="1536"/>
      </w:pPr>
      <w:r>
        <w:rPr>
          <w:rStyle w:val="5"/>
          <w:rFonts w:hint="eastAsia" w:ascii="宋体" w:hAnsi="宋体" w:eastAsia="宋体" w:cs="宋体"/>
          <w:sz w:val="25"/>
          <w:szCs w:val="25"/>
          <w:bdr w:val="none" w:color="auto" w:sz="0" w:space="0"/>
          <w:shd w:val="clear" w:fill="FFFFFF"/>
        </w:rPr>
        <w:t>所投合同包：</w:t>
      </w:r>
      <w:r>
        <w:rPr>
          <w:rStyle w:val="5"/>
          <w:rFonts w:hint="eastAsia" w:ascii="宋体" w:hAnsi="宋体" w:eastAsia="宋体" w:cs="宋体"/>
          <w:sz w:val="25"/>
          <w:szCs w:val="25"/>
          <w:u w:val="single"/>
          <w:bdr w:val="none" w:color="auto" w:sz="0" w:space="0"/>
          <w:shd w:val="clear" w:fill="FFFFFF"/>
        </w:rPr>
        <w:t>（由投标人填写）</w:t>
      </w:r>
    </w:p>
    <w:p>
      <w:pPr>
        <w:pStyle w:val="3"/>
        <w:keepNext w:val="0"/>
        <w:keepLines w:val="0"/>
        <w:widowControl/>
        <w:suppressLineNumbers w:val="0"/>
        <w:spacing w:before="0" w:beforeAutospacing="0" w:after="0" w:afterAutospacing="0"/>
        <w:ind w:left="0" w:right="0"/>
        <w:jc w:val="center"/>
      </w:pPr>
      <w:r>
        <w:rPr>
          <w:rStyle w:val="5"/>
          <w:rFonts w:hint="eastAsia" w:ascii="宋体" w:hAnsi="宋体" w:eastAsia="宋体" w:cs="宋体"/>
          <w:sz w:val="25"/>
          <w:szCs w:val="25"/>
          <w:bdr w:val="none" w:color="auto" w:sz="0" w:space="0"/>
          <w:shd w:val="clear" w:fill="FFFFFF"/>
        </w:rPr>
        <w:t>投标人：</w:t>
      </w:r>
      <w:r>
        <w:rPr>
          <w:rStyle w:val="5"/>
          <w:rFonts w:hint="eastAsia" w:ascii="宋体" w:hAnsi="宋体" w:eastAsia="宋体" w:cs="宋体"/>
          <w:sz w:val="25"/>
          <w:szCs w:val="25"/>
          <w:u w:val="single"/>
          <w:bdr w:val="none" w:color="auto" w:sz="0" w:space="0"/>
          <w:shd w:val="clear" w:fill="FFFFFF"/>
        </w:rPr>
        <w:t>（填写“全称”）</w:t>
      </w:r>
    </w:p>
    <w:p>
      <w:pPr>
        <w:pStyle w:val="3"/>
        <w:keepNext w:val="0"/>
        <w:keepLines w:val="0"/>
        <w:widowControl/>
        <w:suppressLineNumbers w:val="0"/>
        <w:spacing w:before="0" w:beforeAutospacing="0" w:after="0" w:afterAutospacing="0"/>
        <w:ind w:left="0" w:right="0"/>
        <w:jc w:val="center"/>
      </w:pPr>
      <w:r>
        <w:rPr>
          <w:rStyle w:val="5"/>
          <w:rFonts w:hint="eastAsia" w:ascii="宋体" w:hAnsi="宋体" w:eastAsia="宋体" w:cs="宋体"/>
          <w:sz w:val="25"/>
          <w:szCs w:val="25"/>
          <w:u w:val="single"/>
          <w:bdr w:val="none" w:color="auto" w:sz="0" w:space="0"/>
          <w:shd w:val="clear" w:fill="FFFFFF"/>
        </w:rPr>
        <w:t>（由投标人填写）</w:t>
      </w:r>
      <w:r>
        <w:rPr>
          <w:rStyle w:val="5"/>
          <w:rFonts w:hint="eastAsia" w:ascii="宋体" w:hAnsi="宋体" w:eastAsia="宋体" w:cs="宋体"/>
          <w:sz w:val="25"/>
          <w:szCs w:val="25"/>
          <w:bdr w:val="none" w:color="auto" w:sz="0" w:space="0"/>
          <w:shd w:val="clear" w:fill="FFFFFF"/>
        </w:rPr>
        <w:t>年</w:t>
      </w:r>
      <w:r>
        <w:rPr>
          <w:rStyle w:val="5"/>
          <w:rFonts w:hint="eastAsia" w:ascii="宋体" w:hAnsi="宋体" w:eastAsia="宋体" w:cs="宋体"/>
          <w:sz w:val="25"/>
          <w:szCs w:val="25"/>
          <w:u w:val="single"/>
          <w:bdr w:val="none" w:color="auto" w:sz="0" w:space="0"/>
          <w:shd w:val="clear" w:fill="FFFFFF"/>
        </w:rPr>
        <w:t>（由投标人填写）</w:t>
      </w:r>
      <w:r>
        <w:rPr>
          <w:rStyle w:val="5"/>
          <w:rFonts w:hint="eastAsia" w:ascii="宋体" w:hAnsi="宋体" w:eastAsia="宋体" w:cs="宋体"/>
          <w:sz w:val="25"/>
          <w:szCs w:val="25"/>
          <w:bdr w:val="none" w:color="auto" w:sz="0" w:space="0"/>
          <w:shd w:val="clear" w:fill="FFFFFF"/>
        </w:rPr>
        <w:t>月</w:t>
      </w:r>
    </w:p>
    <w:p>
      <w:pPr>
        <w:pStyle w:val="3"/>
        <w:keepNext w:val="0"/>
        <w:keepLines w:val="0"/>
        <w:widowControl/>
        <w:suppressLineNumbers w:val="0"/>
        <w:spacing w:before="0" w:beforeAutospacing="0" w:after="0" w:afterAutospacing="0"/>
        <w:ind w:left="0" w:right="0"/>
        <w:jc w:val="center"/>
      </w:pPr>
      <w:r>
        <w:rPr>
          <w:rFonts w:hint="default" w:ascii="Calibri" w:hAnsi="Calibri" w:cs="Calibri"/>
          <w:sz w:val="16"/>
          <w:szCs w:val="16"/>
          <w:bdr w:val="none" w:color="auto" w:sz="0" w:space="0"/>
          <w:shd w:val="clear" w:fill="FFFFFF"/>
        </w:rPr>
        <w:br w:type="textWrapping"/>
      </w:r>
      <w:r>
        <w:rPr>
          <w:rStyle w:val="5"/>
          <w:rFonts w:hint="eastAsia" w:ascii="宋体" w:hAnsi="宋体" w:eastAsia="宋体" w:cs="宋体"/>
          <w:sz w:val="22"/>
          <w:szCs w:val="22"/>
          <w:bdr w:val="none" w:color="auto" w:sz="0" w:space="0"/>
          <w:shd w:val="clear" w:fill="FFFFFF"/>
        </w:rPr>
        <w:t>索引</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22"/>
          <w:szCs w:val="22"/>
          <w:bdr w:val="none" w:color="auto" w:sz="0" w:space="0"/>
          <w:shd w:val="clear" w:fill="FFFFFF"/>
        </w:rPr>
        <w:t>一、投标函</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22"/>
          <w:szCs w:val="22"/>
          <w:bdr w:val="none" w:color="auto" w:sz="0" w:space="0"/>
          <w:shd w:val="clear" w:fill="FFFFFF"/>
        </w:rPr>
        <w:t>二、投标人的资格及资信证明文件</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22"/>
          <w:szCs w:val="22"/>
          <w:bdr w:val="none" w:color="auto" w:sz="0" w:space="0"/>
          <w:shd w:val="clear" w:fill="FFFFFF"/>
        </w:rPr>
        <w:t>三、投标保证金</w:t>
      </w:r>
    </w:p>
    <w:p>
      <w:pPr>
        <w:pStyle w:val="3"/>
        <w:keepNext w:val="0"/>
        <w:keepLines w:val="0"/>
        <w:widowControl/>
        <w:suppressLineNumbers w:val="0"/>
        <w:spacing w:before="0" w:beforeAutospacing="0" w:after="0" w:afterAutospacing="0"/>
        <w:ind w:left="0" w:right="0"/>
        <w:jc w:val="center"/>
      </w:pPr>
      <w:r>
        <w:rPr>
          <w:rFonts w:hint="eastAsia" w:ascii="宋体" w:hAnsi="宋体" w:eastAsia="宋体" w:cs="宋体"/>
          <w:sz w:val="16"/>
          <w:szCs w:val="16"/>
          <w:bdr w:val="none" w:color="auto" w:sz="0" w:space="0"/>
          <w:shd w:val="clear" w:fill="FFFFFF"/>
        </w:rPr>
        <w:t>★注意</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资格及资信证明部分中不得出现报价部分的全部或部分的投标报价信息（或组成资料），否则</w:t>
      </w:r>
      <w:r>
        <w:rPr>
          <w:rStyle w:val="5"/>
          <w:rFonts w:hint="eastAsia" w:ascii="宋体" w:hAnsi="宋体" w:eastAsia="宋体" w:cs="宋体"/>
          <w:sz w:val="16"/>
          <w:szCs w:val="16"/>
          <w:bdr w:val="none" w:color="auto" w:sz="0" w:space="0"/>
          <w:shd w:val="clear" w:fill="FFFFFF"/>
        </w:rPr>
        <w:t>资格审查不合格</w:t>
      </w:r>
      <w:r>
        <w:rPr>
          <w:rFonts w:hint="eastAsia" w:ascii="宋体" w:hAnsi="宋体" w:eastAsia="宋体" w:cs="宋体"/>
          <w:sz w:val="16"/>
          <w:szCs w:val="16"/>
          <w:bdr w:val="none" w:color="auto" w:sz="0" w:space="0"/>
          <w:shd w:val="clear" w:fill="FFFFFF"/>
        </w:rPr>
        <w:t>。</w:t>
      </w:r>
    </w:p>
    <w:p>
      <w:pPr>
        <w:pStyle w:val="3"/>
        <w:keepNext w:val="0"/>
        <w:keepLines w:val="0"/>
        <w:widowControl/>
        <w:suppressLineNumbers w:val="0"/>
        <w:spacing w:before="0" w:beforeAutospacing="0" w:after="0" w:afterAutospacing="0"/>
        <w:ind w:left="0" w:right="0"/>
      </w:pPr>
    </w:p>
    <w:p>
      <w:pPr>
        <w:pStyle w:val="3"/>
        <w:keepNext w:val="0"/>
        <w:keepLines w:val="0"/>
        <w:widowControl/>
        <w:suppressLineNumbers w:val="0"/>
        <w:spacing w:before="0" w:beforeAutospacing="0" w:after="0" w:afterAutospacing="0"/>
        <w:ind w:left="0" w:right="0"/>
        <w:jc w:val="center"/>
      </w:pPr>
      <w:r>
        <w:rPr>
          <w:rFonts w:hint="default" w:ascii="Calibri" w:hAnsi="Calibri" w:cs="Calibri"/>
          <w:sz w:val="16"/>
          <w:szCs w:val="16"/>
          <w:bdr w:val="none" w:color="auto" w:sz="0" w:space="0"/>
          <w:shd w:val="clear" w:fill="FFFFFF"/>
        </w:rPr>
        <w:br w:type="textWrapping"/>
      </w:r>
      <w:r>
        <w:rPr>
          <w:rStyle w:val="5"/>
          <w:rFonts w:hint="eastAsia" w:ascii="宋体" w:hAnsi="宋体" w:eastAsia="宋体" w:cs="宋体"/>
          <w:sz w:val="16"/>
          <w:szCs w:val="16"/>
          <w:bdr w:val="none" w:color="auto" w:sz="0" w:space="0"/>
          <w:shd w:val="clear" w:fill="FFFFFF"/>
        </w:rPr>
        <w:t>一、投标函</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致：</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兹收到贵单位关于</w:t>
      </w:r>
      <w:r>
        <w:rPr>
          <w:rFonts w:hint="eastAsia" w:ascii="宋体" w:hAnsi="宋体" w:eastAsia="宋体" w:cs="宋体"/>
          <w:sz w:val="16"/>
          <w:szCs w:val="16"/>
          <w:u w:val="single"/>
          <w:bdr w:val="none" w:color="auto" w:sz="0" w:space="0"/>
          <w:shd w:val="clear" w:fill="FFFFFF"/>
        </w:rPr>
        <w:t>（填写“项目名称”）</w:t>
      </w:r>
      <w:r>
        <w:rPr>
          <w:rFonts w:hint="eastAsia" w:ascii="宋体" w:hAnsi="宋体" w:eastAsia="宋体" w:cs="宋体"/>
          <w:sz w:val="16"/>
          <w:szCs w:val="16"/>
          <w:bdr w:val="none" w:color="auto" w:sz="0" w:space="0"/>
          <w:shd w:val="clear" w:fill="FFFFFF"/>
        </w:rPr>
        <w:t>项目（招标编号：</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）的投标邀请，本投标人代表</w:t>
      </w:r>
      <w:r>
        <w:rPr>
          <w:rFonts w:hint="eastAsia" w:ascii="宋体" w:hAnsi="宋体" w:eastAsia="宋体" w:cs="宋体"/>
          <w:sz w:val="16"/>
          <w:szCs w:val="16"/>
          <w:u w:val="single"/>
          <w:bdr w:val="none" w:color="auto" w:sz="0" w:space="0"/>
          <w:shd w:val="clear" w:fill="FFFFFF"/>
        </w:rPr>
        <w:t>（填写“全名”）</w:t>
      </w:r>
      <w:r>
        <w:rPr>
          <w:rFonts w:hint="eastAsia" w:ascii="宋体" w:hAnsi="宋体" w:eastAsia="宋体" w:cs="宋体"/>
          <w:sz w:val="16"/>
          <w:szCs w:val="16"/>
          <w:bdr w:val="none" w:color="auto" w:sz="0" w:space="0"/>
          <w:shd w:val="clear" w:fill="FFFFFF"/>
        </w:rPr>
        <w:t>已获得我方正式授权并代表投标人</w:t>
      </w:r>
      <w:r>
        <w:rPr>
          <w:rFonts w:hint="eastAsia" w:ascii="宋体" w:hAnsi="宋体" w:eastAsia="宋体" w:cs="宋体"/>
          <w:sz w:val="16"/>
          <w:szCs w:val="16"/>
          <w:u w:val="single"/>
          <w:bdr w:val="none" w:color="auto" w:sz="0" w:space="0"/>
          <w:shd w:val="clear" w:fill="FFFFFF"/>
        </w:rPr>
        <w:t>（填写“全称”）</w:t>
      </w:r>
      <w:r>
        <w:rPr>
          <w:rFonts w:hint="eastAsia" w:ascii="宋体" w:hAnsi="宋体" w:eastAsia="宋体" w:cs="宋体"/>
          <w:sz w:val="16"/>
          <w:szCs w:val="16"/>
          <w:bdr w:val="none" w:color="auto" w:sz="0" w:space="0"/>
          <w:shd w:val="clear" w:fill="FFFFFF"/>
        </w:rPr>
        <w:t>参加投标，并提交招标文件规定份数的投标文件正本和副本。我方提交的全部投标文件均由下述部分组成：</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（1）资格及资信证明部分</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①投标函</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②投标人的资格及资信证明文件</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③投标保证金</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（2）报价部分</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①开标一览表</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②投标分项报价表</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③招标文件规定的价格扣除证明材料（若有）</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④招标文件规定的加分证明材料（若有）</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（3）技术商务部分</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①标的说明一览表</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②技术和服务要求响应表</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③商务条件响应表</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④投标人提交的其他资料（若有）</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根据本函，本投标人代表宣布我方保证遵守招标文件的全部规定，同时：</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1、</w:t>
      </w:r>
      <w:r>
        <w:rPr>
          <w:rStyle w:val="5"/>
          <w:rFonts w:hint="eastAsia" w:ascii="宋体" w:hAnsi="宋体" w:eastAsia="宋体" w:cs="宋体"/>
          <w:sz w:val="16"/>
          <w:szCs w:val="16"/>
          <w:bdr w:val="none" w:color="auto" w:sz="0" w:space="0"/>
          <w:shd w:val="clear" w:fill="FFFFFF"/>
        </w:rPr>
        <w:t>确认：</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1.1所投合同包的投标报价详见“开标一览表”及“投标分项报价表”。</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1.2我方已详细审查全部招标文件</w:t>
      </w:r>
      <w:r>
        <w:rPr>
          <w:rFonts w:hint="default" w:ascii="Calibri" w:hAnsi="Calibri" w:eastAsia="宋体" w:cs="Calibri"/>
          <w:sz w:val="16"/>
          <w:szCs w:val="16"/>
          <w:bdr w:val="none" w:color="auto" w:sz="0" w:space="0"/>
          <w:shd w:val="clear" w:fill="FFFFFF"/>
        </w:rPr>
        <w:t>[</w:t>
      </w:r>
      <w:r>
        <w:rPr>
          <w:rFonts w:hint="eastAsia" w:ascii="宋体" w:hAnsi="宋体" w:eastAsia="宋体" w:cs="宋体"/>
          <w:sz w:val="16"/>
          <w:szCs w:val="16"/>
          <w:bdr w:val="none" w:color="auto" w:sz="0" w:space="0"/>
          <w:shd w:val="clear" w:fill="FFFFFF"/>
        </w:rPr>
        <w:t>包括但不限于：有关附件（若有）、澄清或修改（若有）等</w:t>
      </w:r>
      <w:r>
        <w:rPr>
          <w:rFonts w:hint="default" w:ascii="Calibri" w:hAnsi="Calibri" w:eastAsia="宋体" w:cs="Calibri"/>
          <w:sz w:val="16"/>
          <w:szCs w:val="16"/>
          <w:bdr w:val="none" w:color="auto" w:sz="0" w:space="0"/>
          <w:shd w:val="clear" w:fill="FFFFFF"/>
        </w:rPr>
        <w:t>]</w:t>
      </w:r>
      <w:r>
        <w:rPr>
          <w:rFonts w:hint="eastAsia" w:ascii="宋体" w:hAnsi="宋体" w:eastAsia="宋体" w:cs="宋体"/>
          <w:sz w:val="16"/>
          <w:szCs w:val="16"/>
          <w:bdr w:val="none" w:color="auto" w:sz="0" w:space="0"/>
          <w:shd w:val="clear" w:fill="FFFFFF"/>
        </w:rPr>
        <w:t>，并自行承担因对全部招标文件理解不正确或误解而产生的相应后果和责任。</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2、</w:t>
      </w:r>
      <w:r>
        <w:rPr>
          <w:rStyle w:val="5"/>
          <w:rFonts w:hint="eastAsia" w:ascii="宋体" w:hAnsi="宋体" w:eastAsia="宋体" w:cs="宋体"/>
          <w:sz w:val="16"/>
          <w:szCs w:val="16"/>
          <w:bdr w:val="none" w:color="auto" w:sz="0" w:space="0"/>
          <w:shd w:val="clear" w:fill="FFFFFF"/>
        </w:rPr>
        <w:t>承诺及声明：</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2.1我方具备招标文件第一章载明的“投标人的资格要求”且符合招标文件第三章载明的“二、投标人”之规定，否则</w:t>
      </w:r>
      <w:r>
        <w:rPr>
          <w:rStyle w:val="5"/>
          <w:rFonts w:hint="eastAsia" w:ascii="宋体" w:hAnsi="宋体" w:eastAsia="宋体" w:cs="宋体"/>
          <w:sz w:val="16"/>
          <w:szCs w:val="16"/>
          <w:bdr w:val="none" w:color="auto" w:sz="0" w:space="0"/>
          <w:shd w:val="clear" w:fill="FFFFFF"/>
        </w:rPr>
        <w:t>投标无效。</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2.2我方提交的投标文件各组成部分的全部内容及资料是不可割离且真实、有效、准确、完整和不具有任何误导性的，否则产生不利后果由我方承担责任。</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2.3我方提供的标的价格不高于同期市场价格，否则产生不利后果由我方承担责任。</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2.4投标保证金：若出现招标文件第三章规定的不予退还情形，同意贵单位不予退还。</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2.5投标有效期：按照招标文件第三章规定执行，并在招标文件第二章载明的期限内保持有效。</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2.6若中标，将按照招标文件、我方投标文件及政府采购合同履行责任和义务。</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2.7若贵单位要求，我方同意提供与本项目投标有关的一切资料、数据或文件，并完全理解贵单位不一定要接受最低的投标报价或收到的任何投标。</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2.8除招标文件另有规定外，对于贵单位按照下述联络方式发出的任何信息或通知，均视为我方已收悉前述信息或通知的全部内容：</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通信地址：</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邮编：</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联系方法：</w:t>
      </w:r>
      <w:r>
        <w:rPr>
          <w:rFonts w:hint="eastAsia" w:ascii="宋体" w:hAnsi="宋体" w:eastAsia="宋体" w:cs="宋体"/>
          <w:sz w:val="16"/>
          <w:szCs w:val="16"/>
          <w:u w:val="single"/>
          <w:bdr w:val="none" w:color="auto" w:sz="0" w:space="0"/>
          <w:shd w:val="clear" w:fill="FFFFFF"/>
        </w:rPr>
        <w:t>（包括但不限于：联系人、联系电话、手机、传真、电子邮箱等）</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投标人：</w:t>
      </w:r>
      <w:r>
        <w:rPr>
          <w:rFonts w:hint="eastAsia" w:ascii="宋体" w:hAnsi="宋体" w:eastAsia="宋体" w:cs="宋体"/>
          <w:sz w:val="16"/>
          <w:szCs w:val="16"/>
          <w:u w:val="single"/>
          <w:bdr w:val="none" w:color="auto" w:sz="0" w:space="0"/>
          <w:shd w:val="clear" w:fill="FFFFFF"/>
        </w:rPr>
        <w:t>（全称并加盖单位公章）</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投标人代表签字：</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日期：</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年</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月</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日</w:t>
      </w:r>
    </w:p>
    <w:p>
      <w:pPr>
        <w:pStyle w:val="3"/>
        <w:keepNext w:val="0"/>
        <w:keepLines w:val="0"/>
        <w:widowControl/>
        <w:suppressLineNumbers w:val="0"/>
        <w:spacing w:before="0" w:beforeAutospacing="0" w:after="0" w:afterAutospacing="0"/>
        <w:ind w:left="0" w:right="0"/>
        <w:jc w:val="center"/>
      </w:pPr>
      <w:r>
        <w:rPr>
          <w:rFonts w:hint="default" w:ascii="Calibri" w:hAnsi="Calibri" w:cs="Calibri"/>
          <w:sz w:val="16"/>
          <w:szCs w:val="16"/>
          <w:bdr w:val="none" w:color="auto" w:sz="0" w:space="0"/>
          <w:shd w:val="clear" w:fill="FFFFFF"/>
        </w:rPr>
        <w:br w:type="textWrapping"/>
      </w:r>
      <w:r>
        <w:rPr>
          <w:rStyle w:val="5"/>
          <w:rFonts w:hint="eastAsia" w:ascii="宋体" w:hAnsi="宋体" w:eastAsia="宋体" w:cs="宋体"/>
          <w:sz w:val="16"/>
          <w:szCs w:val="16"/>
          <w:bdr w:val="none" w:color="auto" w:sz="0" w:space="0"/>
          <w:shd w:val="clear" w:fill="FFFFFF"/>
        </w:rPr>
        <w:t>二、投标人的资格及资信证明文件</w:t>
      </w:r>
    </w:p>
    <w:p>
      <w:pPr>
        <w:pStyle w:val="3"/>
        <w:keepNext w:val="0"/>
        <w:keepLines w:val="0"/>
        <w:widowControl/>
        <w:suppressLineNumbers w:val="0"/>
        <w:spacing w:before="0" w:beforeAutospacing="0" w:after="0" w:afterAutospacing="0"/>
        <w:ind w:left="0" w:right="0"/>
        <w:jc w:val="center"/>
      </w:pPr>
      <w:r>
        <w:rPr>
          <w:rStyle w:val="5"/>
          <w:rFonts w:hint="eastAsia" w:ascii="宋体" w:hAnsi="宋体" w:eastAsia="宋体" w:cs="宋体"/>
          <w:sz w:val="16"/>
          <w:szCs w:val="16"/>
          <w:bdr w:val="none" w:color="auto" w:sz="0" w:space="0"/>
          <w:shd w:val="clear" w:fill="FFFFFF"/>
        </w:rPr>
        <w:t>二-1单位负责人授权书（若有）</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致：</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我方的单位负责人</w:t>
      </w:r>
      <w:r>
        <w:rPr>
          <w:rFonts w:hint="eastAsia" w:ascii="宋体" w:hAnsi="宋体" w:eastAsia="宋体" w:cs="宋体"/>
          <w:sz w:val="16"/>
          <w:szCs w:val="16"/>
          <w:u w:val="single"/>
          <w:bdr w:val="none" w:color="auto" w:sz="0" w:space="0"/>
          <w:shd w:val="clear" w:fill="FFFFFF"/>
        </w:rPr>
        <w:t>（填写“单位负责人全名”）</w:t>
      </w:r>
      <w:r>
        <w:rPr>
          <w:rFonts w:hint="eastAsia" w:ascii="宋体" w:hAnsi="宋体" w:eastAsia="宋体" w:cs="宋体"/>
          <w:sz w:val="16"/>
          <w:szCs w:val="16"/>
          <w:bdr w:val="none" w:color="auto" w:sz="0" w:space="0"/>
          <w:shd w:val="clear" w:fill="FFFFFF"/>
        </w:rPr>
        <w:t>授权</w:t>
      </w:r>
      <w:r>
        <w:rPr>
          <w:rFonts w:hint="eastAsia" w:ascii="宋体" w:hAnsi="宋体" w:eastAsia="宋体" w:cs="宋体"/>
          <w:sz w:val="16"/>
          <w:szCs w:val="16"/>
          <w:u w:val="single"/>
          <w:bdr w:val="none" w:color="auto" w:sz="0" w:space="0"/>
          <w:shd w:val="clear" w:fill="FFFFFF"/>
        </w:rPr>
        <w:t>（填写“投标人代表全名”）</w:t>
      </w:r>
      <w:r>
        <w:rPr>
          <w:rFonts w:hint="eastAsia" w:ascii="宋体" w:hAnsi="宋体" w:eastAsia="宋体" w:cs="宋体"/>
          <w:sz w:val="16"/>
          <w:szCs w:val="16"/>
          <w:bdr w:val="none" w:color="auto" w:sz="0" w:space="0"/>
          <w:shd w:val="clear" w:fill="FFFFFF"/>
        </w:rPr>
        <w:t>为投标人代表，代表我方参加</w:t>
      </w:r>
      <w:r>
        <w:rPr>
          <w:rFonts w:hint="eastAsia" w:ascii="宋体" w:hAnsi="宋体" w:eastAsia="宋体" w:cs="宋体"/>
          <w:sz w:val="16"/>
          <w:szCs w:val="16"/>
          <w:u w:val="single"/>
          <w:bdr w:val="none" w:color="auto" w:sz="0" w:space="0"/>
          <w:shd w:val="clear" w:fill="FFFFFF"/>
        </w:rPr>
        <w:t>（填写“项目名称”）</w:t>
      </w:r>
      <w:r>
        <w:rPr>
          <w:rFonts w:hint="eastAsia" w:ascii="宋体" w:hAnsi="宋体" w:eastAsia="宋体" w:cs="宋体"/>
          <w:sz w:val="16"/>
          <w:szCs w:val="16"/>
          <w:bdr w:val="none" w:color="auto" w:sz="0" w:space="0"/>
          <w:shd w:val="clear" w:fill="FFFFFF"/>
        </w:rPr>
        <w:t>项目（招标编号：</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的投标，全权代表我方处理投标过程的一切事宜，包括但不限于：投标、参加开标、谈判、澄清、签约等。投标人代表在投标过程中所签署的一切文件和处理与之有关的一切事务，我方均予以认可并对此承担责任。</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投标人代表无转委权。特此授权。</w:t>
      </w:r>
    </w:p>
    <w:p>
      <w:pPr>
        <w:pStyle w:val="3"/>
        <w:keepNext w:val="0"/>
        <w:keepLines w:val="0"/>
        <w:widowControl/>
        <w:suppressLineNumbers w:val="0"/>
        <w:spacing w:before="0" w:beforeAutospacing="0" w:after="0" w:afterAutospacing="0"/>
        <w:ind w:left="0" w:right="0"/>
        <w:jc w:val="center"/>
      </w:pPr>
      <w:r>
        <w:rPr>
          <w:rFonts w:hint="eastAsia" w:ascii="宋体" w:hAnsi="宋体" w:eastAsia="宋体" w:cs="宋体"/>
          <w:sz w:val="16"/>
          <w:szCs w:val="16"/>
          <w:bdr w:val="none" w:color="auto" w:sz="0" w:space="0"/>
          <w:shd w:val="clear" w:fill="FFFFFF"/>
        </w:rPr>
        <w:t>（以下无正文）</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单位负责人：</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身份证号：</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手机：</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投标人代表：</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身份证号：</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手机：</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授权方</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w:t>
      </w:r>
      <w:r>
        <w:rPr>
          <w:rFonts w:hint="eastAsia" w:ascii="宋体" w:hAnsi="宋体" w:eastAsia="宋体" w:cs="宋体"/>
          <w:sz w:val="16"/>
          <w:szCs w:val="16"/>
          <w:u w:val="single"/>
          <w:bdr w:val="none" w:color="auto" w:sz="0" w:space="0"/>
          <w:shd w:val="clear" w:fill="FFFFFF"/>
        </w:rPr>
        <w:t>（全称并加盖单位公章）</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单位负责人签字或盖章：</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接受授权方</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投标人代表签字：</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jc w:val="right"/>
      </w:pPr>
      <w:r>
        <w:rPr>
          <w:rFonts w:hint="eastAsia" w:ascii="宋体" w:hAnsi="宋体" w:eastAsia="宋体" w:cs="宋体"/>
          <w:sz w:val="16"/>
          <w:szCs w:val="16"/>
          <w:bdr w:val="none" w:color="auto" w:sz="0" w:space="0"/>
          <w:shd w:val="clear" w:fill="FFFFFF"/>
        </w:rPr>
        <w:t>签署日期：</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年</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月</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日</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附：单位负责人、投标人代表的身份证正反面复印件</w:t>
      </w:r>
    </w:p>
    <w:tbl>
      <w:tblPr>
        <w:tblW w:w="6816"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681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6756"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Style w:val="5"/>
                <w:rFonts w:hint="eastAsia" w:ascii="宋体" w:hAnsi="宋体" w:eastAsia="宋体" w:cs="宋体"/>
                <w:color w:val="393939"/>
                <w:sz w:val="16"/>
                <w:szCs w:val="16"/>
                <w:bdr w:val="none" w:color="auto" w:sz="0" w:space="0"/>
              </w:rPr>
              <w:t>要求：真实有效且内容完整、清晰、整洁。</w:t>
            </w:r>
          </w:p>
        </w:tc>
      </w:tr>
    </w:tbl>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★注意：</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1、企业（银行、保险、石油石化、电力、电信等行业除外）、事业单位和社会团体法人的“单位负责人”指</w:t>
      </w:r>
      <w:r>
        <w:rPr>
          <w:rStyle w:val="5"/>
          <w:rFonts w:hint="eastAsia" w:ascii="宋体" w:hAnsi="宋体" w:eastAsia="宋体" w:cs="宋体"/>
          <w:sz w:val="16"/>
          <w:szCs w:val="16"/>
          <w:bdr w:val="none" w:color="auto" w:sz="0" w:space="0"/>
          <w:shd w:val="clear" w:fill="FFFFFF"/>
        </w:rPr>
        <w:t>法定代表人</w:t>
      </w:r>
      <w:r>
        <w:rPr>
          <w:rFonts w:hint="eastAsia" w:ascii="宋体" w:hAnsi="宋体" w:eastAsia="宋体" w:cs="宋体"/>
          <w:sz w:val="16"/>
          <w:szCs w:val="16"/>
          <w:bdr w:val="none" w:color="auto" w:sz="0" w:space="0"/>
          <w:shd w:val="clear" w:fill="FFFFFF"/>
        </w:rPr>
        <w:t>，即与实际提交的“营业执照等证明文件”载明的一致。</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3、投标人（自然人除外）：若投标人代表为单位负责人授权的委托代理人，应提供本授权书；若投标人代表为单位负责人，应在此项下提交其身份证正反面复印件，可不提供本授权书。</w:t>
      </w:r>
      <w:r>
        <w:rPr>
          <w:rFonts w:hint="eastAsia" w:ascii="宋体" w:hAnsi="宋体" w:eastAsia="宋体" w:cs="宋体"/>
          <w:sz w:val="16"/>
          <w:szCs w:val="16"/>
          <w:bdr w:val="none" w:color="auto" w:sz="0" w:space="0"/>
          <w:shd w:val="clear" w:fill="FFFFFF"/>
        </w:rPr>
        <w:br w:type="textWrapping"/>
      </w:r>
      <w:r>
        <w:rPr>
          <w:rFonts w:hint="eastAsia" w:ascii="宋体" w:hAnsi="宋体" w:eastAsia="宋体" w:cs="宋体"/>
          <w:sz w:val="16"/>
          <w:szCs w:val="16"/>
          <w:bdr w:val="none" w:color="auto" w:sz="0" w:space="0"/>
          <w:shd w:val="clear" w:fill="FFFFFF"/>
        </w:rPr>
        <w:t>4、投标人为自然人的，可不填写本授权书。</w:t>
      </w:r>
      <w:r>
        <w:rPr>
          <w:rFonts w:hint="eastAsia" w:ascii="宋体" w:hAnsi="宋体" w:eastAsia="宋体" w:cs="宋体"/>
          <w:sz w:val="16"/>
          <w:szCs w:val="16"/>
          <w:bdr w:val="none" w:color="auto" w:sz="0" w:space="0"/>
          <w:shd w:val="clear" w:fill="FFFFFF"/>
        </w:rPr>
        <w:br w:type="textWrapping"/>
      </w:r>
      <w:r>
        <w:rPr>
          <w:rFonts w:hint="eastAsia" w:ascii="宋体" w:hAnsi="宋体" w:eastAsia="宋体" w:cs="宋体"/>
          <w:sz w:val="16"/>
          <w:szCs w:val="16"/>
          <w:bdr w:val="none" w:color="auto" w:sz="0" w:space="0"/>
          <w:shd w:val="clear" w:fill="FFFFFF"/>
        </w:rPr>
        <w:t xml:space="preserve">5、纸质投标文件正本中的本授权书（若有）应为原件。 </w:t>
      </w:r>
    </w:p>
    <w:p>
      <w:pPr>
        <w:pStyle w:val="3"/>
        <w:keepNext w:val="0"/>
        <w:keepLines w:val="0"/>
        <w:widowControl/>
        <w:suppressLineNumbers w:val="0"/>
        <w:spacing w:before="0" w:beforeAutospacing="0" w:after="0" w:afterAutospacing="0"/>
        <w:ind w:left="0" w:right="0"/>
      </w:pPr>
    </w:p>
    <w:p>
      <w:pPr>
        <w:pStyle w:val="3"/>
        <w:keepNext w:val="0"/>
        <w:keepLines w:val="0"/>
        <w:widowControl/>
        <w:suppressLineNumbers w:val="0"/>
        <w:spacing w:before="0" w:beforeAutospacing="0" w:after="0" w:afterAutospacing="0"/>
        <w:ind w:left="0" w:right="0"/>
        <w:jc w:val="center"/>
      </w:pPr>
      <w:r>
        <w:rPr>
          <w:rFonts w:hint="default" w:ascii="Calibri" w:hAnsi="Calibri" w:cs="Calibri"/>
          <w:sz w:val="16"/>
          <w:szCs w:val="16"/>
          <w:bdr w:val="none" w:color="auto" w:sz="0" w:space="0"/>
          <w:shd w:val="clear" w:fill="FFFFFF"/>
        </w:rPr>
        <w:br w:type="textWrapping"/>
      </w:r>
      <w:r>
        <w:rPr>
          <w:rStyle w:val="5"/>
          <w:rFonts w:hint="eastAsia" w:ascii="宋体" w:hAnsi="宋体" w:eastAsia="宋体" w:cs="宋体"/>
          <w:sz w:val="16"/>
          <w:szCs w:val="16"/>
          <w:bdr w:val="none" w:color="auto" w:sz="0" w:space="0"/>
          <w:shd w:val="clear" w:fill="FFFFFF"/>
        </w:rPr>
        <w:t>二-2营业执照等证明文件</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致：</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 ）投标人为法人（包括企业、事业单位和社会团体）的</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现附上由</w:t>
      </w:r>
      <w:r>
        <w:rPr>
          <w:rFonts w:hint="eastAsia" w:ascii="宋体" w:hAnsi="宋体" w:eastAsia="宋体" w:cs="宋体"/>
          <w:sz w:val="16"/>
          <w:szCs w:val="16"/>
          <w:u w:val="single"/>
          <w:bdr w:val="none" w:color="auto" w:sz="0" w:space="0"/>
          <w:shd w:val="clear" w:fill="FFFFFF"/>
        </w:rPr>
        <w:t>（填写“签发机关全称”）</w:t>
      </w:r>
      <w:r>
        <w:rPr>
          <w:rFonts w:hint="eastAsia" w:ascii="宋体" w:hAnsi="宋体" w:eastAsia="宋体" w:cs="宋体"/>
          <w:sz w:val="16"/>
          <w:szCs w:val="16"/>
          <w:bdr w:val="none" w:color="auto" w:sz="0" w:space="0"/>
          <w:shd w:val="clear" w:fill="FFFFFF"/>
        </w:rPr>
        <w:t>签发的我方统一社会信用代码</w:t>
      </w:r>
      <w:r>
        <w:rPr>
          <w:rFonts w:hint="eastAsia" w:ascii="宋体" w:hAnsi="宋体" w:eastAsia="宋体" w:cs="宋体"/>
          <w:sz w:val="16"/>
          <w:szCs w:val="16"/>
          <w:u w:val="single"/>
          <w:bdr w:val="none" w:color="auto" w:sz="0" w:space="0"/>
          <w:shd w:val="clear" w:fill="FFFFFF"/>
        </w:rPr>
        <w:t>（请填写法人的具体证照名称）</w:t>
      </w:r>
      <w:r>
        <w:rPr>
          <w:rFonts w:hint="eastAsia" w:ascii="宋体" w:hAnsi="宋体" w:eastAsia="宋体" w:cs="宋体"/>
          <w:sz w:val="16"/>
          <w:szCs w:val="16"/>
          <w:bdr w:val="none" w:color="auto" w:sz="0" w:space="0"/>
          <w:shd w:val="clear" w:fill="FFFFFF"/>
        </w:rPr>
        <w:t>复印件，该证明材料真实有效，否则我方负全部责任。</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 ）投标人为非法人（包括其他组织、自然人）的</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□现附上由</w:t>
      </w:r>
      <w:r>
        <w:rPr>
          <w:rFonts w:hint="eastAsia" w:ascii="宋体" w:hAnsi="宋体" w:eastAsia="宋体" w:cs="宋体"/>
          <w:sz w:val="16"/>
          <w:szCs w:val="16"/>
          <w:u w:val="single"/>
          <w:bdr w:val="none" w:color="auto" w:sz="0" w:space="0"/>
          <w:shd w:val="clear" w:fill="FFFFFF"/>
        </w:rPr>
        <w:t>（填写“签发机关全称”）</w:t>
      </w:r>
      <w:r>
        <w:rPr>
          <w:rFonts w:hint="eastAsia" w:ascii="宋体" w:hAnsi="宋体" w:eastAsia="宋体" w:cs="宋体"/>
          <w:sz w:val="16"/>
          <w:szCs w:val="16"/>
          <w:bdr w:val="none" w:color="auto" w:sz="0" w:space="0"/>
          <w:shd w:val="clear" w:fill="FFFFFF"/>
        </w:rPr>
        <w:t>签发的我方</w:t>
      </w:r>
      <w:r>
        <w:rPr>
          <w:rFonts w:hint="eastAsia" w:ascii="宋体" w:hAnsi="宋体" w:eastAsia="宋体" w:cs="宋体"/>
          <w:sz w:val="16"/>
          <w:szCs w:val="16"/>
          <w:u w:val="single"/>
          <w:bdr w:val="none" w:color="auto" w:sz="0" w:space="0"/>
          <w:shd w:val="clear" w:fill="FFFFFF"/>
        </w:rPr>
        <w:t>（请填写非自然人的非法人的具体证照名称）</w:t>
      </w:r>
      <w:r>
        <w:rPr>
          <w:rFonts w:hint="eastAsia" w:ascii="宋体" w:hAnsi="宋体" w:eastAsia="宋体" w:cs="宋体"/>
          <w:sz w:val="16"/>
          <w:szCs w:val="16"/>
          <w:bdr w:val="none" w:color="auto" w:sz="0" w:space="0"/>
          <w:shd w:val="clear" w:fill="FFFFFF"/>
        </w:rPr>
        <w:t>复印件，该证明材料真实有效，否则我方负全部责任。</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□现附上由</w:t>
      </w:r>
      <w:r>
        <w:rPr>
          <w:rFonts w:hint="eastAsia" w:ascii="宋体" w:hAnsi="宋体" w:eastAsia="宋体" w:cs="宋体"/>
          <w:sz w:val="16"/>
          <w:szCs w:val="16"/>
          <w:u w:val="single"/>
          <w:bdr w:val="none" w:color="auto" w:sz="0" w:space="0"/>
          <w:shd w:val="clear" w:fill="FFFFFF"/>
        </w:rPr>
        <w:t>（填写“签发机关全称”）</w:t>
      </w:r>
      <w:r>
        <w:rPr>
          <w:rFonts w:hint="eastAsia" w:ascii="宋体" w:hAnsi="宋体" w:eastAsia="宋体" w:cs="宋体"/>
          <w:sz w:val="16"/>
          <w:szCs w:val="16"/>
          <w:bdr w:val="none" w:color="auto" w:sz="0" w:space="0"/>
          <w:shd w:val="clear" w:fill="FFFFFF"/>
        </w:rPr>
        <w:t>签发的我方</w:t>
      </w:r>
      <w:r>
        <w:rPr>
          <w:rFonts w:hint="eastAsia" w:ascii="宋体" w:hAnsi="宋体" w:eastAsia="宋体" w:cs="宋体"/>
          <w:sz w:val="16"/>
          <w:szCs w:val="16"/>
          <w:u w:val="single"/>
          <w:bdr w:val="none" w:color="auto" w:sz="0" w:space="0"/>
          <w:shd w:val="clear" w:fill="FFFFFF"/>
        </w:rPr>
        <w:t>（请填写自然人的身份证件名称）</w:t>
      </w:r>
      <w:r>
        <w:rPr>
          <w:rFonts w:hint="eastAsia" w:ascii="宋体" w:hAnsi="宋体" w:eastAsia="宋体" w:cs="宋体"/>
          <w:sz w:val="16"/>
          <w:szCs w:val="16"/>
          <w:bdr w:val="none" w:color="auto" w:sz="0" w:space="0"/>
          <w:shd w:val="clear" w:fill="FFFFFF"/>
        </w:rPr>
        <w:t>复印件，该证明材料真实有效，否则我方负全部责任。</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★注意：</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1、请投标人按照实际情况编制填写，在相应的（）中打“√”并选择相应的“□”（若有）后，再按照本格式的要求提供相应证明材料的复印件。</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3、投标人提供的相应证明材料复印件均应符合：内容完整、清晰、整洁，并由投标人加盖其单位公章。</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w:t>
      </w:r>
      <w:r>
        <w:rPr>
          <w:rFonts w:hint="eastAsia" w:ascii="宋体" w:hAnsi="宋体" w:eastAsia="宋体" w:cs="宋体"/>
          <w:sz w:val="16"/>
          <w:szCs w:val="16"/>
          <w:u w:val="single"/>
          <w:bdr w:val="none" w:color="auto" w:sz="0" w:space="0"/>
          <w:shd w:val="clear" w:fill="FFFFFF"/>
        </w:rPr>
        <w:t>（全称并加盖单位公章）</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投标人代表签字：</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日期：</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年</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月</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日</w:t>
      </w:r>
    </w:p>
    <w:p>
      <w:pPr>
        <w:pStyle w:val="3"/>
        <w:keepNext w:val="0"/>
        <w:keepLines w:val="0"/>
        <w:widowControl/>
        <w:suppressLineNumbers w:val="0"/>
        <w:spacing w:before="0" w:beforeAutospacing="0" w:after="0" w:afterAutospacing="0"/>
        <w:ind w:left="0" w:right="0"/>
        <w:jc w:val="center"/>
      </w:pPr>
      <w:r>
        <w:rPr>
          <w:rFonts w:hint="default" w:ascii="Calibri" w:hAnsi="Calibri" w:cs="Calibri"/>
          <w:sz w:val="16"/>
          <w:szCs w:val="16"/>
          <w:bdr w:val="none" w:color="auto" w:sz="0" w:space="0"/>
          <w:shd w:val="clear" w:fill="FFFFFF"/>
        </w:rPr>
        <w:br w:type="textWrapping"/>
      </w:r>
      <w:r>
        <w:rPr>
          <w:rStyle w:val="5"/>
          <w:rFonts w:hint="eastAsia" w:ascii="宋体" w:hAnsi="宋体" w:eastAsia="宋体" w:cs="宋体"/>
          <w:sz w:val="16"/>
          <w:szCs w:val="16"/>
          <w:bdr w:val="none" w:color="auto" w:sz="0" w:space="0"/>
          <w:shd w:val="clear" w:fill="FFFFFF"/>
        </w:rPr>
        <w:t>二-3财务状况报告（财务报告、或资信证明、或投标担保函）</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致：</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 ）投标人提供财务报告的</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□企业适用：现附上我方</w:t>
      </w:r>
      <w:r>
        <w:rPr>
          <w:rFonts w:hint="eastAsia" w:ascii="宋体" w:hAnsi="宋体" w:eastAsia="宋体" w:cs="宋体"/>
          <w:sz w:val="16"/>
          <w:szCs w:val="16"/>
          <w:u w:val="single"/>
          <w:bdr w:val="none" w:color="auto" w:sz="0" w:space="0"/>
          <w:shd w:val="clear" w:fill="FFFFFF"/>
        </w:rPr>
        <w:t>（填写“具体的年度、或半年度、或季度”）</w:t>
      </w:r>
      <w:r>
        <w:rPr>
          <w:rFonts w:hint="eastAsia" w:ascii="宋体" w:hAnsi="宋体" w:eastAsia="宋体" w:cs="宋体"/>
          <w:sz w:val="16"/>
          <w:szCs w:val="16"/>
          <w:bdr w:val="none" w:color="auto" w:sz="0" w:space="0"/>
          <w:shd w:val="clear" w:fill="FFFFFF"/>
        </w:rPr>
        <w:t>财务报告复印件，包括资产负债表、利润表、现金流量表、所有者权益变动表（若有）及其附注（若有），上述证明材料真实有效，否则我方负全部责任。</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□事业单位适用：现附上我方</w:t>
      </w:r>
      <w:r>
        <w:rPr>
          <w:rFonts w:hint="eastAsia" w:ascii="宋体" w:hAnsi="宋体" w:eastAsia="宋体" w:cs="宋体"/>
          <w:sz w:val="16"/>
          <w:szCs w:val="16"/>
          <w:u w:val="single"/>
          <w:bdr w:val="none" w:color="auto" w:sz="0" w:space="0"/>
          <w:shd w:val="clear" w:fill="FFFFFF"/>
        </w:rPr>
        <w:t>（填写“具体的年度、或半年度、或季度”）</w:t>
      </w:r>
      <w:r>
        <w:rPr>
          <w:rFonts w:hint="eastAsia" w:ascii="宋体" w:hAnsi="宋体" w:eastAsia="宋体" w:cs="宋体"/>
          <w:sz w:val="16"/>
          <w:szCs w:val="16"/>
          <w:bdr w:val="none" w:color="auto" w:sz="0" w:space="0"/>
          <w:shd w:val="clear" w:fill="FFFFFF"/>
        </w:rPr>
        <w:t>财务报告复印件，包括资产负债表、收入支出表（或收入费用表）、财政补助收入支出表（若有），上述证明材料真实有效，否则我方负全部责任。</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□社会团体适用：现附上我方</w:t>
      </w:r>
      <w:r>
        <w:rPr>
          <w:rFonts w:hint="eastAsia" w:ascii="宋体" w:hAnsi="宋体" w:eastAsia="宋体" w:cs="宋体"/>
          <w:sz w:val="16"/>
          <w:szCs w:val="16"/>
          <w:u w:val="single"/>
          <w:bdr w:val="none" w:color="auto" w:sz="0" w:space="0"/>
          <w:shd w:val="clear" w:fill="FFFFFF"/>
        </w:rPr>
        <w:t>（填写“具体的年度、或半年度、或季度”）</w:t>
      </w:r>
      <w:r>
        <w:rPr>
          <w:rFonts w:hint="eastAsia" w:ascii="宋体" w:hAnsi="宋体" w:eastAsia="宋体" w:cs="宋体"/>
          <w:sz w:val="16"/>
          <w:szCs w:val="16"/>
          <w:bdr w:val="none" w:color="auto" w:sz="0" w:space="0"/>
          <w:shd w:val="clear" w:fill="FFFFFF"/>
        </w:rPr>
        <w:t>财务报告复印件，包括资产负债表、业务活动表、现金流量表，上述证明材料真实有效，否则我方负全部责任。</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 ）投标人提供资信证明的</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非自然人适用（包括企业、事业单位、社会团体和其他组织）：现附上我方开户（基本存款账户）许可证复印件及我方银行：（填写“基本存款账户的开户银行全称”）出具的资信证明复印件，上述证明材料真实有效，否则我方负全部责任。</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□自然人适用：现附上我方银行：</w:t>
      </w:r>
      <w:r>
        <w:rPr>
          <w:rFonts w:hint="eastAsia" w:ascii="宋体" w:hAnsi="宋体" w:eastAsia="宋体" w:cs="宋体"/>
          <w:sz w:val="16"/>
          <w:szCs w:val="16"/>
          <w:u w:val="single"/>
          <w:bdr w:val="none" w:color="auto" w:sz="0" w:space="0"/>
          <w:shd w:val="clear" w:fill="FFFFFF"/>
        </w:rPr>
        <w:t>（填写自然人的“个人账户的开户银行全称”）</w:t>
      </w:r>
      <w:r>
        <w:rPr>
          <w:rFonts w:hint="eastAsia" w:ascii="宋体" w:hAnsi="宋体" w:eastAsia="宋体" w:cs="宋体"/>
          <w:sz w:val="16"/>
          <w:szCs w:val="16"/>
          <w:bdr w:val="none" w:color="auto" w:sz="0" w:space="0"/>
          <w:shd w:val="clear" w:fill="FFFFFF"/>
        </w:rPr>
        <w:t>出具的资信证明复印件，上述证明材料真实有效，否则我方负全部责任。</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 ）投标人提供投标担保函的</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现附上由财政部门认可的政府采购专业担保机构：</w:t>
      </w:r>
      <w:r>
        <w:rPr>
          <w:rFonts w:hint="eastAsia" w:ascii="宋体" w:hAnsi="宋体" w:eastAsia="宋体" w:cs="宋体"/>
          <w:sz w:val="16"/>
          <w:szCs w:val="16"/>
          <w:u w:val="single"/>
          <w:bdr w:val="none" w:color="auto" w:sz="0" w:space="0"/>
          <w:shd w:val="clear" w:fill="FFFFFF"/>
        </w:rPr>
        <w:t>（填写“担保机构全称”）</w:t>
      </w:r>
      <w:r>
        <w:rPr>
          <w:rFonts w:hint="eastAsia" w:ascii="宋体" w:hAnsi="宋体" w:eastAsia="宋体" w:cs="宋体"/>
          <w:sz w:val="16"/>
          <w:szCs w:val="16"/>
          <w:bdr w:val="none" w:color="auto" w:sz="0" w:space="0"/>
          <w:shd w:val="clear" w:fill="FFFFFF"/>
        </w:rPr>
        <w:t>出具的投标担保函复印件，上述证明材料真实有效，否则我方负全部责任。</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★注意：</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1、请投标人按照实际情况编制填写，在相应的（）中打“√”并选择相应的“□”（若有）后，再按照本格式的要求提供相应证明材料的复印件。</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2、投标人提供的财务报告复印件（成立年限按照投标截止时间推算）应符合下列规定：</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2.1成立年限满</w:t>
      </w:r>
      <w:r>
        <w:rPr>
          <w:rFonts w:hint="default" w:ascii="Calibri" w:hAnsi="Calibri" w:eastAsia="宋体" w:cs="Calibri"/>
          <w:sz w:val="16"/>
          <w:szCs w:val="16"/>
          <w:bdr w:val="none" w:color="auto" w:sz="0" w:space="0"/>
          <w:shd w:val="clear" w:fill="FFFFFF"/>
        </w:rPr>
        <w:t>1</w:t>
      </w:r>
      <w:r>
        <w:rPr>
          <w:rFonts w:hint="eastAsia" w:ascii="宋体" w:hAnsi="宋体" w:eastAsia="宋体" w:cs="宋体"/>
          <w:sz w:val="16"/>
          <w:szCs w:val="16"/>
          <w:bdr w:val="none" w:color="auto" w:sz="0" w:space="0"/>
          <w:shd w:val="clear" w:fill="FFFFFF"/>
        </w:rPr>
        <w:t>年及以上的投标人，提供经审计的上一年度的年度财务报告。</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2.2成立年限满半年但不足</w:t>
      </w:r>
      <w:r>
        <w:rPr>
          <w:rFonts w:hint="default" w:ascii="Calibri" w:hAnsi="Calibri" w:eastAsia="宋体" w:cs="Calibri"/>
          <w:sz w:val="16"/>
          <w:szCs w:val="16"/>
          <w:bdr w:val="none" w:color="auto" w:sz="0" w:space="0"/>
          <w:shd w:val="clear" w:fill="FFFFFF"/>
        </w:rPr>
        <w:t>1</w:t>
      </w:r>
      <w:r>
        <w:rPr>
          <w:rFonts w:hint="eastAsia" w:ascii="宋体" w:hAnsi="宋体" w:eastAsia="宋体" w:cs="宋体"/>
          <w:sz w:val="16"/>
          <w:szCs w:val="16"/>
          <w:bdr w:val="none" w:color="auto" w:sz="0" w:space="0"/>
          <w:shd w:val="clear" w:fill="FFFFFF"/>
        </w:rPr>
        <w:t>年的投标人，提供该半年度中任一季度的季度财务报告或该半年度的半年度财务报告。</w:t>
      </w:r>
    </w:p>
    <w:p>
      <w:pPr>
        <w:pStyle w:val="3"/>
        <w:keepNext w:val="0"/>
        <w:keepLines w:val="0"/>
        <w:widowControl/>
        <w:suppressLineNumbers w:val="0"/>
        <w:spacing w:before="0" w:beforeAutospacing="0" w:after="0" w:afterAutospacing="0"/>
        <w:ind w:left="0" w:right="0"/>
      </w:pPr>
      <w:r>
        <w:rPr>
          <w:rStyle w:val="5"/>
          <w:rFonts w:hint="eastAsia" w:ascii="宋体" w:hAnsi="宋体" w:eastAsia="宋体" w:cs="宋体"/>
          <w:sz w:val="19"/>
          <w:szCs w:val="19"/>
          <w:bdr w:val="none" w:color="auto" w:sz="0" w:space="0"/>
          <w:shd w:val="clear" w:fill="FFFFFF"/>
        </w:rPr>
        <w:t xml:space="preserve">※无法按照本格式第2.1、2.2条规定提供财务报告复印件的投标人（包括但不限于：成立年限满1年及以上的投标人、成立年限满半年但不足1年的投标人、成立年限不足半年的投标人），应按照本格式的要求选择提供资信证明复印件或投标担保函复印件，其中：非自然人的投标人选择提供资信证明的，还应附上其开户（基本存款账户）许可证复印件。 </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3、“财政部门认可的政府采购专业担保机构”应符合《财政部关于开展政府采购信用担保试点工作方案》（财库</w:t>
      </w:r>
      <w:r>
        <w:rPr>
          <w:rFonts w:hint="default" w:ascii="Calibri" w:hAnsi="Calibri" w:eastAsia="宋体" w:cs="Calibri"/>
          <w:sz w:val="16"/>
          <w:szCs w:val="16"/>
          <w:bdr w:val="none" w:color="auto" w:sz="0" w:space="0"/>
          <w:shd w:val="clear" w:fill="FFFFFF"/>
        </w:rPr>
        <w:t>[2012]124</w:t>
      </w:r>
      <w:r>
        <w:rPr>
          <w:rFonts w:hint="eastAsia" w:ascii="宋体" w:hAnsi="宋体" w:eastAsia="宋体" w:cs="宋体"/>
          <w:sz w:val="16"/>
          <w:szCs w:val="16"/>
          <w:bdr w:val="none" w:color="auto" w:sz="0" w:space="0"/>
          <w:shd w:val="clear" w:fill="FFFFFF"/>
        </w:rPr>
        <w:t>号）的规定。</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4、投标人提供的相应证明材料复印件均应符合：内容完整、清晰、整洁，并由投标人加盖其单位公章。</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w:t>
      </w:r>
      <w:r>
        <w:rPr>
          <w:rFonts w:hint="eastAsia" w:ascii="宋体" w:hAnsi="宋体" w:eastAsia="宋体" w:cs="宋体"/>
          <w:sz w:val="16"/>
          <w:szCs w:val="16"/>
          <w:u w:val="single"/>
          <w:bdr w:val="none" w:color="auto" w:sz="0" w:space="0"/>
          <w:shd w:val="clear" w:fill="FFFFFF"/>
        </w:rPr>
        <w:t>（全称并加盖单位公章）</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投标人代表签字：</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日期：</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年</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月</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日</w:t>
      </w:r>
    </w:p>
    <w:p>
      <w:pPr>
        <w:pStyle w:val="3"/>
        <w:keepNext w:val="0"/>
        <w:keepLines w:val="0"/>
        <w:widowControl/>
        <w:suppressLineNumbers w:val="0"/>
        <w:spacing w:before="0" w:beforeAutospacing="0" w:after="0" w:afterAutospacing="0"/>
        <w:ind w:left="0" w:right="0"/>
        <w:jc w:val="center"/>
      </w:pPr>
      <w:r>
        <w:rPr>
          <w:rFonts w:hint="default" w:ascii="Calibri" w:hAnsi="Calibri" w:cs="Calibri"/>
          <w:sz w:val="16"/>
          <w:szCs w:val="16"/>
          <w:bdr w:val="none" w:color="auto" w:sz="0" w:space="0"/>
          <w:shd w:val="clear" w:fill="FFFFFF"/>
        </w:rPr>
        <w:br w:type="textWrapping"/>
      </w:r>
      <w:r>
        <w:rPr>
          <w:rFonts w:hint="eastAsia" w:ascii="宋体" w:hAnsi="宋体" w:eastAsia="宋体" w:cs="宋体"/>
          <w:sz w:val="16"/>
          <w:szCs w:val="16"/>
          <w:bdr w:val="none" w:color="auto" w:sz="0" w:space="0"/>
          <w:shd w:val="clear" w:fill="FFFFFF"/>
        </w:rPr>
        <w:t>二</w:t>
      </w:r>
      <w:r>
        <w:rPr>
          <w:rStyle w:val="5"/>
          <w:rFonts w:hint="eastAsia" w:ascii="宋体" w:hAnsi="宋体" w:eastAsia="宋体" w:cs="宋体"/>
          <w:sz w:val="16"/>
          <w:szCs w:val="16"/>
          <w:bdr w:val="none" w:color="auto" w:sz="0" w:space="0"/>
          <w:shd w:val="clear" w:fill="FFFFFF"/>
        </w:rPr>
        <w:t>-4依法缴纳税收证明材料</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致：</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1、依法缴纳税收的投标人</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 ）法人（包括企业、事业单位和社会团体）的</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现附上自</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年</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月</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日至</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年</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月</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日期间我方缴纳的</w:t>
      </w:r>
      <w:r>
        <w:rPr>
          <w:rFonts w:hint="eastAsia" w:ascii="宋体" w:hAnsi="宋体" w:eastAsia="宋体" w:cs="宋体"/>
          <w:sz w:val="16"/>
          <w:szCs w:val="16"/>
          <w:u w:val="single"/>
          <w:bdr w:val="none" w:color="auto" w:sz="0" w:space="0"/>
          <w:shd w:val="clear" w:fill="FFFFFF"/>
        </w:rPr>
        <w:t>（按照投标人实际缴纳的税种名称填写，如：增值税、所得税等）</w:t>
      </w:r>
      <w:r>
        <w:rPr>
          <w:rFonts w:hint="eastAsia" w:ascii="宋体" w:hAnsi="宋体" w:eastAsia="宋体" w:cs="宋体"/>
          <w:sz w:val="16"/>
          <w:szCs w:val="16"/>
          <w:bdr w:val="none" w:color="auto" w:sz="0" w:space="0"/>
          <w:shd w:val="clear" w:fill="FFFFFF"/>
        </w:rPr>
        <w:t>税收凭据复印件，上述证明材料真实有效，否则我方负全部责任。</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 ）非法人（包括其他组织、自然人）的</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现附上自</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年</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月</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日至</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年</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月</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日期间我方缴纳的</w:t>
      </w:r>
      <w:r>
        <w:rPr>
          <w:rFonts w:hint="eastAsia" w:ascii="宋体" w:hAnsi="宋体" w:eastAsia="宋体" w:cs="宋体"/>
          <w:sz w:val="16"/>
          <w:szCs w:val="16"/>
          <w:u w:val="single"/>
          <w:bdr w:val="none" w:color="auto" w:sz="0" w:space="0"/>
          <w:shd w:val="clear" w:fill="FFFFFF"/>
        </w:rPr>
        <w:t>（按照投标人实际缴纳的税种名称填写）</w:t>
      </w:r>
      <w:r>
        <w:rPr>
          <w:rFonts w:hint="eastAsia" w:ascii="宋体" w:hAnsi="宋体" w:eastAsia="宋体" w:cs="宋体"/>
          <w:sz w:val="16"/>
          <w:szCs w:val="16"/>
          <w:bdr w:val="none" w:color="auto" w:sz="0" w:space="0"/>
          <w:shd w:val="clear" w:fill="FFFFFF"/>
        </w:rPr>
        <w:t>税收凭据复印件，上述证明材料真实有效，否则我方负全部责任。</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2、依法免税的投标人</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 ）现附上我方依法免税证明材料复印件，上述证明材料真实有效，否则我方负全部责任。</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★注意：</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1、请投标人按照实际情况编制填写，在相应的（）中打“√”，并按照本格式的要求提供相应证明材料的复印件。</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2、投标人提供的税收凭据复印件应符合下列规定：</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2.1投标截止时间前（不含投标截止时间的当月）已依法缴纳税收的投标人，提供投标截止时间前六个月（不含投标截止时间的当月）中任一月份的税收凭据复印件。</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2.2投标截止时间的当月成立且已依法缴纳税收的投标人，提供投标截止时间当月的税收凭据复印件。</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2.3投标截止时间的当月成立但因税务机关原因导致其尚未依法缴纳税收的投标人，提供依法缴纳税收承诺书原件（格式自拟），该承诺书视同税收凭据。</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3、</w:t>
      </w:r>
      <w:r>
        <w:rPr>
          <w:rStyle w:val="5"/>
          <w:rFonts w:hint="eastAsia" w:ascii="宋体" w:hAnsi="宋体" w:eastAsia="宋体" w:cs="宋体"/>
          <w:sz w:val="16"/>
          <w:szCs w:val="16"/>
          <w:bdr w:val="none" w:color="auto" w:sz="0" w:space="0"/>
          <w:shd w:val="clear" w:fill="FFFFFF"/>
        </w:rPr>
        <w:t>“依法缴纳税收证明材料”</w:t>
      </w:r>
      <w:r>
        <w:rPr>
          <w:rFonts w:hint="eastAsia" w:ascii="宋体" w:hAnsi="宋体" w:eastAsia="宋体" w:cs="宋体"/>
          <w:sz w:val="16"/>
          <w:szCs w:val="16"/>
          <w:bdr w:val="none" w:color="auto" w:sz="0" w:space="0"/>
          <w:shd w:val="clear" w:fill="FFFFFF"/>
        </w:rPr>
        <w:t>有欠缴记录的，视为</w:t>
      </w:r>
      <w:r>
        <w:rPr>
          <w:rStyle w:val="5"/>
          <w:rFonts w:hint="eastAsia" w:ascii="宋体" w:hAnsi="宋体" w:eastAsia="宋体" w:cs="宋体"/>
          <w:sz w:val="16"/>
          <w:szCs w:val="16"/>
          <w:bdr w:val="none" w:color="auto" w:sz="0" w:space="0"/>
          <w:shd w:val="clear" w:fill="FFFFFF"/>
        </w:rPr>
        <w:t>未依法缴纳税收。</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4、投标人提供的相应证明材料复印件均应符合：内容完整、清晰、整洁，并由投标人加盖其单位公章。</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w:t>
      </w:r>
      <w:r>
        <w:rPr>
          <w:rFonts w:hint="eastAsia" w:ascii="宋体" w:hAnsi="宋体" w:eastAsia="宋体" w:cs="宋体"/>
          <w:sz w:val="16"/>
          <w:szCs w:val="16"/>
          <w:u w:val="single"/>
          <w:bdr w:val="none" w:color="auto" w:sz="0" w:space="0"/>
          <w:shd w:val="clear" w:fill="FFFFFF"/>
        </w:rPr>
        <w:t>（全称并加盖单位公章）</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投标人代表签字：</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日期：</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年</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月</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日</w:t>
      </w:r>
    </w:p>
    <w:p>
      <w:pPr>
        <w:pStyle w:val="3"/>
        <w:keepNext w:val="0"/>
        <w:keepLines w:val="0"/>
        <w:widowControl/>
        <w:suppressLineNumbers w:val="0"/>
        <w:spacing w:before="0" w:beforeAutospacing="0" w:after="0" w:afterAutospacing="0"/>
        <w:ind w:left="0" w:right="0"/>
        <w:jc w:val="center"/>
      </w:pPr>
      <w:r>
        <w:rPr>
          <w:rFonts w:hint="default" w:ascii="Calibri" w:hAnsi="Calibri" w:cs="Calibri"/>
          <w:sz w:val="16"/>
          <w:szCs w:val="16"/>
          <w:bdr w:val="none" w:color="auto" w:sz="0" w:space="0"/>
          <w:shd w:val="clear" w:fill="FFFFFF"/>
        </w:rPr>
        <w:br w:type="textWrapping"/>
      </w:r>
      <w:r>
        <w:rPr>
          <w:rStyle w:val="5"/>
          <w:rFonts w:hint="eastAsia" w:ascii="宋体" w:hAnsi="宋体" w:eastAsia="宋体" w:cs="宋体"/>
          <w:sz w:val="16"/>
          <w:szCs w:val="16"/>
          <w:bdr w:val="none" w:color="auto" w:sz="0" w:space="0"/>
          <w:shd w:val="clear" w:fill="FFFFFF"/>
        </w:rPr>
        <w:t>二-5依法缴纳社会保障资金证明材料</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致：</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1、依法缴纳社会保障资金的投标人</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 ）法人（包括企业、事业单位和社会团体）的</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现附上自</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年</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月</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日至</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年</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月</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日我方缴纳的社会保险凭据（限：税务机关/社会保障资金管理机关的专用收据或社会保险缴纳清单，或社会保险的银行缴款收讫凭证）复印件，上述证明材料真实有效，否则我方负全部责任。</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 ）非法人（包括其他组织、自然人）的</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自</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年</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月</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日至</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年</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月</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日我方缴纳的社会保险凭据（限：税务机关/社会保障资金管理机关的专用收据或社会保险缴纳清单，或社会保险的银行缴款收讫凭证）复印件，上述证明材料真实有效，否则我方负全部责任。</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2、依法不需要缴纳社会保障资金的投标人</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 ）现附上我方依法不需要缴纳社会保障资金证明材料复印件，上述证明材料真实有效，否则我方负全部责任。</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★注意：</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1、请投标人按照实际情况编制填写，在相应的（）中打“√”，并按照本格式的要求提供相应证明材料的复印件。</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2、投标人提供的社会保险凭据复印件应符合下列规定：</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2.1投标截止时间前（不含投标截止时间的当月）已依法缴纳社会保障资金的投标人，提供投标截止时间前六个月（不含投标截止时间的当月）中任一月份的社会保险凭据复印件。</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2.2投标截止时间的当月成立且已依法缴纳社会保障资金的投标人，提供投标截止时间当月的社会保险凭据复印件。</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2.3投标截止时间的当月成立但因税务机关</w:t>
      </w:r>
      <w:r>
        <w:rPr>
          <w:rFonts w:hint="default" w:ascii="Calibri" w:hAnsi="Calibri" w:eastAsia="宋体" w:cs="Calibri"/>
          <w:sz w:val="16"/>
          <w:szCs w:val="16"/>
          <w:bdr w:val="none" w:color="auto" w:sz="0" w:space="0"/>
          <w:shd w:val="clear" w:fill="FFFFFF"/>
        </w:rPr>
        <w:t>/</w:t>
      </w:r>
      <w:r>
        <w:rPr>
          <w:rFonts w:hint="eastAsia" w:ascii="宋体" w:hAnsi="宋体" w:eastAsia="宋体" w:cs="宋体"/>
          <w:sz w:val="16"/>
          <w:szCs w:val="16"/>
          <w:bdr w:val="none" w:color="auto" w:sz="0" w:space="0"/>
          <w:shd w:val="clear" w:fill="FFFFFF"/>
        </w:rPr>
        <w:t>社会保障资金管理机关原因导致其尚未依法缴纳社会保障资金的投标人，提供依法缴纳社会保障资金承诺书原件（格式自拟），该承诺书视同社会保险凭据。</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3、</w:t>
      </w:r>
      <w:r>
        <w:rPr>
          <w:rStyle w:val="5"/>
          <w:rFonts w:hint="eastAsia" w:ascii="宋体" w:hAnsi="宋体" w:eastAsia="宋体" w:cs="宋体"/>
          <w:sz w:val="16"/>
          <w:szCs w:val="16"/>
          <w:bdr w:val="none" w:color="auto" w:sz="0" w:space="0"/>
          <w:shd w:val="clear" w:fill="FFFFFF"/>
        </w:rPr>
        <w:t>“依法缴纳社会保障资金证明材料”</w:t>
      </w:r>
      <w:r>
        <w:rPr>
          <w:rFonts w:hint="eastAsia" w:ascii="宋体" w:hAnsi="宋体" w:eastAsia="宋体" w:cs="宋体"/>
          <w:sz w:val="16"/>
          <w:szCs w:val="16"/>
          <w:bdr w:val="none" w:color="auto" w:sz="0" w:space="0"/>
          <w:shd w:val="clear" w:fill="FFFFFF"/>
        </w:rPr>
        <w:t>有欠缴记录的，视为</w:t>
      </w:r>
      <w:r>
        <w:rPr>
          <w:rStyle w:val="5"/>
          <w:rFonts w:hint="eastAsia" w:ascii="宋体" w:hAnsi="宋体" w:eastAsia="宋体" w:cs="宋体"/>
          <w:sz w:val="16"/>
          <w:szCs w:val="16"/>
          <w:bdr w:val="none" w:color="auto" w:sz="0" w:space="0"/>
          <w:shd w:val="clear" w:fill="FFFFFF"/>
        </w:rPr>
        <w:t>未依法缴纳社会保障资金。</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4、投标人提供的相应证明材料复印件均应符合：内容完整、清晰、整洁，并由投标人加盖其单位公章。</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w:t>
      </w:r>
      <w:r>
        <w:rPr>
          <w:rFonts w:hint="eastAsia" w:ascii="宋体" w:hAnsi="宋体" w:eastAsia="宋体" w:cs="宋体"/>
          <w:sz w:val="16"/>
          <w:szCs w:val="16"/>
          <w:u w:val="single"/>
          <w:bdr w:val="none" w:color="auto" w:sz="0" w:space="0"/>
          <w:shd w:val="clear" w:fill="FFFFFF"/>
        </w:rPr>
        <w:t>（全称并加盖单位公章）</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投标人代表签字：</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日期：</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年</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月</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日</w:t>
      </w:r>
    </w:p>
    <w:p>
      <w:pPr>
        <w:pStyle w:val="3"/>
        <w:keepNext w:val="0"/>
        <w:keepLines w:val="0"/>
        <w:widowControl/>
        <w:suppressLineNumbers w:val="0"/>
        <w:spacing w:before="0" w:beforeAutospacing="0" w:after="0" w:afterAutospacing="0"/>
        <w:ind w:left="0" w:right="0"/>
        <w:jc w:val="center"/>
      </w:pPr>
      <w:r>
        <w:rPr>
          <w:rFonts w:hint="default" w:ascii="Calibri" w:hAnsi="Calibri" w:cs="Calibri"/>
          <w:sz w:val="16"/>
          <w:szCs w:val="16"/>
          <w:bdr w:val="none" w:color="auto" w:sz="0" w:space="0"/>
          <w:shd w:val="clear" w:fill="FFFFFF"/>
        </w:rPr>
        <w:br w:type="textWrapping"/>
      </w:r>
      <w:r>
        <w:rPr>
          <w:rFonts w:hint="eastAsia" w:ascii="宋体" w:hAnsi="宋体" w:eastAsia="宋体" w:cs="宋体"/>
          <w:sz w:val="16"/>
          <w:szCs w:val="16"/>
          <w:bdr w:val="none" w:color="auto" w:sz="0" w:space="0"/>
          <w:shd w:val="clear" w:fill="FFFFFF"/>
        </w:rPr>
        <w:t>二</w:t>
      </w:r>
      <w:r>
        <w:rPr>
          <w:rStyle w:val="5"/>
          <w:rFonts w:hint="eastAsia" w:ascii="宋体" w:hAnsi="宋体" w:eastAsia="宋体" w:cs="宋体"/>
          <w:sz w:val="16"/>
          <w:szCs w:val="16"/>
          <w:bdr w:val="none" w:color="auto" w:sz="0" w:space="0"/>
          <w:shd w:val="clear" w:fill="FFFFFF"/>
        </w:rPr>
        <w:t>-6具备履行合同所必需设备和专业技术能力的声明函（若有）</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致：</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我方具备履行合同所必需的设备和专业技术能力，否则产生不利后果由我方承担责任。</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特此声明。</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★注意：</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1、招标文件未要求投标人提供“具备履行合同所必需的设备和专业技术能力专项证明材料”的，投标人应提供本声明函。</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2、招标文件要求投标人提供“具备履行合同所必需的设备和专业技术能力专项证明材料”的，投标人可不提供本声明函。</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3、纸质投标文件正本中的本声明函（若有）应为原件。</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4、请投标人根据实际情况如实声明，否则</w:t>
      </w:r>
      <w:r>
        <w:rPr>
          <w:rStyle w:val="5"/>
          <w:rFonts w:hint="eastAsia" w:ascii="宋体" w:hAnsi="宋体" w:eastAsia="宋体" w:cs="宋体"/>
          <w:sz w:val="16"/>
          <w:szCs w:val="16"/>
          <w:bdr w:val="none" w:color="auto" w:sz="0" w:space="0"/>
          <w:shd w:val="clear" w:fill="FFFFFF"/>
        </w:rPr>
        <w:t>视为提供虚假材料。</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w:t>
      </w:r>
      <w:r>
        <w:rPr>
          <w:rFonts w:hint="eastAsia" w:ascii="宋体" w:hAnsi="宋体" w:eastAsia="宋体" w:cs="宋体"/>
          <w:sz w:val="16"/>
          <w:szCs w:val="16"/>
          <w:u w:val="single"/>
          <w:bdr w:val="none" w:color="auto" w:sz="0" w:space="0"/>
          <w:shd w:val="clear" w:fill="FFFFFF"/>
        </w:rPr>
        <w:t>（全称并加盖单位公章）</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投标人代表签字：</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日期：</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年</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月</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日</w:t>
      </w:r>
    </w:p>
    <w:p>
      <w:pPr>
        <w:pStyle w:val="3"/>
        <w:keepNext w:val="0"/>
        <w:keepLines w:val="0"/>
        <w:widowControl/>
        <w:suppressLineNumbers w:val="0"/>
        <w:spacing w:before="0" w:beforeAutospacing="0" w:after="0" w:afterAutospacing="0"/>
        <w:ind w:left="0" w:right="0"/>
        <w:jc w:val="center"/>
      </w:pPr>
      <w:r>
        <w:rPr>
          <w:rFonts w:hint="default" w:ascii="Calibri" w:hAnsi="Calibri" w:cs="Calibri"/>
          <w:sz w:val="16"/>
          <w:szCs w:val="16"/>
          <w:bdr w:val="none" w:color="auto" w:sz="0" w:space="0"/>
          <w:shd w:val="clear" w:fill="FFFFFF"/>
        </w:rPr>
        <w:br w:type="textWrapping"/>
      </w:r>
      <w:r>
        <w:rPr>
          <w:rFonts w:hint="eastAsia" w:ascii="宋体" w:hAnsi="宋体" w:eastAsia="宋体" w:cs="宋体"/>
          <w:sz w:val="16"/>
          <w:szCs w:val="16"/>
          <w:bdr w:val="none" w:color="auto" w:sz="0" w:space="0"/>
          <w:shd w:val="clear" w:fill="FFFFFF"/>
        </w:rPr>
        <w:t>二</w:t>
      </w:r>
      <w:r>
        <w:rPr>
          <w:rStyle w:val="5"/>
          <w:rFonts w:hint="eastAsia" w:ascii="宋体" w:hAnsi="宋体" w:eastAsia="宋体" w:cs="宋体"/>
          <w:sz w:val="16"/>
          <w:szCs w:val="16"/>
          <w:bdr w:val="none" w:color="auto" w:sz="0" w:space="0"/>
          <w:shd w:val="clear" w:fill="FFFFFF"/>
        </w:rPr>
        <w:t>-7参加采购活动前三年内在经营活动中没有重大违法记录书面声明</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致：</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参加采购活动前三年内，我方在经营活动中没有重大违法记录，否则产生不利后果由我方承担责任。</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特此声明。</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★注意：</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1、“重大违法记录”指投标人因违法经营受到刑事处罚或责令停产停业、吊销许可证或执照、较大数额罚款等行政处罚。</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2、纸质投标文件正本中的本声明应为原件。</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3、请投标人根据实际情况如实声明，否则</w:t>
      </w:r>
      <w:r>
        <w:rPr>
          <w:rStyle w:val="5"/>
          <w:rFonts w:hint="eastAsia" w:ascii="宋体" w:hAnsi="宋体" w:eastAsia="宋体" w:cs="宋体"/>
          <w:sz w:val="16"/>
          <w:szCs w:val="16"/>
          <w:bdr w:val="none" w:color="auto" w:sz="0" w:space="0"/>
          <w:shd w:val="clear" w:fill="FFFFFF"/>
        </w:rPr>
        <w:t>视为提供虚假材料。</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w:t>
      </w:r>
      <w:r>
        <w:rPr>
          <w:rFonts w:hint="eastAsia" w:ascii="宋体" w:hAnsi="宋体" w:eastAsia="宋体" w:cs="宋体"/>
          <w:sz w:val="16"/>
          <w:szCs w:val="16"/>
          <w:u w:val="single"/>
          <w:bdr w:val="none" w:color="auto" w:sz="0" w:space="0"/>
          <w:shd w:val="clear" w:fill="FFFFFF"/>
        </w:rPr>
        <w:t>（全称并加盖单位公章）</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投标人代表签字：</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日期：</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年</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月</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日</w:t>
      </w:r>
    </w:p>
    <w:p>
      <w:pPr>
        <w:pStyle w:val="3"/>
        <w:keepNext w:val="0"/>
        <w:keepLines w:val="0"/>
        <w:widowControl/>
        <w:suppressLineNumbers w:val="0"/>
        <w:spacing w:before="0" w:beforeAutospacing="0" w:after="0" w:afterAutospacing="0"/>
        <w:ind w:left="0" w:right="0"/>
        <w:jc w:val="center"/>
      </w:pPr>
      <w:r>
        <w:rPr>
          <w:rFonts w:hint="default" w:ascii="Calibri" w:hAnsi="Calibri" w:cs="Calibri"/>
          <w:sz w:val="16"/>
          <w:szCs w:val="16"/>
          <w:bdr w:val="none" w:color="auto" w:sz="0" w:space="0"/>
          <w:shd w:val="clear" w:fill="FFFFFF"/>
        </w:rPr>
        <w:br w:type="textWrapping"/>
      </w:r>
      <w:r>
        <w:rPr>
          <w:rFonts w:hint="eastAsia" w:ascii="宋体" w:hAnsi="宋体" w:eastAsia="宋体" w:cs="宋体"/>
          <w:sz w:val="16"/>
          <w:szCs w:val="16"/>
          <w:bdr w:val="none" w:color="auto" w:sz="0" w:space="0"/>
          <w:shd w:val="clear" w:fill="FFFFFF"/>
        </w:rPr>
        <w:t>二</w:t>
      </w:r>
      <w:r>
        <w:rPr>
          <w:rStyle w:val="5"/>
          <w:rFonts w:hint="eastAsia" w:ascii="宋体" w:hAnsi="宋体" w:eastAsia="宋体" w:cs="宋体"/>
          <w:sz w:val="16"/>
          <w:szCs w:val="16"/>
          <w:bdr w:val="none" w:color="auto" w:sz="0" w:space="0"/>
          <w:shd w:val="clear" w:fill="FFFFFF"/>
        </w:rPr>
        <w:t>-8信用记录查询结果</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致：</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现附上截至</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年</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月</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日</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时我方通过“信用中国”网站（</w:t>
      </w:r>
      <w:r>
        <w:rPr>
          <w:rFonts w:hint="default" w:ascii="Calibri" w:hAnsi="Calibri" w:eastAsia="宋体" w:cs="Calibri"/>
          <w:sz w:val="16"/>
          <w:szCs w:val="16"/>
          <w:bdr w:val="none" w:color="auto" w:sz="0" w:space="0"/>
          <w:shd w:val="clear" w:fill="FFFFFF"/>
        </w:rPr>
        <w:t>www.creditchina.gov.cn</w:t>
      </w:r>
      <w:r>
        <w:rPr>
          <w:rFonts w:hint="eastAsia" w:ascii="宋体" w:hAnsi="宋体" w:eastAsia="宋体" w:cs="宋体"/>
          <w:sz w:val="16"/>
          <w:szCs w:val="16"/>
          <w:bdr w:val="none" w:color="auto" w:sz="0" w:space="0"/>
          <w:shd w:val="clear" w:fill="FFFFFF"/>
        </w:rPr>
        <w:t>）获取的我方信用信息查询结果</w:t>
      </w:r>
      <w:r>
        <w:rPr>
          <w:rFonts w:hint="eastAsia" w:ascii="宋体" w:hAnsi="宋体" w:eastAsia="宋体" w:cs="宋体"/>
          <w:sz w:val="16"/>
          <w:szCs w:val="16"/>
          <w:u w:val="single"/>
          <w:bdr w:val="none" w:color="auto" w:sz="0" w:space="0"/>
          <w:shd w:val="clear" w:fill="FFFFFF"/>
        </w:rPr>
        <w:t>（填写具体份数）</w:t>
      </w:r>
      <w:r>
        <w:rPr>
          <w:rFonts w:hint="eastAsia" w:ascii="宋体" w:hAnsi="宋体" w:eastAsia="宋体" w:cs="宋体"/>
          <w:sz w:val="16"/>
          <w:szCs w:val="16"/>
          <w:bdr w:val="none" w:color="auto" w:sz="0" w:space="0"/>
          <w:shd w:val="clear" w:fill="FFFFFF"/>
        </w:rPr>
        <w:t>份、通过中国政府采购网（www.ccgp.gov.cn）获取的我方信用信息查询结果</w:t>
      </w:r>
      <w:r>
        <w:rPr>
          <w:rFonts w:hint="eastAsia" w:ascii="宋体" w:hAnsi="宋体" w:eastAsia="宋体" w:cs="宋体"/>
          <w:sz w:val="16"/>
          <w:szCs w:val="16"/>
          <w:u w:val="single"/>
          <w:bdr w:val="none" w:color="auto" w:sz="0" w:space="0"/>
          <w:shd w:val="clear" w:fill="FFFFFF"/>
        </w:rPr>
        <w:t>（填写具体份数）</w:t>
      </w:r>
      <w:r>
        <w:rPr>
          <w:rFonts w:hint="eastAsia" w:ascii="宋体" w:hAnsi="宋体" w:eastAsia="宋体" w:cs="宋体"/>
          <w:sz w:val="16"/>
          <w:szCs w:val="16"/>
          <w:bdr w:val="none" w:color="auto" w:sz="0" w:space="0"/>
          <w:shd w:val="clear" w:fill="FFFFFF"/>
        </w:rPr>
        <w:t>份，上述信用信息查询结果真实有效，否则我方负全部责任。</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★注意：</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投标人应在招标文件要求的截止时点前分别通过“信用中国”网站（</w:t>
      </w:r>
      <w:r>
        <w:rPr>
          <w:rFonts w:hint="default" w:ascii="Calibri" w:hAnsi="Calibri" w:eastAsia="宋体" w:cs="Calibri"/>
          <w:sz w:val="16"/>
          <w:szCs w:val="16"/>
          <w:bdr w:val="none" w:color="auto" w:sz="0" w:space="0"/>
          <w:shd w:val="clear" w:fill="FFFFFF"/>
        </w:rPr>
        <w:t>www.creditchina.gov.cn</w:t>
      </w:r>
      <w:r>
        <w:rPr>
          <w:rFonts w:hint="eastAsia" w:ascii="宋体" w:hAnsi="宋体" w:eastAsia="宋体" w:cs="宋体"/>
          <w:sz w:val="16"/>
          <w:szCs w:val="16"/>
          <w:bdr w:val="none" w:color="auto" w:sz="0" w:space="0"/>
          <w:shd w:val="clear" w:fill="FFFFFF"/>
        </w:rPr>
        <w:t>）、中国政府采购网（</w:t>
      </w:r>
      <w:r>
        <w:rPr>
          <w:rFonts w:hint="default" w:ascii="Calibri" w:hAnsi="Calibri" w:eastAsia="宋体" w:cs="Calibri"/>
          <w:sz w:val="16"/>
          <w:szCs w:val="16"/>
          <w:bdr w:val="none" w:color="auto" w:sz="0" w:space="0"/>
          <w:shd w:val="clear" w:fill="FFFFFF"/>
        </w:rPr>
        <w:t>www.ccgp.gov.cn</w:t>
      </w:r>
      <w:r>
        <w:rPr>
          <w:rFonts w:hint="eastAsia" w:ascii="宋体" w:hAnsi="宋体" w:eastAsia="宋体" w:cs="宋体"/>
          <w:sz w:val="16"/>
          <w:szCs w:val="16"/>
          <w:bdr w:val="none" w:color="auto" w:sz="0" w:space="0"/>
          <w:shd w:val="clear" w:fill="FFFFFF"/>
        </w:rPr>
        <w:t>）查询并打印相应的信用记录，投标人提供的查询结果应为其通过上述网站获取的信用信息查询结果原始页面的打印件（或截图）。</w:t>
      </w:r>
    </w:p>
    <w:p>
      <w:pPr>
        <w:pStyle w:val="3"/>
        <w:keepNext w:val="0"/>
        <w:keepLines w:val="0"/>
        <w:widowControl/>
        <w:suppressLineNumbers w:val="0"/>
        <w:spacing w:before="0" w:beforeAutospacing="0" w:after="0" w:afterAutospacing="0"/>
        <w:ind w:left="0" w:right="0"/>
      </w:pP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w:t>
      </w:r>
      <w:r>
        <w:rPr>
          <w:rFonts w:hint="eastAsia" w:ascii="宋体" w:hAnsi="宋体" w:eastAsia="宋体" w:cs="宋体"/>
          <w:sz w:val="16"/>
          <w:szCs w:val="16"/>
          <w:u w:val="single"/>
          <w:bdr w:val="none" w:color="auto" w:sz="0" w:space="0"/>
          <w:shd w:val="clear" w:fill="FFFFFF"/>
        </w:rPr>
        <w:t>（全称并加盖单位公章）</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投标人代表签字：</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日期：</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年</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月</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日</w:t>
      </w:r>
    </w:p>
    <w:p>
      <w:pPr>
        <w:pStyle w:val="3"/>
        <w:keepNext w:val="0"/>
        <w:keepLines w:val="0"/>
        <w:widowControl/>
        <w:suppressLineNumbers w:val="0"/>
        <w:spacing w:before="0" w:beforeAutospacing="0" w:after="0" w:afterAutospacing="0"/>
        <w:ind w:left="0" w:right="0"/>
        <w:jc w:val="center"/>
      </w:pPr>
      <w:r>
        <w:rPr>
          <w:rStyle w:val="5"/>
          <w:rFonts w:hint="default" w:ascii="Calibri" w:hAnsi="Calibri" w:cs="Calibri"/>
          <w:sz w:val="16"/>
          <w:szCs w:val="16"/>
          <w:bdr w:val="none" w:color="auto" w:sz="0" w:space="0"/>
          <w:shd w:val="clear" w:fill="FFFFFF"/>
        </w:rPr>
        <w:br w:type="textWrapping"/>
      </w:r>
      <w:r>
        <w:rPr>
          <w:rStyle w:val="5"/>
          <w:rFonts w:hint="eastAsia" w:ascii="宋体" w:hAnsi="宋体" w:eastAsia="宋体" w:cs="宋体"/>
          <w:sz w:val="16"/>
          <w:szCs w:val="16"/>
          <w:bdr w:val="none" w:color="auto" w:sz="0" w:space="0"/>
          <w:shd w:val="clear" w:fill="FFFFFF"/>
        </w:rPr>
        <w:t>二-9检察机关行贿犯罪档案查询结果告知函</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检察机关行贿犯罪档案查询结果告知函（以下简称：“告知函”）由投标人向住所地或业务发生地检察院申请查询，具体以检察院出具的为准。</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★注意：</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1、未提供行贿犯罪档案查询结果或查询结果表明投标人有行贿犯罪记录的，</w:t>
      </w:r>
      <w:r>
        <w:rPr>
          <w:rStyle w:val="5"/>
          <w:rFonts w:hint="eastAsia" w:ascii="宋体" w:hAnsi="宋体" w:eastAsia="宋体" w:cs="宋体"/>
          <w:sz w:val="16"/>
          <w:szCs w:val="16"/>
          <w:bdr w:val="none" w:color="auto" w:sz="0" w:space="0"/>
          <w:shd w:val="clear" w:fill="FFFFFF"/>
        </w:rPr>
        <w:t>投标无效。</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2、若从检察机关指定网站下载打印或截图告知函，则告知函应为从前述指定网站获取的查询结果原始页面的打印件（或截图），否则</w:t>
      </w:r>
      <w:r>
        <w:rPr>
          <w:rStyle w:val="5"/>
          <w:rFonts w:hint="eastAsia" w:ascii="宋体" w:hAnsi="宋体" w:eastAsia="宋体" w:cs="宋体"/>
          <w:sz w:val="16"/>
          <w:szCs w:val="16"/>
          <w:bdr w:val="none" w:color="auto" w:sz="0" w:space="0"/>
          <w:shd w:val="clear" w:fill="FFFFFF"/>
        </w:rPr>
        <w:t>投标无效。</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3、告知函应在有效期内且内容完整、清晰、整洁，否则</w:t>
      </w:r>
      <w:r>
        <w:rPr>
          <w:rStyle w:val="5"/>
          <w:rFonts w:hint="eastAsia" w:ascii="宋体" w:hAnsi="宋体" w:eastAsia="宋体" w:cs="宋体"/>
          <w:sz w:val="16"/>
          <w:szCs w:val="16"/>
          <w:bdr w:val="none" w:color="auto" w:sz="0" w:space="0"/>
          <w:shd w:val="clear" w:fill="FFFFFF"/>
        </w:rPr>
        <w:t>投标无效。</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4、有效期内的告知函复印件（含扫描件）及符合招标文件第七章规定的打印件（或截图），无论内容中是否注明“复印件无效”，</w:t>
      </w:r>
      <w:r>
        <w:rPr>
          <w:rStyle w:val="5"/>
          <w:rFonts w:hint="eastAsia" w:ascii="宋体" w:hAnsi="宋体" w:eastAsia="宋体" w:cs="宋体"/>
          <w:sz w:val="16"/>
          <w:szCs w:val="16"/>
          <w:bdr w:val="none" w:color="auto" w:sz="0" w:space="0"/>
          <w:shd w:val="clear" w:fill="FFFFFF"/>
        </w:rPr>
        <w:t>均视同有效。</w:t>
      </w:r>
    </w:p>
    <w:p>
      <w:pPr>
        <w:pStyle w:val="3"/>
        <w:keepNext w:val="0"/>
        <w:keepLines w:val="0"/>
        <w:widowControl/>
        <w:suppressLineNumbers w:val="0"/>
        <w:spacing w:before="0" w:beforeAutospacing="0" w:after="0" w:afterAutospacing="0"/>
        <w:ind w:left="0" w:right="0"/>
      </w:pPr>
    </w:p>
    <w:p>
      <w:pPr>
        <w:pStyle w:val="3"/>
        <w:keepNext w:val="0"/>
        <w:keepLines w:val="0"/>
        <w:widowControl/>
        <w:suppressLineNumbers w:val="0"/>
        <w:spacing w:before="0" w:beforeAutospacing="0" w:after="0" w:afterAutospacing="0"/>
        <w:ind w:left="0" w:right="0"/>
        <w:jc w:val="center"/>
      </w:pPr>
      <w:r>
        <w:rPr>
          <w:rFonts w:hint="eastAsia" w:ascii="宋体" w:hAnsi="宋体" w:eastAsia="宋体" w:cs="宋体"/>
          <w:sz w:val="16"/>
          <w:szCs w:val="16"/>
          <w:bdr w:val="none" w:color="auto" w:sz="0" w:space="0"/>
          <w:shd w:val="clear" w:fill="FFFFFF"/>
        </w:rPr>
        <w:br w:type="textWrapping"/>
      </w:r>
      <w:r>
        <w:rPr>
          <w:rStyle w:val="5"/>
          <w:rFonts w:hint="eastAsia" w:ascii="宋体" w:hAnsi="宋体" w:eastAsia="宋体" w:cs="宋体"/>
          <w:sz w:val="16"/>
          <w:szCs w:val="16"/>
          <w:bdr w:val="none" w:color="auto" w:sz="0" w:space="0"/>
          <w:shd w:val="clear" w:fill="FFFFFF"/>
        </w:rPr>
        <w:t>二-10联合体协议（若有）</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致：</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兹有</w:t>
      </w:r>
      <w:r>
        <w:rPr>
          <w:rFonts w:hint="eastAsia" w:ascii="宋体" w:hAnsi="宋体" w:eastAsia="宋体" w:cs="宋体"/>
          <w:sz w:val="16"/>
          <w:szCs w:val="16"/>
          <w:u w:val="single"/>
          <w:bdr w:val="none" w:color="auto" w:sz="0" w:space="0"/>
          <w:shd w:val="clear" w:fill="FFFFFF"/>
        </w:rPr>
        <w:t>（填写“联合体中各方的全称”，各方的全称之间请用“、”分割）</w:t>
      </w:r>
      <w:r>
        <w:rPr>
          <w:rFonts w:hint="eastAsia" w:ascii="宋体" w:hAnsi="宋体" w:eastAsia="宋体" w:cs="宋体"/>
          <w:sz w:val="16"/>
          <w:szCs w:val="16"/>
          <w:bdr w:val="none" w:color="auto" w:sz="0" w:space="0"/>
          <w:shd w:val="clear" w:fill="FFFFFF"/>
        </w:rPr>
        <w:t>自愿组成联合体，共同参加</w:t>
      </w:r>
      <w:r>
        <w:rPr>
          <w:rFonts w:hint="eastAsia" w:ascii="宋体" w:hAnsi="宋体" w:eastAsia="宋体" w:cs="宋体"/>
          <w:sz w:val="16"/>
          <w:szCs w:val="16"/>
          <w:u w:val="single"/>
          <w:bdr w:val="none" w:color="auto" w:sz="0" w:space="0"/>
          <w:shd w:val="clear" w:fill="FFFFFF"/>
        </w:rPr>
        <w:t xml:space="preserve">（填写“项目名称”） </w:t>
      </w:r>
      <w:r>
        <w:rPr>
          <w:rFonts w:hint="eastAsia" w:ascii="宋体" w:hAnsi="宋体" w:eastAsia="宋体" w:cs="宋体"/>
          <w:sz w:val="16"/>
          <w:szCs w:val="16"/>
          <w:bdr w:val="none" w:color="auto" w:sz="0" w:space="0"/>
          <w:shd w:val="clear" w:fill="FFFFFF"/>
        </w:rPr>
        <w:t>项目（招标编号：</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）的投标。现就联合体参加本项目投标的有关事宜达成下列协议：</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一、联合体各方应承担的工作和义务具体如下：</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1、牵头方（</w:t>
      </w:r>
      <w:r>
        <w:rPr>
          <w:rFonts w:hint="eastAsia" w:ascii="宋体" w:hAnsi="宋体" w:eastAsia="宋体" w:cs="宋体"/>
          <w:sz w:val="16"/>
          <w:szCs w:val="16"/>
          <w:u w:val="single"/>
          <w:bdr w:val="none" w:color="auto" w:sz="0" w:space="0"/>
          <w:shd w:val="clear" w:fill="FFFFFF"/>
        </w:rPr>
        <w:t>全称</w:t>
      </w:r>
      <w:r>
        <w:rPr>
          <w:rFonts w:hint="eastAsia" w:ascii="宋体" w:hAnsi="宋体" w:eastAsia="宋体" w:cs="宋体"/>
          <w:sz w:val="16"/>
          <w:szCs w:val="16"/>
          <w:bdr w:val="none" w:color="auto" w:sz="0" w:space="0"/>
          <w:shd w:val="clear" w:fill="FFFFFF"/>
        </w:rPr>
        <w:t>）：</w:t>
      </w:r>
      <w:r>
        <w:rPr>
          <w:rFonts w:hint="eastAsia" w:ascii="宋体" w:hAnsi="宋体" w:eastAsia="宋体" w:cs="宋体"/>
          <w:sz w:val="16"/>
          <w:szCs w:val="16"/>
          <w:u w:val="single"/>
          <w:bdr w:val="none" w:color="auto" w:sz="0" w:space="0"/>
          <w:shd w:val="clear" w:fill="FFFFFF"/>
        </w:rPr>
        <w:t xml:space="preserve"> （填写“工作及义务的具体内容”） </w:t>
      </w:r>
      <w:r>
        <w:rPr>
          <w:rFonts w:hint="eastAsia" w:ascii="宋体" w:hAnsi="宋体" w:eastAsia="宋体" w:cs="宋体"/>
          <w:sz w:val="16"/>
          <w:szCs w:val="16"/>
          <w:bdr w:val="none" w:color="auto" w:sz="0" w:space="0"/>
          <w:shd w:val="clear" w:fill="FFFFFF"/>
        </w:rPr>
        <w:t>；</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2、成员方：</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2.1</w:t>
      </w:r>
      <w:r>
        <w:rPr>
          <w:rFonts w:hint="eastAsia" w:ascii="宋体" w:hAnsi="宋体" w:eastAsia="宋体" w:cs="宋体"/>
          <w:sz w:val="16"/>
          <w:szCs w:val="16"/>
          <w:u w:val="single"/>
          <w:bdr w:val="none" w:color="auto" w:sz="0" w:space="0"/>
          <w:shd w:val="clear" w:fill="FFFFFF"/>
        </w:rPr>
        <w:t>（成员一的全称）</w:t>
      </w:r>
      <w:r>
        <w:rPr>
          <w:rFonts w:hint="eastAsia" w:ascii="宋体" w:hAnsi="宋体" w:eastAsia="宋体" w:cs="宋体"/>
          <w:sz w:val="16"/>
          <w:szCs w:val="16"/>
          <w:bdr w:val="none" w:color="auto" w:sz="0" w:space="0"/>
          <w:shd w:val="clear" w:fill="FFFFFF"/>
        </w:rPr>
        <w:t>：</w:t>
      </w:r>
      <w:r>
        <w:rPr>
          <w:rFonts w:hint="eastAsia" w:ascii="宋体" w:hAnsi="宋体" w:eastAsia="宋体" w:cs="宋体"/>
          <w:sz w:val="16"/>
          <w:szCs w:val="16"/>
          <w:u w:val="single"/>
          <w:bdr w:val="none" w:color="auto" w:sz="0" w:space="0"/>
          <w:shd w:val="clear" w:fill="FFFFFF"/>
        </w:rPr>
        <w:t xml:space="preserve"> （填写“工作及义务的具体内容”） </w:t>
      </w:r>
      <w:r>
        <w:rPr>
          <w:rFonts w:hint="eastAsia" w:ascii="宋体" w:hAnsi="宋体" w:eastAsia="宋体" w:cs="宋体"/>
          <w:sz w:val="16"/>
          <w:szCs w:val="16"/>
          <w:bdr w:val="none" w:color="auto" w:sz="0" w:space="0"/>
          <w:shd w:val="clear" w:fill="FFFFFF"/>
        </w:rPr>
        <w:t>；</w:t>
      </w:r>
    </w:p>
    <w:p>
      <w:pPr>
        <w:pStyle w:val="3"/>
        <w:keepNext w:val="0"/>
        <w:keepLines w:val="0"/>
        <w:widowControl/>
        <w:suppressLineNumbers w:val="0"/>
        <w:spacing w:before="0" w:beforeAutospacing="0" w:after="0" w:afterAutospacing="0"/>
        <w:ind w:left="0" w:right="0" w:firstLine="336"/>
      </w:pPr>
      <w:r>
        <w:rPr>
          <w:rFonts w:hint="default" w:ascii="Calibri" w:hAnsi="Calibri" w:cs="Calibri"/>
          <w:sz w:val="16"/>
          <w:szCs w:val="16"/>
          <w:bdr w:val="none" w:color="auto" w:sz="0" w:space="0"/>
          <w:shd w:val="clear" w:fill="FFFFFF"/>
        </w:rPr>
        <w:t>……</w:t>
      </w:r>
      <w:r>
        <w:rPr>
          <w:rFonts w:hint="eastAsia" w:ascii="宋体" w:hAnsi="宋体" w:eastAsia="宋体" w:cs="宋体"/>
          <w:sz w:val="16"/>
          <w:szCs w:val="16"/>
          <w:bdr w:val="none" w:color="auto" w:sz="0" w:space="0"/>
          <w:shd w:val="clear" w:fill="FFFFFF"/>
        </w:rPr>
        <w:t>。</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二、联合体各方约定：</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1、由</w:t>
      </w:r>
      <w:r>
        <w:rPr>
          <w:rFonts w:hint="eastAsia" w:ascii="宋体" w:hAnsi="宋体" w:eastAsia="宋体" w:cs="宋体"/>
          <w:sz w:val="16"/>
          <w:szCs w:val="16"/>
          <w:u w:val="single"/>
          <w:bdr w:val="none" w:color="auto" w:sz="0" w:space="0"/>
          <w:shd w:val="clear" w:fill="FFFFFF"/>
        </w:rPr>
        <w:t>（填写“牵头方的全称”）</w:t>
      </w:r>
      <w:r>
        <w:rPr>
          <w:rFonts w:hint="eastAsia" w:ascii="宋体" w:hAnsi="宋体" w:eastAsia="宋体" w:cs="宋体"/>
          <w:sz w:val="16"/>
          <w:szCs w:val="16"/>
          <w:bdr w:val="none" w:color="auto" w:sz="0" w:space="0"/>
          <w:shd w:val="clear" w:fill="FFFFFF"/>
        </w:rPr>
        <w:t>代表联合体办理参加本项目投标的有关事宜（包括但不限于：报名、派出投标人代表、提交投标文件及参加开标、谈判、澄清等），在此过程中，投标人代表签字的一切文件和处理结果，联合体均予以认可并对此承担责任。</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2、联合体各方约定由</w:t>
      </w:r>
      <w:r>
        <w:rPr>
          <w:rFonts w:hint="eastAsia" w:ascii="宋体" w:hAnsi="宋体" w:eastAsia="宋体" w:cs="宋体"/>
          <w:sz w:val="16"/>
          <w:szCs w:val="16"/>
          <w:u w:val="single"/>
          <w:bdr w:val="none" w:color="auto" w:sz="0" w:space="0"/>
          <w:shd w:val="clear" w:fill="FFFFFF"/>
        </w:rPr>
        <w:t>（填写“牵头方的全称”）</w:t>
      </w:r>
      <w:r>
        <w:rPr>
          <w:rFonts w:hint="eastAsia" w:ascii="宋体" w:hAnsi="宋体" w:eastAsia="宋体" w:cs="宋体"/>
          <w:sz w:val="16"/>
          <w:szCs w:val="16"/>
          <w:bdr w:val="none" w:color="auto" w:sz="0" w:space="0"/>
          <w:shd w:val="clear" w:fill="FFFFFF"/>
        </w:rPr>
        <w:t>代表联合体办理投标保证金事宜。</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3、联合体各方约定以</w:t>
      </w:r>
      <w:r>
        <w:rPr>
          <w:rFonts w:hint="eastAsia" w:ascii="宋体" w:hAnsi="宋体" w:eastAsia="宋体" w:cs="宋体"/>
          <w:sz w:val="16"/>
          <w:szCs w:val="16"/>
          <w:u w:val="single"/>
          <w:bdr w:val="none" w:color="auto" w:sz="0" w:space="0"/>
          <w:shd w:val="clear" w:fill="FFFFFF"/>
        </w:rPr>
        <w:t>（本项目采用综合评分法的，应填写“具体成员方的全称”；否则填写“无”）</w:t>
      </w:r>
      <w:r>
        <w:rPr>
          <w:rFonts w:hint="eastAsia" w:ascii="宋体" w:hAnsi="宋体" w:eastAsia="宋体" w:cs="宋体"/>
          <w:sz w:val="16"/>
          <w:szCs w:val="16"/>
          <w:bdr w:val="none" w:color="auto" w:sz="0" w:space="0"/>
          <w:shd w:val="clear" w:fill="FFFFFF"/>
        </w:rPr>
        <w:t>的条件参与商务部分的评标。</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三、若中标，牵头方将代表联合体与采购人就合同签订事宜进行协商；若协商一致，则联合体各方将共同与采购人签订政府采购合同，并就政府采购合同约定的事项对采购人承担连带责任。</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四、本协议自签署之日起生效，政府采购合同履行完毕后自动失效。</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五、本协议一式</w:t>
      </w:r>
      <w:r>
        <w:rPr>
          <w:rFonts w:hint="eastAsia" w:ascii="宋体" w:hAnsi="宋体" w:eastAsia="宋体" w:cs="宋体"/>
          <w:sz w:val="16"/>
          <w:szCs w:val="16"/>
          <w:u w:val="single"/>
          <w:bdr w:val="none" w:color="auto" w:sz="0" w:space="0"/>
          <w:shd w:val="clear" w:fill="FFFFFF"/>
        </w:rPr>
        <w:t>（填写具体份数）</w:t>
      </w:r>
      <w:r>
        <w:rPr>
          <w:rFonts w:hint="eastAsia" w:ascii="宋体" w:hAnsi="宋体" w:eastAsia="宋体" w:cs="宋体"/>
          <w:sz w:val="16"/>
          <w:szCs w:val="16"/>
          <w:bdr w:val="none" w:color="auto" w:sz="0" w:space="0"/>
          <w:shd w:val="clear" w:fill="FFFFFF"/>
        </w:rPr>
        <w:t>份，联合体各方各执一份，投标文件中提交一份。</w:t>
      </w:r>
    </w:p>
    <w:p>
      <w:pPr>
        <w:pStyle w:val="3"/>
        <w:keepNext w:val="0"/>
        <w:keepLines w:val="0"/>
        <w:widowControl/>
        <w:suppressLineNumbers w:val="0"/>
        <w:spacing w:before="0" w:beforeAutospacing="0" w:after="0" w:afterAutospacing="0"/>
        <w:ind w:left="0" w:right="0"/>
        <w:jc w:val="center"/>
      </w:pPr>
      <w:r>
        <w:rPr>
          <w:rFonts w:hint="eastAsia" w:ascii="宋体" w:hAnsi="宋体" w:eastAsia="宋体" w:cs="宋体"/>
          <w:sz w:val="16"/>
          <w:szCs w:val="16"/>
          <w:bdr w:val="none" w:color="auto" w:sz="0" w:space="0"/>
          <w:shd w:val="clear" w:fill="FFFFFF"/>
        </w:rPr>
        <w:t>（以下无正文）</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牵头方：</w:t>
      </w:r>
      <w:r>
        <w:rPr>
          <w:rFonts w:hint="eastAsia" w:ascii="宋体" w:hAnsi="宋体" w:eastAsia="宋体" w:cs="宋体"/>
          <w:sz w:val="16"/>
          <w:szCs w:val="16"/>
          <w:u w:val="single"/>
          <w:bdr w:val="none" w:color="auto" w:sz="0" w:space="0"/>
          <w:shd w:val="clear" w:fill="FFFFFF"/>
        </w:rPr>
        <w:t>（全称并加盖单位公章）</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法定代表人或其委托代理人：</w:t>
      </w:r>
      <w:r>
        <w:rPr>
          <w:rFonts w:hint="eastAsia" w:ascii="宋体" w:hAnsi="宋体" w:eastAsia="宋体" w:cs="宋体"/>
          <w:sz w:val="16"/>
          <w:szCs w:val="16"/>
          <w:u w:val="single"/>
          <w:bdr w:val="none" w:color="auto" w:sz="0" w:space="0"/>
          <w:shd w:val="clear" w:fill="FFFFFF"/>
        </w:rPr>
        <w:t xml:space="preserve"> （签字或盖章） </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成员一：</w:t>
      </w:r>
      <w:r>
        <w:rPr>
          <w:rFonts w:hint="eastAsia" w:ascii="宋体" w:hAnsi="宋体" w:eastAsia="宋体" w:cs="宋体"/>
          <w:sz w:val="16"/>
          <w:szCs w:val="16"/>
          <w:u w:val="single"/>
          <w:bdr w:val="none" w:color="auto" w:sz="0" w:space="0"/>
          <w:shd w:val="clear" w:fill="FFFFFF"/>
        </w:rPr>
        <w:t>（全称并加盖成员一的单位公章）</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法定代表人或其委托代理人：</w:t>
      </w:r>
      <w:r>
        <w:rPr>
          <w:rFonts w:hint="eastAsia" w:ascii="宋体" w:hAnsi="宋体" w:eastAsia="宋体" w:cs="宋体"/>
          <w:sz w:val="16"/>
          <w:szCs w:val="16"/>
          <w:u w:val="single"/>
          <w:bdr w:val="none" w:color="auto" w:sz="0" w:space="0"/>
          <w:shd w:val="clear" w:fill="FFFFFF"/>
        </w:rPr>
        <w:t xml:space="preserve"> （签字或盖章） </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成员**：</w:t>
      </w:r>
      <w:r>
        <w:rPr>
          <w:rFonts w:hint="eastAsia" w:ascii="宋体" w:hAnsi="宋体" w:eastAsia="宋体" w:cs="宋体"/>
          <w:sz w:val="16"/>
          <w:szCs w:val="16"/>
          <w:u w:val="single"/>
          <w:bdr w:val="none" w:color="auto" w:sz="0" w:space="0"/>
          <w:shd w:val="clear" w:fill="FFFFFF"/>
        </w:rPr>
        <w:t>（全称并加盖成员**的单位公章）</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法定代表人或其委托代理人：</w:t>
      </w:r>
      <w:r>
        <w:rPr>
          <w:rFonts w:hint="eastAsia" w:ascii="宋体" w:hAnsi="宋体" w:eastAsia="宋体" w:cs="宋体"/>
          <w:sz w:val="16"/>
          <w:szCs w:val="16"/>
          <w:u w:val="single"/>
          <w:bdr w:val="none" w:color="auto" w:sz="0" w:space="0"/>
          <w:shd w:val="clear" w:fill="FFFFFF"/>
        </w:rPr>
        <w:t xml:space="preserve"> （签字或盖章） </w:t>
      </w:r>
    </w:p>
    <w:p>
      <w:pPr>
        <w:pStyle w:val="3"/>
        <w:keepNext w:val="0"/>
        <w:keepLines w:val="0"/>
        <w:widowControl/>
        <w:suppressLineNumbers w:val="0"/>
        <w:spacing w:before="0" w:beforeAutospacing="0" w:after="0" w:afterAutospacing="0"/>
        <w:ind w:left="0" w:right="0"/>
        <w:jc w:val="right"/>
      </w:pPr>
      <w:r>
        <w:rPr>
          <w:rFonts w:hint="eastAsia" w:ascii="宋体" w:hAnsi="宋体" w:eastAsia="宋体" w:cs="宋体"/>
          <w:sz w:val="16"/>
          <w:szCs w:val="16"/>
          <w:bdr w:val="none" w:color="auto" w:sz="0" w:space="0"/>
          <w:shd w:val="clear" w:fill="FFFFFF"/>
        </w:rPr>
        <w:t>签署日期：</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年</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月</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日</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★注意：</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1、招标文件接受联合体投标且投标人为联合体的，投标人应提供本协议；否则无须提供。</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2、本协议由委托代理人签字或盖章的，应按照本章载明的格式提供“单位负责人授权书”。</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3、纸质投标文件正本中的本协议（若有）应为原件。</w:t>
      </w:r>
    </w:p>
    <w:p>
      <w:pPr>
        <w:pStyle w:val="3"/>
        <w:keepNext w:val="0"/>
        <w:keepLines w:val="0"/>
        <w:widowControl/>
        <w:suppressLineNumbers w:val="0"/>
        <w:spacing w:before="0" w:beforeAutospacing="0" w:after="0" w:afterAutospacing="0"/>
        <w:ind w:left="0" w:right="0"/>
        <w:jc w:val="center"/>
      </w:pPr>
      <w:r>
        <w:rPr>
          <w:rFonts w:hint="default" w:ascii="Calibri" w:hAnsi="Calibri" w:cs="Calibri"/>
          <w:sz w:val="16"/>
          <w:szCs w:val="16"/>
          <w:bdr w:val="none" w:color="auto" w:sz="0" w:space="0"/>
          <w:shd w:val="clear" w:fill="FFFFFF"/>
        </w:rPr>
        <w:br w:type="textWrapping"/>
      </w:r>
      <w:r>
        <w:rPr>
          <w:rStyle w:val="5"/>
          <w:rFonts w:hint="eastAsia" w:ascii="宋体" w:hAnsi="宋体" w:eastAsia="宋体" w:cs="宋体"/>
          <w:sz w:val="16"/>
          <w:szCs w:val="16"/>
          <w:bdr w:val="none" w:color="auto" w:sz="0" w:space="0"/>
          <w:shd w:val="clear" w:fill="FFFFFF"/>
        </w:rPr>
        <w:t>二-11中小企业声明函</w:t>
      </w:r>
    </w:p>
    <w:p>
      <w:pPr>
        <w:pStyle w:val="3"/>
        <w:keepNext w:val="0"/>
        <w:keepLines w:val="0"/>
        <w:widowControl/>
        <w:suppressLineNumbers w:val="0"/>
        <w:spacing w:before="0" w:beforeAutospacing="0" w:after="0" w:afterAutospacing="0"/>
        <w:ind w:left="0" w:right="0"/>
        <w:jc w:val="center"/>
      </w:pPr>
      <w:r>
        <w:rPr>
          <w:rStyle w:val="5"/>
          <w:rFonts w:hint="eastAsia" w:ascii="宋体" w:hAnsi="宋体" w:eastAsia="宋体" w:cs="宋体"/>
          <w:sz w:val="16"/>
          <w:szCs w:val="16"/>
          <w:bdr w:val="none" w:color="auto" w:sz="0" w:space="0"/>
          <w:shd w:val="clear" w:fill="FFFFFF"/>
        </w:rPr>
        <w:t>（专门面向中小企业或小型、微型企业适用，若有）</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本投标人郑重声明，根据《政府采购促进中小企业发展暂行办法》（财库[2011]181号）的规定，本投标人为</w:t>
      </w:r>
      <w:r>
        <w:rPr>
          <w:rFonts w:hint="eastAsia" w:ascii="宋体" w:hAnsi="宋体" w:eastAsia="宋体" w:cs="宋体"/>
          <w:sz w:val="16"/>
          <w:szCs w:val="16"/>
          <w:u w:val="single"/>
          <w:bdr w:val="none" w:color="auto" w:sz="0" w:space="0"/>
          <w:shd w:val="clear" w:fill="FFFFFF"/>
        </w:rPr>
        <w:t>（填写“中型</w:t>
      </w:r>
      <w:r>
        <w:rPr>
          <w:rFonts w:hint="default" w:ascii="Calibri" w:hAnsi="Calibri" w:eastAsia="宋体" w:cs="Calibri"/>
          <w:sz w:val="16"/>
          <w:szCs w:val="16"/>
          <w:u w:val="single"/>
          <w:bdr w:val="none" w:color="auto" w:sz="0" w:space="0"/>
          <w:shd w:val="clear" w:fill="FFFFFF"/>
        </w:rPr>
        <w:t>/</w:t>
      </w:r>
      <w:r>
        <w:rPr>
          <w:rFonts w:hint="eastAsia" w:ascii="宋体" w:hAnsi="宋体" w:eastAsia="宋体" w:cs="宋体"/>
          <w:sz w:val="16"/>
          <w:szCs w:val="16"/>
          <w:u w:val="single"/>
          <w:bdr w:val="none" w:color="auto" w:sz="0" w:space="0"/>
          <w:shd w:val="clear" w:fill="FFFFFF"/>
        </w:rPr>
        <w:t>小型</w:t>
      </w:r>
      <w:r>
        <w:rPr>
          <w:rFonts w:hint="default" w:ascii="Calibri" w:hAnsi="Calibri" w:eastAsia="宋体" w:cs="Calibri"/>
          <w:sz w:val="16"/>
          <w:szCs w:val="16"/>
          <w:u w:val="single"/>
          <w:bdr w:val="none" w:color="auto" w:sz="0" w:space="0"/>
          <w:shd w:val="clear" w:fill="FFFFFF"/>
        </w:rPr>
        <w:t>/</w:t>
      </w:r>
      <w:r>
        <w:rPr>
          <w:rFonts w:hint="eastAsia" w:ascii="宋体" w:hAnsi="宋体" w:eastAsia="宋体" w:cs="宋体"/>
          <w:sz w:val="16"/>
          <w:szCs w:val="16"/>
          <w:u w:val="single"/>
          <w:bdr w:val="none" w:color="auto" w:sz="0" w:space="0"/>
          <w:shd w:val="clear" w:fill="FFFFFF"/>
        </w:rPr>
        <w:t>微型”）</w:t>
      </w:r>
      <w:r>
        <w:rPr>
          <w:rFonts w:hint="eastAsia" w:ascii="宋体" w:hAnsi="宋体" w:eastAsia="宋体" w:cs="宋体"/>
          <w:sz w:val="16"/>
          <w:szCs w:val="16"/>
          <w:bdr w:val="none" w:color="auto" w:sz="0" w:space="0"/>
          <w:shd w:val="clear" w:fill="FFFFFF"/>
        </w:rPr>
        <w:t>企业。即本投标人同时满足以下条件：</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1、根据《工业和信息化部、国家统计局、国家发展和改革委员会、财政部关于印发中小企业划型标准规定的通知》（工信部联企业</w:t>
      </w:r>
      <w:r>
        <w:rPr>
          <w:rFonts w:hint="default" w:ascii="Calibri" w:hAnsi="Calibri" w:eastAsia="宋体" w:cs="Calibri"/>
          <w:sz w:val="16"/>
          <w:szCs w:val="16"/>
          <w:bdr w:val="none" w:color="auto" w:sz="0" w:space="0"/>
          <w:shd w:val="clear" w:fill="FFFFFF"/>
        </w:rPr>
        <w:t>[2011]300</w:t>
      </w:r>
      <w:r>
        <w:rPr>
          <w:rFonts w:hint="eastAsia" w:ascii="宋体" w:hAnsi="宋体" w:eastAsia="宋体" w:cs="宋体"/>
          <w:sz w:val="16"/>
          <w:szCs w:val="16"/>
          <w:bdr w:val="none" w:color="auto" w:sz="0" w:space="0"/>
          <w:shd w:val="clear" w:fill="FFFFFF"/>
        </w:rPr>
        <w:t>号）规定的划分标准，本投标人为</w:t>
      </w:r>
      <w:r>
        <w:rPr>
          <w:rFonts w:hint="eastAsia" w:ascii="宋体" w:hAnsi="宋体" w:eastAsia="宋体" w:cs="宋体"/>
          <w:sz w:val="16"/>
          <w:szCs w:val="16"/>
          <w:u w:val="single"/>
          <w:bdr w:val="none" w:color="auto" w:sz="0" w:space="0"/>
          <w:shd w:val="clear" w:fill="FFFFFF"/>
        </w:rPr>
        <w:t xml:space="preserve"> （填写“中型</w:t>
      </w:r>
      <w:r>
        <w:rPr>
          <w:rFonts w:hint="default" w:ascii="Calibri" w:hAnsi="Calibri" w:eastAsia="宋体" w:cs="Calibri"/>
          <w:sz w:val="16"/>
          <w:szCs w:val="16"/>
          <w:u w:val="single"/>
          <w:bdr w:val="none" w:color="auto" w:sz="0" w:space="0"/>
          <w:shd w:val="clear" w:fill="FFFFFF"/>
        </w:rPr>
        <w:t>/</w:t>
      </w:r>
      <w:r>
        <w:rPr>
          <w:rFonts w:hint="eastAsia" w:ascii="宋体" w:hAnsi="宋体" w:eastAsia="宋体" w:cs="宋体"/>
          <w:sz w:val="16"/>
          <w:szCs w:val="16"/>
          <w:u w:val="single"/>
          <w:bdr w:val="none" w:color="auto" w:sz="0" w:space="0"/>
          <w:shd w:val="clear" w:fill="FFFFFF"/>
        </w:rPr>
        <w:t>小型</w:t>
      </w:r>
      <w:r>
        <w:rPr>
          <w:rFonts w:hint="default" w:ascii="Calibri" w:hAnsi="Calibri" w:eastAsia="宋体" w:cs="Calibri"/>
          <w:sz w:val="16"/>
          <w:szCs w:val="16"/>
          <w:u w:val="single"/>
          <w:bdr w:val="none" w:color="auto" w:sz="0" w:space="0"/>
          <w:shd w:val="clear" w:fill="FFFFFF"/>
        </w:rPr>
        <w:t>/</w:t>
      </w:r>
      <w:r>
        <w:rPr>
          <w:rFonts w:hint="eastAsia" w:ascii="宋体" w:hAnsi="宋体" w:eastAsia="宋体" w:cs="宋体"/>
          <w:sz w:val="16"/>
          <w:szCs w:val="16"/>
          <w:u w:val="single"/>
          <w:bdr w:val="none" w:color="auto" w:sz="0" w:space="0"/>
          <w:shd w:val="clear" w:fill="FFFFFF"/>
        </w:rPr>
        <w:t>微型”）</w:t>
      </w:r>
      <w:r>
        <w:rPr>
          <w:rFonts w:hint="eastAsia" w:ascii="宋体" w:hAnsi="宋体" w:eastAsia="宋体" w:cs="宋体"/>
          <w:sz w:val="16"/>
          <w:szCs w:val="16"/>
          <w:bdr w:val="none" w:color="auto" w:sz="0" w:space="0"/>
          <w:shd w:val="clear" w:fill="FFFFFF"/>
        </w:rPr>
        <w:t>企业。</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2、本投标人参加贵单位组织的</w:t>
      </w:r>
      <w:r>
        <w:rPr>
          <w:rFonts w:hint="eastAsia" w:ascii="宋体" w:hAnsi="宋体" w:eastAsia="宋体" w:cs="宋体"/>
          <w:sz w:val="16"/>
          <w:szCs w:val="16"/>
          <w:u w:val="single"/>
          <w:bdr w:val="none" w:color="auto" w:sz="0" w:space="0"/>
          <w:shd w:val="clear" w:fill="FFFFFF"/>
        </w:rPr>
        <w:t xml:space="preserve"> （填写“项目名称”） </w:t>
      </w:r>
      <w:r>
        <w:rPr>
          <w:rFonts w:hint="eastAsia" w:ascii="宋体" w:hAnsi="宋体" w:eastAsia="宋体" w:cs="宋体"/>
          <w:sz w:val="16"/>
          <w:szCs w:val="16"/>
          <w:bdr w:val="none" w:color="auto" w:sz="0" w:space="0"/>
          <w:shd w:val="clear" w:fill="FFFFFF"/>
        </w:rPr>
        <w:t>项目采购活动，其中：</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①货物（不包括使用大型企业注册商标的货物）：</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 ）提供本投标人制造的</w:t>
      </w:r>
      <w:r>
        <w:rPr>
          <w:rFonts w:hint="eastAsia" w:ascii="宋体" w:hAnsi="宋体" w:eastAsia="宋体" w:cs="宋体"/>
          <w:sz w:val="16"/>
          <w:szCs w:val="16"/>
          <w:u w:val="single"/>
          <w:bdr w:val="none" w:color="auto" w:sz="0" w:space="0"/>
          <w:shd w:val="clear" w:fill="FFFFFF"/>
        </w:rPr>
        <w:t>（填写“所投合同包、品目号”）</w:t>
      </w:r>
      <w:r>
        <w:rPr>
          <w:rFonts w:hint="eastAsia" w:ascii="宋体" w:hAnsi="宋体" w:eastAsia="宋体" w:cs="宋体"/>
          <w:sz w:val="16"/>
          <w:szCs w:val="16"/>
          <w:bdr w:val="none" w:color="auto" w:sz="0" w:space="0"/>
          <w:shd w:val="clear" w:fill="FFFFFF"/>
        </w:rPr>
        <w:t>货物；或</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 ）提供其他</w:t>
      </w:r>
      <w:r>
        <w:rPr>
          <w:rFonts w:hint="eastAsia" w:ascii="宋体" w:hAnsi="宋体" w:eastAsia="宋体" w:cs="宋体"/>
          <w:sz w:val="16"/>
          <w:szCs w:val="16"/>
          <w:u w:val="single"/>
          <w:bdr w:val="none" w:color="auto" w:sz="0" w:space="0"/>
          <w:shd w:val="clear" w:fill="FFFFFF"/>
        </w:rPr>
        <w:t>（填写“中型</w:t>
      </w:r>
      <w:r>
        <w:rPr>
          <w:rFonts w:hint="default" w:ascii="Calibri" w:hAnsi="Calibri" w:eastAsia="宋体" w:cs="Calibri"/>
          <w:sz w:val="16"/>
          <w:szCs w:val="16"/>
          <w:u w:val="single"/>
          <w:bdr w:val="none" w:color="auto" w:sz="0" w:space="0"/>
          <w:shd w:val="clear" w:fill="FFFFFF"/>
        </w:rPr>
        <w:t>/</w:t>
      </w:r>
      <w:r>
        <w:rPr>
          <w:rFonts w:hint="eastAsia" w:ascii="宋体" w:hAnsi="宋体" w:eastAsia="宋体" w:cs="宋体"/>
          <w:sz w:val="16"/>
          <w:szCs w:val="16"/>
          <w:u w:val="single"/>
          <w:bdr w:val="none" w:color="auto" w:sz="0" w:space="0"/>
          <w:shd w:val="clear" w:fill="FFFFFF"/>
        </w:rPr>
        <w:t>小型</w:t>
      </w:r>
      <w:r>
        <w:rPr>
          <w:rFonts w:hint="default" w:ascii="Calibri" w:hAnsi="Calibri" w:eastAsia="宋体" w:cs="Calibri"/>
          <w:sz w:val="16"/>
          <w:szCs w:val="16"/>
          <w:u w:val="single"/>
          <w:bdr w:val="none" w:color="auto" w:sz="0" w:space="0"/>
          <w:shd w:val="clear" w:fill="FFFFFF"/>
        </w:rPr>
        <w:t>/</w:t>
      </w:r>
      <w:r>
        <w:rPr>
          <w:rFonts w:hint="eastAsia" w:ascii="宋体" w:hAnsi="宋体" w:eastAsia="宋体" w:cs="宋体"/>
          <w:sz w:val="16"/>
          <w:szCs w:val="16"/>
          <w:u w:val="single"/>
          <w:bdr w:val="none" w:color="auto" w:sz="0" w:space="0"/>
          <w:shd w:val="clear" w:fill="FFFFFF"/>
        </w:rPr>
        <w:t>微型”）</w:t>
      </w:r>
      <w:r>
        <w:rPr>
          <w:rFonts w:hint="eastAsia" w:ascii="宋体" w:hAnsi="宋体" w:eastAsia="宋体" w:cs="宋体"/>
          <w:sz w:val="16"/>
          <w:szCs w:val="16"/>
          <w:bdr w:val="none" w:color="auto" w:sz="0" w:space="0"/>
          <w:shd w:val="clear" w:fill="FFFFFF"/>
        </w:rPr>
        <w:t>企业制造的</w:t>
      </w:r>
      <w:r>
        <w:rPr>
          <w:rFonts w:hint="eastAsia" w:ascii="宋体" w:hAnsi="宋体" w:eastAsia="宋体" w:cs="宋体"/>
          <w:sz w:val="16"/>
          <w:szCs w:val="16"/>
          <w:u w:val="single"/>
          <w:bdr w:val="none" w:color="auto" w:sz="0" w:space="0"/>
          <w:shd w:val="clear" w:fill="FFFFFF"/>
        </w:rPr>
        <w:t>（填写“所投合同包、品目号”）</w:t>
      </w:r>
      <w:r>
        <w:rPr>
          <w:rFonts w:hint="eastAsia" w:ascii="宋体" w:hAnsi="宋体" w:eastAsia="宋体" w:cs="宋体"/>
          <w:sz w:val="16"/>
          <w:szCs w:val="16"/>
          <w:bdr w:val="none" w:color="auto" w:sz="0" w:space="0"/>
          <w:shd w:val="clear" w:fill="FFFFFF"/>
        </w:rPr>
        <w:t>货物。</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②工程：</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 ）由本投标人承担的</w:t>
      </w:r>
      <w:r>
        <w:rPr>
          <w:rFonts w:hint="eastAsia" w:ascii="宋体" w:hAnsi="宋体" w:eastAsia="宋体" w:cs="宋体"/>
          <w:sz w:val="16"/>
          <w:szCs w:val="16"/>
          <w:u w:val="single"/>
          <w:bdr w:val="none" w:color="auto" w:sz="0" w:space="0"/>
          <w:shd w:val="clear" w:fill="FFFFFF"/>
        </w:rPr>
        <w:t>（填写“所投合同包、品目号”）</w:t>
      </w:r>
      <w:r>
        <w:rPr>
          <w:rFonts w:hint="eastAsia" w:ascii="宋体" w:hAnsi="宋体" w:eastAsia="宋体" w:cs="宋体"/>
          <w:sz w:val="16"/>
          <w:szCs w:val="16"/>
          <w:bdr w:val="none" w:color="auto" w:sz="0" w:space="0"/>
          <w:shd w:val="clear" w:fill="FFFFFF"/>
        </w:rPr>
        <w:t>工程。</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③服务：</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 ）由本投标人提供的</w:t>
      </w:r>
      <w:r>
        <w:rPr>
          <w:rFonts w:hint="eastAsia" w:ascii="宋体" w:hAnsi="宋体" w:eastAsia="宋体" w:cs="宋体"/>
          <w:sz w:val="16"/>
          <w:szCs w:val="16"/>
          <w:u w:val="single"/>
          <w:bdr w:val="none" w:color="auto" w:sz="0" w:space="0"/>
          <w:shd w:val="clear" w:fill="FFFFFF"/>
        </w:rPr>
        <w:t>（填写“所投合同包、品目号”）</w:t>
      </w:r>
      <w:r>
        <w:rPr>
          <w:rFonts w:hint="eastAsia" w:ascii="宋体" w:hAnsi="宋体" w:eastAsia="宋体" w:cs="宋体"/>
          <w:sz w:val="16"/>
          <w:szCs w:val="16"/>
          <w:bdr w:val="none" w:color="auto" w:sz="0" w:space="0"/>
          <w:shd w:val="clear" w:fill="FFFFFF"/>
        </w:rPr>
        <w:t>服务。</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本投标人对上述声明的真实性负责。如有虚假，将依法承担相应责任。</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★注意：</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1、请投标人按照实际情况编制填写本声明函，并在相应的（）中打“√”。</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2、投标人应认真对照《工业和信息化部、国家统计局、国家发展和改革委员会、财政部关于印发中小企业划型标准规定的通知》（工信部联企业</w:t>
      </w:r>
      <w:r>
        <w:rPr>
          <w:rFonts w:hint="default" w:ascii="Calibri" w:hAnsi="Calibri" w:eastAsia="宋体" w:cs="Calibri"/>
          <w:sz w:val="16"/>
          <w:szCs w:val="16"/>
          <w:bdr w:val="none" w:color="auto" w:sz="0" w:space="0"/>
          <w:shd w:val="clear" w:fill="FFFFFF"/>
        </w:rPr>
        <w:t>[2011]300</w:t>
      </w:r>
      <w:r>
        <w:rPr>
          <w:rFonts w:hint="eastAsia" w:ascii="宋体" w:hAnsi="宋体" w:eastAsia="宋体" w:cs="宋体"/>
          <w:sz w:val="16"/>
          <w:szCs w:val="16"/>
          <w:bdr w:val="none" w:color="auto" w:sz="0" w:space="0"/>
          <w:shd w:val="clear" w:fill="FFFFFF"/>
        </w:rPr>
        <w:t>号）规定的划分标准，并按照国家统计局现行的关于统计上大中小微型企业划分办法的有关规定准确划分企业类型。</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3、投标人为监狱企业的，可不填写本声明函，根据其提供的由省级以上监狱管理局、戒毒管理局（含新疆生产建设兵团）出具的属于监狱企业的证明文件进行认定，监狱企业视同小型、微型企业。</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4、投标人为残疾人福利性单位的，可不填写本声明函，根据其提供的《残疾人福利性单位声明函》（格式附后）进行认定，残疾人福利性单位视同小型、微型企业。</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5、纸质投标文件正本中的本声明函（若有）应为原件。</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6、若《中小企业声明函》（包括本格式第</w:t>
      </w:r>
      <w:r>
        <w:rPr>
          <w:rFonts w:hint="default" w:ascii="Calibri" w:hAnsi="Calibri" w:eastAsia="宋体" w:cs="Calibri"/>
          <w:sz w:val="16"/>
          <w:szCs w:val="16"/>
          <w:bdr w:val="none" w:color="auto" w:sz="0" w:space="0"/>
          <w:shd w:val="clear" w:fill="FFFFFF"/>
        </w:rPr>
        <w:t>3</w:t>
      </w:r>
      <w:r>
        <w:rPr>
          <w:rFonts w:hint="eastAsia" w:ascii="宋体" w:hAnsi="宋体" w:eastAsia="宋体" w:cs="宋体"/>
          <w:sz w:val="16"/>
          <w:szCs w:val="16"/>
          <w:bdr w:val="none" w:color="auto" w:sz="0" w:space="0"/>
          <w:shd w:val="clear" w:fill="FFFFFF"/>
        </w:rPr>
        <w:t>、</w:t>
      </w:r>
      <w:r>
        <w:rPr>
          <w:rFonts w:hint="default" w:ascii="Calibri" w:hAnsi="Calibri" w:eastAsia="宋体" w:cs="Calibri"/>
          <w:sz w:val="16"/>
          <w:szCs w:val="16"/>
          <w:bdr w:val="none" w:color="auto" w:sz="0" w:space="0"/>
          <w:shd w:val="clear" w:fill="FFFFFF"/>
        </w:rPr>
        <w:t>4</w:t>
      </w:r>
      <w:r>
        <w:rPr>
          <w:rFonts w:hint="eastAsia" w:ascii="宋体" w:hAnsi="宋体" w:eastAsia="宋体" w:cs="宋体"/>
          <w:sz w:val="16"/>
          <w:szCs w:val="16"/>
          <w:bdr w:val="none" w:color="auto" w:sz="0" w:space="0"/>
          <w:shd w:val="clear" w:fill="FFFFFF"/>
        </w:rPr>
        <w:t>条规定的证明文件及声明函）内容不真实，</w:t>
      </w:r>
      <w:r>
        <w:rPr>
          <w:rStyle w:val="5"/>
          <w:rFonts w:hint="eastAsia" w:ascii="宋体" w:hAnsi="宋体" w:eastAsia="宋体" w:cs="宋体"/>
          <w:sz w:val="16"/>
          <w:szCs w:val="16"/>
          <w:bdr w:val="none" w:color="auto" w:sz="0" w:space="0"/>
          <w:shd w:val="clear" w:fill="FFFFFF"/>
        </w:rPr>
        <w:t>视为提供虚假材料。</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w:t>
      </w:r>
      <w:r>
        <w:rPr>
          <w:rFonts w:hint="eastAsia" w:ascii="宋体" w:hAnsi="宋体" w:eastAsia="宋体" w:cs="宋体"/>
          <w:sz w:val="16"/>
          <w:szCs w:val="16"/>
          <w:u w:val="single"/>
          <w:bdr w:val="none" w:color="auto" w:sz="0" w:space="0"/>
          <w:shd w:val="clear" w:fill="FFFFFF"/>
        </w:rPr>
        <w:t>（全称并加盖单位公章）</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投标人代表签字：</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日期：</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年</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月</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日</w:t>
      </w:r>
    </w:p>
    <w:p>
      <w:pPr>
        <w:pStyle w:val="3"/>
        <w:keepNext w:val="0"/>
        <w:keepLines w:val="0"/>
        <w:widowControl/>
        <w:suppressLineNumbers w:val="0"/>
        <w:spacing w:before="0" w:beforeAutospacing="0" w:after="0" w:afterAutospacing="0"/>
        <w:ind w:left="0" w:right="0"/>
      </w:pPr>
      <w:r>
        <w:rPr>
          <w:rFonts w:hint="default" w:ascii="Calibri" w:hAnsi="Calibri" w:cs="Calibri"/>
          <w:sz w:val="16"/>
          <w:szCs w:val="16"/>
          <w:bdr w:val="none" w:color="auto" w:sz="0" w:space="0"/>
          <w:shd w:val="clear" w:fill="FFFFFF"/>
        </w:rPr>
        <w:br w:type="textWrapping"/>
      </w:r>
      <w:r>
        <w:rPr>
          <w:rFonts w:hint="eastAsia" w:ascii="宋体" w:hAnsi="宋体" w:eastAsia="宋体" w:cs="宋体"/>
          <w:sz w:val="16"/>
          <w:szCs w:val="16"/>
          <w:bdr w:val="none" w:color="auto" w:sz="0" w:space="0"/>
          <w:shd w:val="clear" w:fill="FFFFFF"/>
        </w:rPr>
        <w:t>附：</w:t>
      </w:r>
    </w:p>
    <w:p>
      <w:pPr>
        <w:pStyle w:val="3"/>
        <w:keepNext w:val="0"/>
        <w:keepLines w:val="0"/>
        <w:widowControl/>
        <w:suppressLineNumbers w:val="0"/>
        <w:spacing w:before="0" w:beforeAutospacing="0" w:after="0" w:afterAutospacing="0"/>
        <w:ind w:left="0" w:right="0"/>
        <w:jc w:val="center"/>
      </w:pPr>
      <w:r>
        <w:rPr>
          <w:rStyle w:val="5"/>
          <w:rFonts w:hint="eastAsia" w:ascii="宋体" w:hAnsi="宋体" w:eastAsia="宋体" w:cs="宋体"/>
          <w:sz w:val="16"/>
          <w:szCs w:val="16"/>
          <w:bdr w:val="none" w:color="auto" w:sz="0" w:space="0"/>
          <w:shd w:val="clear" w:fill="FFFFFF"/>
        </w:rPr>
        <w:t>残疾人福利性单位声明函</w:t>
      </w:r>
    </w:p>
    <w:p>
      <w:pPr>
        <w:pStyle w:val="3"/>
        <w:keepNext w:val="0"/>
        <w:keepLines w:val="0"/>
        <w:widowControl/>
        <w:suppressLineNumbers w:val="0"/>
        <w:spacing w:before="0" w:beforeAutospacing="0" w:after="0" w:afterAutospacing="0"/>
        <w:ind w:left="0" w:right="0"/>
        <w:jc w:val="center"/>
      </w:pPr>
      <w:r>
        <w:rPr>
          <w:rStyle w:val="5"/>
          <w:rFonts w:hint="eastAsia" w:ascii="宋体" w:hAnsi="宋体" w:eastAsia="宋体" w:cs="宋体"/>
          <w:sz w:val="16"/>
          <w:szCs w:val="16"/>
          <w:bdr w:val="none" w:color="auto" w:sz="0" w:space="0"/>
          <w:shd w:val="clear" w:fill="FFFFFF"/>
        </w:rPr>
        <w:t>（专门面向中小企业或小型、微型企业适用，若有）</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本投标人郑重声明，根据《财政部 民政部 中国残疾人联合会关于促进残疾人就业政府采购政策的通知》（财库[2017]141号）的规定，本投标人为符合条件的残疾人福利性单位，且本投标人参加贵单位的</w:t>
      </w:r>
      <w:r>
        <w:rPr>
          <w:rFonts w:hint="eastAsia" w:ascii="宋体" w:hAnsi="宋体" w:eastAsia="宋体" w:cs="宋体"/>
          <w:sz w:val="16"/>
          <w:szCs w:val="16"/>
          <w:u w:val="single"/>
          <w:bdr w:val="none" w:color="auto" w:sz="0" w:space="0"/>
          <w:shd w:val="clear" w:fill="FFFFFF"/>
        </w:rPr>
        <w:t>（填写“项目名称”）</w:t>
      </w:r>
      <w:r>
        <w:rPr>
          <w:rFonts w:hint="eastAsia" w:ascii="宋体" w:hAnsi="宋体" w:eastAsia="宋体" w:cs="宋体"/>
          <w:sz w:val="16"/>
          <w:szCs w:val="16"/>
          <w:bdr w:val="none" w:color="auto" w:sz="0" w:space="0"/>
          <w:shd w:val="clear" w:fill="FFFFFF"/>
        </w:rPr>
        <w:t>项目采购活动：</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 ）提供本投标人制造的</w:t>
      </w:r>
      <w:r>
        <w:rPr>
          <w:rFonts w:hint="eastAsia" w:ascii="宋体" w:hAnsi="宋体" w:eastAsia="宋体" w:cs="宋体"/>
          <w:sz w:val="16"/>
          <w:szCs w:val="16"/>
          <w:u w:val="single"/>
          <w:bdr w:val="none" w:color="auto" w:sz="0" w:space="0"/>
          <w:shd w:val="clear" w:fill="FFFFFF"/>
        </w:rPr>
        <w:t>（填写“所投合同包、品目号”）</w:t>
      </w:r>
      <w:r>
        <w:rPr>
          <w:rFonts w:hint="eastAsia" w:ascii="宋体" w:hAnsi="宋体" w:eastAsia="宋体" w:cs="宋体"/>
          <w:sz w:val="16"/>
          <w:szCs w:val="16"/>
          <w:bdr w:val="none" w:color="auto" w:sz="0" w:space="0"/>
          <w:shd w:val="clear" w:fill="FFFFFF"/>
        </w:rPr>
        <w:t>货物，</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 ）由本投标人承担的</w:t>
      </w:r>
      <w:r>
        <w:rPr>
          <w:rFonts w:hint="eastAsia" w:ascii="宋体" w:hAnsi="宋体" w:eastAsia="宋体" w:cs="宋体"/>
          <w:sz w:val="16"/>
          <w:szCs w:val="16"/>
          <w:u w:val="single"/>
          <w:bdr w:val="none" w:color="auto" w:sz="0" w:space="0"/>
          <w:shd w:val="clear" w:fill="FFFFFF"/>
        </w:rPr>
        <w:t>（填写“所投合同包、品目号”）</w:t>
      </w:r>
      <w:r>
        <w:rPr>
          <w:rFonts w:hint="eastAsia" w:ascii="宋体" w:hAnsi="宋体" w:eastAsia="宋体" w:cs="宋体"/>
          <w:sz w:val="16"/>
          <w:szCs w:val="16"/>
          <w:bdr w:val="none" w:color="auto" w:sz="0" w:space="0"/>
          <w:shd w:val="clear" w:fill="FFFFFF"/>
        </w:rPr>
        <w:t>工程，</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 ）由本投标人提供的</w:t>
      </w:r>
      <w:r>
        <w:rPr>
          <w:rFonts w:hint="eastAsia" w:ascii="宋体" w:hAnsi="宋体" w:eastAsia="宋体" w:cs="宋体"/>
          <w:sz w:val="16"/>
          <w:szCs w:val="16"/>
          <w:u w:val="single"/>
          <w:bdr w:val="none" w:color="auto" w:sz="0" w:space="0"/>
          <w:shd w:val="clear" w:fill="FFFFFF"/>
        </w:rPr>
        <w:t>（填写“所投合同包、品目号”）</w:t>
      </w:r>
      <w:r>
        <w:rPr>
          <w:rFonts w:hint="eastAsia" w:ascii="宋体" w:hAnsi="宋体" w:eastAsia="宋体" w:cs="宋体"/>
          <w:sz w:val="16"/>
          <w:szCs w:val="16"/>
          <w:bdr w:val="none" w:color="auto" w:sz="0" w:space="0"/>
          <w:shd w:val="clear" w:fill="FFFFFF"/>
        </w:rPr>
        <w:t>服务；或</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 ）提供其他残疾人福利性单位制造的</w:t>
      </w:r>
      <w:r>
        <w:rPr>
          <w:rFonts w:hint="eastAsia" w:ascii="宋体" w:hAnsi="宋体" w:eastAsia="宋体" w:cs="宋体"/>
          <w:sz w:val="16"/>
          <w:szCs w:val="16"/>
          <w:u w:val="single"/>
          <w:bdr w:val="none" w:color="auto" w:sz="0" w:space="0"/>
          <w:shd w:val="clear" w:fill="FFFFFF"/>
        </w:rPr>
        <w:t>（填写“所投合同包、品目号”）</w:t>
      </w:r>
      <w:r>
        <w:rPr>
          <w:rFonts w:hint="eastAsia" w:ascii="宋体" w:hAnsi="宋体" w:eastAsia="宋体" w:cs="宋体"/>
          <w:sz w:val="16"/>
          <w:szCs w:val="16"/>
          <w:bdr w:val="none" w:color="auto" w:sz="0" w:space="0"/>
          <w:shd w:val="clear" w:fill="FFFFFF"/>
        </w:rPr>
        <w:t>货物（不包括使用非残疾人福利性单位注册商标的货物）。</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本投标人对上述声明的真实性负责。如有虚假，将依法承担相应责任。</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★注意：</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1、请投标人按照实际情况编制填写本声明函，并在相应的（）中打“√”。</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2、纸质投标文件正本中的本声明函（若有）应为原件。</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3、若《残疾人福利性单位声明函》内容不真实，</w:t>
      </w:r>
      <w:r>
        <w:rPr>
          <w:rStyle w:val="5"/>
          <w:rFonts w:hint="eastAsia" w:ascii="宋体" w:hAnsi="宋体" w:eastAsia="宋体" w:cs="宋体"/>
          <w:sz w:val="16"/>
          <w:szCs w:val="16"/>
          <w:bdr w:val="none" w:color="auto" w:sz="0" w:space="0"/>
          <w:shd w:val="clear" w:fill="FFFFFF"/>
        </w:rPr>
        <w:t>视为提供虚假材料。</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w:t>
      </w:r>
      <w:r>
        <w:rPr>
          <w:rFonts w:hint="eastAsia" w:ascii="宋体" w:hAnsi="宋体" w:eastAsia="宋体" w:cs="宋体"/>
          <w:sz w:val="16"/>
          <w:szCs w:val="16"/>
          <w:u w:val="single"/>
          <w:bdr w:val="none" w:color="auto" w:sz="0" w:space="0"/>
          <w:shd w:val="clear" w:fill="FFFFFF"/>
        </w:rPr>
        <w:t>（全称并加盖单位公章）</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投标人代表签字：</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日期：</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年</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月</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日</w:t>
      </w:r>
    </w:p>
    <w:p>
      <w:pPr>
        <w:pStyle w:val="3"/>
        <w:keepNext w:val="0"/>
        <w:keepLines w:val="0"/>
        <w:widowControl/>
        <w:suppressLineNumbers w:val="0"/>
        <w:spacing w:before="0" w:beforeAutospacing="0" w:after="0" w:afterAutospacing="0"/>
        <w:ind w:left="0" w:right="0"/>
        <w:jc w:val="center"/>
      </w:pPr>
      <w:r>
        <w:rPr>
          <w:rFonts w:hint="eastAsia" w:ascii="宋体" w:hAnsi="宋体" w:eastAsia="宋体" w:cs="宋体"/>
          <w:sz w:val="16"/>
          <w:szCs w:val="16"/>
          <w:bdr w:val="none" w:color="auto" w:sz="0" w:space="0"/>
          <w:shd w:val="clear" w:fill="FFFFFF"/>
        </w:rPr>
        <w:br w:type="textWrapping"/>
      </w:r>
      <w:r>
        <w:rPr>
          <w:rStyle w:val="5"/>
          <w:rFonts w:hint="eastAsia" w:ascii="宋体" w:hAnsi="宋体" w:eastAsia="宋体" w:cs="宋体"/>
          <w:sz w:val="16"/>
          <w:szCs w:val="16"/>
          <w:bdr w:val="none" w:color="auto" w:sz="0" w:space="0"/>
          <w:shd w:val="clear" w:fill="FFFFFF"/>
        </w:rPr>
        <w:t>二-12其他资格证明文件（若有）</w:t>
      </w:r>
    </w:p>
    <w:p>
      <w:pPr>
        <w:pStyle w:val="3"/>
        <w:keepNext w:val="0"/>
        <w:keepLines w:val="0"/>
        <w:widowControl/>
        <w:suppressLineNumbers w:val="0"/>
        <w:spacing w:before="0" w:beforeAutospacing="0" w:after="0" w:afterAutospacing="0"/>
        <w:ind w:left="0" w:right="0"/>
        <w:jc w:val="center"/>
      </w:pPr>
      <w:r>
        <w:rPr>
          <w:rFonts w:hint="eastAsia" w:ascii="宋体" w:hAnsi="宋体" w:eastAsia="宋体" w:cs="宋体"/>
          <w:sz w:val="16"/>
          <w:szCs w:val="16"/>
          <w:bdr w:val="none" w:color="auto" w:sz="0" w:space="0"/>
          <w:shd w:val="clear" w:fill="FFFFFF"/>
        </w:rPr>
        <w:t>二</w:t>
      </w:r>
      <w:r>
        <w:rPr>
          <w:rStyle w:val="5"/>
          <w:rFonts w:hint="eastAsia" w:ascii="宋体" w:hAnsi="宋体" w:eastAsia="宋体" w:cs="宋体"/>
          <w:sz w:val="16"/>
          <w:szCs w:val="16"/>
          <w:bdr w:val="none" w:color="auto" w:sz="0" w:space="0"/>
          <w:shd w:val="clear" w:fill="FFFFFF"/>
        </w:rPr>
        <w:t>-12-①具备履行合同所必需设备和专业技术能力专项证明材料（若有）</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致：</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现附上我方具备履行合同所必需的设备和专业技术能力的专项证明材料复印件（具体附后），上述证明材料真实有效，否则我方负全部责任。</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★注意：</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1、招标文件要求投标人提供“具备履行合同所必需的设备和专业技术能力专项证明材料”的，投标人应按照招标文件规定在此项下提供相应证明材料复印件。</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2、投标人提供的相应证明材料复印件均应符合：内容完整、清晰、整洁，并由投标人加盖其单位公章。</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w:t>
      </w:r>
      <w:r>
        <w:rPr>
          <w:rFonts w:hint="eastAsia" w:ascii="宋体" w:hAnsi="宋体" w:eastAsia="宋体" w:cs="宋体"/>
          <w:sz w:val="16"/>
          <w:szCs w:val="16"/>
          <w:u w:val="single"/>
          <w:bdr w:val="none" w:color="auto" w:sz="0" w:space="0"/>
          <w:shd w:val="clear" w:fill="FFFFFF"/>
        </w:rPr>
        <w:t>（全称并加盖单位公章）</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投标人代表签字：</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日期：</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年</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月</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日</w:t>
      </w:r>
    </w:p>
    <w:p>
      <w:pPr>
        <w:pStyle w:val="3"/>
        <w:keepNext w:val="0"/>
        <w:keepLines w:val="0"/>
        <w:widowControl/>
        <w:suppressLineNumbers w:val="0"/>
        <w:spacing w:before="0" w:beforeAutospacing="0" w:after="0" w:afterAutospacing="0"/>
        <w:ind w:left="0" w:right="0"/>
        <w:jc w:val="center"/>
      </w:pPr>
      <w:r>
        <w:rPr>
          <w:rFonts w:hint="default" w:ascii="Calibri" w:hAnsi="Calibri" w:cs="Calibri"/>
          <w:sz w:val="16"/>
          <w:szCs w:val="16"/>
          <w:bdr w:val="none" w:color="auto" w:sz="0" w:space="0"/>
          <w:shd w:val="clear" w:fill="FFFFFF"/>
        </w:rPr>
        <w:br w:type="textWrapping"/>
      </w:r>
      <w:r>
        <w:rPr>
          <w:rStyle w:val="5"/>
          <w:rFonts w:hint="eastAsia" w:ascii="宋体" w:hAnsi="宋体" w:eastAsia="宋体" w:cs="宋体"/>
          <w:sz w:val="16"/>
          <w:szCs w:val="16"/>
          <w:bdr w:val="none" w:color="auto" w:sz="0" w:space="0"/>
          <w:shd w:val="clear" w:fill="FFFFFF"/>
        </w:rPr>
        <w:t>二-11-②招标文件规定的其他资格证明文件（若有）</w:t>
      </w:r>
    </w:p>
    <w:p>
      <w:pPr>
        <w:pStyle w:val="3"/>
        <w:keepNext w:val="0"/>
        <w:keepLines w:val="0"/>
        <w:widowControl/>
        <w:suppressLineNumbers w:val="0"/>
        <w:spacing w:before="0" w:beforeAutospacing="0" w:after="0" w:afterAutospacing="0"/>
        <w:ind w:left="0" w:right="0"/>
        <w:jc w:val="center"/>
      </w:pPr>
      <w:r>
        <w:rPr>
          <w:rFonts w:hint="eastAsia" w:ascii="宋体" w:hAnsi="宋体" w:eastAsia="宋体" w:cs="宋体"/>
          <w:sz w:val="16"/>
          <w:szCs w:val="16"/>
          <w:bdr w:val="none" w:color="auto" w:sz="0" w:space="0"/>
          <w:shd w:val="clear" w:fill="FFFFFF"/>
        </w:rPr>
        <w:t>编制说明</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除招标文件另有规定外，招标文件要求提交的除前述资格证明文件外的其他资格证明文件（若有）加盖投标人的单位公章后应在此项下提交。</w:t>
      </w:r>
    </w:p>
    <w:p>
      <w:pPr>
        <w:pStyle w:val="3"/>
        <w:keepNext w:val="0"/>
        <w:keepLines w:val="0"/>
        <w:widowControl/>
        <w:suppressLineNumbers w:val="0"/>
        <w:spacing w:before="0" w:beforeAutospacing="0" w:after="0" w:afterAutospacing="0"/>
        <w:ind w:left="0" w:right="0"/>
        <w:jc w:val="center"/>
      </w:pPr>
      <w:r>
        <w:rPr>
          <w:rFonts w:hint="default" w:ascii="Calibri" w:hAnsi="Calibri" w:cs="Calibri"/>
          <w:sz w:val="16"/>
          <w:szCs w:val="16"/>
          <w:bdr w:val="none" w:color="auto" w:sz="0" w:space="0"/>
          <w:shd w:val="clear" w:fill="FFFFFF"/>
        </w:rPr>
        <w:br w:type="textWrapping"/>
      </w:r>
      <w:r>
        <w:rPr>
          <w:rFonts w:hint="eastAsia" w:ascii="宋体" w:hAnsi="宋体" w:eastAsia="宋体" w:cs="宋体"/>
          <w:sz w:val="16"/>
          <w:szCs w:val="16"/>
          <w:bdr w:val="none" w:color="auto" w:sz="0" w:space="0"/>
          <w:shd w:val="clear" w:fill="FFFFFF"/>
        </w:rPr>
        <w:t>三</w:t>
      </w:r>
      <w:r>
        <w:rPr>
          <w:rStyle w:val="5"/>
          <w:rFonts w:hint="eastAsia" w:ascii="宋体" w:hAnsi="宋体" w:eastAsia="宋体" w:cs="宋体"/>
          <w:sz w:val="16"/>
          <w:szCs w:val="16"/>
          <w:bdr w:val="none" w:color="auto" w:sz="0" w:space="0"/>
          <w:shd w:val="clear" w:fill="FFFFFF"/>
        </w:rPr>
        <w:t>、投标保证金</w:t>
      </w:r>
    </w:p>
    <w:p>
      <w:pPr>
        <w:pStyle w:val="3"/>
        <w:keepNext w:val="0"/>
        <w:keepLines w:val="0"/>
        <w:widowControl/>
        <w:suppressLineNumbers w:val="0"/>
        <w:spacing w:before="0" w:beforeAutospacing="0" w:after="0" w:afterAutospacing="0"/>
        <w:ind w:left="0" w:right="0"/>
        <w:jc w:val="center"/>
      </w:pPr>
      <w:r>
        <w:rPr>
          <w:rFonts w:hint="eastAsia" w:ascii="宋体" w:hAnsi="宋体" w:eastAsia="宋体" w:cs="宋体"/>
          <w:sz w:val="16"/>
          <w:szCs w:val="16"/>
          <w:bdr w:val="none" w:color="auto" w:sz="0" w:space="0"/>
          <w:shd w:val="clear" w:fill="FFFFFF"/>
        </w:rPr>
        <w:t>编制说明</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1、在此项下提交的</w:t>
      </w:r>
      <w:r>
        <w:rPr>
          <w:rStyle w:val="5"/>
          <w:rFonts w:hint="eastAsia" w:ascii="宋体" w:hAnsi="宋体" w:eastAsia="宋体" w:cs="宋体"/>
          <w:sz w:val="16"/>
          <w:szCs w:val="16"/>
          <w:bdr w:val="none" w:color="auto" w:sz="0" w:space="0"/>
          <w:shd w:val="clear" w:fill="FFFFFF"/>
        </w:rPr>
        <w:t>“投标保证金”</w:t>
      </w:r>
      <w:r>
        <w:rPr>
          <w:rFonts w:hint="eastAsia" w:ascii="宋体" w:hAnsi="宋体" w:eastAsia="宋体" w:cs="宋体"/>
          <w:sz w:val="16"/>
          <w:szCs w:val="16"/>
          <w:bdr w:val="none" w:color="auto" w:sz="0" w:space="0"/>
          <w:shd w:val="clear" w:fill="FFFFFF"/>
        </w:rPr>
        <w:t>材料可使用转账凭证复印件或从福建省政府采购网上公开信息系统中下载的有关原始页面的打印件。</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2、投标保证金是否已提交的认定按照招标文件第三章规定执行。</w:t>
      </w:r>
    </w:p>
    <w:p>
      <w:pPr>
        <w:pStyle w:val="3"/>
        <w:keepNext w:val="0"/>
        <w:keepLines w:val="0"/>
        <w:widowControl/>
        <w:suppressLineNumbers w:val="0"/>
        <w:spacing w:before="0" w:beforeAutospacing="0" w:after="0" w:afterAutospacing="0"/>
        <w:ind w:left="0" w:right="0"/>
      </w:pPr>
    </w:p>
    <w:p>
      <w:pPr>
        <w:pStyle w:val="3"/>
        <w:keepNext w:val="0"/>
        <w:keepLines w:val="0"/>
        <w:widowControl/>
        <w:suppressLineNumbers w:val="0"/>
        <w:spacing w:before="0" w:beforeAutospacing="0" w:after="0" w:afterAutospacing="0"/>
        <w:ind w:left="0" w:right="0"/>
        <w:jc w:val="center"/>
      </w:pPr>
      <w:r>
        <w:rPr>
          <w:rStyle w:val="5"/>
          <w:rFonts w:hint="eastAsia" w:ascii="宋体" w:hAnsi="宋体" w:eastAsia="宋体" w:cs="宋体"/>
          <w:sz w:val="22"/>
          <w:szCs w:val="22"/>
          <w:bdr w:val="none" w:color="auto" w:sz="0" w:space="0"/>
          <w:shd w:val="clear" w:fill="FFFFFF"/>
        </w:rPr>
        <w:t>封面格式</w:t>
      </w:r>
    </w:p>
    <w:p>
      <w:pPr>
        <w:pStyle w:val="3"/>
        <w:keepNext w:val="0"/>
        <w:keepLines w:val="0"/>
        <w:widowControl/>
        <w:suppressLineNumbers w:val="0"/>
        <w:spacing w:before="0" w:beforeAutospacing="0" w:after="0" w:afterAutospacing="0"/>
        <w:ind w:left="0" w:right="0"/>
        <w:jc w:val="center"/>
      </w:pPr>
      <w:r>
        <w:rPr>
          <w:rStyle w:val="5"/>
          <w:rFonts w:hint="eastAsia" w:ascii="宋体" w:hAnsi="宋体" w:eastAsia="宋体" w:cs="宋体"/>
          <w:sz w:val="38"/>
          <w:szCs w:val="38"/>
          <w:bdr w:val="none" w:color="auto" w:sz="0" w:space="0"/>
          <w:shd w:val="clear" w:fill="FFFFFF"/>
        </w:rPr>
        <w:t>福建省政府采购投标文件</w:t>
      </w:r>
    </w:p>
    <w:p>
      <w:pPr>
        <w:pStyle w:val="3"/>
        <w:keepNext w:val="0"/>
        <w:keepLines w:val="0"/>
        <w:widowControl/>
        <w:suppressLineNumbers w:val="0"/>
        <w:spacing w:before="0" w:beforeAutospacing="0" w:after="0" w:afterAutospacing="0"/>
        <w:ind w:left="0" w:right="0"/>
        <w:jc w:val="center"/>
      </w:pPr>
      <w:r>
        <w:rPr>
          <w:rStyle w:val="5"/>
          <w:rFonts w:hint="eastAsia" w:ascii="宋体" w:hAnsi="宋体" w:eastAsia="宋体" w:cs="宋体"/>
          <w:sz w:val="38"/>
          <w:szCs w:val="38"/>
          <w:bdr w:val="none" w:color="auto" w:sz="0" w:space="0"/>
          <w:shd w:val="clear" w:fill="FFFFFF"/>
        </w:rPr>
        <w:t>（报价部分）</w:t>
      </w:r>
    </w:p>
    <w:p>
      <w:pPr>
        <w:pStyle w:val="3"/>
        <w:keepNext w:val="0"/>
        <w:keepLines w:val="0"/>
        <w:widowControl/>
        <w:suppressLineNumbers w:val="0"/>
        <w:spacing w:before="0" w:beforeAutospacing="0" w:after="0" w:afterAutospacing="0"/>
        <w:ind w:left="0" w:right="0"/>
        <w:jc w:val="center"/>
      </w:pPr>
      <w:r>
        <w:rPr>
          <w:rStyle w:val="5"/>
          <w:rFonts w:hint="eastAsia" w:ascii="宋体" w:hAnsi="宋体" w:eastAsia="宋体" w:cs="宋体"/>
          <w:sz w:val="28"/>
          <w:szCs w:val="28"/>
          <w:u w:val="single"/>
          <w:bdr w:val="none" w:color="auto" w:sz="0" w:space="0"/>
          <w:shd w:val="clear" w:fill="FFFFFF"/>
        </w:rPr>
        <w:t>（填写正本或副本）</w:t>
      </w:r>
    </w:p>
    <w:p>
      <w:pPr>
        <w:pStyle w:val="3"/>
        <w:keepNext w:val="0"/>
        <w:keepLines w:val="0"/>
        <w:widowControl/>
        <w:suppressLineNumbers w:val="0"/>
        <w:spacing w:before="0" w:beforeAutospacing="0" w:after="0" w:afterAutospacing="0"/>
        <w:ind w:left="0" w:right="0" w:firstLine="1536"/>
      </w:pPr>
      <w:r>
        <w:rPr>
          <w:rStyle w:val="5"/>
          <w:rFonts w:hint="eastAsia" w:ascii="宋体" w:hAnsi="宋体" w:eastAsia="宋体" w:cs="宋体"/>
          <w:sz w:val="25"/>
          <w:szCs w:val="25"/>
          <w:bdr w:val="none" w:color="auto" w:sz="0" w:space="0"/>
          <w:shd w:val="clear" w:fill="FFFFFF"/>
        </w:rPr>
        <w:t>项目名称：</w:t>
      </w:r>
      <w:r>
        <w:rPr>
          <w:rStyle w:val="5"/>
          <w:rFonts w:hint="eastAsia" w:ascii="宋体" w:hAnsi="宋体" w:eastAsia="宋体" w:cs="宋体"/>
          <w:sz w:val="25"/>
          <w:szCs w:val="25"/>
          <w:u w:val="single"/>
          <w:bdr w:val="none" w:color="auto" w:sz="0" w:space="0"/>
          <w:shd w:val="clear" w:fill="FFFFFF"/>
        </w:rPr>
        <w:t>（由投标人填写）</w:t>
      </w:r>
    </w:p>
    <w:p>
      <w:pPr>
        <w:pStyle w:val="3"/>
        <w:keepNext w:val="0"/>
        <w:keepLines w:val="0"/>
        <w:widowControl/>
        <w:suppressLineNumbers w:val="0"/>
        <w:spacing w:before="0" w:beforeAutospacing="0" w:after="0" w:afterAutospacing="0"/>
        <w:ind w:left="0" w:right="0" w:firstLine="1536"/>
      </w:pPr>
      <w:r>
        <w:rPr>
          <w:rStyle w:val="5"/>
          <w:rFonts w:hint="eastAsia" w:ascii="宋体" w:hAnsi="宋体" w:eastAsia="宋体" w:cs="宋体"/>
          <w:sz w:val="25"/>
          <w:szCs w:val="25"/>
          <w:bdr w:val="none" w:color="auto" w:sz="0" w:space="0"/>
          <w:shd w:val="clear" w:fill="FFFFFF"/>
        </w:rPr>
        <w:t>备案编号：</w:t>
      </w:r>
      <w:r>
        <w:rPr>
          <w:rStyle w:val="5"/>
          <w:rFonts w:hint="eastAsia" w:ascii="宋体" w:hAnsi="宋体" w:eastAsia="宋体" w:cs="宋体"/>
          <w:sz w:val="25"/>
          <w:szCs w:val="25"/>
          <w:u w:val="single"/>
          <w:bdr w:val="none" w:color="auto" w:sz="0" w:space="0"/>
          <w:shd w:val="clear" w:fill="FFFFFF"/>
        </w:rPr>
        <w:t>（由投标人填写）</w:t>
      </w:r>
    </w:p>
    <w:p>
      <w:pPr>
        <w:pStyle w:val="3"/>
        <w:keepNext w:val="0"/>
        <w:keepLines w:val="0"/>
        <w:widowControl/>
        <w:suppressLineNumbers w:val="0"/>
        <w:spacing w:before="0" w:beforeAutospacing="0" w:after="0" w:afterAutospacing="0"/>
        <w:ind w:left="0" w:right="0" w:firstLine="1536"/>
      </w:pPr>
      <w:r>
        <w:rPr>
          <w:rStyle w:val="5"/>
          <w:rFonts w:hint="eastAsia" w:ascii="宋体" w:hAnsi="宋体" w:eastAsia="宋体" w:cs="宋体"/>
          <w:sz w:val="25"/>
          <w:szCs w:val="25"/>
          <w:bdr w:val="none" w:color="auto" w:sz="0" w:space="0"/>
          <w:shd w:val="clear" w:fill="FFFFFF"/>
        </w:rPr>
        <w:t>招标编号：</w:t>
      </w:r>
      <w:r>
        <w:rPr>
          <w:rStyle w:val="5"/>
          <w:rFonts w:hint="eastAsia" w:ascii="宋体" w:hAnsi="宋体" w:eastAsia="宋体" w:cs="宋体"/>
          <w:sz w:val="25"/>
          <w:szCs w:val="25"/>
          <w:u w:val="single"/>
          <w:bdr w:val="none" w:color="auto" w:sz="0" w:space="0"/>
          <w:shd w:val="clear" w:fill="FFFFFF"/>
        </w:rPr>
        <w:t>（由投标人填写）</w:t>
      </w:r>
    </w:p>
    <w:p>
      <w:pPr>
        <w:pStyle w:val="3"/>
        <w:keepNext w:val="0"/>
        <w:keepLines w:val="0"/>
        <w:widowControl/>
        <w:suppressLineNumbers w:val="0"/>
        <w:spacing w:before="0" w:beforeAutospacing="0" w:after="0" w:afterAutospacing="0"/>
        <w:ind w:left="0" w:right="0" w:firstLine="1536"/>
      </w:pPr>
      <w:r>
        <w:rPr>
          <w:rStyle w:val="5"/>
          <w:rFonts w:hint="eastAsia" w:ascii="宋体" w:hAnsi="宋体" w:eastAsia="宋体" w:cs="宋体"/>
          <w:sz w:val="25"/>
          <w:szCs w:val="25"/>
          <w:bdr w:val="none" w:color="auto" w:sz="0" w:space="0"/>
          <w:shd w:val="clear" w:fill="FFFFFF"/>
        </w:rPr>
        <w:t>所投合同包：</w:t>
      </w:r>
      <w:r>
        <w:rPr>
          <w:rStyle w:val="5"/>
          <w:rFonts w:hint="eastAsia" w:ascii="宋体" w:hAnsi="宋体" w:eastAsia="宋体" w:cs="宋体"/>
          <w:sz w:val="25"/>
          <w:szCs w:val="25"/>
          <w:u w:val="single"/>
          <w:bdr w:val="none" w:color="auto" w:sz="0" w:space="0"/>
          <w:shd w:val="clear" w:fill="FFFFFF"/>
        </w:rPr>
        <w:t>（由投标人填写）</w:t>
      </w:r>
    </w:p>
    <w:p>
      <w:pPr>
        <w:pStyle w:val="3"/>
        <w:keepNext w:val="0"/>
        <w:keepLines w:val="0"/>
        <w:widowControl/>
        <w:suppressLineNumbers w:val="0"/>
        <w:spacing w:before="0" w:beforeAutospacing="0" w:after="0" w:afterAutospacing="0"/>
        <w:ind w:left="0" w:right="0"/>
        <w:jc w:val="center"/>
      </w:pPr>
      <w:r>
        <w:rPr>
          <w:rStyle w:val="5"/>
          <w:rFonts w:hint="eastAsia" w:ascii="宋体" w:hAnsi="宋体" w:eastAsia="宋体" w:cs="宋体"/>
          <w:sz w:val="25"/>
          <w:szCs w:val="25"/>
          <w:bdr w:val="none" w:color="auto" w:sz="0" w:space="0"/>
          <w:shd w:val="clear" w:fill="FFFFFF"/>
        </w:rPr>
        <w:t>投标人：</w:t>
      </w:r>
      <w:r>
        <w:rPr>
          <w:rStyle w:val="5"/>
          <w:rFonts w:hint="eastAsia" w:ascii="宋体" w:hAnsi="宋体" w:eastAsia="宋体" w:cs="宋体"/>
          <w:sz w:val="25"/>
          <w:szCs w:val="25"/>
          <w:u w:val="single"/>
          <w:bdr w:val="none" w:color="auto" w:sz="0" w:space="0"/>
          <w:shd w:val="clear" w:fill="FFFFFF"/>
        </w:rPr>
        <w:t>（填写“全称”）</w:t>
      </w:r>
    </w:p>
    <w:p>
      <w:pPr>
        <w:pStyle w:val="3"/>
        <w:keepNext w:val="0"/>
        <w:keepLines w:val="0"/>
        <w:widowControl/>
        <w:suppressLineNumbers w:val="0"/>
        <w:spacing w:before="0" w:beforeAutospacing="0" w:after="0" w:afterAutospacing="0"/>
        <w:ind w:left="0" w:right="0"/>
        <w:jc w:val="center"/>
      </w:pPr>
      <w:r>
        <w:rPr>
          <w:rStyle w:val="5"/>
          <w:rFonts w:hint="eastAsia" w:ascii="宋体" w:hAnsi="宋体" w:eastAsia="宋体" w:cs="宋体"/>
          <w:sz w:val="25"/>
          <w:szCs w:val="25"/>
          <w:u w:val="single"/>
          <w:bdr w:val="none" w:color="auto" w:sz="0" w:space="0"/>
          <w:shd w:val="clear" w:fill="FFFFFF"/>
        </w:rPr>
        <w:t>（由投标人填写）</w:t>
      </w:r>
      <w:r>
        <w:rPr>
          <w:rStyle w:val="5"/>
          <w:rFonts w:hint="eastAsia" w:ascii="宋体" w:hAnsi="宋体" w:eastAsia="宋体" w:cs="宋体"/>
          <w:sz w:val="25"/>
          <w:szCs w:val="25"/>
          <w:bdr w:val="none" w:color="auto" w:sz="0" w:space="0"/>
          <w:shd w:val="clear" w:fill="FFFFFF"/>
        </w:rPr>
        <w:t>年</w:t>
      </w:r>
      <w:r>
        <w:rPr>
          <w:rStyle w:val="5"/>
          <w:rFonts w:hint="eastAsia" w:ascii="宋体" w:hAnsi="宋体" w:eastAsia="宋体" w:cs="宋体"/>
          <w:sz w:val="25"/>
          <w:szCs w:val="25"/>
          <w:u w:val="single"/>
          <w:bdr w:val="none" w:color="auto" w:sz="0" w:space="0"/>
          <w:shd w:val="clear" w:fill="FFFFFF"/>
        </w:rPr>
        <w:t>（由投标人填写）</w:t>
      </w:r>
      <w:r>
        <w:rPr>
          <w:rStyle w:val="5"/>
          <w:rFonts w:hint="eastAsia" w:ascii="宋体" w:hAnsi="宋体" w:eastAsia="宋体" w:cs="宋体"/>
          <w:sz w:val="25"/>
          <w:szCs w:val="25"/>
          <w:bdr w:val="none" w:color="auto" w:sz="0" w:space="0"/>
          <w:shd w:val="clear" w:fill="FFFFFF"/>
        </w:rPr>
        <w:t>月</w:t>
      </w:r>
    </w:p>
    <w:p>
      <w:pPr>
        <w:pStyle w:val="3"/>
        <w:keepNext w:val="0"/>
        <w:keepLines w:val="0"/>
        <w:widowControl/>
        <w:suppressLineNumbers w:val="0"/>
        <w:spacing w:before="0" w:beforeAutospacing="0" w:after="0" w:afterAutospacing="0"/>
        <w:ind w:left="0" w:right="0"/>
        <w:jc w:val="center"/>
      </w:pPr>
      <w:r>
        <w:rPr>
          <w:rFonts w:hint="default" w:ascii="Calibri" w:hAnsi="Calibri" w:cs="Calibri"/>
          <w:sz w:val="16"/>
          <w:szCs w:val="16"/>
          <w:bdr w:val="none" w:color="auto" w:sz="0" w:space="0"/>
          <w:shd w:val="clear" w:fill="FFFFFF"/>
        </w:rPr>
        <w:br w:type="textWrapping"/>
      </w:r>
      <w:r>
        <w:rPr>
          <w:rStyle w:val="5"/>
          <w:rFonts w:hint="eastAsia" w:ascii="宋体" w:hAnsi="宋体" w:eastAsia="宋体" w:cs="宋体"/>
          <w:sz w:val="22"/>
          <w:szCs w:val="22"/>
          <w:bdr w:val="none" w:color="auto" w:sz="0" w:space="0"/>
          <w:shd w:val="clear" w:fill="FFFFFF"/>
        </w:rPr>
        <w:t>索引</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22"/>
          <w:szCs w:val="22"/>
          <w:bdr w:val="none" w:color="auto" w:sz="0" w:space="0"/>
          <w:shd w:val="clear" w:fill="FFFFFF"/>
        </w:rPr>
        <w:t>一、开标一览表</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22"/>
          <w:szCs w:val="22"/>
          <w:bdr w:val="none" w:color="auto" w:sz="0" w:space="0"/>
          <w:shd w:val="clear" w:fill="FFFFFF"/>
        </w:rPr>
        <w:t>二、投标分项报价表</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22"/>
          <w:szCs w:val="22"/>
          <w:bdr w:val="none" w:color="auto" w:sz="0" w:space="0"/>
          <w:shd w:val="clear" w:fill="FFFFFF"/>
        </w:rPr>
        <w:t>三、招标文件规定的价格扣除证明材料（若有）</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22"/>
          <w:szCs w:val="22"/>
          <w:bdr w:val="none" w:color="auto" w:sz="0" w:space="0"/>
          <w:shd w:val="clear" w:fill="FFFFFF"/>
        </w:rPr>
        <w:t>四、招标文件规定的加分证明材料（若有）</w:t>
      </w:r>
    </w:p>
    <w:p>
      <w:pPr>
        <w:pStyle w:val="3"/>
        <w:keepNext w:val="0"/>
        <w:keepLines w:val="0"/>
        <w:widowControl/>
        <w:suppressLineNumbers w:val="0"/>
        <w:spacing w:before="0" w:beforeAutospacing="0" w:after="0" w:afterAutospacing="0"/>
        <w:ind w:left="0" w:right="0"/>
        <w:jc w:val="center"/>
      </w:pPr>
      <w:r>
        <w:rPr>
          <w:rFonts w:hint="default" w:ascii="Calibri" w:hAnsi="Calibri" w:cs="Calibri"/>
          <w:sz w:val="16"/>
          <w:szCs w:val="16"/>
          <w:bdr w:val="none" w:color="auto" w:sz="0" w:space="0"/>
          <w:shd w:val="clear" w:fill="FFFFFF"/>
        </w:rPr>
        <w:br w:type="textWrapping"/>
      </w:r>
      <w:r>
        <w:rPr>
          <w:rStyle w:val="5"/>
          <w:rFonts w:hint="eastAsia" w:ascii="宋体" w:hAnsi="宋体" w:eastAsia="宋体" w:cs="宋体"/>
          <w:sz w:val="16"/>
          <w:szCs w:val="16"/>
          <w:bdr w:val="none" w:color="auto" w:sz="0" w:space="0"/>
          <w:shd w:val="clear" w:fill="FFFFFF"/>
        </w:rPr>
        <w:t>一、开标一览表</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招标编号：</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jc w:val="right"/>
      </w:pPr>
      <w:r>
        <w:rPr>
          <w:rFonts w:hint="eastAsia" w:ascii="宋体" w:hAnsi="宋体" w:eastAsia="宋体" w:cs="宋体"/>
          <w:sz w:val="16"/>
          <w:szCs w:val="16"/>
          <w:bdr w:val="none" w:color="auto" w:sz="0" w:space="0"/>
          <w:shd w:val="clear" w:fill="FFFFFF"/>
        </w:rPr>
        <w:t>货币及单位：人民币元</w:t>
      </w:r>
    </w:p>
    <w:tbl>
      <w:tblPr>
        <w:tblW w:w="6814"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1118"/>
        <w:gridCol w:w="3983"/>
        <w:gridCol w:w="699"/>
        <w:gridCol w:w="1014"/>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10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合同包</w:t>
            </w:r>
          </w:p>
        </w:tc>
        <w:tc>
          <w:tcPr>
            <w:tcW w:w="395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投标报价</w:t>
            </w:r>
          </w:p>
        </w:tc>
        <w:tc>
          <w:tcPr>
            <w:tcW w:w="669"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投标</w:t>
            </w:r>
          </w:p>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保证金</w:t>
            </w:r>
          </w:p>
        </w:tc>
        <w:tc>
          <w:tcPr>
            <w:tcW w:w="969"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备注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rHeight w:val="1440" w:hRule="atLeast"/>
          <w:tblCellSpacing w:w="15" w:type="dxa"/>
        </w:trPr>
        <w:tc>
          <w:tcPr>
            <w:tcW w:w="10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w:t>
            </w:r>
          </w:p>
        </w:tc>
        <w:tc>
          <w:tcPr>
            <w:tcW w:w="395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pPr>
            <w:r>
              <w:rPr>
                <w:rFonts w:hint="eastAsia" w:ascii="宋体" w:hAnsi="宋体" w:eastAsia="宋体" w:cs="宋体"/>
                <w:color w:val="393939"/>
                <w:sz w:val="16"/>
                <w:szCs w:val="16"/>
                <w:bdr w:val="none" w:color="auto" w:sz="0" w:space="0"/>
              </w:rPr>
              <w:t>投标总价（大写金额）：</w:t>
            </w:r>
            <w:r>
              <w:rPr>
                <w:rFonts w:hint="eastAsia" w:ascii="宋体" w:hAnsi="宋体" w:eastAsia="宋体" w:cs="宋体"/>
                <w:color w:val="393939"/>
                <w:sz w:val="16"/>
                <w:szCs w:val="16"/>
                <w:u w:val="single"/>
                <w:bdr w:val="none" w:color="auto" w:sz="0" w:space="0"/>
              </w:rPr>
              <w:t xml:space="preserve"> </w:t>
            </w:r>
            <w:r>
              <w:rPr>
                <w:rFonts w:hint="eastAsia" w:ascii="宋体" w:hAnsi="宋体" w:eastAsia="宋体" w:cs="宋体"/>
                <w:color w:val="393939"/>
                <w:sz w:val="16"/>
                <w:szCs w:val="16"/>
                <w:bdr w:val="none" w:color="auto" w:sz="0" w:space="0"/>
              </w:rPr>
              <w:t>。</w:t>
            </w:r>
          </w:p>
        </w:tc>
        <w:tc>
          <w:tcPr>
            <w:tcW w:w="669"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969" w:type="dxa"/>
            <w:vMerge w:val="restart"/>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pPr>
            <w:r>
              <w:rPr>
                <w:rFonts w:hint="eastAsia" w:ascii="宋体" w:hAnsi="宋体" w:eastAsia="宋体" w:cs="宋体"/>
                <w:color w:val="393939"/>
                <w:sz w:val="16"/>
                <w:szCs w:val="16"/>
                <w:bdr w:val="none" w:color="auto" w:sz="0" w:space="0"/>
              </w:rPr>
              <w:t>a.投标报价的明细：详见《投标分项报价表》。</w:t>
            </w:r>
          </w:p>
          <w:p>
            <w:pPr>
              <w:pStyle w:val="3"/>
              <w:keepNext w:val="0"/>
              <w:keepLines w:val="0"/>
              <w:widowControl/>
              <w:suppressLineNumbers w:val="0"/>
              <w:spacing w:line="18" w:lineRule="atLeast"/>
            </w:pPr>
            <w:r>
              <w:rPr>
                <w:rFonts w:hint="eastAsia" w:ascii="宋体" w:hAnsi="宋体" w:eastAsia="宋体" w:cs="宋体"/>
                <w:color w:val="393939"/>
                <w:sz w:val="16"/>
                <w:szCs w:val="16"/>
                <w:bdr w:val="none" w:color="auto" w:sz="0" w:space="0"/>
              </w:rPr>
              <w:t>b.招标文件规定的价格扣除证明材料（若有）：详见报价部分。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107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default" w:ascii="Calibri" w:hAnsi="Calibri" w:eastAsia="微软雅黑" w:cs="Calibri"/>
                <w:color w:val="393939"/>
                <w:sz w:val="16"/>
                <w:szCs w:val="16"/>
                <w:bdr w:val="none" w:color="auto" w:sz="0" w:space="0"/>
              </w:rPr>
              <w:t>…</w:t>
            </w:r>
          </w:p>
        </w:tc>
        <w:tc>
          <w:tcPr>
            <w:tcW w:w="395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pPr>
            <w:r>
              <w:rPr>
                <w:rFonts w:hint="eastAsia" w:ascii="宋体" w:hAnsi="宋体" w:eastAsia="宋体" w:cs="宋体"/>
                <w:color w:val="393939"/>
                <w:sz w:val="16"/>
                <w:szCs w:val="16"/>
                <w:bdr w:val="none" w:color="auto" w:sz="0" w:space="0"/>
              </w:rPr>
              <w:t>投标总价（大写金额）：</w:t>
            </w:r>
            <w:r>
              <w:rPr>
                <w:rFonts w:hint="eastAsia" w:ascii="宋体" w:hAnsi="宋体" w:eastAsia="宋体" w:cs="宋体"/>
                <w:color w:val="393939"/>
                <w:sz w:val="16"/>
                <w:szCs w:val="16"/>
                <w:u w:val="single"/>
                <w:bdr w:val="none" w:color="auto" w:sz="0" w:space="0"/>
              </w:rPr>
              <w:t xml:space="preserve"> </w:t>
            </w:r>
            <w:r>
              <w:rPr>
                <w:rFonts w:hint="eastAsia" w:ascii="宋体" w:hAnsi="宋体" w:eastAsia="宋体" w:cs="宋体"/>
                <w:color w:val="393939"/>
                <w:sz w:val="16"/>
                <w:szCs w:val="16"/>
                <w:bdr w:val="none" w:color="auto" w:sz="0" w:space="0"/>
              </w:rPr>
              <w:t>。</w:t>
            </w:r>
          </w:p>
        </w:tc>
        <w:tc>
          <w:tcPr>
            <w:tcW w:w="669"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969" w:type="dxa"/>
            <w:vMerge w:val="continue"/>
            <w:tcBorders>
              <w:top w:val="nil"/>
              <w:left w:val="nil"/>
              <w:bottom w:val="nil"/>
              <w:right w:val="nil"/>
            </w:tcBorders>
            <w:shd w:val="clear"/>
            <w:tcMar>
              <w:top w:w="0" w:type="dxa"/>
              <w:left w:w="84" w:type="dxa"/>
              <w:bottom w:w="0" w:type="dxa"/>
              <w:right w:w="84" w:type="dxa"/>
            </w:tcMar>
            <w:vAlign w:val="center"/>
          </w:tcPr>
          <w:p>
            <w:pPr>
              <w:rPr>
                <w:rFonts w:hint="eastAsia" w:ascii="微软雅黑" w:hAnsi="微软雅黑" w:eastAsia="微软雅黑" w:cs="微软雅黑"/>
                <w:color w:val="393939"/>
                <w:sz w:val="15"/>
                <w:szCs w:val="15"/>
              </w:rPr>
            </w:pPr>
          </w:p>
        </w:tc>
      </w:tr>
    </w:tbl>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★注意：</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1、本表应按照下列规定填写：</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1.1投标人应按照本表格式填写所投的合同包的“投标报价”。</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1.2本表中列示的“合同包”应与《投标分项报价表》中列示的“合同包”保持一致，即：若本表中列示的“合同包”为“</w:t>
      </w:r>
      <w:r>
        <w:rPr>
          <w:rFonts w:hint="default" w:ascii="Calibri" w:hAnsi="Calibri" w:eastAsia="宋体" w:cs="Calibri"/>
          <w:sz w:val="16"/>
          <w:szCs w:val="16"/>
          <w:bdr w:val="none" w:color="auto" w:sz="0" w:space="0"/>
          <w:shd w:val="clear" w:fill="FFFFFF"/>
        </w:rPr>
        <w:t>1</w:t>
      </w:r>
      <w:r>
        <w:rPr>
          <w:rFonts w:hint="eastAsia" w:ascii="宋体" w:hAnsi="宋体" w:eastAsia="宋体" w:cs="宋体"/>
          <w:sz w:val="16"/>
          <w:szCs w:val="16"/>
          <w:bdr w:val="none" w:color="auto" w:sz="0" w:space="0"/>
          <w:shd w:val="clear" w:fill="FFFFFF"/>
        </w:rPr>
        <w:t>”时，《投标分项报价表》中列示的“合同包”亦应为“</w:t>
      </w:r>
      <w:r>
        <w:rPr>
          <w:rFonts w:hint="default" w:ascii="Calibri" w:hAnsi="Calibri" w:eastAsia="宋体" w:cs="Calibri"/>
          <w:sz w:val="16"/>
          <w:szCs w:val="16"/>
          <w:bdr w:val="none" w:color="auto" w:sz="0" w:space="0"/>
          <w:shd w:val="clear" w:fill="FFFFFF"/>
        </w:rPr>
        <w:t>1</w:t>
      </w:r>
      <w:r>
        <w:rPr>
          <w:rFonts w:hint="eastAsia" w:ascii="宋体" w:hAnsi="宋体" w:eastAsia="宋体" w:cs="宋体"/>
          <w:sz w:val="16"/>
          <w:szCs w:val="16"/>
          <w:bdr w:val="none" w:color="auto" w:sz="0" w:space="0"/>
          <w:shd w:val="clear" w:fill="FFFFFF"/>
        </w:rPr>
        <w:t>”，以此类推。</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1.3“大写金额”指“投标报价”应用“壹、贰、叁、肆、伍、陆、柒、捌、玖、拾、佰、仟、万、亿、元、角、分、零”等进行填写。</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2、纸质投标文件正本中的本表应为原件。</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w:t>
      </w:r>
      <w:r>
        <w:rPr>
          <w:rFonts w:hint="eastAsia" w:ascii="宋体" w:hAnsi="宋体" w:eastAsia="宋体" w:cs="宋体"/>
          <w:sz w:val="16"/>
          <w:szCs w:val="16"/>
          <w:u w:val="single"/>
          <w:bdr w:val="none" w:color="auto" w:sz="0" w:space="0"/>
          <w:shd w:val="clear" w:fill="FFFFFF"/>
        </w:rPr>
        <w:t>（全称并加盖单位公章）</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投标人代表签字：</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日期：</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年</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月</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日</w:t>
      </w:r>
    </w:p>
    <w:p>
      <w:pPr>
        <w:pStyle w:val="3"/>
        <w:keepNext w:val="0"/>
        <w:keepLines w:val="0"/>
        <w:widowControl/>
        <w:suppressLineNumbers w:val="0"/>
        <w:spacing w:before="0" w:beforeAutospacing="0" w:after="0" w:afterAutospacing="0"/>
        <w:ind w:left="0" w:right="0"/>
        <w:jc w:val="center"/>
      </w:pPr>
      <w:r>
        <w:rPr>
          <w:rStyle w:val="5"/>
          <w:rFonts w:hint="default" w:ascii="Calibri" w:hAnsi="Calibri" w:cs="Calibri"/>
          <w:sz w:val="16"/>
          <w:szCs w:val="16"/>
          <w:bdr w:val="none" w:color="auto" w:sz="0" w:space="0"/>
          <w:shd w:val="clear" w:fill="FFFFFF"/>
        </w:rPr>
        <w:br w:type="textWrapping"/>
      </w:r>
      <w:r>
        <w:rPr>
          <w:rStyle w:val="5"/>
          <w:rFonts w:hint="eastAsia" w:ascii="宋体" w:hAnsi="宋体" w:eastAsia="宋体" w:cs="宋体"/>
          <w:sz w:val="16"/>
          <w:szCs w:val="16"/>
          <w:bdr w:val="none" w:color="auto" w:sz="0" w:space="0"/>
          <w:shd w:val="clear" w:fill="FFFFFF"/>
        </w:rPr>
        <w:t>二、投标分项报价表</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招标编号：</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jc w:val="right"/>
      </w:pPr>
      <w:r>
        <w:rPr>
          <w:rFonts w:hint="eastAsia" w:ascii="宋体" w:hAnsi="宋体" w:eastAsia="宋体" w:cs="宋体"/>
          <w:sz w:val="16"/>
          <w:szCs w:val="16"/>
          <w:bdr w:val="none" w:color="auto" w:sz="0" w:space="0"/>
          <w:shd w:val="clear" w:fill="FFFFFF"/>
        </w:rPr>
        <w:t>货币及单位：人民币元</w:t>
      </w:r>
    </w:p>
    <w:tbl>
      <w:tblPr>
        <w:tblW w:w="6812"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380"/>
        <w:gridCol w:w="764"/>
        <w:gridCol w:w="1191"/>
        <w:gridCol w:w="984"/>
        <w:gridCol w:w="680"/>
        <w:gridCol w:w="793"/>
        <w:gridCol w:w="474"/>
        <w:gridCol w:w="869"/>
        <w:gridCol w:w="67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335"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合同包</w:t>
            </w:r>
          </w:p>
        </w:tc>
        <w:tc>
          <w:tcPr>
            <w:tcW w:w="734"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品目号</w:t>
            </w:r>
          </w:p>
        </w:tc>
        <w:tc>
          <w:tcPr>
            <w:tcW w:w="116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投标标的</w:t>
            </w:r>
          </w:p>
        </w:tc>
        <w:tc>
          <w:tcPr>
            <w:tcW w:w="954"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规格</w:t>
            </w:r>
          </w:p>
        </w:tc>
        <w:tc>
          <w:tcPr>
            <w:tcW w:w="650"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来源地</w:t>
            </w:r>
          </w:p>
        </w:tc>
        <w:tc>
          <w:tcPr>
            <w:tcW w:w="76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单价</w:t>
            </w:r>
          </w:p>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（现场）</w:t>
            </w:r>
          </w:p>
        </w:tc>
        <w:tc>
          <w:tcPr>
            <w:tcW w:w="444"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数量</w:t>
            </w:r>
          </w:p>
        </w:tc>
        <w:tc>
          <w:tcPr>
            <w:tcW w:w="839"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总价</w:t>
            </w:r>
          </w:p>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（现场）</w:t>
            </w:r>
          </w:p>
        </w:tc>
        <w:tc>
          <w:tcPr>
            <w:tcW w:w="63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备注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335" w:type="dxa"/>
            <w:vMerge w:val="restart"/>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w:t>
            </w:r>
          </w:p>
        </w:tc>
        <w:tc>
          <w:tcPr>
            <w:tcW w:w="734"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*-1</w:t>
            </w:r>
          </w:p>
        </w:tc>
        <w:tc>
          <w:tcPr>
            <w:tcW w:w="1161"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954"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650"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763"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444"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839"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632"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335" w:type="dxa"/>
            <w:vMerge w:val="continue"/>
            <w:tcBorders>
              <w:top w:val="nil"/>
              <w:left w:val="nil"/>
              <w:bottom w:val="nil"/>
              <w:right w:val="nil"/>
            </w:tcBorders>
            <w:shd w:val="clear"/>
            <w:tcMar>
              <w:top w:w="0" w:type="dxa"/>
              <w:left w:w="84" w:type="dxa"/>
              <w:bottom w:w="0" w:type="dxa"/>
              <w:right w:w="84" w:type="dxa"/>
            </w:tcMar>
            <w:vAlign w:val="center"/>
          </w:tcPr>
          <w:p>
            <w:pPr>
              <w:rPr>
                <w:rFonts w:hint="eastAsia" w:ascii="微软雅黑" w:hAnsi="微软雅黑" w:eastAsia="微软雅黑" w:cs="微软雅黑"/>
                <w:color w:val="393939"/>
                <w:sz w:val="15"/>
                <w:szCs w:val="15"/>
              </w:rPr>
            </w:pPr>
          </w:p>
        </w:tc>
        <w:tc>
          <w:tcPr>
            <w:tcW w:w="734"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1161"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954"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650"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763"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444"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839"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632"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335"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default" w:ascii="Calibri" w:hAnsi="Calibri" w:eastAsia="微软雅黑" w:cs="Calibri"/>
                <w:color w:val="393939"/>
                <w:sz w:val="16"/>
                <w:szCs w:val="16"/>
                <w:bdr w:val="none" w:color="auto" w:sz="0" w:space="0"/>
              </w:rPr>
              <w:t>…</w:t>
            </w:r>
          </w:p>
        </w:tc>
        <w:tc>
          <w:tcPr>
            <w:tcW w:w="734"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1161"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954"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650"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763"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444"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839"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632"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r>
    </w:tbl>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★注意：</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1、本表应按照下列规定填写：</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1.1投标人应按照本表格式填写所投合同包的分项报价，其中：“合同包”、“品目号”、“投标标的”及“数量”应与招标文件《采购标的一览表》中的有关内容（“合同包”、“品目号”、“采购标的”及“数量”）保持一致，“合同包”还应与《开标一览表》中列示的“合同包”保持一致，即：若《开标一览表》中列示的“合同包”为“</w:t>
      </w:r>
      <w:r>
        <w:rPr>
          <w:rFonts w:hint="default" w:ascii="Calibri" w:hAnsi="Calibri" w:eastAsia="宋体" w:cs="Calibri"/>
          <w:sz w:val="16"/>
          <w:szCs w:val="16"/>
          <w:bdr w:val="none" w:color="auto" w:sz="0" w:space="0"/>
          <w:shd w:val="clear" w:fill="FFFFFF"/>
        </w:rPr>
        <w:t>1</w:t>
      </w:r>
      <w:r>
        <w:rPr>
          <w:rFonts w:hint="eastAsia" w:ascii="宋体" w:hAnsi="宋体" w:eastAsia="宋体" w:cs="宋体"/>
          <w:sz w:val="16"/>
          <w:szCs w:val="16"/>
          <w:bdr w:val="none" w:color="auto" w:sz="0" w:space="0"/>
          <w:shd w:val="clear" w:fill="FFFFFF"/>
        </w:rPr>
        <w:t>”时，本表中列示的“合同包”亦应为“</w:t>
      </w:r>
      <w:r>
        <w:rPr>
          <w:rFonts w:hint="default" w:ascii="Calibri" w:hAnsi="Calibri" w:eastAsia="宋体" w:cs="Calibri"/>
          <w:sz w:val="16"/>
          <w:szCs w:val="16"/>
          <w:bdr w:val="none" w:color="auto" w:sz="0" w:space="0"/>
          <w:shd w:val="clear" w:fill="FFFFFF"/>
        </w:rPr>
        <w:t>1</w:t>
      </w:r>
      <w:r>
        <w:rPr>
          <w:rFonts w:hint="eastAsia" w:ascii="宋体" w:hAnsi="宋体" w:eastAsia="宋体" w:cs="宋体"/>
          <w:sz w:val="16"/>
          <w:szCs w:val="16"/>
          <w:bdr w:val="none" w:color="auto" w:sz="0" w:space="0"/>
          <w:shd w:val="clear" w:fill="FFFFFF"/>
        </w:rPr>
        <w:t>”，以此类推。</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1.2“投标标的”为货物的：</w:t>
      </w:r>
      <w:r>
        <w:rPr>
          <w:rStyle w:val="5"/>
          <w:rFonts w:hint="eastAsia" w:ascii="宋体" w:hAnsi="宋体" w:eastAsia="宋体" w:cs="宋体"/>
          <w:sz w:val="16"/>
          <w:szCs w:val="16"/>
          <w:bdr w:val="none" w:color="auto" w:sz="0" w:space="0"/>
          <w:shd w:val="clear" w:fill="FFFFFF"/>
        </w:rPr>
        <w:t>“规格”</w:t>
      </w:r>
      <w:r>
        <w:rPr>
          <w:rFonts w:hint="eastAsia" w:ascii="宋体" w:hAnsi="宋体" w:eastAsia="宋体" w:cs="宋体"/>
          <w:sz w:val="16"/>
          <w:szCs w:val="16"/>
          <w:bdr w:val="none" w:color="auto" w:sz="0" w:space="0"/>
          <w:shd w:val="clear" w:fill="FFFFFF"/>
        </w:rPr>
        <w:t>项下应填写货物制造厂商赋予的品牌（属于节能、环保清单产品的货物，填写的品牌名称应与清单载明的品牌名称保持一致）及具体型号。</w:t>
      </w:r>
      <w:r>
        <w:rPr>
          <w:rStyle w:val="5"/>
          <w:rFonts w:hint="eastAsia" w:ascii="宋体" w:hAnsi="宋体" w:eastAsia="宋体" w:cs="宋体"/>
          <w:sz w:val="16"/>
          <w:szCs w:val="16"/>
          <w:bdr w:val="none" w:color="auto" w:sz="0" w:space="0"/>
          <w:shd w:val="clear" w:fill="FFFFFF"/>
        </w:rPr>
        <w:t>“来源地”</w:t>
      </w:r>
      <w:r>
        <w:rPr>
          <w:rFonts w:hint="eastAsia" w:ascii="宋体" w:hAnsi="宋体" w:eastAsia="宋体" w:cs="宋体"/>
          <w:sz w:val="16"/>
          <w:szCs w:val="16"/>
          <w:bdr w:val="none" w:color="auto" w:sz="0" w:space="0"/>
          <w:shd w:val="clear" w:fill="FFFFFF"/>
        </w:rPr>
        <w:t>应填写货物的原产地。</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1.3“投标标的”为服务的：</w:t>
      </w:r>
      <w:r>
        <w:rPr>
          <w:rStyle w:val="5"/>
          <w:rFonts w:hint="eastAsia" w:ascii="宋体" w:hAnsi="宋体" w:eastAsia="宋体" w:cs="宋体"/>
          <w:sz w:val="16"/>
          <w:szCs w:val="16"/>
          <w:bdr w:val="none" w:color="auto" w:sz="0" w:space="0"/>
          <w:shd w:val="clear" w:fill="FFFFFF"/>
        </w:rPr>
        <w:t>“规格”</w:t>
      </w:r>
      <w:r>
        <w:rPr>
          <w:rFonts w:hint="eastAsia" w:ascii="宋体" w:hAnsi="宋体" w:eastAsia="宋体" w:cs="宋体"/>
          <w:sz w:val="16"/>
          <w:szCs w:val="16"/>
          <w:bdr w:val="none" w:color="auto" w:sz="0" w:space="0"/>
          <w:shd w:val="clear" w:fill="FFFFFF"/>
        </w:rPr>
        <w:t>项下应填写服务提供者提供的服务标准及品牌（若有）。</w:t>
      </w:r>
      <w:r>
        <w:rPr>
          <w:rStyle w:val="5"/>
          <w:rFonts w:hint="eastAsia" w:ascii="宋体" w:hAnsi="宋体" w:eastAsia="宋体" w:cs="宋体"/>
          <w:sz w:val="16"/>
          <w:szCs w:val="16"/>
          <w:bdr w:val="none" w:color="auto" w:sz="0" w:space="0"/>
          <w:shd w:val="clear" w:fill="FFFFFF"/>
        </w:rPr>
        <w:t>“来源地”</w:t>
      </w:r>
      <w:r>
        <w:rPr>
          <w:rFonts w:hint="eastAsia" w:ascii="宋体" w:hAnsi="宋体" w:eastAsia="宋体" w:cs="宋体"/>
          <w:sz w:val="16"/>
          <w:szCs w:val="16"/>
          <w:bdr w:val="none" w:color="auto" w:sz="0" w:space="0"/>
          <w:shd w:val="clear" w:fill="FFFFFF"/>
        </w:rPr>
        <w:t>应填写服务提供者的所在地。</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1.4同一合同包中，</w:t>
      </w:r>
      <w:r>
        <w:rPr>
          <w:rStyle w:val="5"/>
          <w:rFonts w:hint="eastAsia" w:ascii="宋体" w:hAnsi="宋体" w:eastAsia="宋体" w:cs="宋体"/>
          <w:sz w:val="16"/>
          <w:szCs w:val="16"/>
          <w:bdr w:val="none" w:color="auto" w:sz="0" w:space="0"/>
          <w:shd w:val="clear" w:fill="FFFFFF"/>
        </w:rPr>
        <w:t>“单价（现场）”</w:t>
      </w:r>
      <w:r>
        <w:rPr>
          <w:rFonts w:hint="eastAsia" w:ascii="宋体" w:hAnsi="宋体" w:eastAsia="宋体" w:cs="宋体"/>
          <w:sz w:val="16"/>
          <w:szCs w:val="16"/>
          <w:bdr w:val="none" w:color="auto" w:sz="0" w:space="0"/>
          <w:shd w:val="clear" w:fill="FFFFFF"/>
        </w:rPr>
        <w:t>×</w:t>
      </w:r>
      <w:r>
        <w:rPr>
          <w:rStyle w:val="5"/>
          <w:rFonts w:hint="eastAsia" w:ascii="宋体" w:hAnsi="宋体" w:eastAsia="宋体" w:cs="宋体"/>
          <w:sz w:val="16"/>
          <w:szCs w:val="16"/>
          <w:bdr w:val="none" w:color="auto" w:sz="0" w:space="0"/>
          <w:shd w:val="clear" w:fill="FFFFFF"/>
        </w:rPr>
        <w:t>“数量”</w:t>
      </w:r>
      <w:r>
        <w:rPr>
          <w:rFonts w:hint="eastAsia" w:ascii="宋体" w:hAnsi="宋体" w:eastAsia="宋体" w:cs="宋体"/>
          <w:sz w:val="16"/>
          <w:szCs w:val="16"/>
          <w:bdr w:val="none" w:color="auto" w:sz="0" w:space="0"/>
          <w:shd w:val="clear" w:fill="FFFFFF"/>
        </w:rPr>
        <w:t>=</w:t>
      </w:r>
      <w:r>
        <w:rPr>
          <w:rStyle w:val="5"/>
          <w:rFonts w:hint="eastAsia" w:ascii="宋体" w:hAnsi="宋体" w:eastAsia="宋体" w:cs="宋体"/>
          <w:sz w:val="16"/>
          <w:szCs w:val="16"/>
          <w:bdr w:val="none" w:color="auto" w:sz="0" w:space="0"/>
          <w:shd w:val="clear" w:fill="FFFFFF"/>
        </w:rPr>
        <w:t>“总价（现场）”</w:t>
      </w:r>
      <w:r>
        <w:rPr>
          <w:rFonts w:hint="eastAsia" w:ascii="宋体" w:hAnsi="宋体" w:eastAsia="宋体" w:cs="宋体"/>
          <w:sz w:val="16"/>
          <w:szCs w:val="16"/>
          <w:bdr w:val="none" w:color="auto" w:sz="0" w:space="0"/>
          <w:shd w:val="clear" w:fill="FFFFFF"/>
        </w:rPr>
        <w:t>，全部品目号</w:t>
      </w:r>
      <w:r>
        <w:rPr>
          <w:rStyle w:val="5"/>
          <w:rFonts w:hint="eastAsia" w:ascii="宋体" w:hAnsi="宋体" w:eastAsia="宋体" w:cs="宋体"/>
          <w:sz w:val="16"/>
          <w:szCs w:val="16"/>
          <w:bdr w:val="none" w:color="auto" w:sz="0" w:space="0"/>
          <w:shd w:val="clear" w:fill="FFFFFF"/>
        </w:rPr>
        <w:t>“总价（现场）”</w:t>
      </w:r>
      <w:r>
        <w:rPr>
          <w:rFonts w:hint="eastAsia" w:ascii="宋体" w:hAnsi="宋体" w:eastAsia="宋体" w:cs="宋体"/>
          <w:sz w:val="16"/>
          <w:szCs w:val="16"/>
          <w:bdr w:val="none" w:color="auto" w:sz="0" w:space="0"/>
          <w:shd w:val="clear" w:fill="FFFFFF"/>
        </w:rPr>
        <w:t>的合计金额应与《开标一览表》中相应合同包列示的</w:t>
      </w:r>
      <w:r>
        <w:rPr>
          <w:rStyle w:val="5"/>
          <w:rFonts w:hint="eastAsia" w:ascii="宋体" w:hAnsi="宋体" w:eastAsia="宋体" w:cs="宋体"/>
          <w:sz w:val="16"/>
          <w:szCs w:val="16"/>
          <w:bdr w:val="none" w:color="auto" w:sz="0" w:space="0"/>
          <w:shd w:val="clear" w:fill="FFFFFF"/>
        </w:rPr>
        <w:t>“投标总价”</w:t>
      </w:r>
      <w:r>
        <w:rPr>
          <w:rFonts w:hint="eastAsia" w:ascii="宋体" w:hAnsi="宋体" w:eastAsia="宋体" w:cs="宋体"/>
          <w:sz w:val="16"/>
          <w:szCs w:val="16"/>
          <w:bdr w:val="none" w:color="auto" w:sz="0" w:space="0"/>
          <w:shd w:val="clear" w:fill="FFFFFF"/>
        </w:rPr>
        <w:t>保持一致。</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1.5若招标文件要求投标人对“备品备件价格、专用工具价格、技术服务费、安装调试费、检验培训费、运输费、保险费、税收”等进行报价的，请在本表的</w:t>
      </w:r>
      <w:r>
        <w:rPr>
          <w:rStyle w:val="5"/>
          <w:rFonts w:hint="eastAsia" w:ascii="宋体" w:hAnsi="宋体" w:eastAsia="宋体" w:cs="宋体"/>
          <w:sz w:val="16"/>
          <w:szCs w:val="16"/>
          <w:bdr w:val="none" w:color="auto" w:sz="0" w:space="0"/>
          <w:shd w:val="clear" w:fill="FFFFFF"/>
        </w:rPr>
        <w:t>“备注”</w:t>
      </w:r>
      <w:r>
        <w:rPr>
          <w:rFonts w:hint="eastAsia" w:ascii="宋体" w:hAnsi="宋体" w:eastAsia="宋体" w:cs="宋体"/>
          <w:sz w:val="16"/>
          <w:szCs w:val="16"/>
          <w:bdr w:val="none" w:color="auto" w:sz="0" w:space="0"/>
          <w:shd w:val="clear" w:fill="FFFFFF"/>
        </w:rPr>
        <w:t>项下填写。</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2、纸质投标文件正本中的本表应为原件。</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w:t>
      </w:r>
      <w:r>
        <w:rPr>
          <w:rFonts w:hint="eastAsia" w:ascii="宋体" w:hAnsi="宋体" w:eastAsia="宋体" w:cs="宋体"/>
          <w:sz w:val="16"/>
          <w:szCs w:val="16"/>
          <w:u w:val="single"/>
          <w:bdr w:val="none" w:color="auto" w:sz="0" w:space="0"/>
          <w:shd w:val="clear" w:fill="FFFFFF"/>
        </w:rPr>
        <w:t>（全称并加盖单位公章）</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投标人代表签字：</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日期：</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年</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月</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日</w:t>
      </w:r>
    </w:p>
    <w:p>
      <w:pPr>
        <w:pStyle w:val="3"/>
        <w:keepNext w:val="0"/>
        <w:keepLines w:val="0"/>
        <w:widowControl/>
        <w:suppressLineNumbers w:val="0"/>
        <w:spacing w:before="0" w:beforeAutospacing="0" w:after="0" w:afterAutospacing="0"/>
        <w:ind w:left="0" w:right="0"/>
        <w:jc w:val="center"/>
      </w:pPr>
      <w:r>
        <w:rPr>
          <w:rFonts w:hint="default" w:ascii="Calibri" w:hAnsi="Calibri" w:cs="Calibri"/>
          <w:sz w:val="16"/>
          <w:szCs w:val="16"/>
          <w:bdr w:val="none" w:color="auto" w:sz="0" w:space="0"/>
          <w:shd w:val="clear" w:fill="FFFFFF"/>
        </w:rPr>
        <w:br w:type="textWrapping"/>
      </w:r>
      <w:r>
        <w:rPr>
          <w:rStyle w:val="5"/>
          <w:rFonts w:hint="eastAsia" w:ascii="宋体" w:hAnsi="宋体" w:eastAsia="宋体" w:cs="宋体"/>
          <w:sz w:val="16"/>
          <w:szCs w:val="16"/>
          <w:bdr w:val="none" w:color="auto" w:sz="0" w:space="0"/>
          <w:shd w:val="clear" w:fill="FFFFFF"/>
        </w:rPr>
        <w:t>三、招标文件规定的价格扣除证明材料（若有）</w:t>
      </w:r>
    </w:p>
    <w:p>
      <w:pPr>
        <w:pStyle w:val="3"/>
        <w:keepNext w:val="0"/>
        <w:keepLines w:val="0"/>
        <w:widowControl/>
        <w:suppressLineNumbers w:val="0"/>
        <w:spacing w:before="0" w:beforeAutospacing="0" w:after="0" w:afterAutospacing="0"/>
        <w:ind w:left="0" w:right="0"/>
        <w:jc w:val="center"/>
      </w:pPr>
      <w:r>
        <w:rPr>
          <w:rStyle w:val="5"/>
          <w:rFonts w:hint="eastAsia" w:ascii="宋体" w:hAnsi="宋体" w:eastAsia="宋体" w:cs="宋体"/>
          <w:sz w:val="16"/>
          <w:szCs w:val="16"/>
          <w:bdr w:val="none" w:color="auto" w:sz="0" w:space="0"/>
          <w:shd w:val="clear" w:fill="FFFFFF"/>
        </w:rPr>
        <w:t>三-1优先类节能产品、环境标志产品价格扣除证明材料（若有）</w:t>
      </w:r>
    </w:p>
    <w:p>
      <w:pPr>
        <w:pStyle w:val="3"/>
        <w:keepNext w:val="0"/>
        <w:keepLines w:val="0"/>
        <w:widowControl/>
        <w:suppressLineNumbers w:val="0"/>
        <w:spacing w:before="0" w:beforeAutospacing="0" w:after="0" w:afterAutospacing="0"/>
        <w:ind w:left="0" w:right="0"/>
        <w:jc w:val="center"/>
      </w:pPr>
      <w:r>
        <w:rPr>
          <w:rStyle w:val="5"/>
          <w:rFonts w:hint="eastAsia" w:ascii="宋体" w:hAnsi="宋体" w:eastAsia="宋体" w:cs="宋体"/>
          <w:sz w:val="16"/>
          <w:szCs w:val="16"/>
          <w:bdr w:val="none" w:color="auto" w:sz="0" w:space="0"/>
          <w:shd w:val="clear" w:fill="FFFFFF"/>
        </w:rPr>
        <w:t>三-1-①优先类节能产品、环境标志产品统计表（价格扣除适用，若有）</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招标编号：</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jc w:val="right"/>
      </w:pPr>
      <w:r>
        <w:rPr>
          <w:rFonts w:hint="eastAsia" w:ascii="宋体" w:hAnsi="宋体" w:eastAsia="宋体" w:cs="宋体"/>
          <w:sz w:val="16"/>
          <w:szCs w:val="16"/>
          <w:bdr w:val="none" w:color="auto" w:sz="0" w:space="0"/>
          <w:shd w:val="clear" w:fill="FFFFFF"/>
        </w:rPr>
        <w:t>货币及单位：人民币元</w:t>
      </w:r>
    </w:p>
    <w:tbl>
      <w:tblPr>
        <w:tblW w:w="6812"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979"/>
        <w:gridCol w:w="969"/>
        <w:gridCol w:w="964"/>
        <w:gridCol w:w="974"/>
        <w:gridCol w:w="964"/>
        <w:gridCol w:w="974"/>
        <w:gridCol w:w="98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934"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5788" w:type="dxa"/>
            <w:gridSpan w:val="6"/>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本合同包内属于节能、环境标志产品的情况</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34"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合同包</w:t>
            </w:r>
          </w:p>
        </w:tc>
        <w:tc>
          <w:tcPr>
            <w:tcW w:w="939"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品目号</w:t>
            </w:r>
          </w:p>
        </w:tc>
        <w:tc>
          <w:tcPr>
            <w:tcW w:w="934"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货物名称</w:t>
            </w:r>
          </w:p>
        </w:tc>
        <w:tc>
          <w:tcPr>
            <w:tcW w:w="944"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单价</w:t>
            </w:r>
          </w:p>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（现场）</w:t>
            </w:r>
          </w:p>
        </w:tc>
        <w:tc>
          <w:tcPr>
            <w:tcW w:w="934"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数量</w:t>
            </w:r>
          </w:p>
        </w:tc>
        <w:tc>
          <w:tcPr>
            <w:tcW w:w="944"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总价</w:t>
            </w:r>
          </w:p>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（现场）</w:t>
            </w:r>
          </w:p>
        </w:tc>
        <w:tc>
          <w:tcPr>
            <w:tcW w:w="94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认证种类</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34" w:type="dxa"/>
            <w:vMerge w:val="restart"/>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w:t>
            </w:r>
          </w:p>
        </w:tc>
        <w:tc>
          <w:tcPr>
            <w:tcW w:w="939"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*-1</w:t>
            </w:r>
          </w:p>
        </w:tc>
        <w:tc>
          <w:tcPr>
            <w:tcW w:w="934"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944"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934"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944"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943"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34" w:type="dxa"/>
            <w:vMerge w:val="continue"/>
            <w:tcBorders>
              <w:top w:val="nil"/>
              <w:left w:val="nil"/>
              <w:bottom w:val="nil"/>
              <w:right w:val="nil"/>
            </w:tcBorders>
            <w:shd w:val="clear"/>
            <w:tcMar>
              <w:top w:w="0" w:type="dxa"/>
              <w:left w:w="84" w:type="dxa"/>
              <w:bottom w:w="0" w:type="dxa"/>
              <w:right w:w="84" w:type="dxa"/>
            </w:tcMar>
            <w:vAlign w:val="center"/>
          </w:tcPr>
          <w:p>
            <w:pPr>
              <w:rPr>
                <w:rFonts w:hint="eastAsia" w:ascii="微软雅黑" w:hAnsi="微软雅黑" w:eastAsia="微软雅黑" w:cs="微软雅黑"/>
                <w:color w:val="393939"/>
                <w:sz w:val="15"/>
                <w:szCs w:val="15"/>
              </w:rPr>
            </w:pPr>
          </w:p>
        </w:tc>
        <w:tc>
          <w:tcPr>
            <w:tcW w:w="939"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default" w:ascii="Calibri" w:hAnsi="Calibri" w:eastAsia="微软雅黑" w:cs="Calibri"/>
                <w:color w:val="393939"/>
                <w:sz w:val="16"/>
                <w:szCs w:val="16"/>
                <w:bdr w:val="none" w:color="auto" w:sz="0" w:space="0"/>
              </w:rPr>
              <w:t>…</w:t>
            </w:r>
          </w:p>
        </w:tc>
        <w:tc>
          <w:tcPr>
            <w:tcW w:w="934"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944"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934"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944"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943"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34"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备注</w:t>
            </w:r>
          </w:p>
        </w:tc>
        <w:tc>
          <w:tcPr>
            <w:tcW w:w="5788" w:type="dxa"/>
            <w:gridSpan w:val="6"/>
            <w:tcBorders>
              <w:top w:val="nil"/>
              <w:left w:val="nil"/>
              <w:bottom w:val="nil"/>
              <w:right w:val="nil"/>
            </w:tcBorders>
            <w:shd w:val="clear"/>
            <w:tcMar>
              <w:top w:w="0" w:type="dxa"/>
              <w:left w:w="84" w:type="dxa"/>
              <w:bottom w:w="0" w:type="dxa"/>
              <w:right w:w="84" w:type="dxa"/>
            </w:tcMar>
            <w:vAlign w:val="top"/>
          </w:tcPr>
          <w:p>
            <w:pPr>
              <w:pStyle w:val="3"/>
              <w:keepNext w:val="0"/>
              <w:keepLines w:val="0"/>
              <w:widowControl/>
              <w:suppressLineNumbers w:val="0"/>
              <w:spacing w:line="18" w:lineRule="atLeast"/>
            </w:pPr>
            <w:r>
              <w:rPr>
                <w:rFonts w:hint="eastAsia" w:ascii="宋体" w:hAnsi="宋体" w:eastAsia="宋体" w:cs="宋体"/>
                <w:color w:val="393939"/>
                <w:sz w:val="16"/>
                <w:szCs w:val="16"/>
                <w:bdr w:val="none" w:color="auto" w:sz="0" w:space="0"/>
              </w:rPr>
              <w:t>a.合同包内属于节能、环境标志产品的报价总金额：</w:t>
            </w:r>
            <w:r>
              <w:rPr>
                <w:rFonts w:hint="eastAsia" w:ascii="宋体" w:hAnsi="宋体" w:eastAsia="宋体" w:cs="宋体"/>
                <w:color w:val="393939"/>
                <w:sz w:val="16"/>
                <w:szCs w:val="16"/>
                <w:u w:val="single"/>
                <w:bdr w:val="none" w:color="auto" w:sz="0" w:space="0"/>
              </w:rPr>
              <w:t xml:space="preserve"> </w:t>
            </w:r>
            <w:r>
              <w:rPr>
                <w:rFonts w:hint="eastAsia" w:ascii="宋体" w:hAnsi="宋体" w:eastAsia="宋体" w:cs="宋体"/>
                <w:color w:val="393939"/>
                <w:sz w:val="16"/>
                <w:szCs w:val="16"/>
                <w:bdr w:val="none" w:color="auto" w:sz="0" w:space="0"/>
              </w:rPr>
              <w:t>；</w:t>
            </w:r>
          </w:p>
          <w:p>
            <w:pPr>
              <w:pStyle w:val="3"/>
              <w:keepNext w:val="0"/>
              <w:keepLines w:val="0"/>
              <w:widowControl/>
              <w:suppressLineNumbers w:val="0"/>
              <w:spacing w:line="18" w:lineRule="atLeast"/>
            </w:pPr>
            <w:r>
              <w:rPr>
                <w:rFonts w:hint="eastAsia" w:ascii="宋体" w:hAnsi="宋体" w:eastAsia="宋体" w:cs="宋体"/>
                <w:color w:val="393939"/>
                <w:sz w:val="16"/>
                <w:szCs w:val="16"/>
                <w:bdr w:val="none" w:color="auto" w:sz="0" w:space="0"/>
              </w:rPr>
              <w:t>b.合同包投标总价（报价总金额）：</w:t>
            </w:r>
            <w:r>
              <w:rPr>
                <w:rFonts w:hint="eastAsia" w:ascii="宋体" w:hAnsi="宋体" w:eastAsia="宋体" w:cs="宋体"/>
                <w:color w:val="393939"/>
                <w:sz w:val="16"/>
                <w:szCs w:val="16"/>
                <w:u w:val="single"/>
                <w:bdr w:val="none" w:color="auto" w:sz="0" w:space="0"/>
              </w:rPr>
              <w:t xml:space="preserve"> </w:t>
            </w:r>
            <w:r>
              <w:rPr>
                <w:rFonts w:hint="eastAsia" w:ascii="宋体" w:hAnsi="宋体" w:eastAsia="宋体" w:cs="宋体"/>
                <w:color w:val="393939"/>
                <w:sz w:val="16"/>
                <w:szCs w:val="16"/>
                <w:bdr w:val="none" w:color="auto" w:sz="0" w:space="0"/>
              </w:rPr>
              <w:t>；</w:t>
            </w:r>
          </w:p>
          <w:p>
            <w:pPr>
              <w:pStyle w:val="3"/>
              <w:keepNext w:val="0"/>
              <w:keepLines w:val="0"/>
              <w:widowControl/>
              <w:suppressLineNumbers w:val="0"/>
              <w:spacing w:line="18" w:lineRule="atLeast"/>
            </w:pPr>
            <w:r>
              <w:rPr>
                <w:rFonts w:hint="eastAsia" w:ascii="宋体" w:hAnsi="宋体" w:eastAsia="宋体" w:cs="宋体"/>
                <w:color w:val="393939"/>
                <w:sz w:val="16"/>
                <w:szCs w:val="16"/>
                <w:bdr w:val="none" w:color="auto" w:sz="0" w:space="0"/>
              </w:rPr>
              <w:t>c.“合同包内属于节能、环境标志产品的报价总金额”占“合同包投标总价（报价总金额）”的比例（以</w:t>
            </w:r>
            <w:r>
              <w:rPr>
                <w:rFonts w:hint="default" w:ascii="Calibri" w:hAnsi="Calibri" w:eastAsia="宋体" w:cs="Calibri"/>
                <w:color w:val="393939"/>
                <w:sz w:val="16"/>
                <w:szCs w:val="16"/>
                <w:bdr w:val="none" w:color="auto" w:sz="0" w:space="0"/>
              </w:rPr>
              <w:t>%</w:t>
            </w:r>
            <w:r>
              <w:rPr>
                <w:rFonts w:hint="eastAsia" w:ascii="宋体" w:hAnsi="宋体" w:eastAsia="宋体" w:cs="宋体"/>
                <w:color w:val="393939"/>
                <w:sz w:val="16"/>
                <w:szCs w:val="16"/>
                <w:bdr w:val="none" w:color="auto" w:sz="0" w:space="0"/>
              </w:rPr>
              <w:t>列示）：</w:t>
            </w:r>
            <w:r>
              <w:rPr>
                <w:rFonts w:hint="eastAsia" w:ascii="宋体" w:hAnsi="宋体" w:eastAsia="宋体" w:cs="宋体"/>
                <w:color w:val="393939"/>
                <w:sz w:val="16"/>
                <w:szCs w:val="16"/>
                <w:u w:val="single"/>
                <w:bdr w:val="none" w:color="auto" w:sz="0" w:space="0"/>
              </w:rPr>
              <w:t xml:space="preserve"> </w:t>
            </w:r>
            <w:r>
              <w:rPr>
                <w:rFonts w:hint="eastAsia" w:ascii="宋体" w:hAnsi="宋体" w:eastAsia="宋体" w:cs="宋体"/>
                <w:color w:val="393939"/>
                <w:sz w:val="16"/>
                <w:szCs w:val="16"/>
                <w:bdr w:val="none" w:color="auto" w:sz="0" w:space="0"/>
              </w:rPr>
              <w:t>。</w:t>
            </w:r>
          </w:p>
        </w:tc>
      </w:tr>
    </w:tbl>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★注意：</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1、对节能、环境标志产品计算价格扣除时，只依据投标文件</w:t>
      </w:r>
      <w:r>
        <w:rPr>
          <w:rStyle w:val="5"/>
          <w:rFonts w:hint="eastAsia" w:ascii="宋体" w:hAnsi="宋体" w:eastAsia="宋体" w:cs="宋体"/>
          <w:sz w:val="16"/>
          <w:szCs w:val="16"/>
          <w:bdr w:val="none" w:color="auto" w:sz="0" w:space="0"/>
          <w:shd w:val="clear" w:fill="FFFFFF"/>
        </w:rPr>
        <w:t>“三</w:t>
      </w:r>
      <w:r>
        <w:rPr>
          <w:rStyle w:val="5"/>
          <w:rFonts w:hint="default" w:ascii="Calibri" w:hAnsi="Calibri" w:eastAsia="宋体" w:cs="Calibri"/>
          <w:sz w:val="16"/>
          <w:szCs w:val="16"/>
          <w:bdr w:val="none" w:color="auto" w:sz="0" w:space="0"/>
          <w:shd w:val="clear" w:fill="FFFFFF"/>
        </w:rPr>
        <w:t>-1-</w:t>
      </w:r>
      <w:r>
        <w:rPr>
          <w:rStyle w:val="5"/>
          <w:rFonts w:hint="eastAsia" w:ascii="宋体" w:hAnsi="宋体" w:eastAsia="宋体" w:cs="宋体"/>
          <w:sz w:val="16"/>
          <w:szCs w:val="16"/>
          <w:bdr w:val="none" w:color="auto" w:sz="0" w:space="0"/>
          <w:shd w:val="clear" w:fill="FFFFFF"/>
        </w:rPr>
        <w:t>②优先类节能产品、环境标志产品证明材料（价格扣除适用，若有）”。</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2、本表以合同包为单位，不同合同包请分别填写；同一合同包请按照其品目号顺序分别填写。</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3、具体统计、计算：</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3.1若节能、环境标志产品仅是构成投标产品的部件、组件或零件，则该投标产品不享受鼓励优惠政策。同一品目中各认证证书不重复计算价格扣除。强制类节能产品不享受价格扣除。</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3.2计算结果若除不尽，可四舍五入保留到小数点后两位。</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3.3投标人应按照招标文件要求认真统计、计算，否则评标委员会不予认定。</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3.4若无节能、环境标志产品，不填写本表，否则，</w:t>
      </w:r>
      <w:r>
        <w:rPr>
          <w:rStyle w:val="5"/>
          <w:rFonts w:hint="eastAsia" w:ascii="宋体" w:hAnsi="宋体" w:eastAsia="宋体" w:cs="宋体"/>
          <w:sz w:val="16"/>
          <w:szCs w:val="16"/>
          <w:bdr w:val="none" w:color="auto" w:sz="0" w:space="0"/>
          <w:shd w:val="clear" w:fill="FFFFFF"/>
        </w:rPr>
        <w:t>视为提供虚假材料。</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4、纸质投标文件正本中的本表（若有）应为原件。</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w:t>
      </w:r>
      <w:r>
        <w:rPr>
          <w:rFonts w:hint="eastAsia" w:ascii="宋体" w:hAnsi="宋体" w:eastAsia="宋体" w:cs="宋体"/>
          <w:sz w:val="16"/>
          <w:szCs w:val="16"/>
          <w:u w:val="single"/>
          <w:bdr w:val="none" w:color="auto" w:sz="0" w:space="0"/>
          <w:shd w:val="clear" w:fill="FFFFFF"/>
        </w:rPr>
        <w:t>（全称并加盖单位公章）</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投标人代表签字：</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日期：</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年</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月</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日</w:t>
      </w:r>
    </w:p>
    <w:p>
      <w:pPr>
        <w:pStyle w:val="3"/>
        <w:keepNext w:val="0"/>
        <w:keepLines w:val="0"/>
        <w:widowControl/>
        <w:suppressLineNumbers w:val="0"/>
        <w:spacing w:before="0" w:beforeAutospacing="0" w:after="0" w:afterAutospacing="0"/>
        <w:ind w:left="0" w:right="0"/>
        <w:jc w:val="center"/>
      </w:pPr>
      <w:r>
        <w:rPr>
          <w:rStyle w:val="5"/>
          <w:rFonts w:hint="default" w:ascii="Calibri" w:hAnsi="Calibri" w:cs="Calibri"/>
          <w:sz w:val="16"/>
          <w:szCs w:val="16"/>
          <w:bdr w:val="none" w:color="auto" w:sz="0" w:space="0"/>
          <w:shd w:val="clear" w:fill="FFFFFF"/>
        </w:rPr>
        <w:br w:type="textWrapping"/>
      </w:r>
      <w:r>
        <w:rPr>
          <w:rStyle w:val="5"/>
          <w:rFonts w:hint="eastAsia" w:ascii="宋体" w:hAnsi="宋体" w:eastAsia="宋体" w:cs="宋体"/>
          <w:sz w:val="16"/>
          <w:szCs w:val="16"/>
          <w:bdr w:val="none" w:color="auto" w:sz="0" w:space="0"/>
          <w:shd w:val="clear" w:fill="FFFFFF"/>
        </w:rPr>
        <w:t>三-1-②优先类节能产品、环境标志产品证明材料（价格扣除适用，若有）</w:t>
      </w:r>
    </w:p>
    <w:p>
      <w:pPr>
        <w:pStyle w:val="3"/>
        <w:keepNext w:val="0"/>
        <w:keepLines w:val="0"/>
        <w:widowControl/>
        <w:suppressLineNumbers w:val="0"/>
        <w:spacing w:before="0" w:beforeAutospacing="0" w:after="0" w:afterAutospacing="0"/>
        <w:ind w:left="0" w:right="0"/>
        <w:jc w:val="center"/>
      </w:pPr>
      <w:r>
        <w:rPr>
          <w:rFonts w:hint="eastAsia" w:ascii="宋体" w:hAnsi="宋体" w:eastAsia="宋体" w:cs="宋体"/>
          <w:sz w:val="16"/>
          <w:szCs w:val="16"/>
          <w:bdr w:val="none" w:color="auto" w:sz="0" w:space="0"/>
          <w:shd w:val="clear" w:fill="FFFFFF"/>
        </w:rPr>
        <w:t>编制说明</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除招标文件另有规定外，投标人应按照招标文件第二章（表1）第</w:t>
      </w:r>
      <w:r>
        <w:rPr>
          <w:rFonts w:hint="default" w:ascii="Calibri" w:hAnsi="Calibri" w:eastAsia="宋体" w:cs="Calibri"/>
          <w:sz w:val="16"/>
          <w:szCs w:val="16"/>
          <w:bdr w:val="none" w:color="auto" w:sz="0" w:space="0"/>
          <w:shd w:val="clear" w:fill="FFFFFF"/>
        </w:rPr>
        <w:t>13</w:t>
      </w:r>
      <w:r>
        <w:rPr>
          <w:rFonts w:hint="eastAsia" w:ascii="宋体" w:hAnsi="宋体" w:eastAsia="宋体" w:cs="宋体"/>
          <w:sz w:val="16"/>
          <w:szCs w:val="16"/>
          <w:bdr w:val="none" w:color="auto" w:sz="0" w:space="0"/>
          <w:shd w:val="clear" w:fill="FFFFFF"/>
        </w:rPr>
        <w:t>项规定提供相应证明材料。</w:t>
      </w:r>
    </w:p>
    <w:p>
      <w:pPr>
        <w:pStyle w:val="3"/>
        <w:keepNext w:val="0"/>
        <w:keepLines w:val="0"/>
        <w:widowControl/>
        <w:suppressLineNumbers w:val="0"/>
        <w:spacing w:before="0" w:beforeAutospacing="0" w:after="0" w:afterAutospacing="0"/>
        <w:ind w:left="0" w:right="0"/>
        <w:jc w:val="center"/>
      </w:pPr>
      <w:r>
        <w:rPr>
          <w:rStyle w:val="5"/>
          <w:rFonts w:hint="default" w:ascii="Calibri" w:hAnsi="Calibri" w:cs="Calibri"/>
          <w:sz w:val="16"/>
          <w:szCs w:val="16"/>
          <w:bdr w:val="none" w:color="auto" w:sz="0" w:space="0"/>
          <w:shd w:val="clear" w:fill="FFFFFF"/>
        </w:rPr>
        <w:br w:type="textWrapping"/>
      </w:r>
      <w:r>
        <w:rPr>
          <w:rStyle w:val="5"/>
          <w:rFonts w:hint="eastAsia" w:ascii="宋体" w:hAnsi="宋体" w:eastAsia="宋体" w:cs="宋体"/>
          <w:sz w:val="16"/>
          <w:szCs w:val="16"/>
          <w:bdr w:val="none" w:color="auto" w:sz="0" w:space="0"/>
          <w:shd w:val="clear" w:fill="FFFFFF"/>
        </w:rPr>
        <w:t>三-2小型、微型企业产品等价格扣除证明材料（若有）</w:t>
      </w:r>
    </w:p>
    <w:p>
      <w:pPr>
        <w:pStyle w:val="3"/>
        <w:keepNext w:val="0"/>
        <w:keepLines w:val="0"/>
        <w:widowControl/>
        <w:suppressLineNumbers w:val="0"/>
        <w:spacing w:before="0" w:beforeAutospacing="0" w:after="0" w:afterAutospacing="0"/>
        <w:ind w:left="0" w:right="0"/>
        <w:jc w:val="center"/>
      </w:pPr>
      <w:r>
        <w:rPr>
          <w:rStyle w:val="5"/>
          <w:rFonts w:hint="eastAsia" w:ascii="宋体" w:hAnsi="宋体" w:eastAsia="宋体" w:cs="宋体"/>
          <w:sz w:val="16"/>
          <w:szCs w:val="16"/>
          <w:bdr w:val="none" w:color="auto" w:sz="0" w:space="0"/>
          <w:shd w:val="clear" w:fill="FFFFFF"/>
        </w:rPr>
        <w:t>三-2-①小型、微型企业产品等统计表（价格扣除适用，若有）</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招标编号：</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jc w:val="right"/>
      </w:pPr>
      <w:r>
        <w:rPr>
          <w:rFonts w:hint="eastAsia" w:ascii="宋体" w:hAnsi="宋体" w:eastAsia="宋体" w:cs="宋体"/>
          <w:sz w:val="16"/>
          <w:szCs w:val="16"/>
          <w:bdr w:val="none" w:color="auto" w:sz="0" w:space="0"/>
          <w:shd w:val="clear" w:fill="FFFFFF"/>
        </w:rPr>
        <w:t>货币及单位：人民币元</w:t>
      </w:r>
    </w:p>
    <w:tbl>
      <w:tblPr>
        <w:tblW w:w="6812"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971"/>
        <w:gridCol w:w="961"/>
        <w:gridCol w:w="855"/>
        <w:gridCol w:w="800"/>
        <w:gridCol w:w="577"/>
        <w:gridCol w:w="800"/>
        <w:gridCol w:w="900"/>
        <w:gridCol w:w="94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926"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5796" w:type="dxa"/>
            <w:gridSpan w:val="7"/>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合同包内属于小型、微型企业产品等的情况</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26"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合同包</w:t>
            </w:r>
          </w:p>
        </w:tc>
        <w:tc>
          <w:tcPr>
            <w:tcW w:w="93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品目号</w:t>
            </w:r>
          </w:p>
        </w:tc>
        <w:tc>
          <w:tcPr>
            <w:tcW w:w="825"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采购标的</w:t>
            </w:r>
          </w:p>
        </w:tc>
        <w:tc>
          <w:tcPr>
            <w:tcW w:w="770"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单价</w:t>
            </w:r>
          </w:p>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（现场）</w:t>
            </w:r>
          </w:p>
        </w:tc>
        <w:tc>
          <w:tcPr>
            <w:tcW w:w="547"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数量</w:t>
            </w:r>
          </w:p>
        </w:tc>
        <w:tc>
          <w:tcPr>
            <w:tcW w:w="770"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总价</w:t>
            </w:r>
          </w:p>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（现场）</w:t>
            </w:r>
          </w:p>
        </w:tc>
        <w:tc>
          <w:tcPr>
            <w:tcW w:w="870"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制造厂商</w:t>
            </w:r>
          </w:p>
        </w:tc>
        <w:tc>
          <w:tcPr>
            <w:tcW w:w="90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企业类型</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26" w:type="dxa"/>
            <w:vMerge w:val="restart"/>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w:t>
            </w:r>
          </w:p>
        </w:tc>
        <w:tc>
          <w:tcPr>
            <w:tcW w:w="93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*-1</w:t>
            </w:r>
          </w:p>
        </w:tc>
        <w:tc>
          <w:tcPr>
            <w:tcW w:w="825"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770"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547"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770"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870"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903"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26" w:type="dxa"/>
            <w:vMerge w:val="continue"/>
            <w:tcBorders>
              <w:top w:val="nil"/>
              <w:left w:val="nil"/>
              <w:bottom w:val="nil"/>
              <w:right w:val="nil"/>
            </w:tcBorders>
            <w:shd w:val="clear"/>
            <w:tcMar>
              <w:top w:w="0" w:type="dxa"/>
              <w:left w:w="84" w:type="dxa"/>
              <w:bottom w:w="0" w:type="dxa"/>
              <w:right w:w="84" w:type="dxa"/>
            </w:tcMar>
            <w:vAlign w:val="center"/>
          </w:tcPr>
          <w:p>
            <w:pPr>
              <w:rPr>
                <w:rFonts w:hint="eastAsia" w:ascii="微软雅黑" w:hAnsi="微软雅黑" w:eastAsia="微软雅黑" w:cs="微软雅黑"/>
                <w:color w:val="393939"/>
                <w:sz w:val="15"/>
                <w:szCs w:val="15"/>
              </w:rPr>
            </w:pPr>
          </w:p>
        </w:tc>
        <w:tc>
          <w:tcPr>
            <w:tcW w:w="93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default" w:ascii="Calibri" w:hAnsi="Calibri" w:eastAsia="微软雅黑" w:cs="Calibri"/>
                <w:color w:val="393939"/>
                <w:sz w:val="16"/>
                <w:szCs w:val="16"/>
                <w:bdr w:val="none" w:color="auto" w:sz="0" w:space="0"/>
              </w:rPr>
              <w:t>…</w:t>
            </w:r>
          </w:p>
        </w:tc>
        <w:tc>
          <w:tcPr>
            <w:tcW w:w="825"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770"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547"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770"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870"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903"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26"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备注</w:t>
            </w:r>
          </w:p>
        </w:tc>
        <w:tc>
          <w:tcPr>
            <w:tcW w:w="5796" w:type="dxa"/>
            <w:gridSpan w:val="7"/>
            <w:tcBorders>
              <w:top w:val="nil"/>
              <w:left w:val="nil"/>
              <w:bottom w:val="nil"/>
              <w:right w:val="nil"/>
            </w:tcBorders>
            <w:shd w:val="clear"/>
            <w:tcMar>
              <w:top w:w="0" w:type="dxa"/>
              <w:left w:w="84" w:type="dxa"/>
              <w:bottom w:w="0" w:type="dxa"/>
              <w:right w:w="84" w:type="dxa"/>
            </w:tcMar>
            <w:vAlign w:val="top"/>
          </w:tcPr>
          <w:p>
            <w:pPr>
              <w:pStyle w:val="3"/>
              <w:keepNext w:val="0"/>
              <w:keepLines w:val="0"/>
              <w:widowControl/>
              <w:suppressLineNumbers w:val="0"/>
              <w:spacing w:line="18" w:lineRule="atLeast"/>
            </w:pPr>
            <w:r>
              <w:rPr>
                <w:rFonts w:hint="eastAsia" w:ascii="宋体" w:hAnsi="宋体" w:eastAsia="宋体" w:cs="宋体"/>
                <w:color w:val="393939"/>
                <w:sz w:val="16"/>
                <w:szCs w:val="16"/>
                <w:bdr w:val="none" w:color="auto" w:sz="0" w:space="0"/>
              </w:rPr>
              <w:t>合同包内属于小型、微型企业产品等的报价总金额：</w:t>
            </w:r>
            <w:r>
              <w:rPr>
                <w:rFonts w:hint="eastAsia" w:ascii="宋体" w:hAnsi="宋体" w:eastAsia="宋体" w:cs="宋体"/>
                <w:color w:val="393939"/>
                <w:sz w:val="16"/>
                <w:szCs w:val="16"/>
                <w:u w:val="single"/>
                <w:bdr w:val="none" w:color="auto" w:sz="0" w:space="0"/>
              </w:rPr>
              <w:t xml:space="preserve"> </w:t>
            </w:r>
            <w:r>
              <w:rPr>
                <w:rFonts w:hint="eastAsia" w:ascii="宋体" w:hAnsi="宋体" w:eastAsia="宋体" w:cs="宋体"/>
                <w:color w:val="393939"/>
                <w:sz w:val="16"/>
                <w:szCs w:val="16"/>
                <w:bdr w:val="none" w:color="auto" w:sz="0" w:space="0"/>
              </w:rPr>
              <w:t>。</w:t>
            </w:r>
          </w:p>
        </w:tc>
      </w:tr>
    </w:tbl>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★注意：</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1、对小型、微型企业产品等计算价格扣除时，只依据投标文件</w:t>
      </w:r>
      <w:r>
        <w:rPr>
          <w:rStyle w:val="5"/>
          <w:rFonts w:hint="eastAsia" w:ascii="宋体" w:hAnsi="宋体" w:eastAsia="宋体" w:cs="宋体"/>
          <w:sz w:val="16"/>
          <w:szCs w:val="16"/>
          <w:bdr w:val="none" w:color="auto" w:sz="0" w:space="0"/>
          <w:shd w:val="clear" w:fill="FFFFFF"/>
        </w:rPr>
        <w:t>“三</w:t>
      </w:r>
      <w:r>
        <w:rPr>
          <w:rStyle w:val="5"/>
          <w:rFonts w:hint="default" w:ascii="Calibri" w:hAnsi="Calibri" w:eastAsia="宋体" w:cs="Calibri"/>
          <w:sz w:val="16"/>
          <w:szCs w:val="16"/>
          <w:bdr w:val="none" w:color="auto" w:sz="0" w:space="0"/>
          <w:shd w:val="clear" w:fill="FFFFFF"/>
        </w:rPr>
        <w:t>-2-</w:t>
      </w:r>
      <w:r>
        <w:rPr>
          <w:rStyle w:val="5"/>
          <w:rFonts w:hint="eastAsia" w:ascii="宋体" w:hAnsi="宋体" w:eastAsia="宋体" w:cs="宋体"/>
          <w:sz w:val="16"/>
          <w:szCs w:val="16"/>
          <w:bdr w:val="none" w:color="auto" w:sz="0" w:space="0"/>
          <w:shd w:val="clear" w:fill="FFFFFF"/>
        </w:rPr>
        <w:t>②中小企业声明函（价格扣除适用，若有）”及“三</w:t>
      </w:r>
      <w:r>
        <w:rPr>
          <w:rStyle w:val="5"/>
          <w:rFonts w:hint="default" w:ascii="Calibri" w:hAnsi="Calibri" w:eastAsia="宋体" w:cs="Calibri"/>
          <w:sz w:val="16"/>
          <w:szCs w:val="16"/>
          <w:bdr w:val="none" w:color="auto" w:sz="0" w:space="0"/>
          <w:shd w:val="clear" w:fill="FFFFFF"/>
        </w:rPr>
        <w:t>-2-</w:t>
      </w:r>
      <w:r>
        <w:rPr>
          <w:rStyle w:val="5"/>
          <w:rFonts w:hint="eastAsia" w:ascii="宋体" w:hAnsi="宋体" w:eastAsia="宋体" w:cs="宋体"/>
          <w:sz w:val="16"/>
          <w:szCs w:val="16"/>
          <w:bdr w:val="none" w:color="auto" w:sz="0" w:space="0"/>
          <w:shd w:val="clear" w:fill="FFFFFF"/>
        </w:rPr>
        <w:t>③小型、微型企业等证明材料（价格扣除适用，若有）”。</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2、本表以合同包为单位，不同合同包请分别填写；同一合同包请按照其品目号顺序分别填写。</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3、</w:t>
      </w:r>
      <w:r>
        <w:rPr>
          <w:rStyle w:val="5"/>
          <w:rFonts w:hint="eastAsia" w:ascii="宋体" w:hAnsi="宋体" w:eastAsia="宋体" w:cs="宋体"/>
          <w:sz w:val="16"/>
          <w:szCs w:val="16"/>
          <w:bdr w:val="none" w:color="auto" w:sz="0" w:space="0"/>
          <w:shd w:val="clear" w:fill="FFFFFF"/>
        </w:rPr>
        <w:t>除本表第4条规定情形外，小型、微型企业（含监狱企业）承担的工程或提供的服务不享受价格扣除。</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4、符合财政部、民政部、中国残联文件（财库</w:t>
      </w:r>
      <w:r>
        <w:rPr>
          <w:rFonts w:hint="default" w:ascii="Calibri" w:hAnsi="Calibri" w:eastAsia="宋体" w:cs="Calibri"/>
          <w:sz w:val="16"/>
          <w:szCs w:val="16"/>
          <w:bdr w:val="none" w:color="auto" w:sz="0" w:space="0"/>
          <w:shd w:val="clear" w:fill="FFFFFF"/>
        </w:rPr>
        <w:t>[2017]141</w:t>
      </w:r>
      <w:r>
        <w:rPr>
          <w:rFonts w:hint="eastAsia" w:ascii="宋体" w:hAnsi="宋体" w:eastAsia="宋体" w:cs="宋体"/>
          <w:sz w:val="16"/>
          <w:szCs w:val="16"/>
          <w:bdr w:val="none" w:color="auto" w:sz="0" w:space="0"/>
          <w:shd w:val="clear" w:fill="FFFFFF"/>
        </w:rPr>
        <w:t>号）规定的残疾人福利性单位提供本单位制造的货物、承担的工程或服务，或提供其他残疾人福利性单位制造的货物（不包括使用非残疾人福利性单位注册商标的货物）</w:t>
      </w:r>
      <w:r>
        <w:rPr>
          <w:rStyle w:val="5"/>
          <w:rFonts w:hint="eastAsia" w:ascii="宋体" w:hAnsi="宋体" w:eastAsia="宋体" w:cs="宋体"/>
          <w:sz w:val="16"/>
          <w:szCs w:val="16"/>
          <w:bdr w:val="none" w:color="auto" w:sz="0" w:space="0"/>
          <w:shd w:val="clear" w:fill="FFFFFF"/>
        </w:rPr>
        <w:t>可享受价格扣除。</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5、纸质投标文件正本中的本表（若有）应为原件。</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w:t>
      </w:r>
      <w:r>
        <w:rPr>
          <w:rFonts w:hint="eastAsia" w:ascii="宋体" w:hAnsi="宋体" w:eastAsia="宋体" w:cs="宋体"/>
          <w:sz w:val="16"/>
          <w:szCs w:val="16"/>
          <w:u w:val="single"/>
          <w:bdr w:val="none" w:color="auto" w:sz="0" w:space="0"/>
          <w:shd w:val="clear" w:fill="FFFFFF"/>
        </w:rPr>
        <w:t>（全称并加盖单位公章）</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投标人代表签字：</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日期：</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年</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月</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日</w:t>
      </w:r>
    </w:p>
    <w:p>
      <w:pPr>
        <w:pStyle w:val="3"/>
        <w:keepNext w:val="0"/>
        <w:keepLines w:val="0"/>
        <w:widowControl/>
        <w:suppressLineNumbers w:val="0"/>
        <w:spacing w:before="0" w:beforeAutospacing="0" w:after="0" w:afterAutospacing="0"/>
        <w:ind w:left="0" w:right="0"/>
        <w:jc w:val="center"/>
      </w:pPr>
      <w:r>
        <w:rPr>
          <w:rStyle w:val="5"/>
          <w:rFonts w:hint="default" w:ascii="Calibri" w:hAnsi="Calibri" w:cs="Calibri"/>
          <w:sz w:val="16"/>
          <w:szCs w:val="16"/>
          <w:bdr w:val="none" w:color="auto" w:sz="0" w:space="0"/>
          <w:shd w:val="clear" w:fill="FFFFFF"/>
        </w:rPr>
        <w:br w:type="textWrapping"/>
      </w:r>
      <w:r>
        <w:rPr>
          <w:rStyle w:val="5"/>
          <w:rFonts w:hint="eastAsia" w:ascii="宋体" w:hAnsi="宋体" w:eastAsia="宋体" w:cs="宋体"/>
          <w:sz w:val="16"/>
          <w:szCs w:val="16"/>
          <w:bdr w:val="none" w:color="auto" w:sz="0" w:space="0"/>
          <w:shd w:val="clear" w:fill="FFFFFF"/>
        </w:rPr>
        <w:t>三-2-②中小企业声明函（价格扣除适用，若有）</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本投标人郑重声明，根据《政府采购促进中小企业发展暂行办法》（财库[2011]181号）的规定，本投标人为</w:t>
      </w:r>
      <w:r>
        <w:rPr>
          <w:rFonts w:hint="eastAsia" w:ascii="宋体" w:hAnsi="宋体" w:eastAsia="宋体" w:cs="宋体"/>
          <w:sz w:val="16"/>
          <w:szCs w:val="16"/>
          <w:u w:val="single"/>
          <w:bdr w:val="none" w:color="auto" w:sz="0" w:space="0"/>
          <w:shd w:val="clear" w:fill="FFFFFF"/>
        </w:rPr>
        <w:t>（填写“中型</w:t>
      </w:r>
      <w:r>
        <w:rPr>
          <w:rFonts w:hint="default" w:ascii="Calibri" w:hAnsi="Calibri" w:eastAsia="宋体" w:cs="Calibri"/>
          <w:sz w:val="16"/>
          <w:szCs w:val="16"/>
          <w:u w:val="single"/>
          <w:bdr w:val="none" w:color="auto" w:sz="0" w:space="0"/>
          <w:shd w:val="clear" w:fill="FFFFFF"/>
        </w:rPr>
        <w:t>/</w:t>
      </w:r>
      <w:r>
        <w:rPr>
          <w:rFonts w:hint="eastAsia" w:ascii="宋体" w:hAnsi="宋体" w:eastAsia="宋体" w:cs="宋体"/>
          <w:sz w:val="16"/>
          <w:szCs w:val="16"/>
          <w:u w:val="single"/>
          <w:bdr w:val="none" w:color="auto" w:sz="0" w:space="0"/>
          <w:shd w:val="clear" w:fill="FFFFFF"/>
        </w:rPr>
        <w:t>小型</w:t>
      </w:r>
      <w:r>
        <w:rPr>
          <w:rFonts w:hint="default" w:ascii="Calibri" w:hAnsi="Calibri" w:eastAsia="宋体" w:cs="Calibri"/>
          <w:sz w:val="16"/>
          <w:szCs w:val="16"/>
          <w:u w:val="single"/>
          <w:bdr w:val="none" w:color="auto" w:sz="0" w:space="0"/>
          <w:shd w:val="clear" w:fill="FFFFFF"/>
        </w:rPr>
        <w:t>/</w:t>
      </w:r>
      <w:r>
        <w:rPr>
          <w:rFonts w:hint="eastAsia" w:ascii="宋体" w:hAnsi="宋体" w:eastAsia="宋体" w:cs="宋体"/>
          <w:sz w:val="16"/>
          <w:szCs w:val="16"/>
          <w:u w:val="single"/>
          <w:bdr w:val="none" w:color="auto" w:sz="0" w:space="0"/>
          <w:shd w:val="clear" w:fill="FFFFFF"/>
        </w:rPr>
        <w:t>微型”）</w:t>
      </w:r>
      <w:r>
        <w:rPr>
          <w:rFonts w:hint="eastAsia" w:ascii="宋体" w:hAnsi="宋体" w:eastAsia="宋体" w:cs="宋体"/>
          <w:sz w:val="16"/>
          <w:szCs w:val="16"/>
          <w:bdr w:val="none" w:color="auto" w:sz="0" w:space="0"/>
          <w:shd w:val="clear" w:fill="FFFFFF"/>
        </w:rPr>
        <w:t>企业。即本投标人同时满足以下条件：</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1、根据《工业和信息化部、国家统计局、国家发展和改革委员会、财政部关于印发中小企业划型标准规定的通知》（工信部联企业</w:t>
      </w:r>
      <w:r>
        <w:rPr>
          <w:rFonts w:hint="default" w:ascii="Calibri" w:hAnsi="Calibri" w:eastAsia="宋体" w:cs="Calibri"/>
          <w:sz w:val="16"/>
          <w:szCs w:val="16"/>
          <w:bdr w:val="none" w:color="auto" w:sz="0" w:space="0"/>
          <w:shd w:val="clear" w:fill="FFFFFF"/>
        </w:rPr>
        <w:t>[2011]300</w:t>
      </w:r>
      <w:r>
        <w:rPr>
          <w:rFonts w:hint="eastAsia" w:ascii="宋体" w:hAnsi="宋体" w:eastAsia="宋体" w:cs="宋体"/>
          <w:sz w:val="16"/>
          <w:szCs w:val="16"/>
          <w:bdr w:val="none" w:color="auto" w:sz="0" w:space="0"/>
          <w:shd w:val="clear" w:fill="FFFFFF"/>
        </w:rPr>
        <w:t>号）规定的划分标准，本投标人为</w:t>
      </w:r>
      <w:r>
        <w:rPr>
          <w:rFonts w:hint="eastAsia" w:ascii="宋体" w:hAnsi="宋体" w:eastAsia="宋体" w:cs="宋体"/>
          <w:sz w:val="16"/>
          <w:szCs w:val="16"/>
          <w:u w:val="single"/>
          <w:bdr w:val="none" w:color="auto" w:sz="0" w:space="0"/>
          <w:shd w:val="clear" w:fill="FFFFFF"/>
        </w:rPr>
        <w:t xml:space="preserve"> （填写“中型</w:t>
      </w:r>
      <w:r>
        <w:rPr>
          <w:rFonts w:hint="default" w:ascii="Calibri" w:hAnsi="Calibri" w:eastAsia="宋体" w:cs="Calibri"/>
          <w:sz w:val="16"/>
          <w:szCs w:val="16"/>
          <w:u w:val="single"/>
          <w:bdr w:val="none" w:color="auto" w:sz="0" w:space="0"/>
          <w:shd w:val="clear" w:fill="FFFFFF"/>
        </w:rPr>
        <w:t>/</w:t>
      </w:r>
      <w:r>
        <w:rPr>
          <w:rFonts w:hint="eastAsia" w:ascii="宋体" w:hAnsi="宋体" w:eastAsia="宋体" w:cs="宋体"/>
          <w:sz w:val="16"/>
          <w:szCs w:val="16"/>
          <w:u w:val="single"/>
          <w:bdr w:val="none" w:color="auto" w:sz="0" w:space="0"/>
          <w:shd w:val="clear" w:fill="FFFFFF"/>
        </w:rPr>
        <w:t>小型</w:t>
      </w:r>
      <w:r>
        <w:rPr>
          <w:rFonts w:hint="default" w:ascii="Calibri" w:hAnsi="Calibri" w:eastAsia="宋体" w:cs="Calibri"/>
          <w:sz w:val="16"/>
          <w:szCs w:val="16"/>
          <w:u w:val="single"/>
          <w:bdr w:val="none" w:color="auto" w:sz="0" w:space="0"/>
          <w:shd w:val="clear" w:fill="FFFFFF"/>
        </w:rPr>
        <w:t>/</w:t>
      </w:r>
      <w:r>
        <w:rPr>
          <w:rFonts w:hint="eastAsia" w:ascii="宋体" w:hAnsi="宋体" w:eastAsia="宋体" w:cs="宋体"/>
          <w:sz w:val="16"/>
          <w:szCs w:val="16"/>
          <w:u w:val="single"/>
          <w:bdr w:val="none" w:color="auto" w:sz="0" w:space="0"/>
          <w:shd w:val="clear" w:fill="FFFFFF"/>
        </w:rPr>
        <w:t>微型”）</w:t>
      </w:r>
      <w:r>
        <w:rPr>
          <w:rFonts w:hint="eastAsia" w:ascii="宋体" w:hAnsi="宋体" w:eastAsia="宋体" w:cs="宋体"/>
          <w:sz w:val="16"/>
          <w:szCs w:val="16"/>
          <w:bdr w:val="none" w:color="auto" w:sz="0" w:space="0"/>
          <w:shd w:val="clear" w:fill="FFFFFF"/>
        </w:rPr>
        <w:t>企业。</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2、本投标人参加贵单位组织的</w:t>
      </w:r>
      <w:r>
        <w:rPr>
          <w:rFonts w:hint="eastAsia" w:ascii="宋体" w:hAnsi="宋体" w:eastAsia="宋体" w:cs="宋体"/>
          <w:sz w:val="16"/>
          <w:szCs w:val="16"/>
          <w:u w:val="single"/>
          <w:bdr w:val="none" w:color="auto" w:sz="0" w:space="0"/>
          <w:shd w:val="clear" w:fill="FFFFFF"/>
        </w:rPr>
        <w:t xml:space="preserve"> （填写“项目名称”） </w:t>
      </w:r>
      <w:r>
        <w:rPr>
          <w:rFonts w:hint="eastAsia" w:ascii="宋体" w:hAnsi="宋体" w:eastAsia="宋体" w:cs="宋体"/>
          <w:sz w:val="16"/>
          <w:szCs w:val="16"/>
          <w:bdr w:val="none" w:color="auto" w:sz="0" w:space="0"/>
          <w:shd w:val="clear" w:fill="FFFFFF"/>
        </w:rPr>
        <w:t>项目采购活动，其中：</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①货物（不包括使用大型企业注册商标的货物）：</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 ）提供本投标人制造的</w:t>
      </w:r>
      <w:r>
        <w:rPr>
          <w:rFonts w:hint="eastAsia" w:ascii="宋体" w:hAnsi="宋体" w:eastAsia="宋体" w:cs="宋体"/>
          <w:sz w:val="16"/>
          <w:szCs w:val="16"/>
          <w:u w:val="single"/>
          <w:bdr w:val="none" w:color="auto" w:sz="0" w:space="0"/>
          <w:shd w:val="clear" w:fill="FFFFFF"/>
        </w:rPr>
        <w:t>（填写“所投合同包、品目号”）</w:t>
      </w:r>
      <w:r>
        <w:rPr>
          <w:rFonts w:hint="eastAsia" w:ascii="宋体" w:hAnsi="宋体" w:eastAsia="宋体" w:cs="宋体"/>
          <w:sz w:val="16"/>
          <w:szCs w:val="16"/>
          <w:bdr w:val="none" w:color="auto" w:sz="0" w:space="0"/>
          <w:shd w:val="clear" w:fill="FFFFFF"/>
        </w:rPr>
        <w:t>货物；或</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 ）提供其他</w:t>
      </w:r>
      <w:r>
        <w:rPr>
          <w:rFonts w:hint="eastAsia" w:ascii="宋体" w:hAnsi="宋体" w:eastAsia="宋体" w:cs="宋体"/>
          <w:sz w:val="16"/>
          <w:szCs w:val="16"/>
          <w:u w:val="single"/>
          <w:bdr w:val="none" w:color="auto" w:sz="0" w:space="0"/>
          <w:shd w:val="clear" w:fill="FFFFFF"/>
        </w:rPr>
        <w:t>（填写“中型</w:t>
      </w:r>
      <w:r>
        <w:rPr>
          <w:rFonts w:hint="default" w:ascii="Calibri" w:hAnsi="Calibri" w:eastAsia="宋体" w:cs="Calibri"/>
          <w:sz w:val="16"/>
          <w:szCs w:val="16"/>
          <w:u w:val="single"/>
          <w:bdr w:val="none" w:color="auto" w:sz="0" w:space="0"/>
          <w:shd w:val="clear" w:fill="FFFFFF"/>
        </w:rPr>
        <w:t>/</w:t>
      </w:r>
      <w:r>
        <w:rPr>
          <w:rFonts w:hint="eastAsia" w:ascii="宋体" w:hAnsi="宋体" w:eastAsia="宋体" w:cs="宋体"/>
          <w:sz w:val="16"/>
          <w:szCs w:val="16"/>
          <w:u w:val="single"/>
          <w:bdr w:val="none" w:color="auto" w:sz="0" w:space="0"/>
          <w:shd w:val="clear" w:fill="FFFFFF"/>
        </w:rPr>
        <w:t>小型</w:t>
      </w:r>
      <w:r>
        <w:rPr>
          <w:rFonts w:hint="default" w:ascii="Calibri" w:hAnsi="Calibri" w:eastAsia="宋体" w:cs="Calibri"/>
          <w:sz w:val="16"/>
          <w:szCs w:val="16"/>
          <w:u w:val="single"/>
          <w:bdr w:val="none" w:color="auto" w:sz="0" w:space="0"/>
          <w:shd w:val="clear" w:fill="FFFFFF"/>
        </w:rPr>
        <w:t>/</w:t>
      </w:r>
      <w:r>
        <w:rPr>
          <w:rFonts w:hint="eastAsia" w:ascii="宋体" w:hAnsi="宋体" w:eastAsia="宋体" w:cs="宋体"/>
          <w:sz w:val="16"/>
          <w:szCs w:val="16"/>
          <w:u w:val="single"/>
          <w:bdr w:val="none" w:color="auto" w:sz="0" w:space="0"/>
          <w:shd w:val="clear" w:fill="FFFFFF"/>
        </w:rPr>
        <w:t>微型”）</w:t>
      </w:r>
      <w:r>
        <w:rPr>
          <w:rFonts w:hint="eastAsia" w:ascii="宋体" w:hAnsi="宋体" w:eastAsia="宋体" w:cs="宋体"/>
          <w:sz w:val="16"/>
          <w:szCs w:val="16"/>
          <w:bdr w:val="none" w:color="auto" w:sz="0" w:space="0"/>
          <w:shd w:val="clear" w:fill="FFFFFF"/>
        </w:rPr>
        <w:t>企业制造的</w:t>
      </w:r>
      <w:r>
        <w:rPr>
          <w:rFonts w:hint="eastAsia" w:ascii="宋体" w:hAnsi="宋体" w:eastAsia="宋体" w:cs="宋体"/>
          <w:sz w:val="16"/>
          <w:szCs w:val="16"/>
          <w:u w:val="single"/>
          <w:bdr w:val="none" w:color="auto" w:sz="0" w:space="0"/>
          <w:shd w:val="clear" w:fill="FFFFFF"/>
        </w:rPr>
        <w:t>（填写“所投合同包、品目号”）</w:t>
      </w:r>
      <w:r>
        <w:rPr>
          <w:rFonts w:hint="eastAsia" w:ascii="宋体" w:hAnsi="宋体" w:eastAsia="宋体" w:cs="宋体"/>
          <w:sz w:val="16"/>
          <w:szCs w:val="16"/>
          <w:bdr w:val="none" w:color="auto" w:sz="0" w:space="0"/>
          <w:shd w:val="clear" w:fill="FFFFFF"/>
        </w:rPr>
        <w:t>货物。</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②工程：</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 ）由本投标人承担的</w:t>
      </w:r>
      <w:r>
        <w:rPr>
          <w:rFonts w:hint="eastAsia" w:ascii="宋体" w:hAnsi="宋体" w:eastAsia="宋体" w:cs="宋体"/>
          <w:sz w:val="16"/>
          <w:szCs w:val="16"/>
          <w:u w:val="single"/>
          <w:bdr w:val="none" w:color="auto" w:sz="0" w:space="0"/>
          <w:shd w:val="clear" w:fill="FFFFFF"/>
        </w:rPr>
        <w:t>（填写“所投合同包、品目号”）</w:t>
      </w:r>
      <w:r>
        <w:rPr>
          <w:rFonts w:hint="eastAsia" w:ascii="宋体" w:hAnsi="宋体" w:eastAsia="宋体" w:cs="宋体"/>
          <w:sz w:val="16"/>
          <w:szCs w:val="16"/>
          <w:bdr w:val="none" w:color="auto" w:sz="0" w:space="0"/>
          <w:shd w:val="clear" w:fill="FFFFFF"/>
        </w:rPr>
        <w:t>工程。</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③服务：</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 ）由本投标人提供的</w:t>
      </w:r>
      <w:r>
        <w:rPr>
          <w:rFonts w:hint="eastAsia" w:ascii="宋体" w:hAnsi="宋体" w:eastAsia="宋体" w:cs="宋体"/>
          <w:sz w:val="16"/>
          <w:szCs w:val="16"/>
          <w:u w:val="single"/>
          <w:bdr w:val="none" w:color="auto" w:sz="0" w:space="0"/>
          <w:shd w:val="clear" w:fill="FFFFFF"/>
        </w:rPr>
        <w:t>（填写“所投合同包、品目号”）</w:t>
      </w:r>
      <w:r>
        <w:rPr>
          <w:rFonts w:hint="eastAsia" w:ascii="宋体" w:hAnsi="宋体" w:eastAsia="宋体" w:cs="宋体"/>
          <w:sz w:val="16"/>
          <w:szCs w:val="16"/>
          <w:bdr w:val="none" w:color="auto" w:sz="0" w:space="0"/>
          <w:shd w:val="clear" w:fill="FFFFFF"/>
        </w:rPr>
        <w:t>服务。</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本投标人对上述声明的真实性负责。如有虚假，将依法承担相应责任。</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★注意：</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1、请投标人按照实际情况编制填写本声明函，并在相应的（）中打“√”。</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2、投标人应认真对照《工业和信息化部、国家统计局、国家发展和改革委员会、财政部关于印发中小企业划型标准规定的通知》（工信部联企业</w:t>
      </w:r>
      <w:r>
        <w:rPr>
          <w:rFonts w:hint="default" w:ascii="Calibri" w:hAnsi="Calibri" w:eastAsia="宋体" w:cs="Calibri"/>
          <w:sz w:val="16"/>
          <w:szCs w:val="16"/>
          <w:bdr w:val="none" w:color="auto" w:sz="0" w:space="0"/>
          <w:shd w:val="clear" w:fill="FFFFFF"/>
        </w:rPr>
        <w:t>[2011]300</w:t>
      </w:r>
      <w:r>
        <w:rPr>
          <w:rFonts w:hint="eastAsia" w:ascii="宋体" w:hAnsi="宋体" w:eastAsia="宋体" w:cs="宋体"/>
          <w:sz w:val="16"/>
          <w:szCs w:val="16"/>
          <w:bdr w:val="none" w:color="auto" w:sz="0" w:space="0"/>
          <w:shd w:val="clear" w:fill="FFFFFF"/>
        </w:rPr>
        <w:t>号）规定的划分标准，并按照国家统计局现行的关于统计上大中小微型企业划分办法的有关规定准确划分企业类型。</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3、若《中小企业声明函》内容不真实，</w:t>
      </w:r>
      <w:r>
        <w:rPr>
          <w:rStyle w:val="5"/>
          <w:rFonts w:hint="eastAsia" w:ascii="宋体" w:hAnsi="宋体" w:eastAsia="宋体" w:cs="宋体"/>
          <w:sz w:val="16"/>
          <w:szCs w:val="16"/>
          <w:bdr w:val="none" w:color="auto" w:sz="0" w:space="0"/>
          <w:shd w:val="clear" w:fill="FFFFFF"/>
        </w:rPr>
        <w:t>视为提供虚假材料</w:t>
      </w:r>
      <w:r>
        <w:rPr>
          <w:rFonts w:hint="eastAsia" w:ascii="宋体" w:hAnsi="宋体" w:eastAsia="宋体" w:cs="宋体"/>
          <w:sz w:val="16"/>
          <w:szCs w:val="16"/>
          <w:bdr w:val="none" w:color="auto" w:sz="0" w:space="0"/>
          <w:shd w:val="clear" w:fill="FFFFFF"/>
        </w:rPr>
        <w:t>。</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4、投标人为监狱企业的，可不填写本声明函。</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5、投标人为残疾人福利性单位的，可不填写本声明函。</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6、纸质投标文件正本中的本声明函（若有）应为原件。</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w:t>
      </w:r>
      <w:r>
        <w:rPr>
          <w:rFonts w:hint="eastAsia" w:ascii="宋体" w:hAnsi="宋体" w:eastAsia="宋体" w:cs="宋体"/>
          <w:sz w:val="16"/>
          <w:szCs w:val="16"/>
          <w:u w:val="single"/>
          <w:bdr w:val="none" w:color="auto" w:sz="0" w:space="0"/>
          <w:shd w:val="clear" w:fill="FFFFFF"/>
        </w:rPr>
        <w:t>（全称并加盖单位公章）</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投标人代表签字：</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日期：</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年</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月</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日</w:t>
      </w:r>
    </w:p>
    <w:p>
      <w:pPr>
        <w:pStyle w:val="3"/>
        <w:keepNext w:val="0"/>
        <w:keepLines w:val="0"/>
        <w:widowControl/>
        <w:suppressLineNumbers w:val="0"/>
        <w:spacing w:before="0" w:beforeAutospacing="0" w:after="0" w:afterAutospacing="0"/>
        <w:ind w:left="0" w:right="0"/>
        <w:jc w:val="center"/>
      </w:pPr>
      <w:r>
        <w:rPr>
          <w:rFonts w:hint="default" w:ascii="Calibri" w:hAnsi="Calibri" w:cs="Calibri"/>
          <w:sz w:val="16"/>
          <w:szCs w:val="16"/>
          <w:bdr w:val="none" w:color="auto" w:sz="0" w:space="0"/>
          <w:shd w:val="clear" w:fill="FFFFFF"/>
        </w:rPr>
        <w:br w:type="textWrapping"/>
      </w:r>
      <w:r>
        <w:rPr>
          <w:rStyle w:val="5"/>
          <w:rFonts w:hint="eastAsia" w:ascii="宋体" w:hAnsi="宋体" w:eastAsia="宋体" w:cs="宋体"/>
          <w:sz w:val="16"/>
          <w:szCs w:val="16"/>
          <w:bdr w:val="none" w:color="auto" w:sz="0" w:space="0"/>
          <w:shd w:val="clear" w:fill="FFFFFF"/>
        </w:rPr>
        <w:t>三-2-③小型、微型企业等证明材料（价格扣除适用，若有）</w:t>
      </w:r>
    </w:p>
    <w:p>
      <w:pPr>
        <w:pStyle w:val="3"/>
        <w:keepNext w:val="0"/>
        <w:keepLines w:val="0"/>
        <w:widowControl/>
        <w:suppressLineNumbers w:val="0"/>
        <w:spacing w:before="0" w:beforeAutospacing="0" w:after="0" w:afterAutospacing="0"/>
        <w:ind w:left="0" w:right="0"/>
        <w:jc w:val="center"/>
      </w:pPr>
      <w:r>
        <w:rPr>
          <w:rFonts w:hint="eastAsia" w:ascii="宋体" w:hAnsi="宋体" w:eastAsia="宋体" w:cs="宋体"/>
          <w:sz w:val="16"/>
          <w:szCs w:val="16"/>
          <w:bdr w:val="none" w:color="auto" w:sz="0" w:space="0"/>
          <w:shd w:val="clear" w:fill="FFFFFF"/>
        </w:rPr>
        <w:t>编制说明</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投标人应按照招标文件要求提供相应证明材料（包括但不限于：投标人或制造企业所在地的县级或以上中小企业主管部门的认定证明），证明材料应与《中小企业声明函》的内容相一致，否则视为《中小企业声明函》内容不真实。</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2、投标人为监狱企业的，根据其提供的由省级以上监狱管理局、戒毒管理局（含新疆生产建设兵团）出具的属于监狱企业的证明文件进行认定，监狱企业视同小型、微型企业。</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3、投标人为残疾人福利性单位的，根据其提供的《残疾人福利性单位声明函》（格式附后）进行认定，残疾人福利性单位视同小型、微型企业。残疾人福利性单位属于小型、微型企业的，不重复享受政策。</w:t>
      </w:r>
    </w:p>
    <w:p>
      <w:pPr>
        <w:pStyle w:val="3"/>
        <w:keepNext w:val="0"/>
        <w:keepLines w:val="0"/>
        <w:widowControl/>
        <w:suppressLineNumbers w:val="0"/>
        <w:spacing w:before="0" w:beforeAutospacing="0" w:after="0" w:afterAutospacing="0"/>
        <w:ind w:left="0" w:right="0"/>
      </w:pPr>
      <w:r>
        <w:rPr>
          <w:rFonts w:hint="default" w:ascii="Calibri" w:hAnsi="Calibri" w:cs="Calibri"/>
          <w:sz w:val="16"/>
          <w:szCs w:val="16"/>
          <w:bdr w:val="none" w:color="auto" w:sz="0" w:space="0"/>
          <w:shd w:val="clear" w:fill="FFFFFF"/>
        </w:rPr>
        <w:br w:type="textWrapping"/>
      </w:r>
      <w:r>
        <w:rPr>
          <w:rFonts w:hint="eastAsia" w:ascii="宋体" w:hAnsi="宋体" w:eastAsia="宋体" w:cs="宋体"/>
          <w:sz w:val="16"/>
          <w:szCs w:val="16"/>
          <w:bdr w:val="none" w:color="auto" w:sz="0" w:space="0"/>
          <w:shd w:val="clear" w:fill="FFFFFF"/>
        </w:rPr>
        <w:t>附：</w:t>
      </w:r>
    </w:p>
    <w:p>
      <w:pPr>
        <w:pStyle w:val="3"/>
        <w:keepNext w:val="0"/>
        <w:keepLines w:val="0"/>
        <w:widowControl/>
        <w:suppressLineNumbers w:val="0"/>
        <w:spacing w:before="0" w:beforeAutospacing="0" w:after="0" w:afterAutospacing="0"/>
        <w:ind w:left="0" w:right="0"/>
        <w:jc w:val="center"/>
      </w:pPr>
      <w:r>
        <w:rPr>
          <w:rStyle w:val="5"/>
          <w:rFonts w:hint="eastAsia" w:ascii="宋体" w:hAnsi="宋体" w:eastAsia="宋体" w:cs="宋体"/>
          <w:sz w:val="16"/>
          <w:szCs w:val="16"/>
          <w:bdr w:val="none" w:color="auto" w:sz="0" w:space="0"/>
          <w:shd w:val="clear" w:fill="FFFFFF"/>
        </w:rPr>
        <w:t>残疾人福利性单位声明函（价格扣除适用，若有）</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本投标人郑重声明，根据《财政部 民政部 中国残疾人联合会关于促进残疾人就业政府采购政策的通知》（财库[2017]141号）的规定，本投标人为符合条件的残疾人福利性单位，且本投标人参加贵单位的</w:t>
      </w:r>
      <w:r>
        <w:rPr>
          <w:rFonts w:hint="eastAsia" w:ascii="宋体" w:hAnsi="宋体" w:eastAsia="宋体" w:cs="宋体"/>
          <w:sz w:val="16"/>
          <w:szCs w:val="16"/>
          <w:u w:val="single"/>
          <w:bdr w:val="none" w:color="auto" w:sz="0" w:space="0"/>
          <w:shd w:val="clear" w:fill="FFFFFF"/>
        </w:rPr>
        <w:t>（填写“项目名称”）</w:t>
      </w:r>
      <w:r>
        <w:rPr>
          <w:rFonts w:hint="eastAsia" w:ascii="宋体" w:hAnsi="宋体" w:eastAsia="宋体" w:cs="宋体"/>
          <w:sz w:val="16"/>
          <w:szCs w:val="16"/>
          <w:bdr w:val="none" w:color="auto" w:sz="0" w:space="0"/>
          <w:shd w:val="clear" w:fill="FFFFFF"/>
        </w:rPr>
        <w:t>项目采购活动：</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 ）提供本投标人制造的</w:t>
      </w:r>
      <w:r>
        <w:rPr>
          <w:rFonts w:hint="eastAsia" w:ascii="宋体" w:hAnsi="宋体" w:eastAsia="宋体" w:cs="宋体"/>
          <w:sz w:val="16"/>
          <w:szCs w:val="16"/>
          <w:u w:val="single"/>
          <w:bdr w:val="none" w:color="auto" w:sz="0" w:space="0"/>
          <w:shd w:val="clear" w:fill="FFFFFF"/>
        </w:rPr>
        <w:t>（填写“所投合同包、品目号”）</w:t>
      </w:r>
      <w:r>
        <w:rPr>
          <w:rFonts w:hint="eastAsia" w:ascii="宋体" w:hAnsi="宋体" w:eastAsia="宋体" w:cs="宋体"/>
          <w:sz w:val="16"/>
          <w:szCs w:val="16"/>
          <w:bdr w:val="none" w:color="auto" w:sz="0" w:space="0"/>
          <w:shd w:val="clear" w:fill="FFFFFF"/>
        </w:rPr>
        <w:t>货物，</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 ）由本投标人承担的</w:t>
      </w:r>
      <w:r>
        <w:rPr>
          <w:rFonts w:hint="eastAsia" w:ascii="宋体" w:hAnsi="宋体" w:eastAsia="宋体" w:cs="宋体"/>
          <w:sz w:val="16"/>
          <w:szCs w:val="16"/>
          <w:u w:val="single"/>
          <w:bdr w:val="none" w:color="auto" w:sz="0" w:space="0"/>
          <w:shd w:val="clear" w:fill="FFFFFF"/>
        </w:rPr>
        <w:t>（填写“所投合同包、品目号”）</w:t>
      </w:r>
      <w:r>
        <w:rPr>
          <w:rFonts w:hint="eastAsia" w:ascii="宋体" w:hAnsi="宋体" w:eastAsia="宋体" w:cs="宋体"/>
          <w:sz w:val="16"/>
          <w:szCs w:val="16"/>
          <w:bdr w:val="none" w:color="auto" w:sz="0" w:space="0"/>
          <w:shd w:val="clear" w:fill="FFFFFF"/>
        </w:rPr>
        <w:t>工程，</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 ）由本投标人提供的</w:t>
      </w:r>
      <w:r>
        <w:rPr>
          <w:rFonts w:hint="eastAsia" w:ascii="宋体" w:hAnsi="宋体" w:eastAsia="宋体" w:cs="宋体"/>
          <w:sz w:val="16"/>
          <w:szCs w:val="16"/>
          <w:u w:val="single"/>
          <w:bdr w:val="none" w:color="auto" w:sz="0" w:space="0"/>
          <w:shd w:val="clear" w:fill="FFFFFF"/>
        </w:rPr>
        <w:t>（填写“所投合同包、品目号”）</w:t>
      </w:r>
      <w:r>
        <w:rPr>
          <w:rFonts w:hint="eastAsia" w:ascii="宋体" w:hAnsi="宋体" w:eastAsia="宋体" w:cs="宋体"/>
          <w:sz w:val="16"/>
          <w:szCs w:val="16"/>
          <w:bdr w:val="none" w:color="auto" w:sz="0" w:space="0"/>
          <w:shd w:val="clear" w:fill="FFFFFF"/>
        </w:rPr>
        <w:t>服务；或</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 ）提供其他残疾人福利性单位制造的</w:t>
      </w:r>
      <w:r>
        <w:rPr>
          <w:rFonts w:hint="eastAsia" w:ascii="宋体" w:hAnsi="宋体" w:eastAsia="宋体" w:cs="宋体"/>
          <w:sz w:val="16"/>
          <w:szCs w:val="16"/>
          <w:u w:val="single"/>
          <w:bdr w:val="none" w:color="auto" w:sz="0" w:space="0"/>
          <w:shd w:val="clear" w:fill="FFFFFF"/>
        </w:rPr>
        <w:t>（填写“所投合同包、品目号”）</w:t>
      </w:r>
      <w:r>
        <w:rPr>
          <w:rFonts w:hint="eastAsia" w:ascii="宋体" w:hAnsi="宋体" w:eastAsia="宋体" w:cs="宋体"/>
          <w:sz w:val="16"/>
          <w:szCs w:val="16"/>
          <w:bdr w:val="none" w:color="auto" w:sz="0" w:space="0"/>
          <w:shd w:val="clear" w:fill="FFFFFF"/>
        </w:rPr>
        <w:t>货物（不包括使用非残疾人福利性单位注册商标的货物）。</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本投标人对上述声明的真实性负责。如有虚假，将依法承担相应责任。</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★注意：</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1、请投标人按照实际情况编制填写本声明函，并在相应的（）中打“√”。</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2、纸质投标文件正本中的本声明函（若有）应为原件。</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3、若《残疾人福利性单位声明函》内容不真实，</w:t>
      </w:r>
      <w:r>
        <w:rPr>
          <w:rStyle w:val="5"/>
          <w:rFonts w:hint="eastAsia" w:ascii="宋体" w:hAnsi="宋体" w:eastAsia="宋体" w:cs="宋体"/>
          <w:sz w:val="16"/>
          <w:szCs w:val="16"/>
          <w:bdr w:val="none" w:color="auto" w:sz="0" w:space="0"/>
          <w:shd w:val="clear" w:fill="FFFFFF"/>
        </w:rPr>
        <w:t>视为提供虚假材料</w:t>
      </w:r>
      <w:r>
        <w:rPr>
          <w:rFonts w:hint="eastAsia" w:ascii="宋体" w:hAnsi="宋体" w:eastAsia="宋体" w:cs="宋体"/>
          <w:sz w:val="16"/>
          <w:szCs w:val="16"/>
          <w:bdr w:val="none" w:color="auto" w:sz="0" w:space="0"/>
          <w:shd w:val="clear" w:fill="FFFFFF"/>
        </w:rPr>
        <w:t>。</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4、符合财政部、民政部、中国残联文件（财库</w:t>
      </w:r>
      <w:r>
        <w:rPr>
          <w:rFonts w:hint="default" w:ascii="Calibri" w:hAnsi="Calibri" w:eastAsia="宋体" w:cs="Calibri"/>
          <w:sz w:val="16"/>
          <w:szCs w:val="16"/>
          <w:bdr w:val="none" w:color="auto" w:sz="0" w:space="0"/>
          <w:shd w:val="clear" w:fill="FFFFFF"/>
        </w:rPr>
        <w:t>[2017]141</w:t>
      </w:r>
      <w:r>
        <w:rPr>
          <w:rFonts w:hint="eastAsia" w:ascii="宋体" w:hAnsi="宋体" w:eastAsia="宋体" w:cs="宋体"/>
          <w:sz w:val="16"/>
          <w:szCs w:val="16"/>
          <w:bdr w:val="none" w:color="auto" w:sz="0" w:space="0"/>
          <w:shd w:val="clear" w:fill="FFFFFF"/>
        </w:rPr>
        <w:t>号）规定的残疾人福利性单位提供本单位制造的货物、承担的工程或服务，或提供其他残疾人福利性单位制造的货物（不包括使用非残疾人福利性单位注册商标的货物）</w:t>
      </w:r>
      <w:r>
        <w:rPr>
          <w:rStyle w:val="5"/>
          <w:rFonts w:hint="eastAsia" w:ascii="宋体" w:hAnsi="宋体" w:eastAsia="宋体" w:cs="宋体"/>
          <w:sz w:val="16"/>
          <w:szCs w:val="16"/>
          <w:bdr w:val="none" w:color="auto" w:sz="0" w:space="0"/>
          <w:shd w:val="clear" w:fill="FFFFFF"/>
        </w:rPr>
        <w:t>可享受价格扣除。</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w:t>
      </w:r>
      <w:r>
        <w:rPr>
          <w:rFonts w:hint="eastAsia" w:ascii="宋体" w:hAnsi="宋体" w:eastAsia="宋体" w:cs="宋体"/>
          <w:sz w:val="16"/>
          <w:szCs w:val="16"/>
          <w:u w:val="single"/>
          <w:bdr w:val="none" w:color="auto" w:sz="0" w:space="0"/>
          <w:shd w:val="clear" w:fill="FFFFFF"/>
        </w:rPr>
        <w:t>（全称并加盖单位公章）</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投标人代表签字：</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日期：</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年</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月</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日</w:t>
      </w:r>
    </w:p>
    <w:p>
      <w:pPr>
        <w:pStyle w:val="3"/>
        <w:keepNext w:val="0"/>
        <w:keepLines w:val="0"/>
        <w:widowControl/>
        <w:suppressLineNumbers w:val="0"/>
        <w:spacing w:before="0" w:beforeAutospacing="0" w:after="0" w:afterAutospacing="0"/>
        <w:ind w:left="0" w:right="0"/>
        <w:jc w:val="center"/>
      </w:pPr>
      <w:r>
        <w:rPr>
          <w:rFonts w:hint="default" w:ascii="Calibri" w:hAnsi="Calibri" w:cs="Calibri"/>
          <w:sz w:val="16"/>
          <w:szCs w:val="16"/>
          <w:bdr w:val="none" w:color="auto" w:sz="0" w:space="0"/>
          <w:shd w:val="clear" w:fill="FFFFFF"/>
        </w:rPr>
        <w:br w:type="textWrapping"/>
      </w:r>
      <w:r>
        <w:rPr>
          <w:rStyle w:val="5"/>
          <w:rFonts w:hint="eastAsia" w:ascii="宋体" w:hAnsi="宋体" w:eastAsia="宋体" w:cs="宋体"/>
          <w:sz w:val="16"/>
          <w:szCs w:val="16"/>
          <w:bdr w:val="none" w:color="auto" w:sz="0" w:space="0"/>
          <w:shd w:val="clear" w:fill="FFFFFF"/>
        </w:rPr>
        <w:t>三-3招标文件规定的其他价格扣除证明材料（若有）</w:t>
      </w:r>
    </w:p>
    <w:p>
      <w:pPr>
        <w:pStyle w:val="3"/>
        <w:keepNext w:val="0"/>
        <w:keepLines w:val="0"/>
        <w:widowControl/>
        <w:suppressLineNumbers w:val="0"/>
        <w:spacing w:before="0" w:beforeAutospacing="0" w:after="0" w:afterAutospacing="0"/>
        <w:ind w:left="0" w:right="0"/>
        <w:jc w:val="center"/>
      </w:pPr>
      <w:r>
        <w:rPr>
          <w:rFonts w:hint="eastAsia" w:ascii="宋体" w:hAnsi="宋体" w:eastAsia="宋体" w:cs="宋体"/>
          <w:sz w:val="16"/>
          <w:szCs w:val="16"/>
          <w:bdr w:val="none" w:color="auto" w:sz="0" w:space="0"/>
          <w:shd w:val="clear" w:fill="FFFFFF"/>
        </w:rPr>
        <w:t>编制说明</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若投标人可享受招标文件规定的除</w:t>
      </w:r>
      <w:r>
        <w:rPr>
          <w:rStyle w:val="5"/>
          <w:rFonts w:hint="eastAsia" w:ascii="宋体" w:hAnsi="宋体" w:eastAsia="宋体" w:cs="宋体"/>
          <w:sz w:val="16"/>
          <w:szCs w:val="16"/>
          <w:bdr w:val="none" w:color="auto" w:sz="0" w:space="0"/>
          <w:shd w:val="clear" w:fill="FFFFFF"/>
        </w:rPr>
        <w:t>“节能（非强制类）、环境标志产品价格扣除”及“小型、微型企业产品等价格扣除”</w:t>
      </w:r>
      <w:r>
        <w:rPr>
          <w:rFonts w:hint="eastAsia" w:ascii="宋体" w:hAnsi="宋体" w:eastAsia="宋体" w:cs="宋体"/>
          <w:sz w:val="16"/>
          <w:szCs w:val="16"/>
          <w:bdr w:val="none" w:color="auto" w:sz="0" w:space="0"/>
          <w:shd w:val="clear" w:fill="FFFFFF"/>
        </w:rPr>
        <w:t>外的其他价格扣除优惠，则投标人应按照招标文件要求提供相应证明材料。</w:t>
      </w:r>
    </w:p>
    <w:p>
      <w:pPr>
        <w:pStyle w:val="3"/>
        <w:keepNext w:val="0"/>
        <w:keepLines w:val="0"/>
        <w:widowControl/>
        <w:suppressLineNumbers w:val="0"/>
        <w:spacing w:before="0" w:beforeAutospacing="0" w:after="0" w:afterAutospacing="0"/>
        <w:ind w:left="0" w:right="0"/>
        <w:jc w:val="center"/>
      </w:pPr>
      <w:r>
        <w:rPr>
          <w:rFonts w:hint="default" w:ascii="Calibri" w:hAnsi="Calibri" w:cs="Calibri"/>
          <w:sz w:val="16"/>
          <w:szCs w:val="16"/>
          <w:bdr w:val="none" w:color="auto" w:sz="0" w:space="0"/>
          <w:shd w:val="clear" w:fill="FFFFFF"/>
        </w:rPr>
        <w:br w:type="textWrapping"/>
      </w:r>
      <w:r>
        <w:rPr>
          <w:rStyle w:val="5"/>
          <w:rFonts w:hint="eastAsia" w:ascii="宋体" w:hAnsi="宋体" w:eastAsia="宋体" w:cs="宋体"/>
          <w:sz w:val="16"/>
          <w:szCs w:val="16"/>
          <w:bdr w:val="none" w:color="auto" w:sz="0" w:space="0"/>
          <w:shd w:val="clear" w:fill="FFFFFF"/>
        </w:rPr>
        <w:t>四、招标文件规定的加分证明材料（若有）</w:t>
      </w:r>
    </w:p>
    <w:p>
      <w:pPr>
        <w:pStyle w:val="3"/>
        <w:keepNext w:val="0"/>
        <w:keepLines w:val="0"/>
        <w:widowControl/>
        <w:suppressLineNumbers w:val="0"/>
        <w:spacing w:before="0" w:beforeAutospacing="0" w:after="0" w:afterAutospacing="0"/>
        <w:ind w:left="0" w:right="0"/>
        <w:jc w:val="center"/>
      </w:pPr>
      <w:r>
        <w:rPr>
          <w:rStyle w:val="5"/>
          <w:rFonts w:hint="eastAsia" w:ascii="宋体" w:hAnsi="宋体" w:eastAsia="宋体" w:cs="宋体"/>
          <w:sz w:val="16"/>
          <w:szCs w:val="16"/>
          <w:bdr w:val="none" w:color="auto" w:sz="0" w:space="0"/>
          <w:shd w:val="clear" w:fill="FFFFFF"/>
        </w:rPr>
        <w:t>四-1优先类节能产品、环境标志产品加分证明材料（若有）</w:t>
      </w:r>
    </w:p>
    <w:p>
      <w:pPr>
        <w:pStyle w:val="3"/>
        <w:keepNext w:val="0"/>
        <w:keepLines w:val="0"/>
        <w:widowControl/>
        <w:suppressLineNumbers w:val="0"/>
        <w:spacing w:before="0" w:beforeAutospacing="0" w:after="0" w:afterAutospacing="0"/>
        <w:ind w:left="0" w:right="0"/>
        <w:jc w:val="center"/>
      </w:pPr>
      <w:r>
        <w:rPr>
          <w:rStyle w:val="5"/>
          <w:rFonts w:hint="eastAsia" w:ascii="宋体" w:hAnsi="宋体" w:eastAsia="宋体" w:cs="宋体"/>
          <w:sz w:val="16"/>
          <w:szCs w:val="16"/>
          <w:bdr w:val="none" w:color="auto" w:sz="0" w:space="0"/>
          <w:shd w:val="clear" w:fill="FFFFFF"/>
        </w:rPr>
        <w:t>四-1-①优先类节能产品、环境标志产品统计表（加分适用，若有）</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招标编号：</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jc w:val="right"/>
      </w:pPr>
      <w:r>
        <w:rPr>
          <w:rFonts w:hint="eastAsia" w:ascii="宋体" w:hAnsi="宋体" w:eastAsia="宋体" w:cs="宋体"/>
          <w:sz w:val="16"/>
          <w:szCs w:val="16"/>
          <w:bdr w:val="none" w:color="auto" w:sz="0" w:space="0"/>
          <w:shd w:val="clear" w:fill="FFFFFF"/>
        </w:rPr>
        <w:t>货币及单位：人民币元</w:t>
      </w:r>
    </w:p>
    <w:tbl>
      <w:tblPr>
        <w:tblW w:w="6812"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979"/>
        <w:gridCol w:w="969"/>
        <w:gridCol w:w="964"/>
        <w:gridCol w:w="974"/>
        <w:gridCol w:w="964"/>
        <w:gridCol w:w="974"/>
        <w:gridCol w:w="98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934"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5788" w:type="dxa"/>
            <w:gridSpan w:val="6"/>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本合同包内属于节能、环境标志产品的情况</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34"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合同包</w:t>
            </w:r>
          </w:p>
        </w:tc>
        <w:tc>
          <w:tcPr>
            <w:tcW w:w="939"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品目号</w:t>
            </w:r>
          </w:p>
        </w:tc>
        <w:tc>
          <w:tcPr>
            <w:tcW w:w="934"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货物名称</w:t>
            </w:r>
          </w:p>
        </w:tc>
        <w:tc>
          <w:tcPr>
            <w:tcW w:w="944"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单价</w:t>
            </w:r>
          </w:p>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（现场）</w:t>
            </w:r>
          </w:p>
        </w:tc>
        <w:tc>
          <w:tcPr>
            <w:tcW w:w="934"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数量</w:t>
            </w:r>
          </w:p>
        </w:tc>
        <w:tc>
          <w:tcPr>
            <w:tcW w:w="944"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总价</w:t>
            </w:r>
          </w:p>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（现场）</w:t>
            </w:r>
          </w:p>
        </w:tc>
        <w:tc>
          <w:tcPr>
            <w:tcW w:w="943"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认证种类</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34" w:type="dxa"/>
            <w:vMerge w:val="restart"/>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w:t>
            </w:r>
          </w:p>
        </w:tc>
        <w:tc>
          <w:tcPr>
            <w:tcW w:w="939"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*-1</w:t>
            </w:r>
          </w:p>
        </w:tc>
        <w:tc>
          <w:tcPr>
            <w:tcW w:w="934"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944"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934"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944"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943"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34" w:type="dxa"/>
            <w:vMerge w:val="continue"/>
            <w:tcBorders>
              <w:top w:val="nil"/>
              <w:left w:val="nil"/>
              <w:bottom w:val="nil"/>
              <w:right w:val="nil"/>
            </w:tcBorders>
            <w:shd w:val="clear"/>
            <w:tcMar>
              <w:top w:w="0" w:type="dxa"/>
              <w:left w:w="84" w:type="dxa"/>
              <w:bottom w:w="0" w:type="dxa"/>
              <w:right w:w="84" w:type="dxa"/>
            </w:tcMar>
            <w:vAlign w:val="center"/>
          </w:tcPr>
          <w:p>
            <w:pPr>
              <w:rPr>
                <w:rFonts w:hint="eastAsia" w:ascii="微软雅黑" w:hAnsi="微软雅黑" w:eastAsia="微软雅黑" w:cs="微软雅黑"/>
                <w:color w:val="393939"/>
                <w:sz w:val="15"/>
                <w:szCs w:val="15"/>
              </w:rPr>
            </w:pPr>
          </w:p>
        </w:tc>
        <w:tc>
          <w:tcPr>
            <w:tcW w:w="939"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default" w:ascii="Calibri" w:hAnsi="Calibri" w:eastAsia="微软雅黑" w:cs="Calibri"/>
                <w:color w:val="393939"/>
                <w:sz w:val="16"/>
                <w:szCs w:val="16"/>
                <w:bdr w:val="none" w:color="auto" w:sz="0" w:space="0"/>
              </w:rPr>
              <w:t>…</w:t>
            </w:r>
          </w:p>
        </w:tc>
        <w:tc>
          <w:tcPr>
            <w:tcW w:w="934"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944"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934"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944"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943"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934"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备注</w:t>
            </w:r>
          </w:p>
        </w:tc>
        <w:tc>
          <w:tcPr>
            <w:tcW w:w="5788" w:type="dxa"/>
            <w:gridSpan w:val="6"/>
            <w:tcBorders>
              <w:top w:val="nil"/>
              <w:left w:val="nil"/>
              <w:bottom w:val="nil"/>
              <w:right w:val="nil"/>
            </w:tcBorders>
            <w:shd w:val="clear"/>
            <w:tcMar>
              <w:top w:w="0" w:type="dxa"/>
              <w:left w:w="84" w:type="dxa"/>
              <w:bottom w:w="0" w:type="dxa"/>
              <w:right w:w="84" w:type="dxa"/>
            </w:tcMar>
            <w:vAlign w:val="top"/>
          </w:tcPr>
          <w:p>
            <w:pPr>
              <w:pStyle w:val="3"/>
              <w:keepNext w:val="0"/>
              <w:keepLines w:val="0"/>
              <w:widowControl/>
              <w:suppressLineNumbers w:val="0"/>
              <w:spacing w:line="18" w:lineRule="atLeast"/>
            </w:pPr>
            <w:r>
              <w:rPr>
                <w:rFonts w:hint="eastAsia" w:ascii="宋体" w:hAnsi="宋体" w:eastAsia="宋体" w:cs="宋体"/>
                <w:color w:val="393939"/>
                <w:sz w:val="16"/>
                <w:szCs w:val="16"/>
                <w:bdr w:val="none" w:color="auto" w:sz="0" w:space="0"/>
              </w:rPr>
              <w:t>a.合同包内属于节能、环境标志产品的报价总金额：</w:t>
            </w:r>
            <w:r>
              <w:rPr>
                <w:rFonts w:hint="eastAsia" w:ascii="宋体" w:hAnsi="宋体" w:eastAsia="宋体" w:cs="宋体"/>
                <w:color w:val="393939"/>
                <w:sz w:val="16"/>
                <w:szCs w:val="16"/>
                <w:u w:val="single"/>
                <w:bdr w:val="none" w:color="auto" w:sz="0" w:space="0"/>
              </w:rPr>
              <w:t xml:space="preserve"> </w:t>
            </w:r>
            <w:r>
              <w:rPr>
                <w:rFonts w:hint="eastAsia" w:ascii="宋体" w:hAnsi="宋体" w:eastAsia="宋体" w:cs="宋体"/>
                <w:color w:val="393939"/>
                <w:sz w:val="16"/>
                <w:szCs w:val="16"/>
                <w:bdr w:val="none" w:color="auto" w:sz="0" w:space="0"/>
              </w:rPr>
              <w:t>；</w:t>
            </w:r>
          </w:p>
          <w:p>
            <w:pPr>
              <w:pStyle w:val="3"/>
              <w:keepNext w:val="0"/>
              <w:keepLines w:val="0"/>
              <w:widowControl/>
              <w:suppressLineNumbers w:val="0"/>
              <w:spacing w:line="18" w:lineRule="atLeast"/>
            </w:pPr>
            <w:r>
              <w:rPr>
                <w:rFonts w:hint="eastAsia" w:ascii="宋体" w:hAnsi="宋体" w:eastAsia="宋体" w:cs="宋体"/>
                <w:color w:val="393939"/>
                <w:sz w:val="16"/>
                <w:szCs w:val="16"/>
                <w:bdr w:val="none" w:color="auto" w:sz="0" w:space="0"/>
              </w:rPr>
              <w:t>b.合同包投标总价（报价总金额）：</w:t>
            </w:r>
            <w:r>
              <w:rPr>
                <w:rFonts w:hint="eastAsia" w:ascii="宋体" w:hAnsi="宋体" w:eastAsia="宋体" w:cs="宋体"/>
                <w:color w:val="393939"/>
                <w:sz w:val="16"/>
                <w:szCs w:val="16"/>
                <w:u w:val="single"/>
                <w:bdr w:val="none" w:color="auto" w:sz="0" w:space="0"/>
              </w:rPr>
              <w:t xml:space="preserve"> </w:t>
            </w:r>
            <w:r>
              <w:rPr>
                <w:rFonts w:hint="eastAsia" w:ascii="宋体" w:hAnsi="宋体" w:eastAsia="宋体" w:cs="宋体"/>
                <w:color w:val="393939"/>
                <w:sz w:val="16"/>
                <w:szCs w:val="16"/>
                <w:bdr w:val="none" w:color="auto" w:sz="0" w:space="0"/>
              </w:rPr>
              <w:t>；</w:t>
            </w:r>
          </w:p>
          <w:p>
            <w:pPr>
              <w:pStyle w:val="3"/>
              <w:keepNext w:val="0"/>
              <w:keepLines w:val="0"/>
              <w:widowControl/>
              <w:suppressLineNumbers w:val="0"/>
              <w:spacing w:line="18" w:lineRule="atLeast"/>
            </w:pPr>
            <w:r>
              <w:rPr>
                <w:rFonts w:hint="eastAsia" w:ascii="宋体" w:hAnsi="宋体" w:eastAsia="宋体" w:cs="宋体"/>
                <w:color w:val="393939"/>
                <w:sz w:val="16"/>
                <w:szCs w:val="16"/>
                <w:bdr w:val="none" w:color="auto" w:sz="0" w:space="0"/>
              </w:rPr>
              <w:t>c.“合同包内属于节能、环境标志产品的报价总金额”占“合同包投标总价（报价总金额）”的比例（以</w:t>
            </w:r>
            <w:r>
              <w:rPr>
                <w:rFonts w:hint="default" w:ascii="Calibri" w:hAnsi="Calibri" w:eastAsia="宋体" w:cs="Calibri"/>
                <w:color w:val="393939"/>
                <w:sz w:val="16"/>
                <w:szCs w:val="16"/>
                <w:bdr w:val="none" w:color="auto" w:sz="0" w:space="0"/>
              </w:rPr>
              <w:t>%</w:t>
            </w:r>
            <w:r>
              <w:rPr>
                <w:rFonts w:hint="eastAsia" w:ascii="宋体" w:hAnsi="宋体" w:eastAsia="宋体" w:cs="宋体"/>
                <w:color w:val="393939"/>
                <w:sz w:val="16"/>
                <w:szCs w:val="16"/>
                <w:bdr w:val="none" w:color="auto" w:sz="0" w:space="0"/>
              </w:rPr>
              <w:t>列示）：</w:t>
            </w:r>
            <w:r>
              <w:rPr>
                <w:rFonts w:hint="eastAsia" w:ascii="宋体" w:hAnsi="宋体" w:eastAsia="宋体" w:cs="宋体"/>
                <w:color w:val="393939"/>
                <w:sz w:val="16"/>
                <w:szCs w:val="16"/>
                <w:u w:val="single"/>
                <w:bdr w:val="none" w:color="auto" w:sz="0" w:space="0"/>
              </w:rPr>
              <w:t xml:space="preserve"> </w:t>
            </w:r>
            <w:r>
              <w:rPr>
                <w:rFonts w:hint="eastAsia" w:ascii="宋体" w:hAnsi="宋体" w:eastAsia="宋体" w:cs="宋体"/>
                <w:color w:val="393939"/>
                <w:sz w:val="16"/>
                <w:szCs w:val="16"/>
                <w:bdr w:val="none" w:color="auto" w:sz="0" w:space="0"/>
              </w:rPr>
              <w:t>。</w:t>
            </w:r>
          </w:p>
        </w:tc>
      </w:tr>
    </w:tbl>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★注意：</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1、对节能、环境标志产品计算加分时，只依据投标文件</w:t>
      </w:r>
      <w:r>
        <w:rPr>
          <w:rStyle w:val="5"/>
          <w:rFonts w:hint="eastAsia" w:ascii="宋体" w:hAnsi="宋体" w:eastAsia="宋体" w:cs="宋体"/>
          <w:sz w:val="16"/>
          <w:szCs w:val="16"/>
          <w:bdr w:val="none" w:color="auto" w:sz="0" w:space="0"/>
          <w:shd w:val="clear" w:fill="FFFFFF"/>
        </w:rPr>
        <w:t>“四</w:t>
      </w:r>
      <w:r>
        <w:rPr>
          <w:rStyle w:val="5"/>
          <w:rFonts w:hint="default" w:ascii="Calibri" w:hAnsi="Calibri" w:eastAsia="宋体" w:cs="Calibri"/>
          <w:sz w:val="16"/>
          <w:szCs w:val="16"/>
          <w:bdr w:val="none" w:color="auto" w:sz="0" w:space="0"/>
          <w:shd w:val="clear" w:fill="FFFFFF"/>
        </w:rPr>
        <w:t>-1-</w:t>
      </w:r>
      <w:r>
        <w:rPr>
          <w:rStyle w:val="5"/>
          <w:rFonts w:hint="eastAsia" w:ascii="宋体" w:hAnsi="宋体" w:eastAsia="宋体" w:cs="宋体"/>
          <w:sz w:val="16"/>
          <w:szCs w:val="16"/>
          <w:bdr w:val="none" w:color="auto" w:sz="0" w:space="0"/>
          <w:shd w:val="clear" w:fill="FFFFFF"/>
        </w:rPr>
        <w:t>②优先类节能产品、环境标志产品加分证明材料（加分适用，若有）”。</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2、本表以合同包为单位，不同合同包请分别填写；同一合同包请按照其品目号顺序分别填写。</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3、具体统计、计算：</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3.1</w:t>
      </w:r>
      <w:r>
        <w:rPr>
          <w:rFonts w:hint="default" w:ascii="Calibri" w:hAnsi="Calibri" w:cs="Calibri"/>
          <w:sz w:val="16"/>
          <w:szCs w:val="16"/>
          <w:bdr w:val="none" w:color="auto" w:sz="0" w:space="0"/>
          <w:shd w:val="clear" w:fill="FFFFFF"/>
        </w:rPr>
        <w:t xml:space="preserve"> </w:t>
      </w:r>
      <w:r>
        <w:rPr>
          <w:rFonts w:hint="eastAsia" w:ascii="宋体" w:hAnsi="宋体" w:eastAsia="宋体" w:cs="宋体"/>
          <w:sz w:val="16"/>
          <w:szCs w:val="16"/>
          <w:bdr w:val="none" w:color="auto" w:sz="0" w:space="0"/>
          <w:shd w:val="clear" w:fill="FFFFFF"/>
        </w:rPr>
        <w:t>若节能、环境标志产品仅是构成投标产品的部件、组件或零件，则该投标产品不享受鼓励优惠政策。同一品目中各认证证书不重复计算加分。强制类节能产品不享受加分。</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3.2计算结果若除不尽，可四舍五入保留到小数点后两位。</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3.3投标人应按照招标文件要求认真统计、计算，否则评标委员会不予认定。</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3.4若无节能、环境标志产品，不填写本表，否则，</w:t>
      </w:r>
      <w:r>
        <w:rPr>
          <w:rStyle w:val="5"/>
          <w:rFonts w:hint="eastAsia" w:ascii="宋体" w:hAnsi="宋体" w:eastAsia="宋体" w:cs="宋体"/>
          <w:sz w:val="16"/>
          <w:szCs w:val="16"/>
          <w:bdr w:val="none" w:color="auto" w:sz="0" w:space="0"/>
          <w:shd w:val="clear" w:fill="FFFFFF"/>
        </w:rPr>
        <w:t>视为提供虚假材料</w:t>
      </w:r>
      <w:r>
        <w:rPr>
          <w:rFonts w:hint="eastAsia" w:ascii="宋体" w:hAnsi="宋体" w:eastAsia="宋体" w:cs="宋体"/>
          <w:sz w:val="16"/>
          <w:szCs w:val="16"/>
          <w:bdr w:val="none" w:color="auto" w:sz="0" w:space="0"/>
          <w:shd w:val="clear" w:fill="FFFFFF"/>
        </w:rPr>
        <w:t>。</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4、纸质投标文件正本中的本表（若有）应为原件。</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w:t>
      </w:r>
      <w:r>
        <w:rPr>
          <w:rFonts w:hint="eastAsia" w:ascii="宋体" w:hAnsi="宋体" w:eastAsia="宋体" w:cs="宋体"/>
          <w:sz w:val="16"/>
          <w:szCs w:val="16"/>
          <w:u w:val="single"/>
          <w:bdr w:val="none" w:color="auto" w:sz="0" w:space="0"/>
          <w:shd w:val="clear" w:fill="FFFFFF"/>
        </w:rPr>
        <w:t>（全称并加盖单位公章）</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投标人代表签字：</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日期：</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年</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月</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日</w:t>
      </w:r>
    </w:p>
    <w:p>
      <w:pPr>
        <w:pStyle w:val="3"/>
        <w:keepNext w:val="0"/>
        <w:keepLines w:val="0"/>
        <w:widowControl/>
        <w:suppressLineNumbers w:val="0"/>
        <w:spacing w:before="0" w:beforeAutospacing="0" w:after="0" w:afterAutospacing="0"/>
        <w:ind w:left="0" w:right="0"/>
        <w:jc w:val="center"/>
      </w:pPr>
      <w:r>
        <w:rPr>
          <w:rStyle w:val="5"/>
          <w:rFonts w:hint="default" w:ascii="Calibri" w:hAnsi="Calibri" w:cs="Calibri"/>
          <w:sz w:val="16"/>
          <w:szCs w:val="16"/>
          <w:bdr w:val="none" w:color="auto" w:sz="0" w:space="0"/>
          <w:shd w:val="clear" w:fill="FFFFFF"/>
        </w:rPr>
        <w:br w:type="textWrapping"/>
      </w:r>
      <w:r>
        <w:rPr>
          <w:rStyle w:val="5"/>
          <w:rFonts w:hint="eastAsia" w:ascii="宋体" w:hAnsi="宋体" w:eastAsia="宋体" w:cs="宋体"/>
          <w:sz w:val="16"/>
          <w:szCs w:val="16"/>
          <w:bdr w:val="none" w:color="auto" w:sz="0" w:space="0"/>
          <w:shd w:val="clear" w:fill="FFFFFF"/>
        </w:rPr>
        <w:t>四-1-②优先类节能产品、环境标志产品证明材料（加分适用，若有）</w:t>
      </w:r>
    </w:p>
    <w:p>
      <w:pPr>
        <w:pStyle w:val="3"/>
        <w:keepNext w:val="0"/>
        <w:keepLines w:val="0"/>
        <w:widowControl/>
        <w:suppressLineNumbers w:val="0"/>
        <w:spacing w:before="0" w:beforeAutospacing="0" w:after="0" w:afterAutospacing="0"/>
        <w:ind w:left="0" w:right="0"/>
        <w:jc w:val="center"/>
      </w:pPr>
      <w:r>
        <w:rPr>
          <w:rFonts w:hint="eastAsia" w:ascii="宋体" w:hAnsi="宋体" w:eastAsia="宋体" w:cs="宋体"/>
          <w:sz w:val="16"/>
          <w:szCs w:val="16"/>
          <w:bdr w:val="none" w:color="auto" w:sz="0" w:space="0"/>
          <w:shd w:val="clear" w:fill="FFFFFF"/>
        </w:rPr>
        <w:t>编制说明</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除招标文件另有规定外，投标人应按照招标文件第二章（表1）第</w:t>
      </w:r>
      <w:r>
        <w:rPr>
          <w:rFonts w:hint="default" w:ascii="Calibri" w:hAnsi="Calibri" w:eastAsia="宋体" w:cs="Calibri"/>
          <w:sz w:val="16"/>
          <w:szCs w:val="16"/>
          <w:bdr w:val="none" w:color="auto" w:sz="0" w:space="0"/>
          <w:shd w:val="clear" w:fill="FFFFFF"/>
        </w:rPr>
        <w:t>13</w:t>
      </w:r>
      <w:r>
        <w:rPr>
          <w:rFonts w:hint="eastAsia" w:ascii="宋体" w:hAnsi="宋体" w:eastAsia="宋体" w:cs="宋体"/>
          <w:sz w:val="16"/>
          <w:szCs w:val="16"/>
          <w:bdr w:val="none" w:color="auto" w:sz="0" w:space="0"/>
          <w:shd w:val="clear" w:fill="FFFFFF"/>
        </w:rPr>
        <w:t>项规定提供相应证明材料。</w:t>
      </w:r>
    </w:p>
    <w:p>
      <w:pPr>
        <w:pStyle w:val="3"/>
        <w:keepNext w:val="0"/>
        <w:keepLines w:val="0"/>
        <w:widowControl/>
        <w:suppressLineNumbers w:val="0"/>
        <w:spacing w:before="0" w:beforeAutospacing="0" w:after="0" w:afterAutospacing="0"/>
        <w:ind w:left="0" w:right="0"/>
        <w:jc w:val="center"/>
      </w:pPr>
      <w:r>
        <w:rPr>
          <w:rFonts w:hint="default" w:ascii="Calibri" w:hAnsi="Calibri" w:cs="Calibri"/>
          <w:sz w:val="16"/>
          <w:szCs w:val="16"/>
          <w:bdr w:val="none" w:color="auto" w:sz="0" w:space="0"/>
          <w:shd w:val="clear" w:fill="FFFFFF"/>
        </w:rPr>
        <w:br w:type="textWrapping"/>
      </w:r>
      <w:r>
        <w:rPr>
          <w:rFonts w:hint="eastAsia" w:ascii="宋体" w:hAnsi="宋体" w:eastAsia="宋体" w:cs="宋体"/>
          <w:sz w:val="16"/>
          <w:szCs w:val="16"/>
          <w:bdr w:val="none" w:color="auto" w:sz="0" w:space="0"/>
          <w:shd w:val="clear" w:fill="FFFFFF"/>
        </w:rPr>
        <w:t>四</w:t>
      </w:r>
      <w:r>
        <w:rPr>
          <w:rStyle w:val="5"/>
          <w:rFonts w:hint="eastAsia" w:ascii="宋体" w:hAnsi="宋体" w:eastAsia="宋体" w:cs="宋体"/>
          <w:sz w:val="16"/>
          <w:szCs w:val="16"/>
          <w:bdr w:val="none" w:color="auto" w:sz="0" w:space="0"/>
          <w:shd w:val="clear" w:fill="FFFFFF"/>
        </w:rPr>
        <w:t>-2招标文件规定的其他加分证明材料（若有）</w:t>
      </w:r>
    </w:p>
    <w:p>
      <w:pPr>
        <w:pStyle w:val="3"/>
        <w:keepNext w:val="0"/>
        <w:keepLines w:val="0"/>
        <w:widowControl/>
        <w:suppressLineNumbers w:val="0"/>
        <w:spacing w:before="0" w:beforeAutospacing="0" w:after="0" w:afterAutospacing="0"/>
        <w:ind w:left="0" w:right="0"/>
        <w:jc w:val="center"/>
      </w:pPr>
      <w:r>
        <w:rPr>
          <w:rFonts w:hint="eastAsia" w:ascii="宋体" w:hAnsi="宋体" w:eastAsia="宋体" w:cs="宋体"/>
          <w:sz w:val="16"/>
          <w:szCs w:val="16"/>
          <w:bdr w:val="none" w:color="auto" w:sz="0" w:space="0"/>
          <w:shd w:val="clear" w:fill="FFFFFF"/>
        </w:rPr>
        <w:t>编制说明</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若投标人可享受招标文件规定的除</w:t>
      </w:r>
      <w:r>
        <w:rPr>
          <w:rStyle w:val="5"/>
          <w:rFonts w:hint="eastAsia" w:ascii="宋体" w:hAnsi="宋体" w:eastAsia="宋体" w:cs="宋体"/>
          <w:sz w:val="16"/>
          <w:szCs w:val="16"/>
          <w:bdr w:val="none" w:color="auto" w:sz="0" w:space="0"/>
          <w:shd w:val="clear" w:fill="FFFFFF"/>
        </w:rPr>
        <w:t>“优先类节能产品、环境标志产品加分”</w:t>
      </w:r>
      <w:r>
        <w:rPr>
          <w:rFonts w:hint="eastAsia" w:ascii="宋体" w:hAnsi="宋体" w:eastAsia="宋体" w:cs="宋体"/>
          <w:sz w:val="16"/>
          <w:szCs w:val="16"/>
          <w:bdr w:val="none" w:color="auto" w:sz="0" w:space="0"/>
          <w:shd w:val="clear" w:fill="FFFFFF"/>
        </w:rPr>
        <w:t>外的其他加分优惠，则投标人应按照招标文件要求提供相应证明材料。</w:t>
      </w:r>
    </w:p>
    <w:p>
      <w:pPr>
        <w:pStyle w:val="3"/>
        <w:keepNext w:val="0"/>
        <w:keepLines w:val="0"/>
        <w:widowControl/>
        <w:suppressLineNumbers w:val="0"/>
        <w:spacing w:before="0" w:beforeAutospacing="0" w:after="0" w:afterAutospacing="0"/>
        <w:ind w:left="0" w:right="0"/>
      </w:pPr>
    </w:p>
    <w:p>
      <w:pPr>
        <w:pStyle w:val="3"/>
        <w:keepNext w:val="0"/>
        <w:keepLines w:val="0"/>
        <w:widowControl/>
        <w:suppressLineNumbers w:val="0"/>
        <w:spacing w:before="0" w:beforeAutospacing="0" w:after="0" w:afterAutospacing="0"/>
        <w:ind w:left="0" w:right="0"/>
        <w:jc w:val="center"/>
      </w:pPr>
      <w:r>
        <w:rPr>
          <w:rStyle w:val="5"/>
          <w:rFonts w:hint="eastAsia" w:ascii="宋体" w:hAnsi="宋体" w:eastAsia="宋体" w:cs="宋体"/>
          <w:sz w:val="22"/>
          <w:szCs w:val="22"/>
          <w:bdr w:val="none" w:color="auto" w:sz="0" w:space="0"/>
          <w:shd w:val="clear" w:fill="FFFFFF"/>
        </w:rPr>
        <w:t>封面格式</w:t>
      </w:r>
    </w:p>
    <w:p>
      <w:pPr>
        <w:pStyle w:val="3"/>
        <w:keepNext w:val="0"/>
        <w:keepLines w:val="0"/>
        <w:widowControl/>
        <w:suppressLineNumbers w:val="0"/>
        <w:spacing w:before="0" w:beforeAutospacing="0" w:after="0" w:afterAutospacing="0"/>
        <w:ind w:left="0" w:right="0"/>
        <w:jc w:val="center"/>
      </w:pPr>
      <w:r>
        <w:rPr>
          <w:rStyle w:val="5"/>
          <w:rFonts w:hint="eastAsia" w:ascii="宋体" w:hAnsi="宋体" w:eastAsia="宋体" w:cs="宋体"/>
          <w:sz w:val="38"/>
          <w:szCs w:val="38"/>
          <w:bdr w:val="none" w:color="auto" w:sz="0" w:space="0"/>
          <w:shd w:val="clear" w:fill="FFFFFF"/>
        </w:rPr>
        <w:t>福建省政府采购投标文件</w:t>
      </w:r>
    </w:p>
    <w:p>
      <w:pPr>
        <w:pStyle w:val="3"/>
        <w:keepNext w:val="0"/>
        <w:keepLines w:val="0"/>
        <w:widowControl/>
        <w:suppressLineNumbers w:val="0"/>
        <w:spacing w:before="0" w:beforeAutospacing="0" w:after="0" w:afterAutospacing="0"/>
        <w:ind w:left="0" w:right="0"/>
        <w:jc w:val="center"/>
      </w:pPr>
      <w:r>
        <w:rPr>
          <w:rStyle w:val="5"/>
          <w:rFonts w:hint="eastAsia" w:ascii="宋体" w:hAnsi="宋体" w:eastAsia="宋体" w:cs="宋体"/>
          <w:sz w:val="38"/>
          <w:szCs w:val="38"/>
          <w:bdr w:val="none" w:color="auto" w:sz="0" w:space="0"/>
          <w:shd w:val="clear" w:fill="FFFFFF"/>
        </w:rPr>
        <w:t>（技术商务部分）</w:t>
      </w:r>
    </w:p>
    <w:p>
      <w:pPr>
        <w:pStyle w:val="3"/>
        <w:keepNext w:val="0"/>
        <w:keepLines w:val="0"/>
        <w:widowControl/>
        <w:suppressLineNumbers w:val="0"/>
        <w:spacing w:before="0" w:beforeAutospacing="0" w:after="0" w:afterAutospacing="0"/>
        <w:ind w:left="0" w:right="0"/>
        <w:jc w:val="center"/>
      </w:pPr>
      <w:r>
        <w:rPr>
          <w:rStyle w:val="5"/>
          <w:rFonts w:hint="eastAsia" w:ascii="宋体" w:hAnsi="宋体" w:eastAsia="宋体" w:cs="宋体"/>
          <w:sz w:val="28"/>
          <w:szCs w:val="28"/>
          <w:u w:val="single"/>
          <w:bdr w:val="none" w:color="auto" w:sz="0" w:space="0"/>
          <w:shd w:val="clear" w:fill="FFFFFF"/>
        </w:rPr>
        <w:t>（填写正本或副本）</w:t>
      </w:r>
    </w:p>
    <w:p>
      <w:pPr>
        <w:pStyle w:val="3"/>
        <w:keepNext w:val="0"/>
        <w:keepLines w:val="0"/>
        <w:widowControl/>
        <w:suppressLineNumbers w:val="0"/>
        <w:spacing w:before="0" w:beforeAutospacing="0" w:after="0" w:afterAutospacing="0"/>
        <w:ind w:left="0" w:right="0" w:firstLine="1536"/>
      </w:pPr>
      <w:r>
        <w:rPr>
          <w:rStyle w:val="5"/>
          <w:rFonts w:hint="eastAsia" w:ascii="宋体" w:hAnsi="宋体" w:eastAsia="宋体" w:cs="宋体"/>
          <w:sz w:val="25"/>
          <w:szCs w:val="25"/>
          <w:bdr w:val="none" w:color="auto" w:sz="0" w:space="0"/>
          <w:shd w:val="clear" w:fill="FFFFFF"/>
        </w:rPr>
        <w:t>项目名称：</w:t>
      </w:r>
      <w:r>
        <w:rPr>
          <w:rStyle w:val="5"/>
          <w:rFonts w:hint="eastAsia" w:ascii="宋体" w:hAnsi="宋体" w:eastAsia="宋体" w:cs="宋体"/>
          <w:sz w:val="25"/>
          <w:szCs w:val="25"/>
          <w:u w:val="single"/>
          <w:bdr w:val="none" w:color="auto" w:sz="0" w:space="0"/>
          <w:shd w:val="clear" w:fill="FFFFFF"/>
        </w:rPr>
        <w:t>（由投标人填写）</w:t>
      </w:r>
    </w:p>
    <w:p>
      <w:pPr>
        <w:pStyle w:val="3"/>
        <w:keepNext w:val="0"/>
        <w:keepLines w:val="0"/>
        <w:widowControl/>
        <w:suppressLineNumbers w:val="0"/>
        <w:spacing w:before="0" w:beforeAutospacing="0" w:after="0" w:afterAutospacing="0"/>
        <w:ind w:left="0" w:right="0" w:firstLine="1536"/>
      </w:pPr>
      <w:r>
        <w:rPr>
          <w:rStyle w:val="5"/>
          <w:rFonts w:hint="eastAsia" w:ascii="宋体" w:hAnsi="宋体" w:eastAsia="宋体" w:cs="宋体"/>
          <w:sz w:val="25"/>
          <w:szCs w:val="25"/>
          <w:bdr w:val="none" w:color="auto" w:sz="0" w:space="0"/>
          <w:shd w:val="clear" w:fill="FFFFFF"/>
        </w:rPr>
        <w:t>备案编号：</w:t>
      </w:r>
      <w:r>
        <w:rPr>
          <w:rStyle w:val="5"/>
          <w:rFonts w:hint="eastAsia" w:ascii="宋体" w:hAnsi="宋体" w:eastAsia="宋体" w:cs="宋体"/>
          <w:sz w:val="25"/>
          <w:szCs w:val="25"/>
          <w:u w:val="single"/>
          <w:bdr w:val="none" w:color="auto" w:sz="0" w:space="0"/>
          <w:shd w:val="clear" w:fill="FFFFFF"/>
        </w:rPr>
        <w:t>（由投标人填写）</w:t>
      </w:r>
    </w:p>
    <w:p>
      <w:pPr>
        <w:pStyle w:val="3"/>
        <w:keepNext w:val="0"/>
        <w:keepLines w:val="0"/>
        <w:widowControl/>
        <w:suppressLineNumbers w:val="0"/>
        <w:spacing w:before="0" w:beforeAutospacing="0" w:after="0" w:afterAutospacing="0"/>
        <w:ind w:left="0" w:right="0" w:firstLine="1536"/>
      </w:pPr>
      <w:r>
        <w:rPr>
          <w:rStyle w:val="5"/>
          <w:rFonts w:hint="eastAsia" w:ascii="宋体" w:hAnsi="宋体" w:eastAsia="宋体" w:cs="宋体"/>
          <w:sz w:val="25"/>
          <w:szCs w:val="25"/>
          <w:bdr w:val="none" w:color="auto" w:sz="0" w:space="0"/>
          <w:shd w:val="clear" w:fill="FFFFFF"/>
        </w:rPr>
        <w:t>招标编号：</w:t>
      </w:r>
      <w:r>
        <w:rPr>
          <w:rStyle w:val="5"/>
          <w:rFonts w:hint="eastAsia" w:ascii="宋体" w:hAnsi="宋体" w:eastAsia="宋体" w:cs="宋体"/>
          <w:sz w:val="25"/>
          <w:szCs w:val="25"/>
          <w:u w:val="single"/>
          <w:bdr w:val="none" w:color="auto" w:sz="0" w:space="0"/>
          <w:shd w:val="clear" w:fill="FFFFFF"/>
        </w:rPr>
        <w:t>（由投标人填写）</w:t>
      </w:r>
    </w:p>
    <w:p>
      <w:pPr>
        <w:pStyle w:val="3"/>
        <w:keepNext w:val="0"/>
        <w:keepLines w:val="0"/>
        <w:widowControl/>
        <w:suppressLineNumbers w:val="0"/>
        <w:spacing w:before="0" w:beforeAutospacing="0" w:after="0" w:afterAutospacing="0"/>
        <w:ind w:left="0" w:right="0" w:firstLine="1536"/>
      </w:pPr>
      <w:r>
        <w:rPr>
          <w:rStyle w:val="5"/>
          <w:rFonts w:hint="eastAsia" w:ascii="宋体" w:hAnsi="宋体" w:eastAsia="宋体" w:cs="宋体"/>
          <w:sz w:val="25"/>
          <w:szCs w:val="25"/>
          <w:bdr w:val="none" w:color="auto" w:sz="0" w:space="0"/>
          <w:shd w:val="clear" w:fill="FFFFFF"/>
        </w:rPr>
        <w:t>所投合同包：</w:t>
      </w:r>
      <w:r>
        <w:rPr>
          <w:rStyle w:val="5"/>
          <w:rFonts w:hint="eastAsia" w:ascii="宋体" w:hAnsi="宋体" w:eastAsia="宋体" w:cs="宋体"/>
          <w:sz w:val="25"/>
          <w:szCs w:val="25"/>
          <w:u w:val="single"/>
          <w:bdr w:val="none" w:color="auto" w:sz="0" w:space="0"/>
          <w:shd w:val="clear" w:fill="FFFFFF"/>
        </w:rPr>
        <w:t>（由投标人填写）</w:t>
      </w:r>
    </w:p>
    <w:p>
      <w:pPr>
        <w:pStyle w:val="3"/>
        <w:keepNext w:val="0"/>
        <w:keepLines w:val="0"/>
        <w:widowControl/>
        <w:suppressLineNumbers w:val="0"/>
        <w:spacing w:before="0" w:beforeAutospacing="0" w:after="0" w:afterAutospacing="0"/>
        <w:ind w:left="0" w:right="0"/>
        <w:jc w:val="center"/>
      </w:pPr>
      <w:r>
        <w:rPr>
          <w:rStyle w:val="5"/>
          <w:rFonts w:hint="eastAsia" w:ascii="宋体" w:hAnsi="宋体" w:eastAsia="宋体" w:cs="宋体"/>
          <w:sz w:val="25"/>
          <w:szCs w:val="25"/>
          <w:bdr w:val="none" w:color="auto" w:sz="0" w:space="0"/>
          <w:shd w:val="clear" w:fill="FFFFFF"/>
        </w:rPr>
        <w:t>投标人：</w:t>
      </w:r>
      <w:r>
        <w:rPr>
          <w:rStyle w:val="5"/>
          <w:rFonts w:hint="eastAsia" w:ascii="宋体" w:hAnsi="宋体" w:eastAsia="宋体" w:cs="宋体"/>
          <w:sz w:val="25"/>
          <w:szCs w:val="25"/>
          <w:u w:val="single"/>
          <w:bdr w:val="none" w:color="auto" w:sz="0" w:space="0"/>
          <w:shd w:val="clear" w:fill="FFFFFF"/>
        </w:rPr>
        <w:t>（填写“全称”）</w:t>
      </w:r>
    </w:p>
    <w:p>
      <w:pPr>
        <w:pStyle w:val="3"/>
        <w:keepNext w:val="0"/>
        <w:keepLines w:val="0"/>
        <w:widowControl/>
        <w:suppressLineNumbers w:val="0"/>
        <w:spacing w:before="0" w:beforeAutospacing="0" w:after="0" w:afterAutospacing="0"/>
        <w:ind w:left="0" w:right="0"/>
        <w:jc w:val="center"/>
      </w:pPr>
      <w:r>
        <w:rPr>
          <w:rStyle w:val="5"/>
          <w:rFonts w:hint="eastAsia" w:ascii="宋体" w:hAnsi="宋体" w:eastAsia="宋体" w:cs="宋体"/>
          <w:sz w:val="25"/>
          <w:szCs w:val="25"/>
          <w:u w:val="single"/>
          <w:bdr w:val="none" w:color="auto" w:sz="0" w:space="0"/>
          <w:shd w:val="clear" w:fill="FFFFFF"/>
        </w:rPr>
        <w:t>（由投标人填写）</w:t>
      </w:r>
      <w:r>
        <w:rPr>
          <w:rStyle w:val="5"/>
          <w:rFonts w:hint="eastAsia" w:ascii="宋体" w:hAnsi="宋体" w:eastAsia="宋体" w:cs="宋体"/>
          <w:sz w:val="25"/>
          <w:szCs w:val="25"/>
          <w:bdr w:val="none" w:color="auto" w:sz="0" w:space="0"/>
          <w:shd w:val="clear" w:fill="FFFFFF"/>
        </w:rPr>
        <w:t>年</w:t>
      </w:r>
      <w:r>
        <w:rPr>
          <w:rStyle w:val="5"/>
          <w:rFonts w:hint="eastAsia" w:ascii="宋体" w:hAnsi="宋体" w:eastAsia="宋体" w:cs="宋体"/>
          <w:sz w:val="25"/>
          <w:szCs w:val="25"/>
          <w:u w:val="single"/>
          <w:bdr w:val="none" w:color="auto" w:sz="0" w:space="0"/>
          <w:shd w:val="clear" w:fill="FFFFFF"/>
        </w:rPr>
        <w:t>（由投标人填写）</w:t>
      </w:r>
      <w:r>
        <w:rPr>
          <w:rStyle w:val="5"/>
          <w:rFonts w:hint="eastAsia" w:ascii="宋体" w:hAnsi="宋体" w:eastAsia="宋体" w:cs="宋体"/>
          <w:sz w:val="25"/>
          <w:szCs w:val="25"/>
          <w:bdr w:val="none" w:color="auto" w:sz="0" w:space="0"/>
          <w:shd w:val="clear" w:fill="FFFFFF"/>
        </w:rPr>
        <w:t>月</w:t>
      </w:r>
    </w:p>
    <w:p>
      <w:pPr>
        <w:pStyle w:val="3"/>
        <w:keepNext w:val="0"/>
        <w:keepLines w:val="0"/>
        <w:widowControl/>
        <w:suppressLineNumbers w:val="0"/>
        <w:spacing w:before="0" w:beforeAutospacing="0" w:after="0" w:afterAutospacing="0"/>
        <w:ind w:left="0" w:right="0"/>
        <w:jc w:val="center"/>
      </w:pPr>
      <w:r>
        <w:rPr>
          <w:rFonts w:hint="default" w:ascii="Calibri" w:hAnsi="Calibri" w:cs="Calibri"/>
          <w:sz w:val="16"/>
          <w:szCs w:val="16"/>
          <w:bdr w:val="none" w:color="auto" w:sz="0" w:space="0"/>
          <w:shd w:val="clear" w:fill="FFFFFF"/>
        </w:rPr>
        <w:br w:type="textWrapping"/>
      </w:r>
      <w:r>
        <w:rPr>
          <w:rStyle w:val="5"/>
          <w:rFonts w:hint="eastAsia" w:ascii="宋体" w:hAnsi="宋体" w:eastAsia="宋体" w:cs="宋体"/>
          <w:sz w:val="22"/>
          <w:szCs w:val="22"/>
          <w:bdr w:val="none" w:color="auto" w:sz="0" w:space="0"/>
          <w:shd w:val="clear" w:fill="FFFFFF"/>
        </w:rPr>
        <w:t>索引</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22"/>
          <w:szCs w:val="22"/>
          <w:bdr w:val="none" w:color="auto" w:sz="0" w:space="0"/>
          <w:shd w:val="clear" w:fill="FFFFFF"/>
        </w:rPr>
        <w:t>一、标的说明一览表</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22"/>
          <w:szCs w:val="22"/>
          <w:bdr w:val="none" w:color="auto" w:sz="0" w:space="0"/>
          <w:shd w:val="clear" w:fill="FFFFFF"/>
        </w:rPr>
        <w:t>二、技术和服务要求响应表</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22"/>
          <w:szCs w:val="22"/>
          <w:bdr w:val="none" w:color="auto" w:sz="0" w:space="0"/>
          <w:shd w:val="clear" w:fill="FFFFFF"/>
        </w:rPr>
        <w:t>三、商务条件响应表</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22"/>
          <w:szCs w:val="22"/>
          <w:bdr w:val="none" w:color="auto" w:sz="0" w:space="0"/>
          <w:shd w:val="clear" w:fill="FFFFFF"/>
        </w:rPr>
        <w:t>四、投标人提交的其他资料（若有）</w:t>
      </w:r>
    </w:p>
    <w:p>
      <w:pPr>
        <w:pStyle w:val="3"/>
        <w:keepNext w:val="0"/>
        <w:keepLines w:val="0"/>
        <w:widowControl/>
        <w:suppressLineNumbers w:val="0"/>
        <w:spacing w:before="0" w:beforeAutospacing="0" w:after="0" w:afterAutospacing="0"/>
        <w:ind w:left="0" w:right="0"/>
        <w:jc w:val="center"/>
      </w:pPr>
      <w:r>
        <w:rPr>
          <w:rFonts w:hint="eastAsia" w:ascii="宋体" w:hAnsi="宋体" w:eastAsia="宋体" w:cs="宋体"/>
          <w:sz w:val="16"/>
          <w:szCs w:val="16"/>
          <w:bdr w:val="none" w:color="auto" w:sz="0" w:space="0"/>
          <w:shd w:val="clear" w:fill="FFFFFF"/>
        </w:rPr>
        <w:t>★注意</w:t>
      </w:r>
    </w:p>
    <w:p>
      <w:pPr>
        <w:pStyle w:val="3"/>
        <w:keepNext w:val="0"/>
        <w:keepLines w:val="0"/>
        <w:widowControl/>
        <w:suppressLineNumbers w:val="0"/>
        <w:spacing w:before="0" w:beforeAutospacing="0" w:after="0" w:afterAutospacing="0"/>
        <w:ind w:left="0" w:right="0" w:firstLine="336"/>
      </w:pPr>
      <w:r>
        <w:rPr>
          <w:rFonts w:hint="eastAsia" w:ascii="宋体" w:hAnsi="宋体" w:eastAsia="宋体" w:cs="宋体"/>
          <w:sz w:val="16"/>
          <w:szCs w:val="16"/>
          <w:bdr w:val="none" w:color="auto" w:sz="0" w:space="0"/>
          <w:shd w:val="clear" w:fill="FFFFFF"/>
        </w:rPr>
        <w:t>技术商务部分中不得出现报价部分的全部或部分的投标报价信息（或组成资料），否则</w:t>
      </w:r>
      <w:r>
        <w:rPr>
          <w:rStyle w:val="5"/>
          <w:rFonts w:hint="eastAsia" w:ascii="宋体" w:hAnsi="宋体" w:eastAsia="宋体" w:cs="宋体"/>
          <w:sz w:val="16"/>
          <w:szCs w:val="16"/>
          <w:bdr w:val="none" w:color="auto" w:sz="0" w:space="0"/>
          <w:shd w:val="clear" w:fill="FFFFFF"/>
        </w:rPr>
        <w:t>符合性审查不合格</w:t>
      </w:r>
      <w:r>
        <w:rPr>
          <w:rFonts w:hint="eastAsia" w:ascii="宋体" w:hAnsi="宋体" w:eastAsia="宋体" w:cs="宋体"/>
          <w:sz w:val="16"/>
          <w:szCs w:val="16"/>
          <w:bdr w:val="none" w:color="auto" w:sz="0" w:space="0"/>
          <w:shd w:val="clear" w:fill="FFFFFF"/>
        </w:rPr>
        <w:t>。</w:t>
      </w:r>
    </w:p>
    <w:p>
      <w:pPr>
        <w:pStyle w:val="3"/>
        <w:keepNext w:val="0"/>
        <w:keepLines w:val="0"/>
        <w:widowControl/>
        <w:suppressLineNumbers w:val="0"/>
        <w:spacing w:before="0" w:beforeAutospacing="0" w:after="0" w:afterAutospacing="0"/>
        <w:ind w:left="0" w:right="0"/>
        <w:jc w:val="center"/>
      </w:pPr>
      <w:r>
        <w:rPr>
          <w:rFonts w:hint="default" w:ascii="Calibri" w:hAnsi="Calibri" w:cs="Calibri"/>
          <w:sz w:val="16"/>
          <w:szCs w:val="16"/>
          <w:bdr w:val="none" w:color="auto" w:sz="0" w:space="0"/>
          <w:shd w:val="clear" w:fill="FFFFFF"/>
        </w:rPr>
        <w:br w:type="textWrapping"/>
      </w:r>
      <w:r>
        <w:rPr>
          <w:rStyle w:val="5"/>
          <w:rFonts w:hint="eastAsia" w:ascii="宋体" w:hAnsi="宋体" w:eastAsia="宋体" w:cs="宋体"/>
          <w:sz w:val="16"/>
          <w:szCs w:val="16"/>
          <w:bdr w:val="none" w:color="auto" w:sz="0" w:space="0"/>
          <w:shd w:val="clear" w:fill="FFFFFF"/>
        </w:rPr>
        <w:t>一、标的说明一览表</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招标编号：</w:t>
      </w:r>
      <w:r>
        <w:rPr>
          <w:rFonts w:hint="eastAsia" w:ascii="宋体" w:hAnsi="宋体" w:eastAsia="宋体" w:cs="宋体"/>
          <w:sz w:val="16"/>
          <w:szCs w:val="16"/>
          <w:u w:val="single"/>
          <w:bdr w:val="none" w:color="auto" w:sz="0" w:space="0"/>
          <w:shd w:val="clear" w:fill="FFFFFF"/>
        </w:rPr>
        <w:t xml:space="preserve"> </w:t>
      </w:r>
    </w:p>
    <w:tbl>
      <w:tblPr>
        <w:tblW w:w="6811"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790"/>
        <w:gridCol w:w="699"/>
        <w:gridCol w:w="1332"/>
        <w:gridCol w:w="695"/>
        <w:gridCol w:w="911"/>
        <w:gridCol w:w="911"/>
        <w:gridCol w:w="1473"/>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745"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合同包</w:t>
            </w:r>
          </w:p>
        </w:tc>
        <w:tc>
          <w:tcPr>
            <w:tcW w:w="669"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品目号</w:t>
            </w:r>
          </w:p>
        </w:tc>
        <w:tc>
          <w:tcPr>
            <w:tcW w:w="130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投标标的</w:t>
            </w:r>
          </w:p>
        </w:tc>
        <w:tc>
          <w:tcPr>
            <w:tcW w:w="665"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数量</w:t>
            </w:r>
          </w:p>
        </w:tc>
        <w:tc>
          <w:tcPr>
            <w:tcW w:w="8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规格</w:t>
            </w:r>
          </w:p>
        </w:tc>
        <w:tc>
          <w:tcPr>
            <w:tcW w:w="881"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来源地</w:t>
            </w:r>
          </w:p>
        </w:tc>
        <w:tc>
          <w:tcPr>
            <w:tcW w:w="1428"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备注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745" w:type="dxa"/>
            <w:vMerge w:val="restart"/>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w:t>
            </w:r>
          </w:p>
        </w:tc>
        <w:tc>
          <w:tcPr>
            <w:tcW w:w="669"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*-1</w:t>
            </w:r>
          </w:p>
        </w:tc>
        <w:tc>
          <w:tcPr>
            <w:tcW w:w="1302"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665"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881"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881"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1428"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745" w:type="dxa"/>
            <w:vMerge w:val="continue"/>
            <w:tcBorders>
              <w:top w:val="nil"/>
              <w:left w:val="nil"/>
              <w:bottom w:val="nil"/>
              <w:right w:val="nil"/>
            </w:tcBorders>
            <w:shd w:val="clear"/>
            <w:tcMar>
              <w:top w:w="0" w:type="dxa"/>
              <w:left w:w="84" w:type="dxa"/>
              <w:bottom w:w="0" w:type="dxa"/>
              <w:right w:w="84" w:type="dxa"/>
            </w:tcMar>
            <w:vAlign w:val="center"/>
          </w:tcPr>
          <w:p>
            <w:pPr>
              <w:rPr>
                <w:rFonts w:hint="eastAsia" w:ascii="微软雅黑" w:hAnsi="微软雅黑" w:eastAsia="微软雅黑" w:cs="微软雅黑"/>
                <w:color w:val="393939"/>
                <w:sz w:val="15"/>
                <w:szCs w:val="15"/>
              </w:rPr>
            </w:pPr>
          </w:p>
        </w:tc>
        <w:tc>
          <w:tcPr>
            <w:tcW w:w="669"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default" w:ascii="Calibri" w:hAnsi="Calibri" w:eastAsia="微软雅黑" w:cs="Calibri"/>
                <w:color w:val="393939"/>
                <w:sz w:val="16"/>
                <w:szCs w:val="16"/>
                <w:bdr w:val="none" w:color="auto" w:sz="0" w:space="0"/>
              </w:rPr>
              <w:t>…</w:t>
            </w:r>
          </w:p>
        </w:tc>
        <w:tc>
          <w:tcPr>
            <w:tcW w:w="1302"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665"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881"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881"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1428"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745"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default" w:ascii="Calibri" w:hAnsi="Calibri" w:eastAsia="微软雅黑" w:cs="Calibri"/>
                <w:color w:val="393939"/>
                <w:sz w:val="16"/>
                <w:szCs w:val="16"/>
                <w:bdr w:val="none" w:color="auto" w:sz="0" w:space="0"/>
              </w:rPr>
              <w:t>…</w:t>
            </w:r>
          </w:p>
        </w:tc>
        <w:tc>
          <w:tcPr>
            <w:tcW w:w="669"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1302"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665"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881"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881"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1428"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r>
    </w:tbl>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★注意：</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1、本表应按照下列规定填写：</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1.1“合同包”、“品目号”、“投标标的”及“数量”应与招标文件《采购标的一览表》中的有关内容（“合同包”、“品目号”、“采购标的”及“数量”）保持一致。</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1.2“投标标的”为货物的：</w:t>
      </w:r>
      <w:r>
        <w:rPr>
          <w:rStyle w:val="5"/>
          <w:rFonts w:hint="eastAsia" w:ascii="宋体" w:hAnsi="宋体" w:eastAsia="宋体" w:cs="宋体"/>
          <w:sz w:val="16"/>
          <w:szCs w:val="16"/>
          <w:bdr w:val="none" w:color="auto" w:sz="0" w:space="0"/>
          <w:shd w:val="clear" w:fill="FFFFFF"/>
        </w:rPr>
        <w:t>“规格”</w:t>
      </w:r>
      <w:r>
        <w:rPr>
          <w:rFonts w:hint="eastAsia" w:ascii="宋体" w:hAnsi="宋体" w:eastAsia="宋体" w:cs="宋体"/>
          <w:sz w:val="16"/>
          <w:szCs w:val="16"/>
          <w:bdr w:val="none" w:color="auto" w:sz="0" w:space="0"/>
          <w:shd w:val="clear" w:fill="FFFFFF"/>
        </w:rPr>
        <w:t>项下应填写货物制造厂商赋予的品牌（属于节能、环保清单产品的货物，填写的品牌名称应与清单载明的品牌名称保持一致）及具体型号。</w:t>
      </w:r>
      <w:r>
        <w:rPr>
          <w:rStyle w:val="5"/>
          <w:rFonts w:hint="eastAsia" w:ascii="宋体" w:hAnsi="宋体" w:eastAsia="宋体" w:cs="宋体"/>
          <w:sz w:val="16"/>
          <w:szCs w:val="16"/>
          <w:bdr w:val="none" w:color="auto" w:sz="0" w:space="0"/>
          <w:shd w:val="clear" w:fill="FFFFFF"/>
        </w:rPr>
        <w:t>“来源地”</w:t>
      </w:r>
      <w:r>
        <w:rPr>
          <w:rFonts w:hint="eastAsia" w:ascii="宋体" w:hAnsi="宋体" w:eastAsia="宋体" w:cs="宋体"/>
          <w:sz w:val="16"/>
          <w:szCs w:val="16"/>
          <w:bdr w:val="none" w:color="auto" w:sz="0" w:space="0"/>
          <w:shd w:val="clear" w:fill="FFFFFF"/>
        </w:rPr>
        <w:t>应填写货物的原产地。</w:t>
      </w:r>
      <w:r>
        <w:rPr>
          <w:rStyle w:val="5"/>
          <w:rFonts w:hint="eastAsia" w:ascii="宋体" w:hAnsi="宋体" w:eastAsia="宋体" w:cs="宋体"/>
          <w:sz w:val="16"/>
          <w:szCs w:val="16"/>
          <w:bdr w:val="none" w:color="auto" w:sz="0" w:space="0"/>
          <w:shd w:val="clear" w:fill="FFFFFF"/>
        </w:rPr>
        <w:t>“备注”</w:t>
      </w:r>
      <w:r>
        <w:rPr>
          <w:rFonts w:hint="eastAsia" w:ascii="宋体" w:hAnsi="宋体" w:eastAsia="宋体" w:cs="宋体"/>
          <w:sz w:val="16"/>
          <w:szCs w:val="16"/>
          <w:bdr w:val="none" w:color="auto" w:sz="0" w:space="0"/>
          <w:shd w:val="clear" w:fill="FFFFFF"/>
        </w:rPr>
        <w:t>项下应填写货物的详细性能说明及供货范围清单（若有），其中供货范围清单包括但不限于：组成货物的主要件和关键件的名称、数量、原产地，专用工具（若有）的名称、数量、原产地，备品备件（若有）的名称、数量、原产地等。</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1.3“投标标的”为服务的：</w:t>
      </w:r>
      <w:r>
        <w:rPr>
          <w:rStyle w:val="5"/>
          <w:rFonts w:hint="eastAsia" w:ascii="宋体" w:hAnsi="宋体" w:eastAsia="宋体" w:cs="宋体"/>
          <w:sz w:val="16"/>
          <w:szCs w:val="16"/>
          <w:bdr w:val="none" w:color="auto" w:sz="0" w:space="0"/>
          <w:shd w:val="clear" w:fill="FFFFFF"/>
        </w:rPr>
        <w:t>“规格”</w:t>
      </w:r>
      <w:r>
        <w:rPr>
          <w:rFonts w:hint="eastAsia" w:ascii="宋体" w:hAnsi="宋体" w:eastAsia="宋体" w:cs="宋体"/>
          <w:sz w:val="16"/>
          <w:szCs w:val="16"/>
          <w:bdr w:val="none" w:color="auto" w:sz="0" w:space="0"/>
          <w:shd w:val="clear" w:fill="FFFFFF"/>
        </w:rPr>
        <w:t>项下应填写服务提供者提供的服务标准及品牌（若有）。</w:t>
      </w:r>
      <w:r>
        <w:rPr>
          <w:rStyle w:val="5"/>
          <w:rFonts w:hint="eastAsia" w:ascii="宋体" w:hAnsi="宋体" w:eastAsia="宋体" w:cs="宋体"/>
          <w:sz w:val="16"/>
          <w:szCs w:val="16"/>
          <w:bdr w:val="none" w:color="auto" w:sz="0" w:space="0"/>
          <w:shd w:val="clear" w:fill="FFFFFF"/>
        </w:rPr>
        <w:t>“来源地”</w:t>
      </w:r>
      <w:r>
        <w:rPr>
          <w:rFonts w:hint="eastAsia" w:ascii="宋体" w:hAnsi="宋体" w:eastAsia="宋体" w:cs="宋体"/>
          <w:sz w:val="16"/>
          <w:szCs w:val="16"/>
          <w:bdr w:val="none" w:color="auto" w:sz="0" w:space="0"/>
          <w:shd w:val="clear" w:fill="FFFFFF"/>
        </w:rPr>
        <w:t>应填写服务提供者的所在地。</w:t>
      </w:r>
      <w:r>
        <w:rPr>
          <w:rStyle w:val="5"/>
          <w:rFonts w:hint="eastAsia" w:ascii="宋体" w:hAnsi="宋体" w:eastAsia="宋体" w:cs="宋体"/>
          <w:sz w:val="16"/>
          <w:szCs w:val="16"/>
          <w:bdr w:val="none" w:color="auto" w:sz="0" w:space="0"/>
          <w:shd w:val="clear" w:fill="FFFFFF"/>
        </w:rPr>
        <w:t>“备注”</w:t>
      </w:r>
      <w:r>
        <w:rPr>
          <w:rFonts w:hint="eastAsia" w:ascii="宋体" w:hAnsi="宋体" w:eastAsia="宋体" w:cs="宋体"/>
          <w:sz w:val="16"/>
          <w:szCs w:val="16"/>
          <w:bdr w:val="none" w:color="auto" w:sz="0" w:space="0"/>
          <w:shd w:val="clear" w:fill="FFFFFF"/>
        </w:rPr>
        <w:t>项下应填写关于服务标准所涵盖的具体项目或内容的说明等。</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2、投标人需要说明的内容若需特殊表达，应先在本表中进行相应说明，再另页应答，否则</w:t>
      </w:r>
      <w:r>
        <w:rPr>
          <w:rStyle w:val="5"/>
          <w:rFonts w:hint="eastAsia" w:ascii="宋体" w:hAnsi="宋体" w:eastAsia="宋体" w:cs="宋体"/>
          <w:sz w:val="16"/>
          <w:szCs w:val="16"/>
          <w:bdr w:val="none" w:color="auto" w:sz="0" w:space="0"/>
          <w:shd w:val="clear" w:fill="FFFFFF"/>
        </w:rPr>
        <w:t>投标无效</w:t>
      </w:r>
      <w:r>
        <w:rPr>
          <w:rFonts w:hint="eastAsia" w:ascii="宋体" w:hAnsi="宋体" w:eastAsia="宋体" w:cs="宋体"/>
          <w:sz w:val="16"/>
          <w:szCs w:val="16"/>
          <w:bdr w:val="none" w:color="auto" w:sz="0" w:space="0"/>
          <w:shd w:val="clear" w:fill="FFFFFF"/>
        </w:rPr>
        <w:t>。</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3、投标文件中涉及</w:t>
      </w:r>
      <w:r>
        <w:rPr>
          <w:rStyle w:val="5"/>
          <w:rFonts w:hint="eastAsia" w:ascii="宋体" w:hAnsi="宋体" w:eastAsia="宋体" w:cs="宋体"/>
          <w:sz w:val="16"/>
          <w:szCs w:val="16"/>
          <w:bdr w:val="none" w:color="auto" w:sz="0" w:space="0"/>
          <w:shd w:val="clear" w:fill="FFFFFF"/>
        </w:rPr>
        <w:t>“投标标的”、“数量”、“规格”、“来源地”</w:t>
      </w:r>
      <w:r>
        <w:rPr>
          <w:rFonts w:hint="eastAsia" w:ascii="宋体" w:hAnsi="宋体" w:eastAsia="宋体" w:cs="宋体"/>
          <w:sz w:val="16"/>
          <w:szCs w:val="16"/>
          <w:bdr w:val="none" w:color="auto" w:sz="0" w:space="0"/>
          <w:shd w:val="clear" w:fill="FFFFFF"/>
        </w:rPr>
        <w:t>的内容若不一致，</w:t>
      </w:r>
      <w:r>
        <w:rPr>
          <w:rStyle w:val="5"/>
          <w:rFonts w:hint="eastAsia" w:ascii="宋体" w:hAnsi="宋体" w:eastAsia="宋体" w:cs="宋体"/>
          <w:sz w:val="16"/>
          <w:szCs w:val="16"/>
          <w:bdr w:val="none" w:color="auto" w:sz="0" w:space="0"/>
          <w:shd w:val="clear" w:fill="FFFFFF"/>
        </w:rPr>
        <w:t>应以本表为准</w:t>
      </w:r>
      <w:r>
        <w:rPr>
          <w:rFonts w:hint="eastAsia" w:ascii="宋体" w:hAnsi="宋体" w:eastAsia="宋体" w:cs="宋体"/>
          <w:sz w:val="16"/>
          <w:szCs w:val="16"/>
          <w:bdr w:val="none" w:color="auto" w:sz="0" w:space="0"/>
          <w:shd w:val="clear" w:fill="FFFFFF"/>
        </w:rPr>
        <w:t>。</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4、纸质投标文件正本中的本表应为原件。</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w:t>
      </w:r>
      <w:r>
        <w:rPr>
          <w:rFonts w:hint="eastAsia" w:ascii="宋体" w:hAnsi="宋体" w:eastAsia="宋体" w:cs="宋体"/>
          <w:sz w:val="16"/>
          <w:szCs w:val="16"/>
          <w:u w:val="single"/>
          <w:bdr w:val="none" w:color="auto" w:sz="0" w:space="0"/>
          <w:shd w:val="clear" w:fill="FFFFFF"/>
        </w:rPr>
        <w:t>（全称并加盖单位公章）</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投标人代表签字：</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日期：</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年</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月</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日</w:t>
      </w:r>
    </w:p>
    <w:p>
      <w:pPr>
        <w:pStyle w:val="3"/>
        <w:keepNext w:val="0"/>
        <w:keepLines w:val="0"/>
        <w:widowControl/>
        <w:suppressLineNumbers w:val="0"/>
        <w:spacing w:before="0" w:beforeAutospacing="0" w:after="0" w:afterAutospacing="0"/>
        <w:ind w:left="0" w:right="0"/>
        <w:jc w:val="center"/>
      </w:pPr>
      <w:r>
        <w:rPr>
          <w:rStyle w:val="5"/>
          <w:rFonts w:hint="default" w:ascii="Calibri" w:hAnsi="Calibri" w:cs="Calibri"/>
          <w:sz w:val="16"/>
          <w:szCs w:val="16"/>
          <w:bdr w:val="none" w:color="auto" w:sz="0" w:space="0"/>
          <w:shd w:val="clear" w:fill="FFFFFF"/>
        </w:rPr>
        <w:br w:type="textWrapping"/>
      </w:r>
      <w:r>
        <w:rPr>
          <w:rStyle w:val="5"/>
          <w:rFonts w:hint="eastAsia" w:ascii="宋体" w:hAnsi="宋体" w:eastAsia="宋体" w:cs="宋体"/>
          <w:sz w:val="16"/>
          <w:szCs w:val="16"/>
          <w:bdr w:val="none" w:color="auto" w:sz="0" w:space="0"/>
          <w:shd w:val="clear" w:fill="FFFFFF"/>
        </w:rPr>
        <w:t>二、技术和服务要求响应表</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招标编号：</w:t>
      </w:r>
      <w:r>
        <w:rPr>
          <w:rFonts w:hint="eastAsia" w:ascii="宋体" w:hAnsi="宋体" w:eastAsia="宋体" w:cs="宋体"/>
          <w:sz w:val="16"/>
          <w:szCs w:val="16"/>
          <w:u w:val="single"/>
          <w:bdr w:val="none" w:color="auto" w:sz="0" w:space="0"/>
          <w:shd w:val="clear" w:fill="FFFFFF"/>
        </w:rPr>
        <w:t xml:space="preserve"> </w:t>
      </w:r>
    </w:p>
    <w:tbl>
      <w:tblPr>
        <w:tblW w:w="6814"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797"/>
        <w:gridCol w:w="704"/>
        <w:gridCol w:w="2332"/>
        <w:gridCol w:w="1464"/>
        <w:gridCol w:w="151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rHeight w:val="204" w:hRule="atLeast"/>
          <w:tblCellSpacing w:w="15" w:type="dxa"/>
        </w:trPr>
        <w:tc>
          <w:tcPr>
            <w:tcW w:w="75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合同包</w:t>
            </w:r>
          </w:p>
        </w:tc>
        <w:tc>
          <w:tcPr>
            <w:tcW w:w="674"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品目号</w:t>
            </w:r>
          </w:p>
        </w:tc>
        <w:tc>
          <w:tcPr>
            <w:tcW w:w="230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技术和服务要求</w:t>
            </w:r>
          </w:p>
        </w:tc>
        <w:tc>
          <w:tcPr>
            <w:tcW w:w="1434"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投标响应</w:t>
            </w:r>
          </w:p>
        </w:tc>
        <w:tc>
          <w:tcPr>
            <w:tcW w:w="147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是否偏离及说明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752" w:type="dxa"/>
            <w:vMerge w:val="restart"/>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w:t>
            </w:r>
          </w:p>
        </w:tc>
        <w:tc>
          <w:tcPr>
            <w:tcW w:w="674"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*-1</w:t>
            </w:r>
          </w:p>
        </w:tc>
        <w:tc>
          <w:tcPr>
            <w:tcW w:w="2302"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1434"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1472"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752" w:type="dxa"/>
            <w:vMerge w:val="continue"/>
            <w:tcBorders>
              <w:top w:val="nil"/>
              <w:left w:val="nil"/>
              <w:bottom w:val="nil"/>
              <w:right w:val="nil"/>
            </w:tcBorders>
            <w:shd w:val="clear"/>
            <w:tcMar>
              <w:top w:w="0" w:type="dxa"/>
              <w:left w:w="84" w:type="dxa"/>
              <w:bottom w:w="0" w:type="dxa"/>
              <w:right w:w="84" w:type="dxa"/>
            </w:tcMar>
            <w:vAlign w:val="center"/>
          </w:tcPr>
          <w:p>
            <w:pPr>
              <w:rPr>
                <w:rFonts w:hint="eastAsia" w:ascii="微软雅黑" w:hAnsi="微软雅黑" w:eastAsia="微软雅黑" w:cs="微软雅黑"/>
                <w:color w:val="393939"/>
                <w:sz w:val="15"/>
                <w:szCs w:val="15"/>
              </w:rPr>
            </w:pPr>
          </w:p>
        </w:tc>
        <w:tc>
          <w:tcPr>
            <w:tcW w:w="674"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default" w:ascii="Calibri" w:hAnsi="Calibri" w:eastAsia="微软雅黑" w:cs="Calibri"/>
                <w:color w:val="393939"/>
                <w:sz w:val="16"/>
                <w:szCs w:val="16"/>
                <w:bdr w:val="none" w:color="auto" w:sz="0" w:space="0"/>
              </w:rPr>
              <w:t>…</w:t>
            </w:r>
          </w:p>
        </w:tc>
        <w:tc>
          <w:tcPr>
            <w:tcW w:w="2302"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1434"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1472"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75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default" w:ascii="Calibri" w:hAnsi="Calibri" w:eastAsia="微软雅黑" w:cs="Calibri"/>
                <w:color w:val="393939"/>
                <w:sz w:val="16"/>
                <w:szCs w:val="16"/>
                <w:bdr w:val="none" w:color="auto" w:sz="0" w:space="0"/>
              </w:rPr>
              <w:t>…</w:t>
            </w:r>
          </w:p>
        </w:tc>
        <w:tc>
          <w:tcPr>
            <w:tcW w:w="674"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2302"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1434"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1472"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r>
    </w:tbl>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★注意：</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1、本表应按照下列规定填写：</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1.1“技术和服务要求”项下填写的内容应与招标文件第五章“技术和服务要求”的内容保持一致。</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1.2“投标响应”项下应填写具体的响应内容并与“技术和服务要求”项下填写的内容逐项对应；对“技术和服务要求”项下涉及“≥或＞”、“≤或＜”及某个区间值范围内的内容，应填写具体的数值。</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1.3“是否偏离及说明”项下应按下列规定填写：优于的，填写“正偏离”；符合的，填写“无偏离”；低于的，填写“负偏离”。</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2、投标人需要说明的内容若需特殊表达，应先在本表中进行相应说明，再另页应答，否则</w:t>
      </w:r>
      <w:r>
        <w:rPr>
          <w:rStyle w:val="5"/>
          <w:rFonts w:hint="eastAsia" w:ascii="宋体" w:hAnsi="宋体" w:eastAsia="宋体" w:cs="宋体"/>
          <w:sz w:val="16"/>
          <w:szCs w:val="16"/>
          <w:bdr w:val="none" w:color="auto" w:sz="0" w:space="0"/>
          <w:shd w:val="clear" w:fill="FFFFFF"/>
        </w:rPr>
        <w:t>投标无效</w:t>
      </w:r>
      <w:r>
        <w:rPr>
          <w:rFonts w:hint="eastAsia" w:ascii="宋体" w:hAnsi="宋体" w:eastAsia="宋体" w:cs="宋体"/>
          <w:sz w:val="16"/>
          <w:szCs w:val="16"/>
          <w:bdr w:val="none" w:color="auto" w:sz="0" w:space="0"/>
          <w:shd w:val="clear" w:fill="FFFFFF"/>
        </w:rPr>
        <w:t>。</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3、纸质投标文件正本中的本表应为原件。</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w:t>
      </w:r>
      <w:r>
        <w:rPr>
          <w:rFonts w:hint="eastAsia" w:ascii="宋体" w:hAnsi="宋体" w:eastAsia="宋体" w:cs="宋体"/>
          <w:sz w:val="16"/>
          <w:szCs w:val="16"/>
          <w:u w:val="single"/>
          <w:bdr w:val="none" w:color="auto" w:sz="0" w:space="0"/>
          <w:shd w:val="clear" w:fill="FFFFFF"/>
        </w:rPr>
        <w:t>（全称并加盖单位公章）</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投标人代表签字：</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日期：</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年</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月</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日</w:t>
      </w:r>
    </w:p>
    <w:p>
      <w:pPr>
        <w:pStyle w:val="3"/>
        <w:keepNext w:val="0"/>
        <w:keepLines w:val="0"/>
        <w:widowControl/>
        <w:suppressLineNumbers w:val="0"/>
        <w:spacing w:before="0" w:beforeAutospacing="0" w:after="0" w:afterAutospacing="0"/>
        <w:ind w:left="0" w:right="0"/>
        <w:jc w:val="center"/>
      </w:pPr>
      <w:r>
        <w:rPr>
          <w:rFonts w:hint="default" w:ascii="Calibri" w:hAnsi="Calibri" w:cs="Calibri"/>
          <w:sz w:val="16"/>
          <w:szCs w:val="16"/>
          <w:bdr w:val="none" w:color="auto" w:sz="0" w:space="0"/>
          <w:shd w:val="clear" w:fill="FFFFFF"/>
        </w:rPr>
        <w:br w:type="textWrapping"/>
      </w:r>
      <w:r>
        <w:rPr>
          <w:rStyle w:val="5"/>
          <w:rFonts w:hint="eastAsia" w:ascii="宋体" w:hAnsi="宋体" w:eastAsia="宋体" w:cs="宋体"/>
          <w:sz w:val="16"/>
          <w:szCs w:val="16"/>
          <w:bdr w:val="none" w:color="auto" w:sz="0" w:space="0"/>
          <w:shd w:val="clear" w:fill="FFFFFF"/>
        </w:rPr>
        <w:t>三、商务条件响应表</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招标编号：</w:t>
      </w:r>
      <w:r>
        <w:rPr>
          <w:rFonts w:hint="eastAsia" w:ascii="宋体" w:hAnsi="宋体" w:eastAsia="宋体" w:cs="宋体"/>
          <w:sz w:val="16"/>
          <w:szCs w:val="16"/>
          <w:u w:val="single"/>
          <w:bdr w:val="none" w:color="auto" w:sz="0" w:space="0"/>
          <w:shd w:val="clear" w:fill="FFFFFF"/>
        </w:rPr>
        <w:t xml:space="preserve"> </w:t>
      </w:r>
    </w:p>
    <w:tbl>
      <w:tblPr>
        <w:tblW w:w="6814" w:type="dxa"/>
        <w:tblCellSpacing w:w="15"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
      <w:tblGrid>
        <w:gridCol w:w="797"/>
        <w:gridCol w:w="704"/>
        <w:gridCol w:w="2332"/>
        <w:gridCol w:w="1464"/>
        <w:gridCol w:w="151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15" w:type="dxa"/>
            <w:left w:w="15" w:type="dxa"/>
            <w:bottom w:w="15" w:type="dxa"/>
            <w:right w:w="15" w:type="dxa"/>
          </w:tblCellMar>
        </w:tblPrEx>
        <w:trPr>
          <w:tblCellSpacing w:w="15" w:type="dxa"/>
        </w:trPr>
        <w:tc>
          <w:tcPr>
            <w:tcW w:w="75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合同包</w:t>
            </w:r>
          </w:p>
        </w:tc>
        <w:tc>
          <w:tcPr>
            <w:tcW w:w="674"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品目号</w:t>
            </w:r>
          </w:p>
        </w:tc>
        <w:tc>
          <w:tcPr>
            <w:tcW w:w="230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商务条件</w:t>
            </w:r>
          </w:p>
        </w:tc>
        <w:tc>
          <w:tcPr>
            <w:tcW w:w="1434"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投标响应</w:t>
            </w:r>
          </w:p>
        </w:tc>
        <w:tc>
          <w:tcPr>
            <w:tcW w:w="147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是否偏离及说明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752" w:type="dxa"/>
            <w:vMerge w:val="restart"/>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w:t>
            </w:r>
          </w:p>
        </w:tc>
        <w:tc>
          <w:tcPr>
            <w:tcW w:w="674"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eastAsia" w:ascii="宋体" w:hAnsi="宋体" w:eastAsia="宋体" w:cs="宋体"/>
                <w:color w:val="393939"/>
                <w:sz w:val="16"/>
                <w:szCs w:val="16"/>
                <w:bdr w:val="none" w:color="auto" w:sz="0" w:space="0"/>
              </w:rPr>
              <w:t>*-1</w:t>
            </w:r>
          </w:p>
        </w:tc>
        <w:tc>
          <w:tcPr>
            <w:tcW w:w="2302"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1434"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1472"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752" w:type="dxa"/>
            <w:vMerge w:val="continue"/>
            <w:tcBorders>
              <w:top w:val="nil"/>
              <w:left w:val="nil"/>
              <w:bottom w:val="nil"/>
              <w:right w:val="nil"/>
            </w:tcBorders>
            <w:shd w:val="clear"/>
            <w:tcMar>
              <w:top w:w="0" w:type="dxa"/>
              <w:left w:w="84" w:type="dxa"/>
              <w:bottom w:w="0" w:type="dxa"/>
              <w:right w:w="84" w:type="dxa"/>
            </w:tcMar>
            <w:vAlign w:val="center"/>
          </w:tcPr>
          <w:p>
            <w:pPr>
              <w:rPr>
                <w:rFonts w:hint="eastAsia" w:ascii="微软雅黑" w:hAnsi="微软雅黑" w:eastAsia="微软雅黑" w:cs="微软雅黑"/>
                <w:color w:val="393939"/>
                <w:sz w:val="15"/>
                <w:szCs w:val="15"/>
              </w:rPr>
            </w:pPr>
          </w:p>
        </w:tc>
        <w:tc>
          <w:tcPr>
            <w:tcW w:w="674"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default" w:ascii="Calibri" w:hAnsi="Calibri" w:eastAsia="微软雅黑" w:cs="Calibri"/>
                <w:color w:val="393939"/>
                <w:sz w:val="16"/>
                <w:szCs w:val="16"/>
                <w:bdr w:val="none" w:color="auto" w:sz="0" w:space="0"/>
              </w:rPr>
              <w:t>…</w:t>
            </w:r>
          </w:p>
        </w:tc>
        <w:tc>
          <w:tcPr>
            <w:tcW w:w="2302"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1434"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1472" w:type="dxa"/>
            <w:tcBorders>
              <w:top w:val="nil"/>
              <w:left w:val="nil"/>
              <w:bottom w:val="nil"/>
              <w:right w:val="nil"/>
            </w:tcBorders>
            <w:shd w:val="clear"/>
            <w:tcMar>
              <w:top w:w="0" w:type="dxa"/>
              <w:left w:w="84" w:type="dxa"/>
              <w:bottom w:w="0" w:type="dxa"/>
              <w:right w:w="84" w:type="dxa"/>
            </w:tcMar>
            <w:vAlign w:val="top"/>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Ex>
        <w:trPr>
          <w:tblCellSpacing w:w="15" w:type="dxa"/>
        </w:trPr>
        <w:tc>
          <w:tcPr>
            <w:tcW w:w="752" w:type="dxa"/>
            <w:tcBorders>
              <w:top w:val="nil"/>
              <w:left w:val="nil"/>
              <w:bottom w:val="nil"/>
              <w:right w:val="nil"/>
            </w:tcBorders>
            <w:shd w:val="clear"/>
            <w:tcMar>
              <w:top w:w="0" w:type="dxa"/>
              <w:left w:w="84" w:type="dxa"/>
              <w:bottom w:w="0" w:type="dxa"/>
              <w:right w:w="84" w:type="dxa"/>
            </w:tcMar>
            <w:vAlign w:val="center"/>
          </w:tcPr>
          <w:p>
            <w:pPr>
              <w:pStyle w:val="3"/>
              <w:keepNext w:val="0"/>
              <w:keepLines w:val="0"/>
              <w:widowControl/>
              <w:suppressLineNumbers w:val="0"/>
              <w:spacing w:line="18" w:lineRule="atLeast"/>
              <w:jc w:val="center"/>
            </w:pPr>
            <w:r>
              <w:rPr>
                <w:rFonts w:hint="default" w:ascii="Calibri" w:hAnsi="Calibri" w:eastAsia="微软雅黑" w:cs="Calibri"/>
                <w:color w:val="393939"/>
                <w:sz w:val="16"/>
                <w:szCs w:val="16"/>
                <w:bdr w:val="none" w:color="auto" w:sz="0" w:space="0"/>
              </w:rPr>
              <w:t>…</w:t>
            </w:r>
          </w:p>
        </w:tc>
        <w:tc>
          <w:tcPr>
            <w:tcW w:w="674"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2302"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1434"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c>
          <w:tcPr>
            <w:tcW w:w="1472" w:type="dxa"/>
            <w:tcBorders>
              <w:top w:val="nil"/>
              <w:left w:val="nil"/>
              <w:bottom w:val="nil"/>
              <w:right w:val="nil"/>
            </w:tcBorders>
            <w:shd w:val="clear"/>
            <w:tcMar>
              <w:top w:w="0" w:type="dxa"/>
              <w:left w:w="84" w:type="dxa"/>
              <w:bottom w:w="0" w:type="dxa"/>
              <w:right w:w="84" w:type="dxa"/>
            </w:tcMar>
            <w:vAlign w:val="center"/>
          </w:tcPr>
          <w:p>
            <w:pPr>
              <w:keepNext w:val="0"/>
              <w:keepLines w:val="0"/>
              <w:widowControl/>
              <w:suppressLineNumbers w:val="0"/>
              <w:spacing w:line="18" w:lineRule="atLeast"/>
              <w:jc w:val="left"/>
              <w:rPr>
                <w:rFonts w:hint="eastAsia" w:ascii="微软雅黑" w:hAnsi="微软雅黑" w:eastAsia="微软雅黑" w:cs="微软雅黑"/>
                <w:color w:val="393939"/>
                <w:sz w:val="15"/>
                <w:szCs w:val="15"/>
              </w:rPr>
            </w:pPr>
          </w:p>
        </w:tc>
      </w:tr>
    </w:tbl>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★注意：</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1、本表应按照下列规定填写：</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1.1“商务条件”项下填写的内容应与招标文件第五章“商务条件”的内容保持一致。</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1.2“投标响应”项下应填写具体的响应内容并与“商务条件”项下填写的内容逐项对应；对“商务条件”项下涉及“≥或＞”、“≤或＜”及某个区间值范围内的内容，应填写具体的数值。</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1.3“是否偏离及说明”项下应按下列规定填写：优于的，填写“正偏离”；符合的，填写“无偏离”；低于的，填写“负偏离”。</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2、投标人需要说明的内容若需特殊表达，应先在本表中进行相应说明，再另页应答，否则</w:t>
      </w:r>
      <w:r>
        <w:rPr>
          <w:rStyle w:val="5"/>
          <w:rFonts w:hint="eastAsia" w:ascii="宋体" w:hAnsi="宋体" w:eastAsia="宋体" w:cs="宋体"/>
          <w:sz w:val="16"/>
          <w:szCs w:val="16"/>
          <w:bdr w:val="none" w:color="auto" w:sz="0" w:space="0"/>
          <w:shd w:val="clear" w:fill="FFFFFF"/>
        </w:rPr>
        <w:t>投标无效</w:t>
      </w:r>
      <w:r>
        <w:rPr>
          <w:rFonts w:hint="eastAsia" w:ascii="宋体" w:hAnsi="宋体" w:eastAsia="宋体" w:cs="宋体"/>
          <w:sz w:val="16"/>
          <w:szCs w:val="16"/>
          <w:bdr w:val="none" w:color="auto" w:sz="0" w:space="0"/>
          <w:shd w:val="clear" w:fill="FFFFFF"/>
        </w:rPr>
        <w:t>。</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3、纸质投标文件正本中的本表应为原件。</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w:t>
      </w:r>
      <w:r>
        <w:rPr>
          <w:rFonts w:hint="eastAsia" w:ascii="宋体" w:hAnsi="宋体" w:eastAsia="宋体" w:cs="宋体"/>
          <w:sz w:val="16"/>
          <w:szCs w:val="16"/>
          <w:u w:val="single"/>
          <w:bdr w:val="none" w:color="auto" w:sz="0" w:space="0"/>
          <w:shd w:val="clear" w:fill="FFFFFF"/>
        </w:rPr>
        <w:t>（全称并加盖单位公章）</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投标人代表签字：</w:t>
      </w:r>
      <w:r>
        <w:rPr>
          <w:rFonts w:hint="eastAsia" w:ascii="宋体" w:hAnsi="宋体" w:eastAsia="宋体" w:cs="宋体"/>
          <w:sz w:val="16"/>
          <w:szCs w:val="16"/>
          <w:u w:val="single"/>
          <w:bdr w:val="none" w:color="auto" w:sz="0" w:space="0"/>
          <w:shd w:val="clear" w:fill="FFFFFF"/>
        </w:rPr>
        <w:t xml:space="preserve"> </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日期：</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年</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月</w:t>
      </w:r>
      <w:r>
        <w:rPr>
          <w:rFonts w:hint="eastAsia" w:ascii="宋体" w:hAnsi="宋体" w:eastAsia="宋体" w:cs="宋体"/>
          <w:sz w:val="16"/>
          <w:szCs w:val="16"/>
          <w:u w:val="single"/>
          <w:bdr w:val="none" w:color="auto" w:sz="0" w:space="0"/>
          <w:shd w:val="clear" w:fill="FFFFFF"/>
        </w:rPr>
        <w:t xml:space="preserve"> </w:t>
      </w:r>
      <w:r>
        <w:rPr>
          <w:rFonts w:hint="eastAsia" w:ascii="宋体" w:hAnsi="宋体" w:eastAsia="宋体" w:cs="宋体"/>
          <w:sz w:val="16"/>
          <w:szCs w:val="16"/>
          <w:bdr w:val="none" w:color="auto" w:sz="0" w:space="0"/>
          <w:shd w:val="clear" w:fill="FFFFFF"/>
        </w:rPr>
        <w:t>日</w:t>
      </w:r>
    </w:p>
    <w:p>
      <w:pPr>
        <w:pStyle w:val="3"/>
        <w:keepNext w:val="0"/>
        <w:keepLines w:val="0"/>
        <w:widowControl/>
        <w:suppressLineNumbers w:val="0"/>
        <w:spacing w:before="0" w:beforeAutospacing="0" w:after="0" w:afterAutospacing="0"/>
        <w:ind w:left="0" w:right="0"/>
        <w:jc w:val="center"/>
      </w:pPr>
      <w:r>
        <w:rPr>
          <w:rFonts w:hint="eastAsia" w:ascii="宋体" w:hAnsi="宋体" w:eastAsia="宋体" w:cs="宋体"/>
          <w:sz w:val="16"/>
          <w:szCs w:val="16"/>
          <w:bdr w:val="none" w:color="auto" w:sz="0" w:space="0"/>
          <w:shd w:val="clear" w:fill="FFFFFF"/>
        </w:rPr>
        <w:br w:type="textWrapping"/>
      </w:r>
      <w:r>
        <w:rPr>
          <w:rStyle w:val="5"/>
          <w:rFonts w:hint="eastAsia" w:ascii="宋体" w:hAnsi="宋体" w:eastAsia="宋体" w:cs="宋体"/>
          <w:sz w:val="16"/>
          <w:szCs w:val="16"/>
          <w:bdr w:val="none" w:color="auto" w:sz="0" w:space="0"/>
          <w:shd w:val="clear" w:fill="FFFFFF"/>
        </w:rPr>
        <w:t>四、投标人提交的其他资料（若有）</w:t>
      </w:r>
    </w:p>
    <w:p>
      <w:pPr>
        <w:pStyle w:val="3"/>
        <w:keepNext w:val="0"/>
        <w:keepLines w:val="0"/>
        <w:widowControl/>
        <w:suppressLineNumbers w:val="0"/>
        <w:spacing w:before="0" w:beforeAutospacing="0" w:after="0" w:afterAutospacing="0"/>
        <w:ind w:left="0" w:right="0"/>
        <w:jc w:val="center"/>
      </w:pPr>
      <w:r>
        <w:rPr>
          <w:rFonts w:hint="eastAsia" w:ascii="宋体" w:hAnsi="宋体" w:eastAsia="宋体" w:cs="宋体"/>
          <w:sz w:val="16"/>
          <w:szCs w:val="16"/>
          <w:bdr w:val="none" w:color="auto" w:sz="0" w:space="0"/>
          <w:shd w:val="clear" w:fill="FFFFFF"/>
        </w:rPr>
        <w:t>编制说明</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1、招标文件要求提交的除</w:t>
      </w:r>
      <w:r>
        <w:rPr>
          <w:rStyle w:val="5"/>
          <w:rFonts w:hint="eastAsia" w:ascii="宋体" w:hAnsi="宋体" w:eastAsia="宋体" w:cs="宋体"/>
          <w:sz w:val="16"/>
          <w:szCs w:val="16"/>
          <w:bdr w:val="none" w:color="auto" w:sz="0" w:space="0"/>
          <w:shd w:val="clear" w:fill="FFFFFF"/>
        </w:rPr>
        <w:t>“资格及资信证明部分”、“报价部分”</w:t>
      </w:r>
      <w:r>
        <w:rPr>
          <w:rFonts w:hint="eastAsia" w:ascii="宋体" w:hAnsi="宋体" w:eastAsia="宋体" w:cs="宋体"/>
          <w:sz w:val="16"/>
          <w:szCs w:val="16"/>
          <w:bdr w:val="none" w:color="auto" w:sz="0" w:space="0"/>
          <w:shd w:val="clear" w:fill="FFFFFF"/>
        </w:rPr>
        <w:t>外的其他证明材料或资料加盖投标人的单位公章后应在此项下提交。</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2、招标文件要求投标人提供方案（包括但不限于：组织、实施、技术、服务方案等）的，投标人应在此项下提交。</w:t>
      </w:r>
    </w:p>
    <w:p>
      <w:pPr>
        <w:pStyle w:val="3"/>
        <w:keepNext w:val="0"/>
        <w:keepLines w:val="0"/>
        <w:widowControl/>
        <w:suppressLineNumbers w:val="0"/>
        <w:spacing w:before="0" w:beforeAutospacing="0" w:after="0" w:afterAutospacing="0"/>
        <w:ind w:left="0" w:right="0"/>
      </w:pPr>
      <w:r>
        <w:rPr>
          <w:rFonts w:hint="eastAsia" w:ascii="宋体" w:hAnsi="宋体" w:eastAsia="宋体" w:cs="宋体"/>
          <w:sz w:val="16"/>
          <w:szCs w:val="16"/>
          <w:bdr w:val="none" w:color="auto" w:sz="0" w:space="0"/>
          <w:shd w:val="clear" w:fill="FFFFFF"/>
        </w:rPr>
        <w:t>3、除招标文件另有规定外，投标人认为需要提交的其他证明材料或资料加盖投标人的单位公章后应在此项下提交。</w:t>
      </w:r>
    </w:p>
    <w:p>
      <w:pPr>
        <w:pStyle w:val="27"/>
      </w:pPr>
      <w:r>
        <w:t>窗体底端</w:t>
      </w:r>
    </w:p>
    <w:p>
      <w:pPr>
        <w:pStyle w:val="26"/>
      </w:pPr>
      <w:r>
        <w:t>窗体顶端</w:t>
      </w:r>
    </w:p>
    <w:p>
      <w:pPr>
        <w:pStyle w:val="2"/>
        <w:keepNext w:val="0"/>
        <w:keepLines w:val="0"/>
        <w:widowControl/>
        <w:suppressLineNumbers w:val="0"/>
        <w:spacing w:before="0" w:beforeAutospacing="0" w:after="0" w:afterAutospacing="0"/>
        <w:ind w:left="0" w:right="0"/>
      </w:pPr>
      <w:r>
        <w:rPr>
          <w:bdr w:val="none" w:color="auto" w:sz="0" w:space="0"/>
          <w:shd w:val="clear" w:fill="FFFFFF"/>
        </w:rPr>
        <w:t>采购文件相关附件</w:t>
      </w:r>
    </w:p>
    <w:p>
      <w:pPr>
        <w:pStyle w:val="27"/>
      </w:pPr>
      <w:r>
        <w:t>窗体底端</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FontAwesom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AFF" w:usb1="C0007843" w:usb2="00000009" w:usb3="00000000" w:csb0="400001FF" w:csb1="FFFF0000"/>
  </w:font>
  <w:font w:name="微软雅黑">
    <w:panose1 w:val="020B0503020204020204"/>
    <w:charset w:val="86"/>
    <w:family w:val="auto"/>
    <w:pitch w:val="default"/>
    <w:sig w:usb0="80000287" w:usb1="280F3C52" w:usb2="00000016" w:usb3="00000000" w:csb0="0004001F" w:csb1="00000000"/>
  </w:font>
  <w:font w:name="Symbol">
    <w:panose1 w:val="05050102010706020507"/>
    <w:charset w:val="00"/>
    <w:family w:val="auto"/>
    <w:pitch w:val="default"/>
    <w:sig w:usb0="00000000" w:usb1="00000000" w:usb2="00000000" w:usb3="00000000" w:csb0="80000000" w:csb1="00000000"/>
  </w:font>
  <w:font w:name="Wingdings 3">
    <w:panose1 w:val="05040102010807070707"/>
    <w:charset w:val="00"/>
    <w:family w:val="auto"/>
    <w:pitch w:val="default"/>
    <w:sig w:usb0="00000000" w:usb1="00000000" w:usb2="00000000" w:usb3="00000000" w:csb0="80000000" w:csb1="00000000"/>
  </w:font>
  <w:font w:name="Helvetica">
    <w:panose1 w:val="020B0604020202020204"/>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3A00C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
    <w:lsdException w:unhideWhenUsed="0" w:uiPriority="0" w:semiHidden="0" w:nam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ascii="Helvetica" w:hAnsi="Helvetica" w:eastAsia="Helvetica" w:cs="Helvetica"/>
      <w:kern w:val="0"/>
      <w:sz w:val="26"/>
      <w:szCs w:val="26"/>
      <w:lang w:val="en-US" w:eastAsia="zh-CN" w:bidi="ar"/>
    </w:rPr>
  </w:style>
  <w:style w:type="character" w:default="1" w:styleId="4">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 w:type="character" w:customStyle="1" w:styleId="8">
    <w:name w:val="new"/>
    <w:basedOn w:val="4"/>
    <w:uiPriority w:val="0"/>
    <w:rPr>
      <w:color w:val="999999"/>
    </w:rPr>
  </w:style>
  <w:style w:type="character" w:customStyle="1" w:styleId="9">
    <w:name w:val="input-icon"/>
    <w:basedOn w:val="4"/>
    <w:uiPriority w:val="0"/>
  </w:style>
  <w:style w:type="character" w:customStyle="1" w:styleId="10">
    <w:name w:val="hour_pm"/>
    <w:basedOn w:val="4"/>
    <w:uiPriority w:val="0"/>
  </w:style>
  <w:style w:type="character" w:customStyle="1" w:styleId="11">
    <w:name w:val="hover9"/>
    <w:basedOn w:val="4"/>
    <w:uiPriority w:val="0"/>
    <w:rPr>
      <w:shd w:val="clear" w:fill="EEEEEE"/>
    </w:rPr>
  </w:style>
  <w:style w:type="character" w:customStyle="1" w:styleId="12">
    <w:name w:val="hover10"/>
    <w:basedOn w:val="4"/>
    <w:uiPriority w:val="0"/>
    <w:rPr>
      <w:shd w:val="clear" w:fill="EEEEEE"/>
    </w:rPr>
  </w:style>
  <w:style w:type="character" w:customStyle="1" w:styleId="13">
    <w:name w:val="old"/>
    <w:basedOn w:val="4"/>
    <w:uiPriority w:val="0"/>
    <w:rPr>
      <w:color w:val="999999"/>
    </w:rPr>
  </w:style>
  <w:style w:type="character" w:customStyle="1" w:styleId="14">
    <w:name w:val="old1"/>
    <w:basedOn w:val="4"/>
    <w:uiPriority w:val="0"/>
    <w:rPr>
      <w:color w:val="999999"/>
    </w:rPr>
  </w:style>
  <w:style w:type="character" w:customStyle="1" w:styleId="15">
    <w:name w:val="glyphicon"/>
    <w:basedOn w:val="4"/>
    <w:uiPriority w:val="0"/>
  </w:style>
  <w:style w:type="character" w:customStyle="1" w:styleId="16">
    <w:name w:val="hour_am"/>
    <w:basedOn w:val="4"/>
    <w:uiPriority w:val="0"/>
  </w:style>
  <w:style w:type="character" w:customStyle="1" w:styleId="17">
    <w:name w:val="before"/>
    <w:basedOn w:val="4"/>
    <w:uiPriority w:val="0"/>
    <w:rPr>
      <w:rFonts w:ascii="FontAwesome" w:hAnsi="FontAwesome" w:eastAsia="FontAwesome" w:cs="FontAwesome"/>
      <w:color w:val="888888"/>
      <w:sz w:val="14"/>
      <w:szCs w:val="14"/>
    </w:rPr>
  </w:style>
  <w:style w:type="character" w:customStyle="1" w:styleId="18">
    <w:name w:val="before1"/>
    <w:basedOn w:val="4"/>
    <w:uiPriority w:val="0"/>
    <w:rPr>
      <w:rFonts w:hint="default" w:ascii="FontAwesome" w:hAnsi="FontAwesome" w:eastAsia="FontAwesome" w:cs="FontAwesome"/>
      <w:color w:val="888888"/>
      <w:sz w:val="14"/>
      <w:szCs w:val="14"/>
    </w:rPr>
  </w:style>
  <w:style w:type="character" w:customStyle="1" w:styleId="19">
    <w:name w:val="ui-jqgrid-resize"/>
    <w:basedOn w:val="4"/>
    <w:uiPriority w:val="0"/>
  </w:style>
  <w:style w:type="character" w:customStyle="1" w:styleId="20">
    <w:name w:val="ui-jqgrid-resize1"/>
    <w:basedOn w:val="4"/>
    <w:uiPriority w:val="0"/>
  </w:style>
  <w:style w:type="character" w:customStyle="1" w:styleId="21">
    <w:name w:val="tmpztreemove_arrow"/>
    <w:basedOn w:val="4"/>
    <w:uiPriority w:val="0"/>
    <w:rPr>
      <w:bdr w:val="none" w:color="auto" w:sz="0" w:space="0"/>
    </w:rPr>
  </w:style>
  <w:style w:type="character" w:customStyle="1" w:styleId="22">
    <w:name w:val="ui-icon24"/>
    <w:basedOn w:val="4"/>
    <w:uiPriority w:val="0"/>
  </w:style>
  <w:style w:type="character" w:customStyle="1" w:styleId="23">
    <w:name w:val="button"/>
    <w:basedOn w:val="4"/>
    <w:uiPriority w:val="0"/>
    <w:rPr>
      <w:bdr w:val="none" w:color="auto" w:sz="0" w:space="0"/>
    </w:rPr>
  </w:style>
  <w:style w:type="character" w:customStyle="1" w:styleId="24">
    <w:name w:val="first-child2"/>
    <w:basedOn w:val="4"/>
    <w:uiPriority w:val="0"/>
    <w:rPr>
      <w:bdr w:val="none" w:color="auto" w:sz="0" w:space="0"/>
    </w:rPr>
  </w:style>
  <w:style w:type="character" w:customStyle="1" w:styleId="25">
    <w:name w:val="layui-layer-tabnow"/>
    <w:basedOn w:val="4"/>
    <w:uiPriority w:val="0"/>
    <w:rPr>
      <w:bdr w:val="single" w:color="CCCCCC" w:sz="4" w:space="0"/>
      <w:shd w:val="clear" w:fill="FFFFFF"/>
    </w:rPr>
  </w:style>
  <w:style w:type="paragraph" w:styleId="26">
    <w:name w:val=""/>
    <w:basedOn w:val="1"/>
    <w:next w:val="1"/>
    <w:uiPriority w:val="0"/>
    <w:pPr>
      <w:pBdr>
        <w:bottom w:val="single" w:color="auto" w:sz="6" w:space="1"/>
      </w:pBdr>
      <w:jc w:val="center"/>
    </w:pPr>
    <w:rPr>
      <w:rFonts w:ascii="Arial" w:eastAsia="宋体"/>
      <w:vanish/>
      <w:sz w:val="16"/>
    </w:rPr>
  </w:style>
  <w:style w:type="paragraph" w:styleId="27">
    <w:name w:val=""/>
    <w:basedOn w:val="1"/>
    <w:next w:val="1"/>
    <w:uiPriority w:val="0"/>
    <w:pPr>
      <w:pBdr>
        <w:top w:val="single" w:color="auto" w:sz="6" w:space="1"/>
      </w:pBdr>
      <w:jc w:val="center"/>
    </w:pPr>
    <w:rPr>
      <w:rFonts w:ascii="Arial" w:eastAsia="宋体"/>
      <w:vanish/>
      <w:sz w:val="16"/>
    </w:rPr>
  </w:style>
  <w:style w:type="character" w:customStyle="1" w:styleId="28">
    <w:name w:val="input-icon2"/>
    <w:basedOn w:val="4"/>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GI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2018-05-16T01:23:07Z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