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autoSpaceDE w:val="0"/>
        <w:autoSpaceDN w:val="0"/>
        <w:snapToGrid/>
        <w:spacing w:after="0"/>
        <w:jc w:val="center"/>
        <w:rPr>
          <w:rFonts w:ascii="方正小标宋简体" w:eastAsia="方正小标宋简体" w:cs="FZSTK--GBK1-0" w:hAnsiTheme="minorHAnsi"/>
          <w:sz w:val="44"/>
          <w:szCs w:val="44"/>
        </w:rPr>
      </w:pPr>
      <w:r>
        <w:rPr>
          <w:rFonts w:hint="eastAsia" w:ascii="方正小标宋简体" w:eastAsia="方正小标宋简体" w:cs="FZSTK--GBK1-0" w:hAnsiTheme="minorHAnsi"/>
          <w:sz w:val="44"/>
          <w:szCs w:val="44"/>
        </w:rPr>
        <w:t>商务要求</w:t>
      </w:r>
    </w:p>
    <w:p>
      <w:pPr>
        <w:widowControl w:val="0"/>
        <w:autoSpaceDE w:val="0"/>
        <w:autoSpaceDN w:val="0"/>
        <w:snapToGrid/>
        <w:spacing w:after="0" w:line="560" w:lineRule="exact"/>
        <w:jc w:val="center"/>
        <w:rPr>
          <w:rFonts w:ascii="方正小标宋简体" w:eastAsia="方正小标宋简体" w:cs="FZSTK--GBK1-0" w:hAnsiTheme="minorHAnsi"/>
          <w:sz w:val="44"/>
          <w:szCs w:val="44"/>
        </w:rPr>
      </w:pPr>
    </w:p>
    <w:p>
      <w:pPr>
        <w:pStyle w:val="2"/>
        <w:spacing w:after="0" w:line="579" w:lineRule="exact"/>
        <w:ind w:firstLine="640" w:firstLineChars="200"/>
        <w:rPr>
          <w:rFonts w:hint="eastAsia" w:ascii="黑体" w:hAnsi="宋体" w:eastAsia="黑体"/>
          <w:sz w:val="32"/>
          <w:szCs w:val="28"/>
        </w:rPr>
      </w:pPr>
      <w:r>
        <w:rPr>
          <w:rFonts w:hint="eastAsia" w:ascii="黑体" w:hAnsi="宋体" w:eastAsia="黑体"/>
          <w:sz w:val="32"/>
          <w:szCs w:val="28"/>
        </w:rPr>
        <w:t>一、</w:t>
      </w:r>
      <w:r>
        <w:rPr>
          <w:rFonts w:hint="eastAsia" w:ascii="黑体" w:hAnsi="宋体" w:eastAsia="黑体"/>
          <w:sz w:val="32"/>
          <w:szCs w:val="28"/>
          <w:lang w:val="en-US" w:eastAsia="zh-CN"/>
        </w:rPr>
        <w:t>服务期限</w:t>
      </w:r>
      <w:r>
        <w:rPr>
          <w:rFonts w:hint="eastAsia" w:ascii="黑体" w:hAnsi="宋体" w:eastAsia="黑体"/>
          <w:sz w:val="32"/>
          <w:szCs w:val="28"/>
        </w:rPr>
        <w:t>及地点</w:t>
      </w:r>
    </w:p>
    <w:p>
      <w:pPr>
        <w:pStyle w:val="2"/>
        <w:tabs>
          <w:tab w:val="center" w:pos="4473"/>
        </w:tabs>
        <w:spacing w:after="0" w:line="579" w:lineRule="exact"/>
        <w:ind w:firstLine="640" w:firstLineChars="200"/>
        <w:rPr>
          <w:rFonts w:hint="default" w:ascii="楷体_GB2312" w:hAnsi="宋体" w:eastAsia="楷体_GB2312"/>
          <w:sz w:val="32"/>
          <w:szCs w:val="28"/>
          <w:lang w:val="en-US" w:eastAsia="zh-CN"/>
        </w:rPr>
      </w:pPr>
      <w:r>
        <w:rPr>
          <w:rFonts w:hint="eastAsia" w:ascii="楷体_GB2312" w:hAnsi="宋体" w:eastAsia="楷体_GB2312"/>
          <w:sz w:val="32"/>
          <w:szCs w:val="28"/>
          <w:lang w:eastAsia="zh-CN"/>
        </w:rPr>
        <w:t>（</w:t>
      </w:r>
      <w:r>
        <w:rPr>
          <w:rFonts w:hint="eastAsia" w:ascii="楷体_GB2312" w:hAnsi="宋体" w:eastAsia="楷体_GB2312"/>
          <w:sz w:val="32"/>
          <w:szCs w:val="28"/>
          <w:lang w:val="en-US" w:eastAsia="zh-CN"/>
        </w:rPr>
        <w:t>一</w:t>
      </w:r>
      <w:r>
        <w:rPr>
          <w:rFonts w:hint="eastAsia" w:ascii="楷体_GB2312" w:hAnsi="宋体" w:eastAsia="楷体_GB2312"/>
          <w:sz w:val="32"/>
          <w:szCs w:val="28"/>
          <w:lang w:eastAsia="zh-CN"/>
        </w:rPr>
        <w:t>）</w:t>
      </w:r>
      <w:r>
        <w:rPr>
          <w:rFonts w:hint="eastAsia" w:ascii="楷体_GB2312" w:hAnsi="宋体" w:eastAsia="楷体_GB2312"/>
          <w:sz w:val="32"/>
          <w:szCs w:val="28"/>
          <w:lang w:val="en-US" w:eastAsia="zh-CN"/>
        </w:rPr>
        <w:t>服务期限</w:t>
      </w:r>
    </w:p>
    <w:p>
      <w:pPr>
        <w:pStyle w:val="2"/>
        <w:tabs>
          <w:tab w:val="center" w:pos="4473"/>
        </w:tabs>
        <w:spacing w:after="0" w:line="579" w:lineRule="exact"/>
        <w:ind w:firstLine="640" w:firstLineChars="200"/>
        <w:rPr>
          <w:rFonts w:hint="eastAsia" w:ascii="仿宋_GB2312" w:hAnsi="宋体" w:eastAsia="仿宋_GB2312"/>
          <w:sz w:val="32"/>
          <w:szCs w:val="28"/>
        </w:rPr>
      </w:pPr>
      <w:r>
        <w:rPr>
          <w:rFonts w:hint="eastAsia" w:ascii="仿宋_GB2312" w:hAnsi="宋体" w:eastAsia="仿宋_GB2312"/>
          <w:sz w:val="32"/>
          <w:szCs w:val="28"/>
        </w:rPr>
        <w:t>自合同签订之日起，中标供应商应在</w:t>
      </w:r>
      <w:r>
        <w:rPr>
          <w:rFonts w:hint="eastAsia" w:ascii="仿宋_GB2312" w:hAnsi="宋体" w:eastAsia="仿宋_GB2312"/>
          <w:sz w:val="32"/>
          <w:szCs w:val="28"/>
          <w:u w:val="single"/>
        </w:rPr>
        <w:t>30个自然日</w:t>
      </w:r>
      <w:r>
        <w:rPr>
          <w:rFonts w:hint="eastAsia" w:ascii="仿宋_GB2312" w:hAnsi="宋体" w:eastAsia="仿宋_GB2312"/>
          <w:sz w:val="32"/>
          <w:szCs w:val="28"/>
        </w:rPr>
        <w:t>内完成环评文件的编制工作并提交相应报告。</w:t>
      </w:r>
    </w:p>
    <w:p>
      <w:pPr>
        <w:pStyle w:val="2"/>
        <w:tabs>
          <w:tab w:val="center" w:pos="4473"/>
        </w:tabs>
        <w:spacing w:after="0" w:line="579" w:lineRule="exact"/>
        <w:ind w:firstLine="640" w:firstLineChars="200"/>
        <w:rPr>
          <w:rFonts w:hint="eastAsia" w:ascii="楷体_GB2312" w:hAnsi="宋体" w:eastAsia="楷体_GB2312"/>
          <w:sz w:val="32"/>
          <w:szCs w:val="28"/>
          <w:lang w:eastAsia="zh-CN"/>
        </w:rPr>
      </w:pPr>
      <w:r>
        <w:rPr>
          <w:rFonts w:hint="eastAsia" w:ascii="楷体_GB2312" w:hAnsi="宋体" w:eastAsia="楷体_GB2312"/>
          <w:sz w:val="32"/>
          <w:szCs w:val="28"/>
          <w:lang w:eastAsia="zh-CN"/>
        </w:rPr>
        <w:t>（</w:t>
      </w:r>
      <w:r>
        <w:rPr>
          <w:rFonts w:hint="eastAsia" w:ascii="楷体_GB2312" w:hAnsi="宋体" w:eastAsia="楷体_GB2312"/>
          <w:sz w:val="32"/>
          <w:szCs w:val="28"/>
          <w:lang w:val="en-US" w:eastAsia="zh-CN"/>
        </w:rPr>
        <w:t>二</w:t>
      </w:r>
      <w:r>
        <w:rPr>
          <w:rFonts w:hint="eastAsia" w:ascii="楷体_GB2312" w:hAnsi="宋体" w:eastAsia="楷体_GB2312"/>
          <w:sz w:val="32"/>
          <w:szCs w:val="28"/>
          <w:lang w:eastAsia="zh-CN"/>
        </w:rPr>
        <w:t>）</w:t>
      </w:r>
      <w:r>
        <w:rPr>
          <w:rFonts w:hint="eastAsia" w:ascii="楷体_GB2312" w:hAnsi="宋体" w:eastAsia="楷体_GB2312"/>
          <w:sz w:val="32"/>
          <w:szCs w:val="28"/>
          <w:lang w:val="en-US" w:eastAsia="zh-CN"/>
        </w:rPr>
        <w:t>服务</w:t>
      </w:r>
      <w:r>
        <w:rPr>
          <w:rFonts w:hint="eastAsia" w:ascii="楷体_GB2312" w:hAnsi="宋体" w:eastAsia="楷体_GB2312"/>
          <w:sz w:val="32"/>
          <w:szCs w:val="28"/>
          <w:lang w:eastAsia="zh-CN"/>
        </w:rPr>
        <w:t>地点</w:t>
      </w:r>
    </w:p>
    <w:p>
      <w:pPr>
        <w:pStyle w:val="2"/>
        <w:numPr>
          <w:ilvl w:val="0"/>
          <w:numId w:val="0"/>
        </w:numPr>
        <w:spacing w:after="0" w:line="579" w:lineRule="exact"/>
        <w:ind w:firstLine="640" w:firstLineChars="200"/>
        <w:rPr>
          <w:rFonts w:hint="eastAsia" w:ascii="仿宋_GB2312" w:hAnsi="宋体" w:eastAsia="仿宋_GB2312"/>
          <w:sz w:val="32"/>
          <w:szCs w:val="28"/>
          <w:lang w:eastAsia="zh-CN"/>
        </w:rPr>
      </w:pPr>
      <w:r>
        <w:rPr>
          <w:rFonts w:hint="eastAsia" w:ascii="仿宋_GB2312" w:hAnsi="宋体" w:eastAsia="仿宋_GB2312"/>
          <w:sz w:val="32"/>
          <w:szCs w:val="28"/>
        </w:rPr>
        <w:t>广东省广州市越秀区</w:t>
      </w:r>
      <w:r>
        <w:rPr>
          <w:rFonts w:hint="eastAsia" w:ascii="仿宋_GB2312" w:hAnsi="宋体" w:eastAsia="仿宋_GB2312"/>
          <w:sz w:val="32"/>
          <w:szCs w:val="28"/>
          <w:lang w:val="en-US" w:eastAsia="zh-CN"/>
        </w:rPr>
        <w:t>采购人指定地点</w:t>
      </w:r>
      <w:r>
        <w:rPr>
          <w:rFonts w:hint="eastAsia" w:ascii="仿宋_GB2312" w:hAnsi="宋体" w:eastAsia="仿宋_GB2312"/>
          <w:sz w:val="32"/>
          <w:szCs w:val="28"/>
          <w:lang w:eastAsia="zh-CN"/>
        </w:rPr>
        <w:t>。</w:t>
      </w:r>
    </w:p>
    <w:p>
      <w:pPr>
        <w:pStyle w:val="2"/>
        <w:spacing w:after="0" w:line="579" w:lineRule="exact"/>
        <w:ind w:firstLine="640" w:firstLineChars="200"/>
        <w:rPr>
          <w:rFonts w:ascii="黑体" w:hAnsi="宋体" w:eastAsia="黑体"/>
          <w:sz w:val="32"/>
          <w:szCs w:val="28"/>
        </w:rPr>
      </w:pPr>
      <w:r>
        <w:rPr>
          <w:rFonts w:hint="eastAsia" w:ascii="黑体" w:hAnsi="宋体" w:eastAsia="黑体"/>
          <w:sz w:val="32"/>
          <w:szCs w:val="28"/>
          <w:lang w:val="en-US" w:eastAsia="zh-CN"/>
        </w:rPr>
        <w:t>二</w:t>
      </w:r>
      <w:r>
        <w:rPr>
          <w:rFonts w:hint="eastAsia" w:ascii="黑体" w:hAnsi="宋体" w:eastAsia="黑体"/>
          <w:sz w:val="32"/>
          <w:szCs w:val="28"/>
        </w:rPr>
        <w:t>、服务要求</w:t>
      </w:r>
    </w:p>
    <w:p>
      <w:pPr>
        <w:pStyle w:val="2"/>
        <w:tabs>
          <w:tab w:val="center" w:pos="4473"/>
        </w:tabs>
        <w:spacing w:after="0" w:line="579" w:lineRule="exact"/>
        <w:ind w:firstLine="640" w:firstLineChars="200"/>
        <w:rPr>
          <w:rFonts w:ascii="楷体_GB2312" w:hAnsi="宋体" w:eastAsia="楷体_GB2312"/>
          <w:sz w:val="32"/>
          <w:szCs w:val="28"/>
        </w:rPr>
      </w:pPr>
      <w:r>
        <w:rPr>
          <w:rFonts w:hint="eastAsia" w:ascii="楷体_GB2312" w:hAnsi="宋体" w:eastAsia="楷体_GB2312"/>
          <w:sz w:val="32"/>
          <w:szCs w:val="28"/>
        </w:rPr>
        <w:t>（一）保密要求</w:t>
      </w:r>
    </w:p>
    <w:p>
      <w:pPr>
        <w:spacing w:line="579" w:lineRule="exact"/>
        <w:ind w:firstLine="640"/>
        <w:rPr>
          <w:rFonts w:ascii="仿宋_GB2312" w:eastAsia="仿宋_GB2312"/>
          <w:sz w:val="32"/>
          <w:szCs w:val="28"/>
        </w:rPr>
      </w:pPr>
      <w:r>
        <w:rPr>
          <w:rFonts w:hint="eastAsia" w:ascii="仿宋_GB2312" w:eastAsia="仿宋_GB2312"/>
          <w:sz w:val="32"/>
          <w:szCs w:val="28"/>
        </w:rPr>
        <w:t>甲、乙双方在采购和履行合同过程中所获悉的对方属于保密的内容，甲乙双方均有保密义务。</w:t>
      </w:r>
    </w:p>
    <w:p>
      <w:pPr>
        <w:pStyle w:val="2"/>
        <w:tabs>
          <w:tab w:val="center" w:pos="4473"/>
        </w:tabs>
        <w:spacing w:after="0" w:line="579" w:lineRule="exact"/>
        <w:ind w:firstLine="640" w:firstLineChars="200"/>
        <w:rPr>
          <w:rFonts w:ascii="楷体_GB2312" w:hAnsi="宋体" w:eastAsia="楷体_GB2312"/>
          <w:sz w:val="32"/>
          <w:szCs w:val="28"/>
        </w:rPr>
      </w:pPr>
      <w:r>
        <w:rPr>
          <w:rFonts w:hint="eastAsia" w:ascii="楷体_GB2312" w:hAnsi="宋体" w:eastAsia="楷体_GB2312"/>
          <w:sz w:val="32"/>
          <w:szCs w:val="28"/>
        </w:rPr>
        <w:t>（二）报价要求</w:t>
      </w:r>
    </w:p>
    <w:p>
      <w:pPr>
        <w:pStyle w:val="2"/>
        <w:spacing w:after="0" w:line="579" w:lineRule="exact"/>
        <w:ind w:firstLine="640" w:firstLineChars="200"/>
        <w:rPr>
          <w:rFonts w:hint="eastAsia" w:ascii="仿宋_GB2312" w:eastAsia="仿宋_GB2312" w:hAnsiTheme="minorHAnsi" w:cstheme="minorBidi"/>
          <w:sz w:val="32"/>
          <w:szCs w:val="28"/>
          <w:lang w:eastAsia="zh-CN"/>
        </w:rPr>
      </w:pPr>
      <w:r>
        <w:rPr>
          <w:rFonts w:hint="eastAsia" w:ascii="仿宋_GB2312" w:eastAsia="仿宋_GB2312" w:hAnsiTheme="minorHAnsi" w:cstheme="minorBidi"/>
          <w:sz w:val="32"/>
          <w:szCs w:val="28"/>
          <w:lang w:val="en-US" w:eastAsia="zh-CN"/>
        </w:rPr>
        <w:t>1.核素病房编制环境影响报告表及评估核报告表</w:t>
      </w:r>
      <w:r>
        <w:rPr>
          <w:rFonts w:hint="eastAsia" w:ascii="仿宋_GB2312" w:eastAsia="仿宋_GB2312" w:hAnsiTheme="minorHAnsi" w:cstheme="minorBidi"/>
          <w:sz w:val="32"/>
          <w:szCs w:val="28"/>
        </w:rPr>
        <w:t>最高限额</w:t>
      </w:r>
      <w:r>
        <w:rPr>
          <w:rFonts w:hint="eastAsia" w:ascii="仿宋_GB2312" w:eastAsia="仿宋_GB2312" w:hAnsiTheme="minorHAnsi" w:cstheme="minorBidi"/>
          <w:sz w:val="32"/>
          <w:szCs w:val="28"/>
          <w:lang w:val="en-US" w:eastAsia="zh-CN"/>
        </w:rPr>
        <w:t>3.36</w:t>
      </w:r>
      <w:r>
        <w:rPr>
          <w:rFonts w:hint="eastAsia" w:ascii="仿宋_GB2312" w:eastAsia="仿宋_GB2312" w:hAnsiTheme="minorHAnsi" w:cstheme="minorBidi"/>
          <w:sz w:val="32"/>
          <w:szCs w:val="28"/>
        </w:rPr>
        <w:t>万元</w:t>
      </w:r>
      <w:r>
        <w:rPr>
          <w:rFonts w:hint="eastAsia" w:ascii="仿宋_GB2312" w:eastAsia="仿宋_GB2312" w:hAnsiTheme="minorHAnsi" w:cstheme="minorBidi"/>
          <w:sz w:val="32"/>
          <w:szCs w:val="28"/>
          <w:lang w:eastAsia="zh-CN"/>
        </w:rPr>
        <w:t>；</w:t>
      </w:r>
    </w:p>
    <w:p>
      <w:pPr>
        <w:pStyle w:val="2"/>
        <w:spacing w:after="0" w:line="579" w:lineRule="exact"/>
        <w:ind w:firstLine="640" w:firstLineChars="200"/>
        <w:rPr>
          <w:rFonts w:hint="eastAsia" w:ascii="仿宋_GB2312" w:eastAsia="仿宋_GB2312" w:hAnsiTheme="minorHAnsi" w:cstheme="minorBidi"/>
          <w:sz w:val="32"/>
          <w:szCs w:val="28"/>
          <w:lang w:val="en-US" w:eastAsia="zh-CN"/>
        </w:rPr>
      </w:pPr>
      <w:r>
        <w:rPr>
          <w:rFonts w:hint="eastAsia" w:ascii="仿宋_GB2312" w:eastAsia="仿宋_GB2312" w:hAnsiTheme="minorHAnsi" w:cstheme="minorBidi"/>
          <w:sz w:val="32"/>
          <w:szCs w:val="28"/>
          <w:lang w:val="en-US" w:eastAsia="zh-CN"/>
        </w:rPr>
        <w:t>2.PET/CT中心编制场所退役环境影响报告表及评估报告表最高限额3.36万元。</w:t>
      </w:r>
    </w:p>
    <w:p>
      <w:pPr>
        <w:pStyle w:val="2"/>
        <w:spacing w:after="0" w:line="579" w:lineRule="exact"/>
        <w:ind w:firstLine="640" w:firstLineChars="200"/>
        <w:rPr>
          <w:rFonts w:hint="default" w:ascii="仿宋_GB2312" w:eastAsia="仿宋_GB2312" w:hAnsiTheme="minorHAnsi" w:cstheme="minorBidi"/>
          <w:sz w:val="32"/>
          <w:szCs w:val="28"/>
          <w:lang w:val="en-US" w:eastAsia="zh-CN"/>
        </w:rPr>
      </w:pPr>
      <w:r>
        <w:rPr>
          <w:rFonts w:hint="eastAsia" w:ascii="仿宋_GB2312" w:eastAsia="仿宋_GB2312" w:hAnsiTheme="minorHAnsi" w:cstheme="minorBidi"/>
          <w:sz w:val="32"/>
          <w:szCs w:val="28"/>
          <w:lang w:val="en-US" w:eastAsia="zh-CN"/>
        </w:rPr>
        <w:t>3.</w:t>
      </w:r>
      <w:r>
        <w:rPr>
          <w:rFonts w:hint="default" w:ascii="仿宋_GB2312" w:eastAsia="仿宋_GB2312" w:hAnsiTheme="minorHAnsi" w:cstheme="minorBidi"/>
          <w:sz w:val="32"/>
          <w:szCs w:val="28"/>
          <w:lang w:val="en-US" w:eastAsia="zh-CN"/>
        </w:rPr>
        <w:t>投标人必须将具体技术服务、价格分别列明于投标文件当中或附上详细说明书供评委评审，否则将有可能导致其被认为不响应要求。</w:t>
      </w:r>
    </w:p>
    <w:p>
      <w:pPr>
        <w:pStyle w:val="2"/>
        <w:spacing w:after="0" w:line="579" w:lineRule="exact"/>
        <w:ind w:firstLine="640" w:firstLineChars="200"/>
        <w:rPr>
          <w:rFonts w:hint="default" w:ascii="仿宋_GB2312" w:eastAsia="仿宋_GB2312" w:hAnsiTheme="minorHAnsi" w:cstheme="minorBidi"/>
          <w:sz w:val="32"/>
          <w:szCs w:val="28"/>
          <w:lang w:val="en-US" w:eastAsia="zh-CN"/>
        </w:rPr>
      </w:pPr>
    </w:p>
    <w:p>
      <w:pPr>
        <w:pStyle w:val="2"/>
        <w:spacing w:after="0" w:line="579" w:lineRule="exact"/>
        <w:ind w:firstLine="640" w:firstLineChars="200"/>
        <w:rPr>
          <w:rFonts w:ascii="仿宋_GB2312" w:hAnsi="宋体" w:eastAsia="仿宋_GB2312"/>
          <w:sz w:val="32"/>
          <w:szCs w:val="28"/>
        </w:rPr>
      </w:pPr>
      <w:r>
        <w:rPr>
          <w:rFonts w:hint="eastAsia" w:ascii="黑体" w:hAnsi="宋体" w:eastAsia="黑体"/>
          <w:sz w:val="32"/>
          <w:szCs w:val="28"/>
          <w:lang w:val="en-US" w:eastAsia="zh-CN"/>
        </w:rPr>
        <w:t>三</w:t>
      </w:r>
      <w:r>
        <w:rPr>
          <w:rFonts w:hint="eastAsia" w:ascii="黑体" w:hAnsi="宋体" w:eastAsia="黑体"/>
          <w:sz w:val="32"/>
          <w:szCs w:val="28"/>
        </w:rPr>
        <w:t>、验收、付款及其他内容</w:t>
      </w:r>
    </w:p>
    <w:p>
      <w:pPr>
        <w:pStyle w:val="2"/>
        <w:tabs>
          <w:tab w:val="center" w:pos="4473"/>
        </w:tabs>
        <w:spacing w:after="0" w:line="560" w:lineRule="exact"/>
        <w:ind w:firstLine="640" w:firstLineChars="200"/>
        <w:rPr>
          <w:rFonts w:ascii="楷体_GB2312" w:hAnsi="宋体" w:eastAsia="楷体_GB2312"/>
          <w:sz w:val="32"/>
          <w:szCs w:val="32"/>
        </w:rPr>
      </w:pPr>
      <w:r>
        <w:rPr>
          <w:rFonts w:hint="eastAsia" w:ascii="楷体_GB2312" w:hAnsi="宋体" w:eastAsia="楷体_GB2312"/>
          <w:sz w:val="32"/>
          <w:szCs w:val="32"/>
        </w:rPr>
        <w:t>（一）验收方式</w:t>
      </w:r>
    </w:p>
    <w:p>
      <w:pPr>
        <w:pStyle w:val="2"/>
        <w:tabs>
          <w:tab w:val="center" w:pos="4473"/>
        </w:tabs>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取得环境主管部门建设项目环评批复为准。</w:t>
      </w:r>
    </w:p>
    <w:p>
      <w:pPr>
        <w:pStyle w:val="2"/>
        <w:tabs>
          <w:tab w:val="center" w:pos="4473"/>
        </w:tabs>
        <w:spacing w:after="0" w:line="560" w:lineRule="exact"/>
        <w:ind w:firstLine="640" w:firstLineChars="200"/>
        <w:rPr>
          <w:rFonts w:ascii="楷体_GB2312" w:hAnsi="宋体" w:eastAsia="楷体_GB2312"/>
          <w:color w:val="000000" w:themeColor="text1"/>
          <w:sz w:val="32"/>
          <w:szCs w:val="32"/>
        </w:rPr>
      </w:pPr>
      <w:r>
        <w:rPr>
          <w:rFonts w:hint="eastAsia" w:ascii="楷体_GB2312" w:hAnsi="宋体" w:eastAsia="楷体_GB2312"/>
          <w:color w:val="000000" w:themeColor="text1"/>
          <w:sz w:val="32"/>
          <w:szCs w:val="32"/>
        </w:rPr>
        <w:t>（二）付款方式</w:t>
      </w:r>
    </w:p>
    <w:p>
      <w:pPr>
        <w:pStyle w:val="2"/>
        <w:spacing w:after="0" w:line="579"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 xml:space="preserve">本项目不预付货款，合同签订且服务验收合格后，成交供应商收集发票、验收报告等材料，提交采购单位办理结算手续，采购单位在60个自然日内向成交供应商以银行转账方式支付合同款。 </w:t>
      </w:r>
    </w:p>
    <w:p>
      <w:pPr>
        <w:pStyle w:val="2"/>
        <w:spacing w:after="0" w:line="579" w:lineRule="exact"/>
        <w:ind w:firstLine="640" w:firstLineChars="200"/>
        <w:rPr>
          <w:rFonts w:hint="eastAsia" w:ascii="黑体" w:hAnsi="宋体" w:eastAsia="黑体" w:cs="Times New Roman"/>
          <w:sz w:val="32"/>
          <w:szCs w:val="28"/>
          <w:lang w:val="en-US" w:eastAsia="zh-CN"/>
        </w:rPr>
      </w:pPr>
      <w:r>
        <w:rPr>
          <w:rFonts w:hint="eastAsia" w:ascii="黑体" w:hAnsi="宋体" w:eastAsia="黑体" w:cs="Times New Roman"/>
          <w:sz w:val="32"/>
          <w:szCs w:val="28"/>
          <w:lang w:val="en-US" w:eastAsia="zh-CN"/>
        </w:rPr>
        <w:t>四、报价供应商资格条件</w:t>
      </w:r>
    </w:p>
    <w:p>
      <w:pPr>
        <w:pStyle w:val="2"/>
        <w:tabs>
          <w:tab w:val="center" w:pos="4473"/>
        </w:tabs>
        <w:spacing w:after="0"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（一）</w:t>
      </w:r>
      <w:r>
        <w:rPr>
          <w:rFonts w:ascii="仿宋" w:hAnsi="仿宋" w:eastAsia="仿宋" w:cs="Times New Roman"/>
          <w:sz w:val="32"/>
          <w:szCs w:val="32"/>
        </w:rPr>
        <w:t>符合《中华人民共和国政府采购法》第二十二条资格条件</w:t>
      </w:r>
      <w:r>
        <w:rPr>
          <w:rFonts w:hint="eastAsia" w:ascii="仿宋" w:hAnsi="仿宋" w:eastAsia="仿宋" w:cs="Times New Roman"/>
          <w:sz w:val="32"/>
          <w:szCs w:val="32"/>
        </w:rPr>
        <w:t>：</w:t>
      </w:r>
    </w:p>
    <w:p>
      <w:pPr>
        <w:pStyle w:val="2"/>
        <w:tabs>
          <w:tab w:val="center" w:pos="4473"/>
        </w:tabs>
        <w:spacing w:after="0"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lang w:val="en-US" w:eastAsia="zh-CN"/>
        </w:rPr>
        <w:t>1.</w:t>
      </w:r>
      <w:r>
        <w:rPr>
          <w:rFonts w:hint="eastAsia" w:ascii="仿宋" w:hAnsi="仿宋" w:eastAsia="仿宋" w:cs="Times New Roman"/>
          <w:sz w:val="32"/>
          <w:szCs w:val="32"/>
        </w:rPr>
        <w:t>具有独立承担民事责任的能力（供应商应是中华人民共和国境内注册的具有独立承担民事责任能力的法人或其他组织，提供营业执照等证明文件）；</w:t>
      </w:r>
    </w:p>
    <w:p>
      <w:pPr>
        <w:pStyle w:val="2"/>
        <w:tabs>
          <w:tab w:val="center" w:pos="4473"/>
        </w:tabs>
        <w:spacing w:after="0"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lang w:val="en-US" w:eastAsia="zh-CN"/>
        </w:rPr>
        <w:t>2.</w:t>
      </w:r>
      <w:r>
        <w:rPr>
          <w:rFonts w:hint="eastAsia" w:ascii="仿宋" w:hAnsi="仿宋" w:eastAsia="仿宋" w:cs="Times New Roman"/>
          <w:sz w:val="32"/>
          <w:szCs w:val="32"/>
        </w:rPr>
        <w:t>参加本次采购活动前3年内，在经营活动中没有重大违法记录（提供书面声明）。</w:t>
      </w:r>
    </w:p>
    <w:p>
      <w:pPr>
        <w:pStyle w:val="2"/>
        <w:tabs>
          <w:tab w:val="center" w:pos="4473"/>
        </w:tabs>
        <w:spacing w:after="0"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lang w:val="en-US" w:eastAsia="zh-CN"/>
        </w:rPr>
        <w:t>3.</w:t>
      </w:r>
      <w:r>
        <w:rPr>
          <w:rFonts w:hint="eastAsia" w:ascii="仿宋" w:hAnsi="仿宋" w:eastAsia="仿宋" w:cs="Times New Roman"/>
          <w:sz w:val="32"/>
          <w:szCs w:val="32"/>
        </w:rPr>
        <w:t>具有履行合同所必须的设备和专业技术能力（自拟供货承诺书）。</w:t>
      </w:r>
    </w:p>
    <w:p>
      <w:pPr>
        <w:pStyle w:val="2"/>
        <w:tabs>
          <w:tab w:val="center" w:pos="4473"/>
        </w:tabs>
        <w:spacing w:after="0"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lang w:val="en-US" w:eastAsia="zh-CN"/>
        </w:rPr>
        <w:t>4.</w:t>
      </w:r>
      <w:r>
        <w:rPr>
          <w:rFonts w:hint="eastAsia" w:ascii="仿宋" w:hAnsi="仿宋" w:eastAsia="仿宋" w:cs="Times New Roman"/>
          <w:sz w:val="32"/>
          <w:szCs w:val="32"/>
        </w:rPr>
        <w:t>具有良好的商业信誉和健全的财务会计制度；有依法缴纳税收和社会保障资金的良好记录。</w:t>
      </w:r>
    </w:p>
    <w:p>
      <w:pPr>
        <w:pStyle w:val="2"/>
        <w:tabs>
          <w:tab w:val="center" w:pos="4473"/>
        </w:tabs>
        <w:spacing w:after="0"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lang w:eastAsia="zh-CN"/>
        </w:rPr>
        <w:t>（</w:t>
      </w:r>
      <w:r>
        <w:rPr>
          <w:rFonts w:hint="eastAsia" w:ascii="仿宋" w:hAnsi="仿宋" w:eastAsia="仿宋" w:cs="Times New Roman"/>
          <w:sz w:val="32"/>
          <w:szCs w:val="32"/>
          <w:lang w:val="en-US" w:eastAsia="zh-CN"/>
        </w:rPr>
        <w:t>二</w:t>
      </w:r>
      <w:r>
        <w:rPr>
          <w:rFonts w:hint="eastAsia" w:ascii="仿宋" w:hAnsi="仿宋" w:eastAsia="仿宋" w:cs="Times New Roman"/>
          <w:sz w:val="32"/>
          <w:szCs w:val="32"/>
          <w:lang w:eastAsia="zh-CN"/>
        </w:rPr>
        <w:t>）</w:t>
      </w:r>
      <w:r>
        <w:rPr>
          <w:rFonts w:hint="eastAsia" w:ascii="仿宋" w:hAnsi="仿宋" w:eastAsia="仿宋" w:cs="Times New Roman"/>
          <w:sz w:val="32"/>
          <w:szCs w:val="32"/>
        </w:rPr>
        <w:t>未被中国政府采购网（www.ccgp.gov.cn）列入政府采购严重违法失信行为记录名单，未在军队采购网（www.plap.mil.cn）军队采购暂停名单处罚范围内或军队采购失信名单禁入处罚期和处罚范围内，以及未被“信用中国”（www.creditchina.gov.cn）列入严重失信主体名单或国家企业信用信息公示系统（www.gsxt.gov.cn）列入严重违法失信名单（处罚期内）（提供书面声明和网页截图）。</w:t>
      </w:r>
    </w:p>
    <w:p>
      <w:pPr>
        <w:pStyle w:val="2"/>
        <w:tabs>
          <w:tab w:val="center" w:pos="4473"/>
        </w:tabs>
        <w:spacing w:after="0"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lang w:eastAsia="zh-CN"/>
        </w:rPr>
        <w:t>（</w:t>
      </w:r>
      <w:r>
        <w:rPr>
          <w:rFonts w:hint="eastAsia" w:ascii="仿宋" w:hAnsi="仿宋" w:eastAsia="仿宋" w:cs="Times New Roman"/>
          <w:sz w:val="32"/>
          <w:szCs w:val="32"/>
          <w:lang w:val="en-US" w:eastAsia="zh-CN"/>
        </w:rPr>
        <w:t>三</w:t>
      </w:r>
      <w:r>
        <w:rPr>
          <w:rFonts w:hint="eastAsia" w:ascii="仿宋" w:hAnsi="仿宋" w:eastAsia="仿宋" w:cs="Times New Roman"/>
          <w:sz w:val="32"/>
          <w:szCs w:val="32"/>
          <w:lang w:eastAsia="zh-CN"/>
        </w:rPr>
        <w:t>）</w:t>
      </w:r>
      <w:r>
        <w:rPr>
          <w:rFonts w:hint="eastAsia" w:ascii="仿宋" w:hAnsi="仿宋" w:eastAsia="仿宋" w:cs="Times New Roman"/>
          <w:sz w:val="32"/>
          <w:szCs w:val="32"/>
        </w:rPr>
        <w:t>供应商应为中华人民共和国境内注册的独立法人或其他组织，必须具有《营业执照》（如非“三证合一”证照，同时提供税务登记证副本复印件加盖公章）。本项目不接受联合体报价，不允许供应商对本采购项目进行分包、转包和挂靠经营。单位负责人为同一人或者存在控股、管理关系的不同单位，不得参加同一采购项目包报价，不得有外资（含港澳台）独资的企业。（供应商出具声明函）。</w:t>
      </w:r>
    </w:p>
    <w:p>
      <w:pPr>
        <w:pStyle w:val="2"/>
        <w:tabs>
          <w:tab w:val="center" w:pos="4473"/>
        </w:tabs>
        <w:spacing w:after="0"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lang w:eastAsia="zh-CN"/>
        </w:rPr>
        <w:t>（</w:t>
      </w:r>
      <w:r>
        <w:rPr>
          <w:rFonts w:hint="eastAsia" w:ascii="仿宋" w:hAnsi="仿宋" w:eastAsia="仿宋" w:cs="Times New Roman"/>
          <w:sz w:val="32"/>
          <w:szCs w:val="32"/>
          <w:lang w:val="en-US" w:eastAsia="zh-CN"/>
        </w:rPr>
        <w:t>四</w:t>
      </w:r>
      <w:r>
        <w:rPr>
          <w:rFonts w:hint="eastAsia" w:ascii="仿宋" w:hAnsi="仿宋" w:eastAsia="仿宋" w:cs="Times New Roman"/>
          <w:sz w:val="32"/>
          <w:szCs w:val="32"/>
          <w:lang w:eastAsia="zh-CN"/>
        </w:rPr>
        <w:t>）</w:t>
      </w:r>
      <w:r>
        <w:rPr>
          <w:rFonts w:hint="eastAsia" w:ascii="仿宋" w:hAnsi="仿宋" w:eastAsia="仿宋" w:cs="Times New Roman"/>
          <w:sz w:val="32"/>
          <w:szCs w:val="32"/>
        </w:rPr>
        <w:t>本项目特定资格：</w:t>
      </w:r>
    </w:p>
    <w:p>
      <w:pPr>
        <w:pStyle w:val="6"/>
        <w:widowControl/>
        <w:spacing w:beforeAutospacing="0" w:afterAutospacing="0" w:line="500" w:lineRule="exact"/>
        <w:ind w:firstLine="640" w:firstLineChars="200"/>
        <w:textAlignment w:val="baseline"/>
        <w:rPr>
          <w:rFonts w:hint="eastAsia" w:ascii="仿宋" w:hAnsi="仿宋" w:eastAsia="仿宋" w:cs="Times New Roman"/>
          <w:sz w:val="32"/>
          <w:szCs w:val="32"/>
        </w:rPr>
      </w:pPr>
      <w:r>
        <w:rPr>
          <w:rFonts w:hint="eastAsia" w:ascii="仿宋" w:hAnsi="仿宋" w:eastAsia="仿宋" w:cs="仿宋"/>
          <w:color w:val="000000"/>
          <w:sz w:val="32"/>
          <w:szCs w:val="32"/>
          <w:shd w:val="clear" w:color="auto" w:fill="FFFFFF"/>
          <w:lang w:val="en-US" w:eastAsia="zh-CN"/>
        </w:rPr>
        <w:t>供应商应具备环境影响评价工程师的人员资质，出具环境影响评价工程师在本单位近一年内6个月的社保缴纳凭证，并提供环境影响评价工程师证书查验</w:t>
      </w:r>
      <w:bookmarkStart w:id="0" w:name="_GoBack"/>
      <w:bookmarkEnd w:id="0"/>
      <w:r>
        <w:rPr>
          <w:rFonts w:hint="eastAsia" w:ascii="仿宋" w:hAnsi="仿宋" w:eastAsia="仿宋" w:cs="仿宋"/>
          <w:color w:val="000000"/>
          <w:sz w:val="32"/>
          <w:szCs w:val="32"/>
          <w:shd w:val="clear" w:color="auto" w:fill="FFFFFF"/>
          <w:lang w:val="en-US" w:eastAsia="zh-CN"/>
        </w:rPr>
        <w:t>。</w:t>
      </w:r>
    </w:p>
    <w:p>
      <w:pPr>
        <w:pStyle w:val="2"/>
        <w:numPr>
          <w:ilvl w:val="0"/>
          <w:numId w:val="1"/>
        </w:numPr>
        <w:tabs>
          <w:tab w:val="center" w:pos="4473"/>
        </w:tabs>
        <w:spacing w:after="0"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本项目不接受联合体投标。</w:t>
      </w:r>
    </w:p>
    <w:p>
      <w:pPr>
        <w:pStyle w:val="2"/>
        <w:spacing w:after="0" w:line="579" w:lineRule="exact"/>
        <w:ind w:firstLine="640" w:firstLineChars="200"/>
        <w:rPr>
          <w:rFonts w:hint="eastAsia" w:ascii="黑体" w:hAnsi="宋体" w:eastAsia="黑体" w:cs="Times New Roman"/>
          <w:sz w:val="32"/>
          <w:szCs w:val="28"/>
          <w:lang w:val="en-US" w:eastAsia="zh-CN"/>
        </w:rPr>
      </w:pPr>
      <w:r>
        <w:rPr>
          <w:rFonts w:hint="eastAsia" w:ascii="黑体" w:hAnsi="宋体" w:eastAsia="黑体" w:cs="Times New Roman"/>
          <w:sz w:val="32"/>
          <w:szCs w:val="28"/>
          <w:lang w:val="en-US" w:eastAsia="zh-CN"/>
        </w:rPr>
        <w:t>五、预算金额：</w:t>
      </w:r>
    </w:p>
    <w:p>
      <w:pPr>
        <w:pStyle w:val="2"/>
        <w:tabs>
          <w:tab w:val="center" w:pos="4473"/>
        </w:tabs>
        <w:spacing w:after="0"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lang w:val="en-US" w:eastAsia="zh-CN"/>
        </w:rPr>
        <w:t>6.72万元（人民币）。</w:t>
      </w:r>
    </w:p>
    <w:p/>
    <w:sectPr>
      <w:pgSz w:w="11906" w:h="16838"/>
      <w:pgMar w:top="2098" w:right="1474" w:bottom="1985" w:left="1588"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 w:name="FZSTK--GBK1-0">
    <w:altName w:val="宋体"/>
    <w:panose1 w:val="00000000000000000000"/>
    <w:charset w:val="86"/>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0074C4"/>
    <w:multiLevelType w:val="singleLevel"/>
    <w:tmpl w:val="230074C4"/>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GRlZjRlNzc2NmUzZTU3MzUyZDdlNGMzYWIxODkzYjEifQ=="/>
  </w:docVars>
  <w:rsids>
    <w:rsidRoot w:val="004765E8"/>
    <w:rsid w:val="001603A3"/>
    <w:rsid w:val="00292BAB"/>
    <w:rsid w:val="00316C38"/>
    <w:rsid w:val="004765E8"/>
    <w:rsid w:val="004B2978"/>
    <w:rsid w:val="00545987"/>
    <w:rsid w:val="005E2BFC"/>
    <w:rsid w:val="005F7EE0"/>
    <w:rsid w:val="00663592"/>
    <w:rsid w:val="006B406B"/>
    <w:rsid w:val="00752AE6"/>
    <w:rsid w:val="007F6CBB"/>
    <w:rsid w:val="00911D68"/>
    <w:rsid w:val="00934501"/>
    <w:rsid w:val="00C30C0A"/>
    <w:rsid w:val="02884796"/>
    <w:rsid w:val="0CEC11E8"/>
    <w:rsid w:val="1A7F18ED"/>
    <w:rsid w:val="1E7D4396"/>
    <w:rsid w:val="21EB7868"/>
    <w:rsid w:val="23052CDA"/>
    <w:rsid w:val="23BD5235"/>
    <w:rsid w:val="27F21951"/>
    <w:rsid w:val="2D542766"/>
    <w:rsid w:val="2D8E211C"/>
    <w:rsid w:val="33B27B94"/>
    <w:rsid w:val="359B421F"/>
    <w:rsid w:val="3D6239C5"/>
    <w:rsid w:val="40A435AC"/>
    <w:rsid w:val="41FE4420"/>
    <w:rsid w:val="4B8677A9"/>
    <w:rsid w:val="4D44414D"/>
    <w:rsid w:val="4E4D2773"/>
    <w:rsid w:val="4F506DD9"/>
    <w:rsid w:val="523E02A3"/>
    <w:rsid w:val="53DB3C18"/>
    <w:rsid w:val="5953690B"/>
    <w:rsid w:val="597B0EF6"/>
    <w:rsid w:val="5E135BA1"/>
    <w:rsid w:val="612260FC"/>
    <w:rsid w:val="62F55E9B"/>
    <w:rsid w:val="62FC59C7"/>
    <w:rsid w:val="6E3471E7"/>
    <w:rsid w:val="6EF70BC7"/>
    <w:rsid w:val="7060279C"/>
    <w:rsid w:val="71F26608"/>
    <w:rsid w:val="7450198C"/>
    <w:rsid w:val="76D53D3C"/>
    <w:rsid w:val="7ABC17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adjustRightInd w:val="0"/>
      <w:snapToGrid w:val="0"/>
      <w:spacing w:after="200"/>
    </w:pPr>
    <w:rPr>
      <w:rFonts w:ascii="Tahoma" w:hAnsi="Tahoma" w:eastAsia="微软雅黑" w:cstheme="minorBidi"/>
      <w:kern w:val="0"/>
      <w:sz w:val="22"/>
      <w:szCs w:val="22"/>
      <w:lang w:val="en-US" w:eastAsia="zh-CN" w:bidi="ar-SA"/>
    </w:rPr>
  </w:style>
  <w:style w:type="character" w:default="1" w:styleId="8">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autoRedefine/>
    <w:unhideWhenUsed/>
    <w:qFormat/>
    <w:uiPriority w:val="0"/>
    <w:pPr>
      <w:spacing w:after="120"/>
    </w:pPr>
    <w:rPr>
      <w:rFonts w:ascii="Times New Roman" w:hAnsi="Times New Roman" w:eastAsia="宋体" w:cs="Times New Roman"/>
      <w:szCs w:val="24"/>
    </w:rPr>
  </w:style>
  <w:style w:type="paragraph" w:styleId="3">
    <w:name w:val="Document Map"/>
    <w:basedOn w:val="1"/>
    <w:autoRedefine/>
    <w:semiHidden/>
    <w:qFormat/>
    <w:uiPriority w:val="0"/>
    <w:pPr>
      <w:shd w:val="clear" w:color="auto" w:fill="000080"/>
    </w:pPr>
  </w:style>
  <w:style w:type="paragraph" w:styleId="4">
    <w:name w:val="footer"/>
    <w:basedOn w:val="1"/>
    <w:link w:val="11"/>
    <w:autoRedefine/>
    <w:semiHidden/>
    <w:unhideWhenUsed/>
    <w:qFormat/>
    <w:uiPriority w:val="99"/>
    <w:pPr>
      <w:widowControl w:val="0"/>
      <w:tabs>
        <w:tab w:val="center" w:pos="4153"/>
        <w:tab w:val="right" w:pos="8306"/>
      </w:tabs>
      <w:adjustRightInd/>
      <w:spacing w:after="0"/>
    </w:pPr>
    <w:rPr>
      <w:rFonts w:asciiTheme="minorHAnsi" w:hAnsiTheme="minorHAnsi" w:eastAsiaTheme="minorEastAsia"/>
      <w:kern w:val="2"/>
      <w:sz w:val="18"/>
      <w:szCs w:val="18"/>
    </w:rPr>
  </w:style>
  <w:style w:type="paragraph" w:styleId="5">
    <w:name w:val="header"/>
    <w:basedOn w:val="1"/>
    <w:link w:val="10"/>
    <w:autoRedefine/>
    <w:semiHidden/>
    <w:unhideWhenUsed/>
    <w:qFormat/>
    <w:uiPriority w:val="99"/>
    <w:pPr>
      <w:widowControl w:val="0"/>
      <w:pBdr>
        <w:bottom w:val="single" w:color="auto" w:sz="6" w:space="1"/>
      </w:pBdr>
      <w:tabs>
        <w:tab w:val="center" w:pos="4153"/>
        <w:tab w:val="right" w:pos="8306"/>
      </w:tabs>
      <w:adjustRightInd/>
      <w:spacing w:after="0"/>
      <w:jc w:val="center"/>
    </w:pPr>
    <w:rPr>
      <w:rFonts w:asciiTheme="minorHAnsi" w:hAnsiTheme="minorHAnsi" w:eastAsiaTheme="minorEastAsia"/>
      <w:kern w:val="2"/>
      <w:sz w:val="18"/>
      <w:szCs w:val="18"/>
    </w:rPr>
  </w:style>
  <w:style w:type="paragraph" w:styleId="6">
    <w:name w:val="Normal (Web)"/>
    <w:basedOn w:val="1"/>
    <w:autoRedefine/>
    <w:qFormat/>
    <w:uiPriority w:val="0"/>
    <w:pPr>
      <w:widowControl w:val="0"/>
      <w:adjustRightInd/>
      <w:snapToGrid/>
      <w:spacing w:beforeAutospacing="1" w:after="0" w:afterAutospacing="1"/>
    </w:pPr>
    <w:rPr>
      <w:rFonts w:ascii="Times New Roman" w:hAnsi="Times New Roman" w:eastAsia="宋体" w:cs="Times New Roman"/>
      <w:sz w:val="24"/>
      <w:szCs w:val="24"/>
    </w:rPr>
  </w:style>
  <w:style w:type="character" w:styleId="9">
    <w:name w:val="Hyperlink"/>
    <w:basedOn w:val="8"/>
    <w:autoRedefine/>
    <w:semiHidden/>
    <w:unhideWhenUsed/>
    <w:qFormat/>
    <w:uiPriority w:val="99"/>
    <w:rPr>
      <w:color w:val="0000FF"/>
      <w:u w:val="single"/>
    </w:rPr>
  </w:style>
  <w:style w:type="character" w:customStyle="1" w:styleId="10">
    <w:name w:val="页眉 Char"/>
    <w:basedOn w:val="8"/>
    <w:link w:val="5"/>
    <w:autoRedefine/>
    <w:semiHidden/>
    <w:qFormat/>
    <w:uiPriority w:val="99"/>
    <w:rPr>
      <w:sz w:val="18"/>
      <w:szCs w:val="18"/>
    </w:rPr>
  </w:style>
  <w:style w:type="character" w:customStyle="1" w:styleId="11">
    <w:name w:val="页脚 Char"/>
    <w:basedOn w:val="8"/>
    <w:link w:val="4"/>
    <w:autoRedefine/>
    <w:semiHidden/>
    <w:qFormat/>
    <w:uiPriority w:val="99"/>
    <w:rPr>
      <w:sz w:val="18"/>
      <w:szCs w:val="18"/>
    </w:rPr>
  </w:style>
  <w:style w:type="paragraph" w:styleId="12">
    <w:name w:val="List Paragraph"/>
    <w:basedOn w:val="1"/>
    <w:autoRedefine/>
    <w:qFormat/>
    <w:uiPriority w:val="34"/>
    <w:pPr>
      <w:ind w:firstLine="420" w:firstLineChars="200"/>
    </w:pPr>
  </w:style>
  <w:style w:type="paragraph" w:customStyle="1" w:styleId="13">
    <w:name w:val="列出段落1"/>
    <w:basedOn w:val="1"/>
    <w:autoRedefine/>
    <w:qFormat/>
    <w:uiPriority w:val="0"/>
    <w:pPr>
      <w:ind w:firstLine="420" w:firstLineChars="200"/>
    </w:pPr>
    <w:rPr>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Words>
  <Characters>212</Characters>
  <Lines>1</Lines>
  <Paragraphs>1</Paragraphs>
  <TotalTime>0</TotalTime>
  <ScaleCrop>false</ScaleCrop>
  <LinksUpToDate>false</LinksUpToDate>
  <CharactersWithSpaces>248</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2023-10-12T01:41:00Z</dcterms:created>
  <dc:creator>admin</dc:creator>
  <cp:lastModifiedBy>大幅度</cp:lastModifiedBy>
  <dcterms:modified xsi:type="dcterms:W3CDTF">2024-02-21T09:41:58Z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451D368220894C62B4D7E49CD91EE70A_12</vt:lpwstr>
  </property>
</Properties>
</file>