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eastAsia="宋体" w:cs="宋体"/>
          <w:b/>
          <w:sz w:val="40"/>
          <w:szCs w:val="40"/>
        </w:rPr>
      </w:pPr>
    </w:p>
    <w:p>
      <w:pPr>
        <w:spacing w:line="360" w:lineRule="auto"/>
        <w:jc w:val="center"/>
        <w:rPr>
          <w:rFonts w:hint="eastAsia" w:ascii="宋体" w:hAnsi="宋体" w:eastAsia="宋体" w:cs="宋体"/>
          <w:b/>
          <w:sz w:val="52"/>
          <w:szCs w:val="52"/>
          <w:lang w:eastAsia="zh-CN"/>
        </w:rPr>
      </w:pPr>
    </w:p>
    <w:p>
      <w:pPr>
        <w:spacing w:line="360" w:lineRule="auto"/>
        <w:jc w:val="center"/>
        <w:rPr>
          <w:rFonts w:hint="eastAsia" w:ascii="宋体" w:hAnsi="宋体" w:eastAsia="宋体" w:cs="宋体"/>
          <w:b/>
          <w:sz w:val="52"/>
          <w:szCs w:val="52"/>
          <w:lang w:eastAsia="zh-CN"/>
        </w:rPr>
      </w:pPr>
    </w:p>
    <w:p>
      <w:pPr>
        <w:spacing w:line="360" w:lineRule="auto"/>
        <w:jc w:val="center"/>
        <w:rPr>
          <w:rFonts w:ascii="宋体" w:hAnsi="宋体" w:eastAsia="宋体" w:cs="宋体"/>
          <w:b/>
          <w:sz w:val="48"/>
          <w:szCs w:val="48"/>
        </w:rPr>
      </w:pPr>
      <w:r>
        <w:rPr>
          <w:rFonts w:hint="eastAsia" w:ascii="宋体" w:hAnsi="宋体" w:eastAsia="宋体" w:cs="宋体"/>
          <w:b/>
          <w:sz w:val="48"/>
          <w:szCs w:val="48"/>
          <w:lang w:eastAsia="zh-CN"/>
        </w:rPr>
        <w:t xml:space="preserve">白石洲学校南山区初中阶段理科实验教学与测评改革软硬件建设  </w:t>
      </w:r>
    </w:p>
    <w:p/>
    <w:p>
      <w:pPr>
        <w:spacing w:line="360" w:lineRule="auto"/>
        <w:jc w:val="center"/>
        <w:rPr>
          <w:rFonts w:ascii="宋体" w:hAnsi="宋体" w:eastAsia="宋体" w:cs="宋体"/>
          <w:b/>
          <w:sz w:val="40"/>
          <w:szCs w:val="40"/>
        </w:rPr>
      </w:pPr>
      <w:r>
        <w:rPr>
          <w:rFonts w:hint="eastAsia" w:ascii="宋体" w:hAnsi="宋体" w:eastAsia="宋体" w:cs="宋体"/>
          <w:b/>
          <w:sz w:val="40"/>
          <w:szCs w:val="40"/>
        </w:rPr>
        <w:t>项目编号：</w:t>
      </w:r>
      <w:r>
        <w:rPr>
          <w:rFonts w:hint="eastAsia" w:ascii="宋体" w:hAnsi="宋体" w:eastAsia="宋体" w:cs="宋体"/>
          <w:b/>
          <w:sz w:val="40"/>
          <w:szCs w:val="40"/>
          <w:lang w:eastAsia="zh-CN"/>
        </w:rPr>
        <w:t>NSDL2024000050</w:t>
      </w:r>
      <w:r>
        <w:rPr>
          <w:rFonts w:hint="eastAsia" w:ascii="宋体" w:hAnsi="宋体" w:eastAsia="宋体" w:cs="宋体"/>
          <w:b/>
          <w:sz w:val="40"/>
          <w:szCs w:val="40"/>
        </w:rPr>
        <w:t xml:space="preserve"> </w:t>
      </w:r>
    </w:p>
    <w:p>
      <w:pPr>
        <w:pStyle w:val="18"/>
        <w:spacing w:after="0" w:line="360" w:lineRule="auto"/>
        <w:ind w:left="0" w:leftChars="0"/>
        <w:jc w:val="center"/>
        <w:rPr>
          <w:rFonts w:hint="eastAsia" w:ascii="宋体" w:hAnsi="宋体" w:eastAsia="宋体" w:cs="宋体"/>
          <w:b/>
          <w:sz w:val="40"/>
          <w:szCs w:val="40"/>
        </w:rPr>
      </w:pPr>
    </w:p>
    <w:p>
      <w:pPr>
        <w:pStyle w:val="18"/>
        <w:spacing w:after="0" w:line="360" w:lineRule="auto"/>
        <w:ind w:left="0" w:leftChars="0"/>
        <w:jc w:val="center"/>
        <w:rPr>
          <w:rFonts w:ascii="宋体" w:hAnsi="宋体" w:eastAsia="宋体" w:cs="宋体"/>
          <w:b/>
          <w:sz w:val="40"/>
          <w:szCs w:val="40"/>
        </w:rPr>
      </w:pPr>
      <w:r>
        <w:rPr>
          <w:rFonts w:hint="eastAsia" w:ascii="宋体" w:hAnsi="宋体" w:eastAsia="宋体" w:cs="宋体"/>
          <w:b/>
          <w:sz w:val="40"/>
          <w:szCs w:val="40"/>
        </w:rPr>
        <w:t>【货物类】</w:t>
      </w:r>
    </w:p>
    <w:p>
      <w:pPr>
        <w:jc w:val="center"/>
        <w:rPr>
          <w:rFonts w:hint="eastAsia" w:ascii="宋体" w:hAnsi="宋体" w:eastAsia="宋体" w:cs="宋体"/>
          <w:b/>
          <w:sz w:val="52"/>
          <w:szCs w:val="52"/>
        </w:rPr>
      </w:pPr>
    </w:p>
    <w:p>
      <w:pPr>
        <w:jc w:val="center"/>
        <w:rPr>
          <w:rFonts w:ascii="宋体" w:hAnsi="宋体" w:eastAsia="宋体" w:cs="宋体"/>
          <w:b/>
          <w:sz w:val="72"/>
          <w:szCs w:val="72"/>
        </w:rPr>
      </w:pPr>
      <w:r>
        <w:rPr>
          <w:rFonts w:hint="eastAsia" w:ascii="宋体" w:hAnsi="宋体" w:eastAsia="宋体" w:cs="宋体"/>
          <w:b/>
          <w:sz w:val="52"/>
          <w:szCs w:val="52"/>
        </w:rPr>
        <w:t>招标文件</w:t>
      </w:r>
    </w:p>
    <w:p>
      <w:pPr>
        <w:rPr>
          <w:rFonts w:ascii="宋体" w:hAnsi="宋体" w:eastAsia="宋体" w:cs="宋体"/>
        </w:rPr>
      </w:pPr>
    </w:p>
    <w:p>
      <w:pPr>
        <w:pStyle w:val="18"/>
        <w:ind w:left="480"/>
        <w:rPr>
          <w:rFonts w:ascii="宋体" w:hAnsi="宋体" w:eastAsia="宋体" w:cs="宋体"/>
        </w:rPr>
      </w:pPr>
    </w:p>
    <w:p>
      <w:pPr>
        <w:pStyle w:val="18"/>
        <w:ind w:left="0" w:leftChars="0"/>
        <w:rPr>
          <w:rFonts w:ascii="宋体" w:hAnsi="宋体" w:eastAsia="宋体" w:cs="宋体"/>
        </w:rPr>
      </w:pPr>
    </w:p>
    <w:p>
      <w:pPr>
        <w:pStyle w:val="18"/>
        <w:ind w:left="480"/>
        <w:rPr>
          <w:rFonts w:ascii="宋体" w:hAnsi="宋体" w:eastAsia="宋体" w:cs="宋体"/>
        </w:rPr>
      </w:pPr>
    </w:p>
    <w:p>
      <w:pPr>
        <w:jc w:val="center"/>
        <w:rPr>
          <w:rFonts w:ascii="宋体" w:hAnsi="宋体" w:eastAsia="宋体" w:cs="宋体"/>
          <w:sz w:val="22"/>
          <w:szCs w:val="22"/>
        </w:rPr>
      </w:pPr>
    </w:p>
    <w:p>
      <w:pPr>
        <w:jc w:val="center"/>
        <w:rPr>
          <w:rFonts w:ascii="宋体" w:hAnsi="宋体" w:eastAsia="宋体" w:cs="宋体"/>
          <w:b/>
          <w:sz w:val="36"/>
          <w:szCs w:val="36"/>
        </w:rPr>
      </w:pPr>
    </w:p>
    <w:p>
      <w:pPr>
        <w:spacing w:line="360" w:lineRule="auto"/>
        <w:jc w:val="center"/>
        <w:rPr>
          <w:rFonts w:hint="eastAsia" w:ascii="宋体" w:hAnsi="宋体" w:eastAsia="宋体" w:cs="宋体"/>
          <w:b/>
          <w:sz w:val="36"/>
          <w:szCs w:val="36"/>
          <w:lang w:val="en-US" w:eastAsia="zh-CN"/>
        </w:rPr>
      </w:pPr>
      <w:r>
        <w:rPr>
          <w:rFonts w:hint="eastAsia" w:ascii="宋体" w:hAnsi="宋体" w:eastAsia="宋体" w:cs="宋体"/>
          <w:b/>
          <w:sz w:val="36"/>
          <w:szCs w:val="36"/>
        </w:rPr>
        <w:t>采购人：</w:t>
      </w:r>
      <w:r>
        <w:rPr>
          <w:rFonts w:hint="eastAsia" w:ascii="宋体" w:hAnsi="宋体" w:eastAsia="宋体" w:cs="宋体"/>
          <w:b/>
          <w:sz w:val="36"/>
          <w:szCs w:val="36"/>
          <w:lang w:val="en-US" w:eastAsia="zh-CN"/>
        </w:rPr>
        <w:t>深圳市南山实验教育集团</w:t>
      </w:r>
    </w:p>
    <w:p>
      <w:pPr>
        <w:spacing w:line="360" w:lineRule="auto"/>
        <w:jc w:val="center"/>
        <w:rPr>
          <w:rFonts w:hint="default" w:ascii="宋体" w:hAnsi="宋体" w:eastAsia="宋体" w:cs="宋体"/>
          <w:b/>
          <w:sz w:val="36"/>
          <w:szCs w:val="36"/>
          <w:lang w:val="en-US" w:eastAsia="zh-CN"/>
        </w:rPr>
      </w:pPr>
      <w:r>
        <w:rPr>
          <w:rFonts w:hint="eastAsia" w:ascii="宋体" w:hAnsi="宋体" w:eastAsia="宋体" w:cs="宋体"/>
          <w:b/>
          <w:sz w:val="36"/>
          <w:szCs w:val="36"/>
        </w:rPr>
        <w:t>采购代理机构：</w:t>
      </w:r>
      <w:r>
        <w:rPr>
          <w:rFonts w:hint="eastAsia" w:ascii="宋体" w:hAnsi="宋体" w:eastAsia="宋体" w:cs="宋体"/>
          <w:b/>
          <w:sz w:val="36"/>
          <w:szCs w:val="36"/>
          <w:lang w:val="en-US" w:eastAsia="zh-CN"/>
        </w:rPr>
        <w:t>深圳市合创建设工程顾问有限公司</w:t>
      </w:r>
    </w:p>
    <w:p>
      <w:pPr>
        <w:pStyle w:val="39"/>
        <w:ind w:firstLine="480"/>
      </w:pPr>
    </w:p>
    <w:p>
      <w:pPr>
        <w:adjustRightInd w:val="0"/>
        <w:snapToGrid w:val="0"/>
        <w:spacing w:line="360" w:lineRule="auto"/>
        <w:ind w:firstLine="723" w:firstLineChars="200"/>
        <w:jc w:val="center"/>
        <w:rPr>
          <w:rFonts w:ascii="宋体" w:hAnsi="宋体" w:eastAsia="宋体" w:cs="宋体"/>
          <w:b/>
          <w:sz w:val="36"/>
          <w:szCs w:val="36"/>
        </w:rPr>
      </w:pPr>
      <w:r>
        <w:rPr>
          <w:rFonts w:hint="eastAsia" w:ascii="宋体" w:hAnsi="宋体" w:eastAsia="宋体" w:cs="宋体"/>
          <w:b/>
          <w:sz w:val="36"/>
          <w:szCs w:val="36"/>
        </w:rPr>
        <w:t>二0二</w:t>
      </w:r>
      <w:r>
        <w:rPr>
          <w:rFonts w:hint="eastAsia" w:ascii="宋体" w:hAnsi="宋体" w:eastAsia="宋体" w:cs="宋体"/>
          <w:b/>
          <w:sz w:val="36"/>
          <w:szCs w:val="36"/>
          <w:lang w:val="en-US" w:eastAsia="zh-CN"/>
        </w:rPr>
        <w:t>四</w:t>
      </w:r>
      <w:r>
        <w:rPr>
          <w:rFonts w:hint="eastAsia" w:ascii="宋体" w:hAnsi="宋体" w:eastAsia="宋体" w:cs="宋体"/>
          <w:b/>
          <w:sz w:val="36"/>
          <w:szCs w:val="36"/>
        </w:rPr>
        <w:t>年</w:t>
      </w:r>
      <w:r>
        <w:rPr>
          <w:rFonts w:hint="eastAsia" w:ascii="宋体" w:hAnsi="宋体" w:eastAsia="宋体" w:cs="宋体"/>
          <w:b/>
          <w:sz w:val="36"/>
          <w:szCs w:val="36"/>
          <w:lang w:val="en-US" w:eastAsia="zh-CN"/>
        </w:rPr>
        <w:t>三</w:t>
      </w:r>
      <w:r>
        <w:rPr>
          <w:rFonts w:hint="eastAsia" w:ascii="宋体" w:hAnsi="宋体" w:eastAsia="宋体" w:cs="宋体"/>
          <w:b/>
          <w:sz w:val="36"/>
          <w:szCs w:val="36"/>
        </w:rPr>
        <w:t>月</w:t>
      </w:r>
    </w:p>
    <w:p>
      <w:pPr>
        <w:adjustRightInd w:val="0"/>
        <w:snapToGrid w:val="0"/>
        <w:spacing w:line="360" w:lineRule="auto"/>
        <w:jc w:val="center"/>
        <w:rPr>
          <w:sz w:val="40"/>
          <w:szCs w:val="40"/>
        </w:rPr>
        <w:sectPr>
          <w:pgSz w:w="11906" w:h="16838"/>
          <w:pgMar w:top="1440" w:right="1800" w:bottom="1440" w:left="1800" w:header="720" w:footer="720" w:gutter="0"/>
          <w:cols w:space="720" w:num="1"/>
        </w:sectPr>
      </w:pPr>
    </w:p>
    <w:p>
      <w:pPr>
        <w:adjustRightInd w:val="0"/>
        <w:snapToGrid w:val="0"/>
        <w:spacing w:line="360" w:lineRule="auto"/>
        <w:jc w:val="center"/>
        <w:rPr>
          <w:sz w:val="40"/>
          <w:szCs w:val="40"/>
        </w:rPr>
      </w:pPr>
      <w:r>
        <w:rPr>
          <w:rFonts w:hint="eastAsia"/>
          <w:sz w:val="40"/>
          <w:szCs w:val="40"/>
        </w:rPr>
        <w:t>警示条款</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一、《深圳经济特区政府采购条例》第五十七条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（一）在采购活动中应当回避而未回避的；</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（二）未按本条例规定签订、履行采购合同，造成严重后果的；</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（三）隐瞒真实情况，提供虚假资料的；</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（四）以非法手段排斥其他供应商参与竞争的；</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（五）与其他采购参加人串通投标的；</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（六）恶意投诉的；</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（七）向采购项目相关人行贿或者提供其他不当利益的；</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（八）阻碍、抗拒主管部门监督检查的；</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（九）其他违反本条例规定的行为。</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二、《深圳经济特区政府采购条例实施细则》第七十六条 供应商有下列行为之一的，由主管部门记入供应商诚信档案并作出以下处罚：</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一）违法行为属于采购条例第五十七条的（一）、（二）、（三）、（四）、（六）、（八）、（九）项情形，涉及的采购金额累计在五十万元以下的，处以采购金额千分之十的罚款，一年内禁止其参与本市政府采购；涉及的采购金额累计在五十万元以上两百万元以下的，处以采购金额千分之十五的罚款，两年内禁止其参与本市政府采购；涉及的采购金额累计在两百万以上五百万以下的，处以采购金额千分之二十的罚款，三年内禁止其参与本市政府采购。</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二）违法行为属于采购条例第五十七条第（五）、（七）项情形，涉及的采购金额累计在一百万元以下，处以采购金额千分之十五的罚款，两年内禁止其参与本市政府采购；涉及的采购金额累计在一百万以上两百万以下的，处以采购金额千分之二十的罚款，三年内禁止其参与本市政府采购。</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三、《深圳经济特区政府采购条例实施细则》第七十七条 供应商有下列行为之一的，属于情节严重，由市场监管部门依法吊销其营业执照，主管部门取消其参与本市政府采购的资格，并作出以下处罚：</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一）违法行为属于采购条例第五十七条的（一）、（二）、（三）、（四）、（六）、（八）、（九）项情形，涉及的采购金额累计在五百万元以上一千万元以下的，处以采购金额千分之二十的罚款；涉及的采购金额累计在一千万元以上两千万元以下的，处以采购金额千分之二十五的罚款；涉及的采购金额累计在两千万元以上的，处以采购金额千分之三十的罚款；</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二）违法行为属于采购条例第五十七条第（五）、（七）项情形，涉及的采购金额累计在两百万元以上五百万元以下的，处以采购金额千分之二十五的罚款；涉及的采购金额累计在五百万元以上的，处以采购金额千分之三十的罚款。</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四、《深圳经济特区政府采购条例实施细则》第七十九条 供应商有下列情形的，属于采购条例所称的串通投标行为，按照采购条例第五十七条有关规定处理：</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（一）投标供应商之间相互约定给予未中标的供应商利益补偿；</w:t>
      </w:r>
    </w:p>
    <w:p>
      <w:pPr>
        <w:adjustRightInd w:val="0"/>
        <w:snapToGrid w:val="0"/>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（二）不同投标供应商的法定代表人、主要经营负责人、项目投标授权代表人、项目负责人、主要技术人员为同一人、属同一单位或者在同一单位缴纳社会保险；　　　　</w:t>
      </w:r>
      <w:r>
        <w:rPr>
          <w:rFonts w:hint="eastAsia" w:ascii="宋体" w:hAnsi="宋体" w:eastAsia="宋体" w:cs="宋体"/>
          <w:sz w:val="24"/>
          <w:szCs w:val="24"/>
          <w:lang w:eastAsia="zh-CN"/>
        </w:rPr>
        <w:t xml:space="preserve"> </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（三）不同投标供应商的投标文件由同一单位或者同一人编制，或者由同一人分阶段参与编制的； 　</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（四）不同投标供应商的投标文件或部分投标文件相互混装；　</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（五）不同投标供应商的投标文件内容存在非正常一致；</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（六）由同一单位工作人员为两家以上（含两家）供应商进行同一项投标活动的；</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（七）主管部门依照法律、法规认定的其他情形。</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五、《深圳经济特区政府采购条例实施细则》第八十一条 供应商有下列情形之一的，属于隐瞒真实情况，提供虚假资料，按照采购条例第五十七的有关规定处理：</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（一）通过转让或者租借等方式从其他单位获取资格或者资质证书投标的；</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（二）由其他单位或者其他单位负责人在投标供应商编制的投标文件上加盖印章或者签字的；</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（三）项目负责人或者主要技术人员不是本单位人员的；</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（四）投标保证金不是从投标供应商基本账户转出的；</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（五）其他隐瞒真实情况、提供虚假资料的行为。</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投标供应商不能提供项目负责人或者主要技术人员的劳动合同、社会保险等劳动关系证明材料的，视为存在前款第（三）项规定的情形。</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六、根据《深圳市财政局关于明确政府采购保证金管理工作的通知》（深财购[2019]42号）的要求，供应商在政府采购活动中出现《深圳经济特区政府采购条例实施细则》以下情形的，采购人或招标机构可将有关情况报同级财政部门，由财政部门根据实际情况记入供应商诚信档案，予以通报：</w:t>
      </w:r>
    </w:p>
    <w:p>
      <w:pPr>
        <w:adjustRightInd w:val="0"/>
        <w:snapToGrid w:val="0"/>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（一）投标截止后，撤销投标的；</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（二）中标后无正当理由未在规定期限内签订合同的；</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（三）将中标项目转让给他人、或者在投标文件中未说明且未经采购人、采购招标机构同意，将中标项目分包给他人的；</w:t>
      </w:r>
    </w:p>
    <w:p>
      <w:pPr>
        <w:adjustRightInd w:val="0"/>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（四）拒绝履行合同义务的。</w:t>
      </w:r>
    </w:p>
    <w:p>
      <w:pPr>
        <w:spacing w:before="454" w:after="454"/>
        <w:ind w:right="454"/>
        <w:jc w:val="center"/>
        <w:outlineLvl w:val="0"/>
        <w:rPr>
          <w:rFonts w:ascii="黑体" w:hAnsi="黑体" w:eastAsia="黑体"/>
          <w:sz w:val="40"/>
          <w:szCs w:val="40"/>
        </w:rPr>
      </w:pPr>
      <w:r>
        <w:rPr>
          <w:rFonts w:hint="eastAsia" w:ascii="宋体" w:hAnsi="宋体" w:eastAsia="宋体" w:cs="宋体"/>
          <w:color w:val="000000" w:themeColor="text1"/>
          <w14:textFill>
            <w14:solidFill>
              <w14:schemeClr w14:val="tx1"/>
            </w14:solidFill>
          </w14:textFill>
        </w:rPr>
        <w:br w:type="page"/>
      </w:r>
      <w:r>
        <w:rPr>
          <w:rFonts w:hint="eastAsia" w:ascii="黑体" w:hAnsi="黑体" w:eastAsia="黑体"/>
          <w:sz w:val="40"/>
          <w:szCs w:val="40"/>
        </w:rPr>
        <w:t>招标文件信息</w:t>
      </w:r>
    </w:p>
    <w:tbl>
      <w:tblPr>
        <w:tblStyle w:val="19"/>
        <w:tblW w:w="7938" w:type="dxa"/>
        <w:jc w:val="center"/>
        <w:tblCellSpacing w:w="0" w:type="dxa"/>
        <w:tblLayout w:type="autofit"/>
        <w:tblCellMar>
          <w:top w:w="36" w:type="dxa"/>
          <w:left w:w="36" w:type="dxa"/>
          <w:bottom w:w="36" w:type="dxa"/>
          <w:right w:w="36" w:type="dxa"/>
        </w:tblCellMar>
      </w:tblPr>
      <w:tblGrid>
        <w:gridCol w:w="2722"/>
        <w:gridCol w:w="5216"/>
      </w:tblGrid>
      <w:tr>
        <w:tblPrEx>
          <w:tblCellMar>
            <w:top w:w="36" w:type="dxa"/>
            <w:left w:w="36" w:type="dxa"/>
            <w:bottom w:w="36" w:type="dxa"/>
            <w:right w:w="36" w:type="dxa"/>
          </w:tblCellMar>
        </w:tblPrEx>
        <w:trPr>
          <w:trHeight w:val="737" w:hRule="atLeast"/>
          <w:tblCellSpacing w:w="0" w:type="dxa"/>
          <w:jc w:val="center"/>
        </w:trPr>
        <w:tc>
          <w:tcPr>
            <w:tcW w:w="2722" w:type="dxa"/>
            <w:vAlign w:val="center"/>
          </w:tcPr>
          <w:p>
            <w:pPr>
              <w:jc w:val="right"/>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项目编号：</w:t>
            </w:r>
          </w:p>
        </w:tc>
        <w:tc>
          <w:tcPr>
            <w:tcW w:w="5216" w:type="dxa"/>
            <w:vAlign w:val="center"/>
          </w:tcPr>
          <w:p>
            <w:pPr>
              <w:rPr>
                <w:rFonts w:hint="eastAsia" w:asciiTheme="minorEastAsia" w:hAnsiTheme="minorEastAsia" w:eastAsiaTheme="minorEastAsia" w:cstheme="minorEastAsia"/>
                <w:sz w:val="30"/>
                <w:szCs w:val="30"/>
                <w:lang w:eastAsia="zh-CN"/>
              </w:rPr>
            </w:pPr>
            <w:r>
              <w:rPr>
                <w:rFonts w:hint="eastAsia" w:asciiTheme="minorEastAsia" w:hAnsiTheme="minorEastAsia" w:eastAsiaTheme="minorEastAsia" w:cstheme="minorEastAsia"/>
                <w:sz w:val="30"/>
                <w:szCs w:val="30"/>
                <w:lang w:eastAsia="zh-CN"/>
              </w:rPr>
              <w:t>NSDL2024000050</w:t>
            </w:r>
          </w:p>
        </w:tc>
      </w:tr>
      <w:tr>
        <w:tblPrEx>
          <w:tblCellMar>
            <w:top w:w="36" w:type="dxa"/>
            <w:left w:w="36" w:type="dxa"/>
            <w:bottom w:w="36" w:type="dxa"/>
            <w:right w:w="36" w:type="dxa"/>
          </w:tblCellMar>
        </w:tblPrEx>
        <w:trPr>
          <w:trHeight w:val="737" w:hRule="atLeast"/>
          <w:tblCellSpacing w:w="0" w:type="dxa"/>
          <w:jc w:val="center"/>
        </w:trPr>
        <w:tc>
          <w:tcPr>
            <w:tcW w:w="2722" w:type="dxa"/>
            <w:vAlign w:val="center"/>
          </w:tcPr>
          <w:p>
            <w:pPr>
              <w:jc w:val="right"/>
              <w:rPr>
                <w:rFonts w:ascii="宋体" w:hAnsi="宋体" w:cs="宋体"/>
                <w:sz w:val="30"/>
                <w:szCs w:val="30"/>
              </w:rPr>
            </w:pPr>
            <w:r>
              <w:rPr>
                <w:sz w:val="30"/>
                <w:szCs w:val="30"/>
              </w:rPr>
              <w:t>项目名称：</w:t>
            </w:r>
          </w:p>
        </w:tc>
        <w:tc>
          <w:tcPr>
            <w:tcW w:w="5216" w:type="dxa"/>
            <w:vAlign w:val="center"/>
          </w:tcPr>
          <w:p>
            <w:pPr>
              <w:rPr>
                <w:rFonts w:hint="eastAsia" w:ascii="宋体" w:hAnsi="宋体" w:eastAsia="宋体" w:cs="宋体"/>
                <w:sz w:val="32"/>
                <w:szCs w:val="32"/>
                <w:lang w:eastAsia="zh-CN"/>
              </w:rPr>
            </w:pPr>
            <w:r>
              <w:rPr>
                <w:rFonts w:hint="eastAsia" w:cs="Times New Roman"/>
                <w:sz w:val="30"/>
                <w:szCs w:val="30"/>
                <w:lang w:eastAsia="zh-CN"/>
              </w:rPr>
              <w:t xml:space="preserve">白石洲学校南山区初中阶段理科实验教学与测评改革软硬件建设  </w:t>
            </w:r>
          </w:p>
        </w:tc>
      </w:tr>
      <w:tr>
        <w:tblPrEx>
          <w:tblCellMar>
            <w:top w:w="36" w:type="dxa"/>
            <w:left w:w="36" w:type="dxa"/>
            <w:bottom w:w="36" w:type="dxa"/>
            <w:right w:w="36" w:type="dxa"/>
          </w:tblCellMar>
        </w:tblPrEx>
        <w:trPr>
          <w:trHeight w:val="737" w:hRule="atLeast"/>
          <w:tblCellSpacing w:w="0" w:type="dxa"/>
          <w:jc w:val="center"/>
        </w:trPr>
        <w:tc>
          <w:tcPr>
            <w:tcW w:w="2722" w:type="dxa"/>
            <w:vAlign w:val="center"/>
          </w:tcPr>
          <w:p>
            <w:pPr>
              <w:jc w:val="right"/>
              <w:rPr>
                <w:rFonts w:ascii="宋体" w:hAnsi="宋体" w:cs="宋体"/>
                <w:sz w:val="30"/>
                <w:szCs w:val="30"/>
              </w:rPr>
            </w:pPr>
            <w:r>
              <w:rPr>
                <w:sz w:val="30"/>
                <w:szCs w:val="30"/>
              </w:rPr>
              <w:t>包 号：</w:t>
            </w:r>
          </w:p>
        </w:tc>
        <w:tc>
          <w:tcPr>
            <w:tcW w:w="5216" w:type="dxa"/>
            <w:vAlign w:val="center"/>
          </w:tcPr>
          <w:p>
            <w:pPr>
              <w:rPr>
                <w:rFonts w:ascii="宋体" w:hAnsi="宋体" w:cs="宋体"/>
                <w:sz w:val="30"/>
                <w:szCs w:val="30"/>
              </w:rPr>
            </w:pPr>
            <w:r>
              <w:rPr>
                <w:sz w:val="30"/>
                <w:szCs w:val="30"/>
              </w:rPr>
              <w:t>A</w:t>
            </w:r>
          </w:p>
        </w:tc>
      </w:tr>
      <w:tr>
        <w:tblPrEx>
          <w:tblCellMar>
            <w:top w:w="36" w:type="dxa"/>
            <w:left w:w="36" w:type="dxa"/>
            <w:bottom w:w="36" w:type="dxa"/>
            <w:right w:w="36" w:type="dxa"/>
          </w:tblCellMar>
        </w:tblPrEx>
        <w:trPr>
          <w:trHeight w:val="737" w:hRule="atLeast"/>
          <w:tblCellSpacing w:w="0" w:type="dxa"/>
          <w:jc w:val="center"/>
        </w:trPr>
        <w:tc>
          <w:tcPr>
            <w:tcW w:w="2722" w:type="dxa"/>
            <w:vAlign w:val="center"/>
          </w:tcPr>
          <w:p>
            <w:pPr>
              <w:jc w:val="right"/>
              <w:rPr>
                <w:rFonts w:ascii="宋体" w:hAnsi="宋体" w:cs="宋体"/>
                <w:sz w:val="30"/>
                <w:szCs w:val="30"/>
              </w:rPr>
            </w:pPr>
            <w:r>
              <w:rPr>
                <w:sz w:val="30"/>
                <w:szCs w:val="30"/>
              </w:rPr>
              <w:t>项目类型：</w:t>
            </w:r>
          </w:p>
        </w:tc>
        <w:tc>
          <w:tcPr>
            <w:tcW w:w="5216" w:type="dxa"/>
            <w:vAlign w:val="center"/>
          </w:tcPr>
          <w:p>
            <w:pPr>
              <w:rPr>
                <w:rFonts w:ascii="宋体" w:hAnsi="宋体" w:cs="宋体"/>
                <w:sz w:val="30"/>
                <w:szCs w:val="30"/>
              </w:rPr>
            </w:pPr>
            <w:r>
              <w:rPr>
                <w:sz w:val="30"/>
                <w:szCs w:val="30"/>
              </w:rPr>
              <w:t>货物类</w:t>
            </w:r>
          </w:p>
        </w:tc>
      </w:tr>
      <w:tr>
        <w:tblPrEx>
          <w:tblCellMar>
            <w:top w:w="36" w:type="dxa"/>
            <w:left w:w="36" w:type="dxa"/>
            <w:bottom w:w="36" w:type="dxa"/>
            <w:right w:w="36" w:type="dxa"/>
          </w:tblCellMar>
        </w:tblPrEx>
        <w:trPr>
          <w:trHeight w:val="737" w:hRule="atLeast"/>
          <w:tblCellSpacing w:w="0" w:type="dxa"/>
          <w:jc w:val="center"/>
        </w:trPr>
        <w:tc>
          <w:tcPr>
            <w:tcW w:w="2722" w:type="dxa"/>
            <w:vAlign w:val="center"/>
          </w:tcPr>
          <w:p>
            <w:pPr>
              <w:jc w:val="right"/>
              <w:rPr>
                <w:rFonts w:ascii="宋体" w:hAnsi="宋体" w:cs="宋体"/>
                <w:sz w:val="30"/>
                <w:szCs w:val="30"/>
              </w:rPr>
            </w:pPr>
            <w:r>
              <w:rPr>
                <w:sz w:val="30"/>
                <w:szCs w:val="30"/>
              </w:rPr>
              <w:t>采购方式：</w:t>
            </w:r>
          </w:p>
        </w:tc>
        <w:tc>
          <w:tcPr>
            <w:tcW w:w="5216" w:type="dxa"/>
            <w:vAlign w:val="center"/>
          </w:tcPr>
          <w:p>
            <w:pPr>
              <w:rPr>
                <w:rFonts w:ascii="宋体" w:hAnsi="宋体" w:cs="宋体"/>
                <w:sz w:val="30"/>
                <w:szCs w:val="30"/>
              </w:rPr>
            </w:pPr>
            <w:r>
              <w:rPr>
                <w:sz w:val="30"/>
                <w:szCs w:val="30"/>
              </w:rPr>
              <w:t>公开招标</w:t>
            </w:r>
          </w:p>
        </w:tc>
      </w:tr>
      <w:tr>
        <w:tblPrEx>
          <w:tblCellMar>
            <w:top w:w="36" w:type="dxa"/>
            <w:left w:w="36" w:type="dxa"/>
            <w:bottom w:w="36" w:type="dxa"/>
            <w:right w:w="36" w:type="dxa"/>
          </w:tblCellMar>
        </w:tblPrEx>
        <w:trPr>
          <w:trHeight w:val="737" w:hRule="atLeast"/>
          <w:tblCellSpacing w:w="0" w:type="dxa"/>
          <w:jc w:val="center"/>
        </w:trPr>
        <w:tc>
          <w:tcPr>
            <w:tcW w:w="2722" w:type="dxa"/>
            <w:vAlign w:val="center"/>
          </w:tcPr>
          <w:p>
            <w:pPr>
              <w:jc w:val="right"/>
              <w:rPr>
                <w:rFonts w:ascii="宋体" w:hAnsi="宋体" w:cs="宋体"/>
                <w:sz w:val="30"/>
                <w:szCs w:val="30"/>
              </w:rPr>
            </w:pPr>
            <w:r>
              <w:rPr>
                <w:sz w:val="30"/>
                <w:szCs w:val="30"/>
              </w:rPr>
              <w:t>货币类型：</w:t>
            </w:r>
          </w:p>
        </w:tc>
        <w:tc>
          <w:tcPr>
            <w:tcW w:w="5216" w:type="dxa"/>
            <w:vAlign w:val="center"/>
          </w:tcPr>
          <w:p>
            <w:pPr>
              <w:rPr>
                <w:rFonts w:ascii="宋体" w:hAnsi="宋体" w:cs="宋体"/>
                <w:sz w:val="30"/>
                <w:szCs w:val="30"/>
              </w:rPr>
            </w:pPr>
            <w:r>
              <w:rPr>
                <w:sz w:val="30"/>
                <w:szCs w:val="30"/>
              </w:rPr>
              <w:t>人民币</w:t>
            </w:r>
          </w:p>
        </w:tc>
      </w:tr>
      <w:tr>
        <w:tblPrEx>
          <w:tblCellMar>
            <w:top w:w="36" w:type="dxa"/>
            <w:left w:w="36" w:type="dxa"/>
            <w:bottom w:w="36" w:type="dxa"/>
            <w:right w:w="36" w:type="dxa"/>
          </w:tblCellMar>
        </w:tblPrEx>
        <w:trPr>
          <w:trHeight w:val="737" w:hRule="atLeast"/>
          <w:tblCellSpacing w:w="0" w:type="dxa"/>
          <w:jc w:val="center"/>
        </w:trPr>
        <w:tc>
          <w:tcPr>
            <w:tcW w:w="2722" w:type="dxa"/>
            <w:vAlign w:val="center"/>
          </w:tcPr>
          <w:p>
            <w:pPr>
              <w:jc w:val="right"/>
              <w:rPr>
                <w:rFonts w:ascii="宋体" w:hAnsi="宋体" w:cs="宋体"/>
                <w:sz w:val="30"/>
                <w:szCs w:val="30"/>
              </w:rPr>
            </w:pPr>
            <w:r>
              <w:rPr>
                <w:sz w:val="30"/>
                <w:szCs w:val="30"/>
              </w:rPr>
              <w:t>评标方法：</w:t>
            </w:r>
          </w:p>
        </w:tc>
        <w:tc>
          <w:tcPr>
            <w:tcW w:w="5216" w:type="dxa"/>
            <w:vAlign w:val="center"/>
          </w:tcPr>
          <w:p>
            <w:pPr>
              <w:rPr>
                <w:rFonts w:ascii="宋体" w:hAnsi="宋体" w:cs="宋体"/>
                <w:sz w:val="30"/>
                <w:szCs w:val="30"/>
              </w:rPr>
            </w:pPr>
            <w:r>
              <w:rPr>
                <w:sz w:val="30"/>
                <w:szCs w:val="30"/>
              </w:rPr>
              <w:t>综合评分法（新价格分算法）</w:t>
            </w:r>
          </w:p>
        </w:tc>
      </w:tr>
    </w:tbl>
    <w:p>
      <w:pPr>
        <w:pStyle w:val="16"/>
        <w:jc w:val="center"/>
        <w:outlineLvl w:val="1"/>
        <w:rPr>
          <w:rFonts w:ascii="黑体" w:hAnsi="黑体" w:eastAsia="黑体"/>
          <w:sz w:val="40"/>
          <w:szCs w:val="40"/>
        </w:rPr>
      </w:pPr>
      <w:r>
        <w:rPr>
          <w:rFonts w:hint="eastAsia" w:ascii="黑体" w:hAnsi="黑体" w:eastAsia="黑体"/>
          <w:sz w:val="40"/>
          <w:szCs w:val="40"/>
        </w:rPr>
        <w:t>资格性审查表</w:t>
      </w:r>
    </w:p>
    <w:tbl>
      <w:tblPr>
        <w:tblStyle w:val="19"/>
        <w:tblW w:w="4998"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20" w:type="dxa"/>
          <w:left w:w="108" w:type="dxa"/>
          <w:bottom w:w="20" w:type="dxa"/>
          <w:right w:w="108" w:type="dxa"/>
        </w:tblCellMar>
      </w:tblPr>
      <w:tblGrid>
        <w:gridCol w:w="884"/>
        <w:gridCol w:w="7635"/>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519" w:type="pct"/>
            <w:tcBorders>
              <w:top w:val="single" w:color="000000" w:sz="8" w:space="0"/>
              <w:left w:val="single" w:color="000000" w:sz="8" w:space="0"/>
              <w:bottom w:val="single" w:color="000000" w:sz="8" w:space="0"/>
              <w:right w:val="single" w:color="000000" w:sz="8" w:space="0"/>
            </w:tcBorders>
            <w:shd w:val="clear" w:color="auto" w:fill="E6EFFA"/>
            <w:vAlign w:val="center"/>
          </w:tcPr>
          <w:p>
            <w:pPr>
              <w:jc w:val="center"/>
              <w:rPr>
                <w:rFonts w:ascii="宋体" w:hAnsi="宋体" w:cs="宋体"/>
                <w:sz w:val="28"/>
                <w:szCs w:val="28"/>
              </w:rPr>
            </w:pPr>
            <w:r>
              <w:rPr>
                <w:sz w:val="28"/>
                <w:szCs w:val="28"/>
              </w:rPr>
              <w:t>序号</w:t>
            </w:r>
          </w:p>
        </w:tc>
        <w:tc>
          <w:tcPr>
            <w:tcW w:w="4480" w:type="pct"/>
            <w:tcBorders>
              <w:top w:val="single" w:color="000000" w:sz="8" w:space="0"/>
              <w:left w:val="single" w:color="000000" w:sz="8" w:space="0"/>
              <w:bottom w:val="single" w:color="000000" w:sz="8" w:space="0"/>
              <w:right w:val="single" w:color="000000" w:sz="8" w:space="0"/>
            </w:tcBorders>
            <w:shd w:val="clear" w:color="auto" w:fill="E6EFFA"/>
            <w:vAlign w:val="center"/>
          </w:tcPr>
          <w:p>
            <w:pPr>
              <w:jc w:val="center"/>
              <w:rPr>
                <w:rFonts w:ascii="宋体" w:hAnsi="宋体" w:cs="宋体"/>
                <w:sz w:val="28"/>
                <w:szCs w:val="28"/>
              </w:rPr>
            </w:pPr>
            <w:r>
              <w:rPr>
                <w:sz w:val="28"/>
                <w:szCs w:val="28"/>
              </w:rPr>
              <w:t>内容</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519" w:type="pct"/>
            <w:tcBorders>
              <w:top w:val="single" w:color="000000" w:sz="8" w:space="0"/>
              <w:left w:val="single" w:color="000000" w:sz="8" w:space="0"/>
              <w:bottom w:val="single" w:color="000000" w:sz="8" w:space="0"/>
              <w:right w:val="single" w:color="000000" w:sz="8" w:space="0"/>
            </w:tcBorders>
            <w:vAlign w:val="center"/>
          </w:tcPr>
          <w:p>
            <w:pPr>
              <w:jc w:val="center"/>
              <w:rPr>
                <w:rFonts w:ascii="宋体" w:hAnsi="宋体" w:cs="宋体"/>
                <w:szCs w:val="21"/>
              </w:rPr>
            </w:pPr>
            <w:r>
              <w:rPr>
                <w:rFonts w:hint="eastAsia" w:ascii="宋体" w:hAnsi="宋体" w:eastAsia="宋体" w:cs="宋体"/>
              </w:rPr>
              <w:t>1</w:t>
            </w:r>
          </w:p>
        </w:tc>
        <w:tc>
          <w:tcPr>
            <w:tcW w:w="4480" w:type="pct"/>
            <w:tcBorders>
              <w:top w:val="single" w:color="000000" w:sz="8" w:space="0"/>
              <w:left w:val="single" w:color="000000" w:sz="8" w:space="0"/>
              <w:bottom w:val="single" w:color="000000" w:sz="8" w:space="0"/>
              <w:right w:val="single" w:color="000000" w:sz="8" w:space="0"/>
            </w:tcBorders>
          </w:tcPr>
          <w:p>
            <w:pPr>
              <w:rPr>
                <w:rFonts w:ascii="宋体" w:hAnsi="宋体" w:eastAsia="宋体" w:cs="宋体"/>
                <w:szCs w:val="21"/>
              </w:rPr>
            </w:pPr>
            <w:r>
              <w:rPr>
                <w:rFonts w:hint="eastAsia" w:ascii="宋体" w:hAnsi="宋体" w:eastAsia="宋体" w:cs="宋体"/>
                <w:color w:val="000000" w:themeColor="text1"/>
                <w14:textFill>
                  <w14:solidFill>
                    <w14:schemeClr w14:val="tx1"/>
                  </w14:solidFill>
                </w14:textFill>
              </w:rPr>
              <w:t>投标人符合资格要求，并按要求提供资格证明材料（详见招标公告投标人资格要求，即申请人的资格要求）。</w:t>
            </w:r>
          </w:p>
        </w:tc>
      </w:tr>
    </w:tbl>
    <w:p>
      <w:pPr>
        <w:pStyle w:val="16"/>
        <w:spacing w:before="280" w:beforeAutospacing="0"/>
        <w:jc w:val="center"/>
        <w:outlineLvl w:val="1"/>
        <w:rPr>
          <w:rFonts w:hint="eastAsia" w:ascii="黑体" w:hAnsi="黑体" w:eastAsia="黑体"/>
          <w:sz w:val="40"/>
          <w:szCs w:val="40"/>
        </w:rPr>
      </w:pPr>
      <w:r>
        <w:rPr>
          <w:rFonts w:hint="eastAsia" w:ascii="黑体" w:hAnsi="黑体" w:eastAsia="黑体"/>
          <w:sz w:val="40"/>
          <w:szCs w:val="40"/>
        </w:rPr>
        <w:t>符合性审查表</w:t>
      </w:r>
    </w:p>
    <w:tbl>
      <w:tblPr>
        <w:tblStyle w:val="19"/>
        <w:tblW w:w="4999"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20" w:type="dxa"/>
          <w:left w:w="108" w:type="dxa"/>
          <w:bottom w:w="20" w:type="dxa"/>
          <w:right w:w="108" w:type="dxa"/>
        </w:tblCellMar>
      </w:tblPr>
      <w:tblGrid>
        <w:gridCol w:w="745"/>
        <w:gridCol w:w="7775"/>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437" w:type="pct"/>
            <w:tcBorders>
              <w:top w:val="single" w:color="000000" w:sz="8" w:space="0"/>
              <w:left w:val="single" w:color="000000" w:sz="8" w:space="0"/>
              <w:bottom w:val="single" w:color="000000" w:sz="8" w:space="0"/>
              <w:right w:val="single" w:color="000000" w:sz="8" w:space="0"/>
            </w:tcBorders>
            <w:shd w:val="clear" w:color="auto" w:fill="E6EFFA"/>
            <w:vAlign w:val="center"/>
          </w:tcPr>
          <w:p>
            <w:pPr>
              <w:jc w:val="center"/>
              <w:rPr>
                <w:rFonts w:ascii="宋体" w:hAnsi="宋体" w:eastAsia="宋体" w:cs="宋体"/>
              </w:rPr>
            </w:pPr>
            <w:r>
              <w:rPr>
                <w:rFonts w:hint="eastAsia" w:ascii="宋体" w:hAnsi="宋体" w:eastAsia="宋体" w:cs="宋体"/>
              </w:rPr>
              <w:t>序号</w:t>
            </w:r>
          </w:p>
        </w:tc>
        <w:tc>
          <w:tcPr>
            <w:tcW w:w="4562" w:type="pct"/>
            <w:tcBorders>
              <w:top w:val="single" w:color="000000" w:sz="8" w:space="0"/>
              <w:left w:val="single" w:color="000000" w:sz="8" w:space="0"/>
              <w:bottom w:val="single" w:color="000000" w:sz="8" w:space="0"/>
              <w:right w:val="single" w:color="000000" w:sz="8" w:space="0"/>
            </w:tcBorders>
            <w:shd w:val="clear" w:color="auto" w:fill="E6EFFA"/>
            <w:vAlign w:val="center"/>
          </w:tcPr>
          <w:p>
            <w:pPr>
              <w:jc w:val="center"/>
              <w:rPr>
                <w:rFonts w:ascii="宋体" w:hAnsi="宋体" w:eastAsia="宋体" w:cs="宋体"/>
              </w:rPr>
            </w:pPr>
            <w:r>
              <w:rPr>
                <w:rFonts w:hint="eastAsia" w:ascii="宋体" w:hAnsi="宋体" w:eastAsia="宋体" w:cs="宋体"/>
              </w:rPr>
              <w:t>内容</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437" w:type="pct"/>
            <w:tcBorders>
              <w:top w:val="single" w:color="000000" w:sz="8" w:space="0"/>
              <w:left w:val="single" w:color="000000" w:sz="8" w:space="0"/>
              <w:bottom w:val="single" w:color="000000" w:sz="8" w:space="0"/>
              <w:right w:val="single" w:color="000000" w:sz="8" w:space="0"/>
            </w:tcBorders>
            <w:vAlign w:val="center"/>
          </w:tcPr>
          <w:p>
            <w:pPr>
              <w:jc w:val="center"/>
              <w:rPr>
                <w:rFonts w:ascii="宋体" w:hAnsi="宋体" w:eastAsia="宋体" w:cs="宋体"/>
              </w:rPr>
            </w:pPr>
            <w:r>
              <w:rPr>
                <w:rFonts w:hint="eastAsia" w:ascii="宋体" w:hAnsi="宋体" w:eastAsia="宋体" w:cs="宋体"/>
              </w:rPr>
              <w:t>1</w:t>
            </w:r>
          </w:p>
        </w:tc>
        <w:tc>
          <w:tcPr>
            <w:tcW w:w="4562" w:type="pct"/>
            <w:tcBorders>
              <w:top w:val="single" w:color="000000" w:sz="8" w:space="0"/>
              <w:left w:val="single" w:color="000000" w:sz="8" w:space="0"/>
              <w:bottom w:val="single" w:color="000000" w:sz="8" w:space="0"/>
              <w:right w:val="single" w:color="000000" w:sz="8" w:space="0"/>
            </w:tcBorders>
          </w:tcPr>
          <w:p>
            <w:pPr>
              <w:rPr>
                <w:rFonts w:ascii="宋体" w:hAnsi="宋体" w:eastAsia="宋体" w:cs="宋体"/>
              </w:rPr>
            </w:pPr>
            <w:r>
              <w:rPr>
                <w:rFonts w:hint="eastAsia" w:ascii="宋体" w:hAnsi="宋体" w:eastAsia="宋体" w:cs="宋体"/>
              </w:rPr>
              <w:t>将一个包或一个标段的内容拆开投标；</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437" w:type="pct"/>
            <w:tcBorders>
              <w:top w:val="single" w:color="000000" w:sz="8" w:space="0"/>
              <w:left w:val="single" w:color="000000" w:sz="8" w:space="0"/>
              <w:bottom w:val="single" w:color="000000" w:sz="8" w:space="0"/>
              <w:right w:val="single" w:color="000000" w:sz="8" w:space="0"/>
            </w:tcBorders>
            <w:vAlign w:val="center"/>
          </w:tcPr>
          <w:p>
            <w:pPr>
              <w:jc w:val="center"/>
              <w:rPr>
                <w:rFonts w:ascii="宋体" w:hAnsi="宋体" w:eastAsia="宋体" w:cs="宋体"/>
              </w:rPr>
            </w:pPr>
            <w:r>
              <w:rPr>
                <w:rFonts w:hint="eastAsia" w:ascii="宋体" w:hAnsi="宋体" w:eastAsia="宋体" w:cs="宋体"/>
              </w:rPr>
              <w:t>2</w:t>
            </w:r>
          </w:p>
        </w:tc>
        <w:tc>
          <w:tcPr>
            <w:tcW w:w="4562" w:type="pct"/>
            <w:tcBorders>
              <w:top w:val="single" w:color="000000" w:sz="8" w:space="0"/>
              <w:left w:val="single" w:color="000000" w:sz="8" w:space="0"/>
              <w:bottom w:val="single" w:color="000000" w:sz="8" w:space="0"/>
              <w:right w:val="single" w:color="000000" w:sz="8" w:space="0"/>
            </w:tcBorders>
          </w:tcPr>
          <w:p>
            <w:pPr>
              <w:rPr>
                <w:rFonts w:ascii="宋体" w:hAnsi="宋体" w:eastAsia="宋体" w:cs="宋体"/>
              </w:rPr>
            </w:pPr>
            <w:r>
              <w:rPr>
                <w:rFonts w:hint="eastAsia" w:ascii="宋体" w:hAnsi="宋体" w:eastAsia="宋体" w:cs="宋体"/>
              </w:rPr>
              <w:t>对同一项目投标时，提供两套以上的投标方案（招标文件另有规定的除外）；</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437" w:type="pct"/>
            <w:tcBorders>
              <w:top w:val="single" w:color="000000" w:sz="8" w:space="0"/>
              <w:left w:val="single" w:color="000000" w:sz="8" w:space="0"/>
              <w:bottom w:val="single" w:color="000000" w:sz="8" w:space="0"/>
              <w:right w:val="single" w:color="000000" w:sz="8" w:space="0"/>
            </w:tcBorders>
            <w:vAlign w:val="center"/>
          </w:tcPr>
          <w:p>
            <w:pPr>
              <w:jc w:val="center"/>
              <w:rPr>
                <w:rFonts w:ascii="宋体" w:hAnsi="宋体" w:eastAsia="宋体" w:cs="宋体"/>
              </w:rPr>
            </w:pPr>
            <w:r>
              <w:rPr>
                <w:rFonts w:hint="eastAsia" w:ascii="宋体" w:hAnsi="宋体" w:eastAsia="宋体" w:cs="宋体"/>
              </w:rPr>
              <w:t>3</w:t>
            </w:r>
          </w:p>
        </w:tc>
        <w:tc>
          <w:tcPr>
            <w:tcW w:w="4562" w:type="pct"/>
            <w:tcBorders>
              <w:top w:val="single" w:color="000000" w:sz="8" w:space="0"/>
              <w:left w:val="single" w:color="000000" w:sz="8" w:space="0"/>
              <w:bottom w:val="single" w:color="000000" w:sz="8" w:space="0"/>
              <w:right w:val="single" w:color="000000" w:sz="8" w:space="0"/>
            </w:tcBorders>
          </w:tcPr>
          <w:p>
            <w:pPr>
              <w:rPr>
                <w:rFonts w:ascii="宋体" w:hAnsi="宋体" w:eastAsia="宋体" w:cs="宋体"/>
              </w:rPr>
            </w:pPr>
            <w:r>
              <w:rPr>
                <w:rFonts w:hint="eastAsia" w:ascii="宋体" w:hAnsi="宋体" w:eastAsia="宋体" w:cs="宋体"/>
              </w:rPr>
              <w:t>分项报价或投标总价高于预算金额（最高投标限价）的；</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437" w:type="pct"/>
            <w:tcBorders>
              <w:top w:val="single" w:color="000000" w:sz="8" w:space="0"/>
              <w:left w:val="single" w:color="000000" w:sz="8" w:space="0"/>
              <w:bottom w:val="single" w:color="000000" w:sz="8" w:space="0"/>
              <w:right w:val="single" w:color="000000" w:sz="8" w:space="0"/>
            </w:tcBorders>
            <w:vAlign w:val="center"/>
          </w:tcPr>
          <w:p>
            <w:pPr>
              <w:jc w:val="center"/>
              <w:rPr>
                <w:rFonts w:ascii="宋体" w:hAnsi="宋体" w:eastAsia="宋体" w:cs="宋体"/>
              </w:rPr>
            </w:pPr>
            <w:r>
              <w:rPr>
                <w:rFonts w:hint="eastAsia" w:ascii="宋体" w:hAnsi="宋体" w:eastAsia="宋体" w:cs="宋体"/>
              </w:rPr>
              <w:t>4</w:t>
            </w:r>
          </w:p>
        </w:tc>
        <w:tc>
          <w:tcPr>
            <w:tcW w:w="4562" w:type="pct"/>
            <w:tcBorders>
              <w:top w:val="single" w:color="000000" w:sz="8" w:space="0"/>
              <w:left w:val="single" w:color="000000" w:sz="8" w:space="0"/>
              <w:bottom w:val="single" w:color="000000" w:sz="8" w:space="0"/>
              <w:right w:val="single" w:color="000000" w:sz="8" w:space="0"/>
            </w:tcBorders>
          </w:tcPr>
          <w:p>
            <w:pPr>
              <w:rPr>
                <w:rFonts w:ascii="宋体" w:hAnsi="宋体" w:eastAsia="宋体" w:cs="宋体"/>
              </w:rPr>
            </w:pPr>
            <w:r>
              <w:rPr>
                <w:rFonts w:hint="eastAsia" w:ascii="宋体" w:hAnsi="宋体" w:eastAsia="宋体" w:cs="宋体"/>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审委员会成员对投标人提供的说明材料判断不一致的，按照“少数服从多数”的原则确定评审委员会的意见）；</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437" w:type="pct"/>
            <w:tcBorders>
              <w:top w:val="single" w:color="000000" w:sz="8" w:space="0"/>
              <w:left w:val="single" w:color="000000" w:sz="8" w:space="0"/>
              <w:bottom w:val="single" w:color="000000" w:sz="8" w:space="0"/>
              <w:right w:val="single" w:color="000000" w:sz="8" w:space="0"/>
            </w:tcBorders>
            <w:vAlign w:val="center"/>
          </w:tcPr>
          <w:p>
            <w:pPr>
              <w:jc w:val="center"/>
              <w:rPr>
                <w:rFonts w:ascii="宋体" w:hAnsi="宋体" w:eastAsia="宋体" w:cs="宋体"/>
              </w:rPr>
            </w:pPr>
            <w:r>
              <w:rPr>
                <w:rFonts w:hint="eastAsia" w:ascii="宋体" w:hAnsi="宋体" w:eastAsia="宋体" w:cs="宋体"/>
              </w:rPr>
              <w:t>5</w:t>
            </w:r>
          </w:p>
        </w:tc>
        <w:tc>
          <w:tcPr>
            <w:tcW w:w="4562" w:type="pct"/>
            <w:tcBorders>
              <w:top w:val="single" w:color="000000" w:sz="8" w:space="0"/>
              <w:left w:val="single" w:color="000000" w:sz="8" w:space="0"/>
              <w:bottom w:val="single" w:color="000000" w:sz="8" w:space="0"/>
              <w:right w:val="single" w:color="000000" w:sz="8" w:space="0"/>
            </w:tcBorders>
          </w:tcPr>
          <w:p>
            <w:pPr>
              <w:rPr>
                <w:rFonts w:ascii="宋体" w:hAnsi="宋体" w:eastAsia="宋体" w:cs="宋体"/>
              </w:rPr>
            </w:pPr>
            <w:r>
              <w:rPr>
                <w:rFonts w:hint="eastAsia" w:ascii="宋体" w:hAnsi="宋体" w:eastAsia="宋体" w:cs="宋体"/>
              </w:rPr>
              <w:t>所投产品、工程、服务在商务、技术等方面没有实质性满足招标文件要求的（是否实质性满足招标文件要求，由评标委员会根据《实质性条款响应情况表》做出评判）；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437" w:type="pct"/>
            <w:tcBorders>
              <w:top w:val="single" w:color="000000" w:sz="8" w:space="0"/>
              <w:left w:val="single" w:color="000000" w:sz="8" w:space="0"/>
              <w:bottom w:val="single" w:color="000000" w:sz="8" w:space="0"/>
              <w:right w:val="single" w:color="000000" w:sz="8" w:space="0"/>
            </w:tcBorders>
            <w:vAlign w:val="center"/>
          </w:tcPr>
          <w:p>
            <w:pPr>
              <w:jc w:val="center"/>
              <w:rPr>
                <w:rFonts w:ascii="宋体" w:hAnsi="宋体" w:eastAsia="宋体" w:cs="宋体"/>
              </w:rPr>
            </w:pPr>
            <w:r>
              <w:rPr>
                <w:rFonts w:hint="eastAsia" w:ascii="宋体" w:hAnsi="宋体" w:eastAsia="宋体" w:cs="宋体"/>
              </w:rPr>
              <w:t>6</w:t>
            </w:r>
          </w:p>
        </w:tc>
        <w:tc>
          <w:tcPr>
            <w:tcW w:w="4562" w:type="pct"/>
            <w:tcBorders>
              <w:top w:val="single" w:color="000000" w:sz="8" w:space="0"/>
              <w:left w:val="single" w:color="000000" w:sz="8" w:space="0"/>
              <w:bottom w:val="single" w:color="000000" w:sz="8" w:space="0"/>
              <w:right w:val="single" w:color="000000" w:sz="8" w:space="0"/>
            </w:tcBorders>
          </w:tcPr>
          <w:p>
            <w:pPr>
              <w:rPr>
                <w:rFonts w:ascii="宋体" w:hAnsi="宋体" w:eastAsia="宋体" w:cs="宋体"/>
              </w:rPr>
            </w:pPr>
            <w:r>
              <w:rPr>
                <w:rFonts w:hint="eastAsia" w:ascii="宋体" w:hAnsi="宋体" w:eastAsia="宋体" w:cs="宋体"/>
              </w:rPr>
              <w:t>未按招标文件所提供的样式填写《投标函》；未按招标文件所提供的《政府采购投标及履约承诺函》进行承诺；未按招标文件对投标文件组成的要求提供投标文件的（投标文件组成不完整）；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437" w:type="pct"/>
            <w:tcBorders>
              <w:top w:val="single" w:color="000000" w:sz="8" w:space="0"/>
              <w:left w:val="single" w:color="000000" w:sz="8" w:space="0"/>
              <w:bottom w:val="single" w:color="000000" w:sz="8" w:space="0"/>
              <w:right w:val="single" w:color="000000" w:sz="8" w:space="0"/>
            </w:tcBorders>
            <w:vAlign w:val="center"/>
          </w:tcPr>
          <w:p>
            <w:pPr>
              <w:jc w:val="center"/>
              <w:rPr>
                <w:rFonts w:ascii="宋体" w:hAnsi="宋体" w:eastAsia="宋体" w:cs="宋体"/>
              </w:rPr>
            </w:pPr>
            <w:r>
              <w:rPr>
                <w:rFonts w:hint="eastAsia" w:ascii="宋体" w:hAnsi="宋体" w:eastAsia="宋体" w:cs="宋体"/>
              </w:rPr>
              <w:t>7</w:t>
            </w:r>
          </w:p>
        </w:tc>
        <w:tc>
          <w:tcPr>
            <w:tcW w:w="4562" w:type="pct"/>
            <w:tcBorders>
              <w:top w:val="single" w:color="000000" w:sz="8" w:space="0"/>
              <w:left w:val="single" w:color="000000" w:sz="8" w:space="0"/>
              <w:bottom w:val="single" w:color="000000" w:sz="8" w:space="0"/>
              <w:right w:val="single" w:color="000000" w:sz="8" w:space="0"/>
            </w:tcBorders>
          </w:tcPr>
          <w:p>
            <w:pPr>
              <w:rPr>
                <w:rFonts w:ascii="宋体" w:hAnsi="宋体" w:eastAsia="宋体" w:cs="宋体"/>
              </w:rPr>
            </w:pPr>
            <w:r>
              <w:rPr>
                <w:rFonts w:hint="eastAsia" w:ascii="宋体" w:hAnsi="宋体" w:eastAsia="宋体" w:cs="宋体"/>
              </w:rPr>
              <w:t>投标报价有严重缺漏项目或对招标文件规定的服务清单项目及数量进行修改；</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437" w:type="pct"/>
            <w:tcBorders>
              <w:top w:val="single" w:color="000000" w:sz="8" w:space="0"/>
              <w:left w:val="single" w:color="000000" w:sz="8" w:space="0"/>
              <w:bottom w:val="single" w:color="000000" w:sz="8" w:space="0"/>
              <w:right w:val="single" w:color="000000" w:sz="8" w:space="0"/>
            </w:tcBorders>
            <w:vAlign w:val="center"/>
          </w:tcPr>
          <w:p>
            <w:pPr>
              <w:jc w:val="center"/>
              <w:rPr>
                <w:rFonts w:ascii="宋体" w:hAnsi="宋体" w:eastAsia="宋体" w:cs="宋体"/>
              </w:rPr>
            </w:pPr>
            <w:r>
              <w:rPr>
                <w:rFonts w:hint="eastAsia" w:ascii="宋体" w:hAnsi="宋体" w:eastAsia="宋体" w:cs="宋体"/>
              </w:rPr>
              <w:t>8</w:t>
            </w:r>
          </w:p>
        </w:tc>
        <w:tc>
          <w:tcPr>
            <w:tcW w:w="4562" w:type="pct"/>
            <w:tcBorders>
              <w:top w:val="single" w:color="000000" w:sz="8" w:space="0"/>
              <w:left w:val="single" w:color="000000" w:sz="8" w:space="0"/>
              <w:bottom w:val="single" w:color="000000" w:sz="8" w:space="0"/>
              <w:right w:val="single" w:color="000000" w:sz="8" w:space="0"/>
            </w:tcBorders>
          </w:tcPr>
          <w:p>
            <w:pPr>
              <w:rPr>
                <w:rFonts w:ascii="宋体" w:hAnsi="宋体" w:eastAsia="宋体" w:cs="宋体"/>
              </w:rPr>
            </w:pPr>
            <w:r>
              <w:rPr>
                <w:rFonts w:hint="eastAsia" w:ascii="宋体" w:hAnsi="宋体" w:eastAsia="宋体" w:cs="宋体"/>
              </w:rPr>
              <w:t>投标文件存在列放位置错误，导致属于信息公开情形的没有被公开；</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437" w:type="pct"/>
            <w:tcBorders>
              <w:top w:val="single" w:color="000000" w:sz="8" w:space="0"/>
              <w:left w:val="single" w:color="000000" w:sz="8" w:space="0"/>
              <w:bottom w:val="single" w:color="000000" w:sz="8" w:space="0"/>
              <w:right w:val="single" w:color="000000" w:sz="8" w:space="0"/>
            </w:tcBorders>
            <w:vAlign w:val="center"/>
          </w:tcPr>
          <w:p>
            <w:pPr>
              <w:jc w:val="center"/>
              <w:rPr>
                <w:rFonts w:ascii="宋体" w:hAnsi="宋体" w:eastAsia="宋体" w:cs="宋体"/>
              </w:rPr>
            </w:pPr>
            <w:r>
              <w:rPr>
                <w:rFonts w:hint="eastAsia" w:ascii="宋体" w:hAnsi="宋体" w:eastAsia="宋体" w:cs="宋体"/>
              </w:rPr>
              <w:t>9</w:t>
            </w:r>
          </w:p>
        </w:tc>
        <w:tc>
          <w:tcPr>
            <w:tcW w:w="4562" w:type="pct"/>
            <w:tcBorders>
              <w:top w:val="single" w:color="000000" w:sz="8" w:space="0"/>
              <w:left w:val="single" w:color="000000" w:sz="8" w:space="0"/>
              <w:bottom w:val="single" w:color="000000" w:sz="8" w:space="0"/>
              <w:right w:val="single" w:color="000000" w:sz="8" w:space="0"/>
            </w:tcBorders>
          </w:tcPr>
          <w:p>
            <w:pPr>
              <w:rPr>
                <w:rFonts w:ascii="宋体" w:hAnsi="宋体" w:eastAsia="宋体" w:cs="宋体"/>
              </w:rPr>
            </w:pPr>
            <w:r>
              <w:rPr>
                <w:rFonts w:hint="eastAsia" w:ascii="宋体" w:hAnsi="宋体" w:eastAsia="宋体" w:cs="宋体"/>
              </w:rPr>
              <w:t>投标文件电子文档带病毒；</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437" w:type="pct"/>
            <w:tcBorders>
              <w:top w:val="single" w:color="000000" w:sz="8" w:space="0"/>
              <w:left w:val="single" w:color="000000" w:sz="8" w:space="0"/>
              <w:bottom w:val="single" w:color="000000" w:sz="8" w:space="0"/>
              <w:right w:val="single" w:color="000000" w:sz="8" w:space="0"/>
            </w:tcBorders>
            <w:vAlign w:val="center"/>
          </w:tcPr>
          <w:p>
            <w:pPr>
              <w:jc w:val="center"/>
              <w:rPr>
                <w:rFonts w:ascii="宋体" w:hAnsi="宋体" w:eastAsia="宋体" w:cs="宋体"/>
              </w:rPr>
            </w:pPr>
            <w:r>
              <w:rPr>
                <w:rFonts w:hint="eastAsia" w:ascii="宋体" w:hAnsi="宋体" w:eastAsia="宋体" w:cs="宋体"/>
              </w:rPr>
              <w:t>10</w:t>
            </w:r>
          </w:p>
        </w:tc>
        <w:tc>
          <w:tcPr>
            <w:tcW w:w="4562" w:type="pct"/>
            <w:tcBorders>
              <w:top w:val="single" w:color="000000" w:sz="8" w:space="0"/>
              <w:left w:val="single" w:color="000000" w:sz="8" w:space="0"/>
              <w:bottom w:val="single" w:color="000000" w:sz="8" w:space="0"/>
              <w:right w:val="single" w:color="000000" w:sz="8" w:space="0"/>
            </w:tcBorders>
          </w:tcPr>
          <w:p>
            <w:pPr>
              <w:rPr>
                <w:rFonts w:ascii="宋体" w:hAnsi="宋体" w:eastAsia="宋体" w:cs="宋体"/>
              </w:rPr>
            </w:pPr>
            <w:r>
              <w:rPr>
                <w:rFonts w:hint="eastAsia" w:ascii="宋体" w:hAnsi="宋体" w:eastAsia="宋体" w:cs="宋体"/>
              </w:rPr>
              <w:t>投标文件用不属于本公司的电子密钥进行加密的；</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437" w:type="pct"/>
            <w:tcBorders>
              <w:top w:val="single" w:color="000000" w:sz="8" w:space="0"/>
              <w:left w:val="single" w:color="000000" w:sz="8" w:space="0"/>
              <w:bottom w:val="single" w:color="000000" w:sz="8" w:space="0"/>
              <w:right w:val="single" w:color="000000" w:sz="8" w:space="0"/>
            </w:tcBorders>
            <w:vAlign w:val="center"/>
          </w:tcPr>
          <w:p>
            <w:pPr>
              <w:jc w:val="center"/>
              <w:rPr>
                <w:rFonts w:ascii="宋体" w:hAnsi="宋体" w:eastAsia="宋体" w:cs="宋体"/>
              </w:rPr>
            </w:pPr>
            <w:r>
              <w:rPr>
                <w:rFonts w:hint="eastAsia" w:ascii="宋体" w:hAnsi="宋体" w:eastAsia="宋体" w:cs="宋体"/>
              </w:rPr>
              <w:t>11</w:t>
            </w:r>
          </w:p>
        </w:tc>
        <w:tc>
          <w:tcPr>
            <w:tcW w:w="4562" w:type="pct"/>
            <w:tcBorders>
              <w:top w:val="single" w:color="000000" w:sz="8" w:space="0"/>
              <w:left w:val="single" w:color="000000" w:sz="8" w:space="0"/>
              <w:bottom w:val="single" w:color="000000" w:sz="8" w:space="0"/>
              <w:right w:val="single" w:color="000000" w:sz="8" w:space="0"/>
            </w:tcBorders>
          </w:tcPr>
          <w:p>
            <w:pPr>
              <w:rPr>
                <w:rFonts w:ascii="宋体" w:hAnsi="宋体" w:eastAsia="宋体" w:cs="宋体"/>
              </w:rPr>
            </w:pPr>
            <w:r>
              <w:rPr>
                <w:rFonts w:hint="eastAsia" w:ascii="宋体" w:hAnsi="宋体" w:eastAsia="宋体" w:cs="宋体"/>
              </w:rPr>
              <w:t>误选了非本项目的最新加密规则文件，导致投标文件不能在开标时解密；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437" w:type="pct"/>
            <w:tcBorders>
              <w:top w:val="single" w:color="000000" w:sz="8" w:space="0"/>
              <w:left w:val="single" w:color="000000" w:sz="8" w:space="0"/>
              <w:bottom w:val="single" w:color="000000" w:sz="8" w:space="0"/>
              <w:right w:val="single" w:color="000000" w:sz="8" w:space="0"/>
            </w:tcBorders>
            <w:vAlign w:val="center"/>
          </w:tcPr>
          <w:p>
            <w:pPr>
              <w:jc w:val="center"/>
              <w:rPr>
                <w:rFonts w:ascii="宋体" w:hAnsi="宋体" w:eastAsia="宋体" w:cs="宋体"/>
              </w:rPr>
            </w:pPr>
            <w:r>
              <w:rPr>
                <w:rFonts w:hint="eastAsia" w:ascii="宋体" w:hAnsi="宋体" w:eastAsia="宋体" w:cs="宋体"/>
              </w:rPr>
              <w:t>12</w:t>
            </w:r>
          </w:p>
        </w:tc>
        <w:tc>
          <w:tcPr>
            <w:tcW w:w="4562" w:type="pct"/>
            <w:tcBorders>
              <w:top w:val="single" w:color="000000" w:sz="8" w:space="0"/>
              <w:left w:val="single" w:color="000000" w:sz="8" w:space="0"/>
              <w:bottom w:val="single" w:color="000000" w:sz="8" w:space="0"/>
              <w:right w:val="single" w:color="000000" w:sz="8" w:space="0"/>
            </w:tcBorders>
          </w:tcPr>
          <w:p>
            <w:pPr>
              <w:rPr>
                <w:rFonts w:hint="eastAsia" w:ascii="宋体" w:hAnsi="宋体" w:eastAsia="宋体" w:cs="宋体"/>
                <w:lang w:eastAsia="zh-CN"/>
              </w:rPr>
            </w:pPr>
            <w:r>
              <w:rPr>
                <w:rFonts w:hint="eastAsia" w:ascii="宋体" w:hAnsi="宋体" w:eastAsia="宋体" w:cs="宋体"/>
              </w:rPr>
              <w:t>法律、法规规定的其他情形</w:t>
            </w:r>
            <w:r>
              <w:rPr>
                <w:rFonts w:hint="eastAsia" w:ascii="宋体" w:hAnsi="宋体" w:eastAsia="宋体" w:cs="宋体"/>
                <w:lang w:eastAsia="zh-CN"/>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437" w:type="pct"/>
            <w:tcBorders>
              <w:top w:val="single" w:color="000000" w:sz="8" w:space="0"/>
              <w:left w:val="single" w:color="000000" w:sz="8" w:space="0"/>
              <w:bottom w:val="single" w:color="000000" w:sz="8" w:space="0"/>
              <w:right w:val="single" w:color="000000" w:sz="8" w:space="0"/>
            </w:tcBorders>
            <w:vAlign w:val="center"/>
          </w:tcPr>
          <w:p>
            <w:pPr>
              <w:jc w:val="center"/>
              <w:rPr>
                <w:rFonts w:hint="default" w:ascii="宋体" w:hAnsi="宋体" w:eastAsia="宋体" w:cs="宋体"/>
                <w:lang w:val="en-US" w:eastAsia="zh-CN"/>
              </w:rPr>
            </w:pPr>
            <w:r>
              <w:rPr>
                <w:rFonts w:hint="eastAsia" w:ascii="宋体" w:hAnsi="宋体" w:eastAsia="宋体" w:cs="宋体"/>
                <w:lang w:val="en-US" w:eastAsia="zh-CN"/>
              </w:rPr>
              <w:t>13</w:t>
            </w:r>
          </w:p>
        </w:tc>
        <w:tc>
          <w:tcPr>
            <w:tcW w:w="4562" w:type="pct"/>
            <w:tcBorders>
              <w:top w:val="single" w:color="000000" w:sz="8" w:space="0"/>
              <w:left w:val="single" w:color="000000" w:sz="8" w:space="0"/>
              <w:bottom w:val="single" w:color="000000" w:sz="8" w:space="0"/>
              <w:right w:val="single" w:color="000000" w:sz="8" w:space="0"/>
            </w:tcBorders>
          </w:tcPr>
          <w:p>
            <w:pPr>
              <w:rPr>
                <w:rFonts w:hint="eastAsia" w:ascii="宋体" w:hAnsi="宋体" w:eastAsia="宋体" w:cs="宋体"/>
                <w:lang w:eastAsia="zh-CN"/>
              </w:rPr>
            </w:pPr>
            <w:r>
              <w:rPr>
                <w:szCs w:val="21"/>
              </w:rPr>
              <w:t>投标人</w:t>
            </w:r>
            <w:r>
              <w:rPr>
                <w:rFonts w:hint="eastAsia" w:ascii="宋体" w:hAnsi="宋体" w:eastAsia="宋体" w:cs="宋体"/>
              </w:rPr>
              <w:t>上传投标文件的电脑机器码或IP地址相同（由采购代理机构为</w:t>
            </w:r>
            <w:r>
              <w:rPr>
                <w:szCs w:val="21"/>
              </w:rPr>
              <w:t>投标人</w:t>
            </w:r>
            <w:r>
              <w:rPr>
                <w:rFonts w:hint="eastAsia" w:ascii="宋体" w:hAnsi="宋体" w:eastAsia="宋体" w:cs="宋体"/>
              </w:rPr>
              <w:t>提供辅助上传同一IP地址的情形除外）</w:t>
            </w:r>
            <w:r>
              <w:rPr>
                <w:rFonts w:hint="eastAsia" w:ascii="宋体" w:hAnsi="宋体" w:eastAsia="宋体" w:cs="宋体"/>
                <w:lang w:eastAsia="zh-CN"/>
              </w:rPr>
              <w:t>。</w:t>
            </w:r>
          </w:p>
        </w:tc>
      </w:tr>
    </w:tbl>
    <w:p>
      <w:pPr>
        <w:pStyle w:val="16"/>
        <w:spacing w:before="280" w:beforeAutospacing="0"/>
        <w:jc w:val="center"/>
        <w:outlineLvl w:val="9"/>
        <w:rPr>
          <w:rFonts w:hint="eastAsia" w:ascii="黑体" w:hAnsi="黑体" w:eastAsia="黑体"/>
          <w:sz w:val="40"/>
          <w:szCs w:val="40"/>
        </w:rPr>
      </w:pPr>
    </w:p>
    <w:p>
      <w:pPr>
        <w:pStyle w:val="16"/>
        <w:spacing w:before="280" w:beforeAutospacing="0"/>
        <w:jc w:val="center"/>
        <w:outlineLvl w:val="9"/>
        <w:rPr>
          <w:rFonts w:hint="eastAsia" w:ascii="黑体" w:hAnsi="黑体" w:eastAsia="黑体"/>
          <w:sz w:val="40"/>
          <w:szCs w:val="40"/>
        </w:rPr>
      </w:pPr>
    </w:p>
    <w:p>
      <w:pPr>
        <w:rPr>
          <w:rFonts w:hint="eastAsia" w:ascii="黑体" w:hAnsi="黑体" w:eastAsia="黑体"/>
          <w:sz w:val="40"/>
          <w:szCs w:val="40"/>
        </w:rPr>
      </w:pPr>
      <w:r>
        <w:rPr>
          <w:rFonts w:hint="eastAsia" w:ascii="黑体" w:hAnsi="黑体" w:eastAsia="黑体"/>
          <w:sz w:val="40"/>
          <w:szCs w:val="40"/>
        </w:rPr>
        <w:br w:type="page"/>
      </w:r>
    </w:p>
    <w:p>
      <w:pPr>
        <w:pStyle w:val="16"/>
        <w:jc w:val="center"/>
        <w:outlineLvl w:val="1"/>
        <w:rPr>
          <w:rFonts w:ascii="黑体" w:hAnsi="黑体" w:eastAsia="黑体"/>
          <w:sz w:val="40"/>
          <w:szCs w:val="40"/>
        </w:rPr>
      </w:pPr>
      <w:bookmarkStart w:id="29" w:name="_GoBack"/>
      <w:bookmarkEnd w:id="29"/>
      <w:r>
        <w:rPr>
          <w:rFonts w:hint="eastAsia" w:ascii="黑体" w:hAnsi="黑体" w:eastAsia="黑体"/>
          <w:sz w:val="40"/>
          <w:szCs w:val="40"/>
        </w:rPr>
        <w:t>评标信息</w:t>
      </w:r>
    </w:p>
    <w:tbl>
      <w:tblPr>
        <w:tblStyle w:val="19"/>
        <w:tblW w:w="9743" w:type="dxa"/>
        <w:jc w:val="center"/>
        <w:tblCellSpacing w:w="0" w:type="dxa"/>
        <w:tblLayout w:type="autofit"/>
        <w:tblCellMar>
          <w:top w:w="45" w:type="dxa"/>
          <w:left w:w="45" w:type="dxa"/>
          <w:bottom w:w="45" w:type="dxa"/>
          <w:right w:w="45" w:type="dxa"/>
        </w:tblCellMar>
      </w:tblPr>
      <w:tblGrid>
        <w:gridCol w:w="5633"/>
        <w:gridCol w:w="4110"/>
      </w:tblGrid>
      <w:tr>
        <w:trPr>
          <w:tblCellSpacing w:w="0" w:type="dxa"/>
          <w:jc w:val="center"/>
        </w:trPr>
        <w:tc>
          <w:tcPr>
            <w:tcW w:w="0" w:type="auto"/>
            <w:tcBorders>
              <w:top w:val="nil"/>
              <w:left w:val="nil"/>
              <w:bottom w:val="nil"/>
              <w:right w:val="nil"/>
            </w:tcBorders>
            <w:vAlign w:val="center"/>
          </w:tcPr>
          <w:p>
            <w:pPr>
              <w:keepNext w:val="0"/>
              <w:keepLines w:val="0"/>
              <w:pageBreakBefore w:val="0"/>
              <w:widowControl/>
              <w:kinsoku/>
              <w:wordWrap/>
              <w:overflowPunct/>
              <w:topLinePunct w:val="0"/>
              <w:autoSpaceDE/>
              <w:autoSpaceDN/>
              <w:bidi w:val="0"/>
              <w:adjustRightInd/>
              <w:snapToGrid/>
              <w:spacing w:beforeAutospacing="0" w:afterAutospacing="0"/>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评标方法：综合评分法（新价格分算法）</w:t>
            </w:r>
          </w:p>
        </w:tc>
        <w:tc>
          <w:tcPr>
            <w:tcW w:w="2835" w:type="dxa"/>
            <w:tcBorders>
              <w:top w:val="nil"/>
              <w:left w:val="nil"/>
              <w:bottom w:val="nil"/>
              <w:right w:val="nil"/>
            </w:tcBorders>
            <w:vAlign w:val="center"/>
          </w:tcPr>
          <w:p>
            <w:pPr>
              <w:keepNext w:val="0"/>
              <w:keepLines w:val="0"/>
              <w:pageBreakBefore w:val="0"/>
              <w:widowControl/>
              <w:kinsoku/>
              <w:wordWrap/>
              <w:overflowPunct/>
              <w:topLinePunct w:val="0"/>
              <w:autoSpaceDE/>
              <w:autoSpaceDN/>
              <w:bidi w:val="0"/>
              <w:adjustRightInd/>
              <w:snapToGrid/>
              <w:spacing w:beforeAutospacing="0" w:afterAutospacing="0"/>
              <w:jc w:val="right"/>
              <w:textAlignment w:val="auto"/>
              <w:rPr>
                <w:rFonts w:hint="eastAsia" w:ascii="宋体" w:hAnsi="宋体" w:eastAsia="宋体" w:cs="宋体"/>
                <w:b/>
                <w:bCs/>
                <w:color w:val="000000" w:themeColor="text1"/>
                <w:sz w:val="21"/>
                <w:szCs w:val="21"/>
                <w:highlight w:val="none"/>
                <w14:textFill>
                  <w14:solidFill>
                    <w14:schemeClr w14:val="tx1"/>
                  </w14:solidFill>
                </w14:textFill>
              </w:rPr>
            </w:pPr>
          </w:p>
        </w:tc>
      </w:tr>
      <w:tr>
        <w:tblPrEx>
          <w:tblCellMar>
            <w:top w:w="45" w:type="dxa"/>
            <w:left w:w="45" w:type="dxa"/>
            <w:bottom w:w="45" w:type="dxa"/>
            <w:right w:w="45" w:type="dxa"/>
          </w:tblCellMar>
        </w:tblPrEx>
        <w:trPr>
          <w:tblCellSpacing w:w="0" w:type="dxa"/>
          <w:jc w:val="center"/>
        </w:trPr>
        <w:tc>
          <w:tcPr>
            <w:tcW w:w="9743" w:type="dxa"/>
            <w:gridSpan w:val="2"/>
            <w:tcBorders>
              <w:top w:val="nil"/>
              <w:left w:val="nil"/>
              <w:bottom w:val="nil"/>
              <w:right w:val="nil"/>
            </w:tcBorders>
            <w:vAlign w:val="center"/>
          </w:tcPr>
          <w:p>
            <w:pPr>
              <w:pStyle w:val="16"/>
              <w:keepNext w:val="0"/>
              <w:keepLines w:val="0"/>
              <w:pageBreakBefore w:val="0"/>
              <w:widowControl/>
              <w:kinsoku/>
              <w:wordWrap/>
              <w:overflowPunct/>
              <w:topLinePunct w:val="0"/>
              <w:autoSpaceDE/>
              <w:autoSpaceDN/>
              <w:bidi w:val="0"/>
              <w:adjustRightInd/>
              <w:snapToGrid/>
              <w:spacing w:before="0" w:beforeAutospacing="0" w:after="0" w:afterAutospacing="0" w:line="324" w:lineRule="auto"/>
              <w:ind w:firstLine="42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综合评分法，是指投标文件满足招标文件全部实质性要求，且按照评审因素的量化指标评审得分最高的投标人为中标候选人的评标方法。 </w:t>
            </w:r>
          </w:p>
          <w:p>
            <w:pPr>
              <w:pStyle w:val="16"/>
              <w:keepNext w:val="0"/>
              <w:keepLines w:val="0"/>
              <w:pageBreakBefore w:val="0"/>
              <w:widowControl/>
              <w:kinsoku/>
              <w:wordWrap/>
              <w:overflowPunct/>
              <w:topLinePunct w:val="0"/>
              <w:autoSpaceDE/>
              <w:autoSpaceDN/>
              <w:bidi w:val="0"/>
              <w:adjustRightInd/>
              <w:snapToGrid/>
              <w:spacing w:before="0" w:beforeAutospacing="0" w:after="0" w:afterAutospacing="0"/>
              <w:ind w:firstLine="42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价格分计算方法：</w:t>
            </w:r>
          </w:p>
          <w:p>
            <w:pPr>
              <w:pStyle w:val="16"/>
              <w:keepNext w:val="0"/>
              <w:keepLines w:val="0"/>
              <w:pageBreakBefore w:val="0"/>
              <w:widowControl/>
              <w:kinsoku/>
              <w:wordWrap/>
              <w:overflowPunct/>
              <w:topLinePunct w:val="0"/>
              <w:autoSpaceDE/>
              <w:autoSpaceDN/>
              <w:bidi w:val="0"/>
              <w:adjustRightInd/>
              <w:snapToGrid/>
              <w:spacing w:before="0" w:beforeAutospacing="0" w:after="0" w:afterAutospacing="0" w:line="324" w:lineRule="auto"/>
              <w:ind w:left="420"/>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 </w:t>
            </w:r>
          </w:p>
          <w:p>
            <w:pPr>
              <w:pStyle w:val="16"/>
              <w:keepNext w:val="0"/>
              <w:keepLines w:val="0"/>
              <w:pageBreakBefore w:val="0"/>
              <w:widowControl/>
              <w:kinsoku/>
              <w:wordWrap/>
              <w:overflowPunct/>
              <w:topLinePunct w:val="0"/>
              <w:autoSpaceDE/>
              <w:autoSpaceDN/>
              <w:bidi w:val="0"/>
              <w:adjustRightInd/>
              <w:snapToGrid/>
              <w:spacing w:before="0" w:beforeAutospacing="0" w:after="0" w:afterAutospacing="0" w:line="324" w:lineRule="auto"/>
              <w:ind w:left="420"/>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投标报价得分=(评标基准价／投标报价)×100 </w:t>
            </w:r>
          </w:p>
          <w:p>
            <w:pPr>
              <w:pStyle w:val="16"/>
              <w:keepNext w:val="0"/>
              <w:keepLines w:val="0"/>
              <w:pageBreakBefore w:val="0"/>
              <w:widowControl/>
              <w:kinsoku/>
              <w:wordWrap/>
              <w:overflowPunct/>
              <w:topLinePunct w:val="0"/>
              <w:autoSpaceDE/>
              <w:autoSpaceDN/>
              <w:bidi w:val="0"/>
              <w:adjustRightInd/>
              <w:snapToGrid/>
              <w:spacing w:before="0" w:beforeAutospacing="0" w:after="0" w:afterAutospacing="0" w:line="324" w:lineRule="auto"/>
              <w:ind w:left="420"/>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评标总得分＝F1×A1＋F2×A2＋……＋Fn×An </w:t>
            </w:r>
          </w:p>
          <w:p>
            <w:pPr>
              <w:pStyle w:val="16"/>
              <w:keepNext w:val="0"/>
              <w:keepLines w:val="0"/>
              <w:pageBreakBefore w:val="0"/>
              <w:widowControl/>
              <w:kinsoku/>
              <w:wordWrap/>
              <w:overflowPunct/>
              <w:topLinePunct w:val="0"/>
              <w:autoSpaceDE/>
              <w:autoSpaceDN/>
              <w:bidi w:val="0"/>
              <w:adjustRightInd/>
              <w:snapToGrid/>
              <w:spacing w:before="0" w:beforeAutospacing="0" w:after="0" w:afterAutospacing="0" w:line="324" w:lineRule="auto"/>
              <w:ind w:left="420"/>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F1、F2……Fn分别为各项评审因素的得分； </w:t>
            </w:r>
          </w:p>
          <w:p>
            <w:pPr>
              <w:pStyle w:val="16"/>
              <w:keepNext w:val="0"/>
              <w:keepLines w:val="0"/>
              <w:pageBreakBefore w:val="0"/>
              <w:widowControl/>
              <w:kinsoku/>
              <w:wordWrap/>
              <w:overflowPunct/>
              <w:topLinePunct w:val="0"/>
              <w:autoSpaceDE/>
              <w:autoSpaceDN/>
              <w:bidi w:val="0"/>
              <w:adjustRightInd/>
              <w:snapToGrid/>
              <w:spacing w:before="0" w:beforeAutospacing="0" w:after="0" w:afterAutospacing="0" w:line="324" w:lineRule="auto"/>
              <w:ind w:left="420"/>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A1、A2、……An 分别为各项评审因素所占的权重(A1＋A2＋……＋An＝1)。 </w:t>
            </w:r>
          </w:p>
          <w:p>
            <w:pPr>
              <w:pStyle w:val="16"/>
              <w:keepNext w:val="0"/>
              <w:keepLines w:val="0"/>
              <w:pageBreakBefore w:val="0"/>
              <w:widowControl/>
              <w:kinsoku/>
              <w:wordWrap/>
              <w:overflowPunct/>
              <w:topLinePunct w:val="0"/>
              <w:autoSpaceDE/>
              <w:autoSpaceDN/>
              <w:bidi w:val="0"/>
              <w:adjustRightInd/>
              <w:snapToGrid/>
              <w:spacing w:before="0" w:beforeAutospacing="0" w:after="0" w:afterAutospacing="0" w:line="324" w:lineRule="auto"/>
              <w:ind w:left="420"/>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评标过程中，不得去掉报价中的最高报价和最低报价。 </w:t>
            </w:r>
          </w:p>
          <w:p>
            <w:pPr>
              <w:pStyle w:val="16"/>
              <w:keepNext w:val="0"/>
              <w:keepLines w:val="0"/>
              <w:pageBreakBefore w:val="0"/>
              <w:widowControl/>
              <w:kinsoku/>
              <w:wordWrap/>
              <w:overflowPunct/>
              <w:topLinePunct w:val="0"/>
              <w:autoSpaceDE/>
              <w:autoSpaceDN/>
              <w:bidi w:val="0"/>
              <w:adjustRightInd/>
              <w:snapToGrid/>
              <w:spacing w:before="0" w:beforeAutospacing="0" w:after="0" w:afterAutospacing="0" w:line="324" w:lineRule="auto"/>
              <w:ind w:left="42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此方法适用于货物类、服务类、工程类项目。 </w:t>
            </w:r>
          </w:p>
        </w:tc>
      </w:tr>
    </w:tbl>
    <w:p>
      <w:pPr>
        <w:spacing w:after="1134"/>
        <w:rPr>
          <w:vanish/>
        </w:rPr>
      </w:pPr>
    </w:p>
    <w:p/>
    <w:tbl>
      <w:tblPr>
        <w:tblStyle w:val="19"/>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672"/>
        <w:gridCol w:w="656"/>
        <w:gridCol w:w="1692"/>
        <w:gridCol w:w="982"/>
        <w:gridCol w:w="5076"/>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72"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pPr>
              <w:keepNext w:val="0"/>
              <w:keepLines w:val="0"/>
              <w:pageBreakBefore w:val="0"/>
              <w:widowControl/>
              <w:wordWrap w:val="0"/>
              <w:overflowPunct/>
              <w:topLinePunct w:val="0"/>
              <w:bidi w:val="0"/>
              <w:spacing w:line="240" w:lineRule="auto"/>
              <w:jc w:val="center"/>
              <w:rPr>
                <w:rFonts w:hint="eastAsia" w:asciiTheme="minorEastAsia" w:hAnsiTheme="minorEastAsia" w:eastAsiaTheme="minorEastAsia" w:cstheme="minorEastAsia"/>
                <w:b/>
                <w:bCs/>
                <w:sz w:val="21"/>
                <w:szCs w:val="21"/>
              </w:rPr>
            </w:pPr>
            <w:bookmarkStart w:id="0" w:name="_Hlk72360569"/>
            <w:r>
              <w:rPr>
                <w:rFonts w:hint="eastAsia" w:asciiTheme="minorEastAsia" w:hAnsiTheme="minorEastAsia" w:eastAsiaTheme="minorEastAsia" w:cstheme="minorEastAsia"/>
                <w:b/>
                <w:bCs/>
                <w:kern w:val="0"/>
                <w:sz w:val="21"/>
                <w:szCs w:val="21"/>
              </w:rPr>
              <w:t>序号</w:t>
            </w:r>
          </w:p>
        </w:tc>
        <w:tc>
          <w:tcPr>
            <w:tcW w:w="3330" w:type="dxa"/>
            <w:gridSpan w:val="3"/>
            <w:tcBorders>
              <w:top w:val="single" w:color="000000" w:sz="8" w:space="0"/>
              <w:left w:val="single" w:color="000000" w:sz="8" w:space="0"/>
              <w:bottom w:val="single" w:color="000000" w:sz="8" w:space="0"/>
              <w:right w:val="single" w:color="000000" w:sz="8" w:space="0"/>
            </w:tcBorders>
            <w:shd w:val="clear" w:color="auto" w:fill="E6EFFA"/>
            <w:noWrap w:val="0"/>
            <w:vAlign w:val="center"/>
          </w:tcPr>
          <w:p>
            <w:pPr>
              <w:keepNext w:val="0"/>
              <w:keepLines w:val="0"/>
              <w:pageBreakBefore w:val="0"/>
              <w:widowControl/>
              <w:wordWrap w:val="0"/>
              <w:overflowPunct/>
              <w:topLinePunct w:val="0"/>
              <w:bidi w:val="0"/>
              <w:spacing w:line="240" w:lineRule="auto"/>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kern w:val="0"/>
                <w:sz w:val="21"/>
                <w:szCs w:val="21"/>
              </w:rPr>
              <w:t>评分项</w:t>
            </w:r>
          </w:p>
        </w:tc>
        <w:tc>
          <w:tcPr>
            <w:tcW w:w="5076"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pPr>
              <w:keepNext w:val="0"/>
              <w:keepLines w:val="0"/>
              <w:pageBreakBefore w:val="0"/>
              <w:widowControl/>
              <w:wordWrap w:val="0"/>
              <w:overflowPunct/>
              <w:topLinePunct w:val="0"/>
              <w:bidi w:val="0"/>
              <w:spacing w:line="240" w:lineRule="auto"/>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kern w:val="0"/>
                <w:sz w:val="21"/>
                <w:szCs w:val="21"/>
              </w:rPr>
              <w:t>权重(%)</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72" w:type="dxa"/>
            <w:vMerge w:val="restart"/>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wordWrap w:val="0"/>
              <w:overflowPunct/>
              <w:topLinePunct w:val="0"/>
              <w:bidi w:val="0"/>
              <w:spacing w:line="240" w:lineRule="auto"/>
              <w:jc w:val="center"/>
              <w:rPr>
                <w:rFonts w:hint="eastAsia" w:asciiTheme="minorEastAsia" w:hAnsiTheme="minorEastAsia" w:eastAsiaTheme="minorEastAsia" w:cstheme="minorEastAsia"/>
                <w:b/>
                <w:bCs/>
                <w:color w:val="0000FF"/>
                <w:sz w:val="21"/>
                <w:szCs w:val="21"/>
              </w:rPr>
            </w:pPr>
            <w:r>
              <w:rPr>
                <w:rFonts w:hint="eastAsia" w:asciiTheme="minorEastAsia" w:hAnsiTheme="minorEastAsia" w:eastAsiaTheme="minorEastAsia" w:cstheme="minorEastAsia"/>
                <w:b/>
                <w:bCs/>
                <w:color w:val="0000FF"/>
                <w:kern w:val="0"/>
                <w:sz w:val="21"/>
                <w:szCs w:val="21"/>
              </w:rPr>
              <w:t>1</w:t>
            </w:r>
          </w:p>
        </w:tc>
        <w:tc>
          <w:tcPr>
            <w:tcW w:w="3330" w:type="dxa"/>
            <w:gridSpan w:val="3"/>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wordWrap w:val="0"/>
              <w:overflowPunct/>
              <w:topLinePunct w:val="0"/>
              <w:bidi w:val="0"/>
              <w:spacing w:line="240" w:lineRule="auto"/>
              <w:jc w:val="center"/>
              <w:rPr>
                <w:rFonts w:hint="eastAsia" w:asciiTheme="minorEastAsia" w:hAnsiTheme="minorEastAsia" w:eastAsiaTheme="minorEastAsia" w:cstheme="minorEastAsia"/>
                <w:b/>
                <w:bCs/>
                <w:color w:val="0000FF"/>
                <w:sz w:val="21"/>
                <w:szCs w:val="21"/>
                <w:lang w:val="en-US" w:eastAsia="zh-CN"/>
              </w:rPr>
            </w:pPr>
            <w:r>
              <w:rPr>
                <w:rFonts w:hint="eastAsia" w:asciiTheme="minorEastAsia" w:hAnsiTheme="minorEastAsia" w:eastAsiaTheme="minorEastAsia" w:cstheme="minorEastAsia"/>
                <w:b/>
                <w:bCs/>
                <w:color w:val="0000FF"/>
                <w:kern w:val="0"/>
                <w:sz w:val="21"/>
                <w:szCs w:val="21"/>
              </w:rPr>
              <w:t>价格</w:t>
            </w:r>
            <w:r>
              <w:rPr>
                <w:rFonts w:hint="eastAsia" w:asciiTheme="minorEastAsia" w:hAnsiTheme="minorEastAsia" w:eastAsiaTheme="minorEastAsia" w:cstheme="minorEastAsia"/>
                <w:b/>
                <w:bCs/>
                <w:color w:val="0000FF"/>
                <w:kern w:val="0"/>
                <w:sz w:val="21"/>
                <w:szCs w:val="21"/>
                <w:lang w:val="en-US" w:eastAsia="zh-CN"/>
              </w:rPr>
              <w:t>部分</w:t>
            </w:r>
          </w:p>
        </w:tc>
        <w:tc>
          <w:tcPr>
            <w:tcW w:w="5076"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wordWrap w:val="0"/>
              <w:overflowPunct/>
              <w:topLinePunct w:val="0"/>
              <w:bidi w:val="0"/>
              <w:spacing w:line="240" w:lineRule="auto"/>
              <w:jc w:val="center"/>
              <w:rPr>
                <w:rFonts w:hint="eastAsia" w:asciiTheme="minorEastAsia" w:hAnsiTheme="minorEastAsia" w:eastAsiaTheme="minorEastAsia" w:cstheme="minorEastAsia"/>
                <w:b/>
                <w:bCs/>
                <w:color w:val="0000FF"/>
                <w:sz w:val="21"/>
                <w:szCs w:val="21"/>
              </w:rPr>
            </w:pPr>
            <w:r>
              <w:rPr>
                <w:rFonts w:hint="eastAsia" w:asciiTheme="minorEastAsia" w:hAnsiTheme="minorEastAsia" w:eastAsiaTheme="minorEastAsia" w:cstheme="minorEastAsia"/>
                <w:b/>
                <w:bCs/>
                <w:color w:val="0000FF"/>
                <w:kern w:val="0"/>
                <w:sz w:val="21"/>
                <w:szCs w:val="21"/>
              </w:rPr>
              <w:t>30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72" w:type="dxa"/>
            <w:vMerge w:val="continue"/>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overflowPunct/>
              <w:topLinePunct w:val="0"/>
              <w:bidi w:val="0"/>
              <w:spacing w:line="240" w:lineRule="auto"/>
              <w:jc w:val="center"/>
              <w:rPr>
                <w:rFonts w:hint="eastAsia" w:asciiTheme="minorEastAsia" w:hAnsiTheme="minorEastAsia" w:eastAsiaTheme="minorEastAsia" w:cstheme="minorEastAsia"/>
                <w:b/>
                <w:bCs/>
                <w:color w:val="0000FF"/>
                <w:sz w:val="21"/>
                <w:szCs w:val="21"/>
              </w:rPr>
            </w:pPr>
          </w:p>
        </w:tc>
        <w:tc>
          <w:tcPr>
            <w:tcW w:w="8406" w:type="dxa"/>
            <w:gridSpan w:val="4"/>
            <w:tcBorders>
              <w:top w:val="single" w:color="000000" w:sz="8" w:space="0"/>
              <w:left w:val="single" w:color="000000" w:sz="8" w:space="0"/>
              <w:bottom w:val="single" w:color="000000" w:sz="8" w:space="0"/>
              <w:right w:val="single" w:color="000000" w:sz="8" w:space="0"/>
            </w:tcBorders>
            <w:noWrap w:val="0"/>
            <w:vAlign w:val="top"/>
          </w:tcPr>
          <w:p>
            <w:pPr>
              <w:keepNext w:val="0"/>
              <w:keepLines w:val="0"/>
              <w:pageBreakBefore w:val="0"/>
              <w:widowControl/>
              <w:overflowPunct/>
              <w:topLinePunct w:val="0"/>
              <w:bidi w:val="0"/>
              <w:spacing w:line="240" w:lineRule="auto"/>
              <w:rPr>
                <w:rFonts w:hint="eastAsia" w:asciiTheme="minorEastAsia" w:hAnsiTheme="minorEastAsia" w:eastAsiaTheme="minorEastAsia" w:cstheme="minorEastAsia"/>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72" w:type="dxa"/>
            <w:vMerge w:val="restart"/>
            <w:tcBorders>
              <w:top w:val="single" w:color="000000" w:sz="8" w:space="0"/>
              <w:left w:val="single" w:color="000000" w:sz="8" w:space="0"/>
              <w:right w:val="single" w:color="000000" w:sz="8" w:space="0"/>
            </w:tcBorders>
            <w:noWrap w:val="0"/>
            <w:vAlign w:val="center"/>
          </w:tcPr>
          <w:p>
            <w:pPr>
              <w:keepNext w:val="0"/>
              <w:keepLines w:val="0"/>
              <w:pageBreakBefore w:val="0"/>
              <w:widowControl/>
              <w:wordWrap w:val="0"/>
              <w:overflowPunct/>
              <w:topLinePunct w:val="0"/>
              <w:bidi w:val="0"/>
              <w:spacing w:line="240" w:lineRule="auto"/>
              <w:jc w:val="center"/>
              <w:rPr>
                <w:rFonts w:hint="eastAsia" w:asciiTheme="minorEastAsia" w:hAnsiTheme="minorEastAsia" w:eastAsiaTheme="minorEastAsia" w:cstheme="minorEastAsia"/>
                <w:b/>
                <w:bCs/>
                <w:color w:val="0000FF"/>
                <w:sz w:val="21"/>
                <w:szCs w:val="21"/>
              </w:rPr>
            </w:pPr>
            <w:r>
              <w:rPr>
                <w:rFonts w:hint="eastAsia" w:asciiTheme="minorEastAsia" w:hAnsiTheme="minorEastAsia" w:eastAsiaTheme="minorEastAsia" w:cstheme="minorEastAsia"/>
                <w:b/>
                <w:bCs/>
                <w:color w:val="0000FF"/>
                <w:kern w:val="0"/>
                <w:sz w:val="21"/>
                <w:szCs w:val="21"/>
              </w:rPr>
              <w:t>2</w:t>
            </w:r>
          </w:p>
        </w:tc>
        <w:tc>
          <w:tcPr>
            <w:tcW w:w="3330" w:type="dxa"/>
            <w:gridSpan w:val="3"/>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wordWrap w:val="0"/>
              <w:overflowPunct/>
              <w:topLinePunct w:val="0"/>
              <w:bidi w:val="0"/>
              <w:spacing w:line="240" w:lineRule="auto"/>
              <w:jc w:val="center"/>
              <w:rPr>
                <w:rFonts w:hint="eastAsia" w:asciiTheme="minorEastAsia" w:hAnsiTheme="minorEastAsia" w:eastAsiaTheme="minorEastAsia" w:cstheme="minorEastAsia"/>
                <w:b/>
                <w:bCs/>
                <w:color w:val="0000FF"/>
                <w:sz w:val="21"/>
                <w:szCs w:val="21"/>
              </w:rPr>
            </w:pPr>
            <w:r>
              <w:rPr>
                <w:rFonts w:hint="eastAsia" w:asciiTheme="minorEastAsia" w:hAnsiTheme="minorEastAsia" w:eastAsiaTheme="minorEastAsia" w:cstheme="minorEastAsia"/>
                <w:b/>
                <w:bCs/>
                <w:color w:val="0000FF"/>
                <w:kern w:val="0"/>
                <w:sz w:val="21"/>
                <w:szCs w:val="21"/>
              </w:rPr>
              <w:t>技术部分</w:t>
            </w:r>
          </w:p>
        </w:tc>
        <w:tc>
          <w:tcPr>
            <w:tcW w:w="5076"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wordWrap w:val="0"/>
              <w:overflowPunct/>
              <w:topLinePunct w:val="0"/>
              <w:bidi w:val="0"/>
              <w:spacing w:line="240" w:lineRule="auto"/>
              <w:jc w:val="center"/>
              <w:rPr>
                <w:rFonts w:hint="default" w:asciiTheme="minorEastAsia" w:hAnsiTheme="minorEastAsia" w:eastAsiaTheme="minorEastAsia" w:cstheme="minorEastAsia"/>
                <w:b/>
                <w:bCs/>
                <w:color w:val="0000FF"/>
                <w:sz w:val="21"/>
                <w:szCs w:val="21"/>
                <w:lang w:val="en-US" w:eastAsia="zh-CN"/>
              </w:rPr>
            </w:pPr>
            <w:r>
              <w:rPr>
                <w:rFonts w:hint="eastAsia" w:asciiTheme="minorEastAsia" w:hAnsiTheme="minorEastAsia" w:eastAsiaTheme="minorEastAsia" w:cstheme="minorEastAsia"/>
                <w:b/>
                <w:bCs/>
                <w:color w:val="0000FF"/>
                <w:sz w:val="21"/>
                <w:szCs w:val="21"/>
                <w:lang w:val="en-US" w:eastAsia="zh-CN"/>
              </w:rPr>
              <w:t>56</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72" w:type="dxa"/>
            <w:vMerge w:val="continue"/>
            <w:tcBorders>
              <w:left w:val="single" w:color="000000" w:sz="8" w:space="0"/>
              <w:right w:val="single" w:color="000000" w:sz="8" w:space="0"/>
            </w:tcBorders>
            <w:noWrap w:val="0"/>
            <w:vAlign w:val="center"/>
          </w:tcPr>
          <w:p>
            <w:pPr>
              <w:keepNext w:val="0"/>
              <w:keepLines w:val="0"/>
              <w:pageBreakBefore w:val="0"/>
              <w:widowControl/>
              <w:overflowPunct/>
              <w:topLinePunct w:val="0"/>
              <w:bidi w:val="0"/>
              <w:spacing w:line="240" w:lineRule="auto"/>
              <w:jc w:val="center"/>
              <w:rPr>
                <w:rFonts w:hint="eastAsia" w:asciiTheme="minorEastAsia" w:hAnsiTheme="minorEastAsia" w:eastAsiaTheme="minorEastAsia" w:cstheme="minorEastAsia"/>
                <w:b/>
                <w:bCs/>
                <w:color w:val="0000FF"/>
                <w:sz w:val="21"/>
                <w:szCs w:val="21"/>
              </w:rPr>
            </w:pPr>
          </w:p>
        </w:tc>
        <w:tc>
          <w:tcPr>
            <w:tcW w:w="8406" w:type="dxa"/>
            <w:gridSpan w:val="4"/>
            <w:tcBorders>
              <w:top w:val="single" w:color="000000" w:sz="8" w:space="0"/>
              <w:left w:val="single" w:color="000000" w:sz="8" w:space="0"/>
              <w:bottom w:val="single" w:color="000000" w:sz="8" w:space="0"/>
              <w:right w:val="single" w:color="000000" w:sz="8" w:space="0"/>
            </w:tcBorders>
            <w:noWrap w:val="0"/>
            <w:vAlign w:val="top"/>
          </w:tcPr>
          <w:p>
            <w:pPr>
              <w:keepNext w:val="0"/>
              <w:keepLines w:val="0"/>
              <w:pageBreakBefore w:val="0"/>
              <w:widowControl/>
              <w:overflowPunct/>
              <w:topLinePunct w:val="0"/>
              <w:bidi w:val="0"/>
              <w:spacing w:line="240" w:lineRule="auto"/>
              <w:rPr>
                <w:rFonts w:hint="eastAsia" w:asciiTheme="minorEastAsia" w:hAnsiTheme="minorEastAsia" w:eastAsiaTheme="minorEastAsia" w:cstheme="minorEastAsia"/>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72" w:type="dxa"/>
            <w:vMerge w:val="continue"/>
            <w:tcBorders>
              <w:left w:val="single" w:color="000000" w:sz="8" w:space="0"/>
              <w:right w:val="single" w:color="000000" w:sz="8" w:space="0"/>
            </w:tcBorders>
            <w:shd w:val="clear" w:color="auto" w:fill="E6EFFA"/>
            <w:noWrap w:val="0"/>
            <w:vAlign w:val="center"/>
          </w:tcPr>
          <w:p>
            <w:pPr>
              <w:keepNext w:val="0"/>
              <w:keepLines w:val="0"/>
              <w:pageBreakBefore w:val="0"/>
              <w:widowControl/>
              <w:overflowPunct/>
              <w:topLinePunct w:val="0"/>
              <w:bidi w:val="0"/>
              <w:spacing w:line="240" w:lineRule="auto"/>
              <w:jc w:val="center"/>
              <w:rPr>
                <w:rFonts w:hint="eastAsia" w:asciiTheme="minorEastAsia" w:hAnsiTheme="minorEastAsia" w:eastAsiaTheme="minorEastAsia" w:cstheme="minorEastAsia"/>
                <w:b/>
                <w:bCs/>
                <w:color w:val="0000FF"/>
                <w:sz w:val="21"/>
                <w:szCs w:val="21"/>
              </w:rPr>
            </w:pPr>
          </w:p>
        </w:tc>
        <w:tc>
          <w:tcPr>
            <w:tcW w:w="656"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keepNext w:val="0"/>
              <w:keepLines w:val="0"/>
              <w:pageBreakBefore w:val="0"/>
              <w:widowControl/>
              <w:wordWrap w:val="0"/>
              <w:overflowPunct/>
              <w:topLinePunct w:val="0"/>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0"/>
                <w:sz w:val="21"/>
                <w:szCs w:val="21"/>
              </w:rPr>
              <w:t>序号</w:t>
            </w:r>
          </w:p>
        </w:tc>
        <w:tc>
          <w:tcPr>
            <w:tcW w:w="1692"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keepNext w:val="0"/>
              <w:keepLines w:val="0"/>
              <w:pageBreakBefore w:val="0"/>
              <w:widowControl/>
              <w:wordWrap w:val="0"/>
              <w:overflowPunct/>
              <w:topLinePunct w:val="0"/>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0"/>
                <w:sz w:val="21"/>
                <w:szCs w:val="21"/>
              </w:rPr>
              <w:t>评分因素</w:t>
            </w:r>
          </w:p>
        </w:tc>
        <w:tc>
          <w:tcPr>
            <w:tcW w:w="982"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keepNext w:val="0"/>
              <w:keepLines w:val="0"/>
              <w:pageBreakBefore w:val="0"/>
              <w:widowControl/>
              <w:wordWrap w:val="0"/>
              <w:overflowPunct/>
              <w:topLinePunct w:val="0"/>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0"/>
                <w:sz w:val="21"/>
                <w:szCs w:val="21"/>
              </w:rPr>
              <w:t>权重(%)</w:t>
            </w:r>
          </w:p>
        </w:tc>
        <w:tc>
          <w:tcPr>
            <w:tcW w:w="5076"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keepNext w:val="0"/>
              <w:keepLines w:val="0"/>
              <w:pageBreakBefore w:val="0"/>
              <w:widowControl/>
              <w:wordWrap w:val="0"/>
              <w:overflowPunct/>
              <w:topLinePunct w:val="0"/>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0"/>
                <w:sz w:val="21"/>
                <w:szCs w:val="21"/>
              </w:rPr>
              <w:t>评分准则</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72" w:type="dxa"/>
            <w:vMerge w:val="continue"/>
            <w:tcBorders>
              <w:left w:val="single" w:color="000000" w:sz="8" w:space="0"/>
              <w:right w:val="single" w:color="000000" w:sz="8" w:space="0"/>
            </w:tcBorders>
            <w:noWrap w:val="0"/>
            <w:vAlign w:val="center"/>
          </w:tcPr>
          <w:p>
            <w:pPr>
              <w:keepNext w:val="0"/>
              <w:keepLines w:val="0"/>
              <w:pageBreakBefore w:val="0"/>
              <w:widowControl/>
              <w:overflowPunct/>
              <w:topLinePunct w:val="0"/>
              <w:bidi w:val="0"/>
              <w:spacing w:line="240" w:lineRule="auto"/>
              <w:jc w:val="center"/>
              <w:rPr>
                <w:rFonts w:hint="eastAsia" w:asciiTheme="minorEastAsia" w:hAnsiTheme="minorEastAsia" w:eastAsiaTheme="minorEastAsia" w:cstheme="minorEastAsia"/>
                <w:b/>
                <w:bCs/>
                <w:color w:val="0000FF"/>
                <w:sz w:val="21"/>
                <w:szCs w:val="21"/>
              </w:rPr>
            </w:pPr>
          </w:p>
        </w:tc>
        <w:tc>
          <w:tcPr>
            <w:tcW w:w="656"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wordWrap w:val="0"/>
              <w:overflowPunct/>
              <w:topLinePunct w:val="0"/>
              <w:bidi w:val="0"/>
              <w:spacing w:line="240" w:lineRule="auto"/>
              <w:jc w:val="center"/>
              <w:textAlignment w:val="top"/>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0"/>
                <w:sz w:val="21"/>
                <w:szCs w:val="21"/>
              </w:rPr>
              <w:t>1</w:t>
            </w:r>
          </w:p>
        </w:tc>
        <w:tc>
          <w:tcPr>
            <w:tcW w:w="1692"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overflowPunct/>
              <w:topLinePunct w:val="0"/>
              <w:bidi w:val="0"/>
              <w:spacing w:line="240" w:lineRule="auto"/>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技术要求偏离情况</w:t>
            </w:r>
          </w:p>
        </w:tc>
        <w:tc>
          <w:tcPr>
            <w:tcW w:w="982"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wordWrap w:val="0"/>
              <w:overflowPunct/>
              <w:topLinePunct w:val="0"/>
              <w:bidi w:val="0"/>
              <w:spacing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27</w:t>
            </w:r>
          </w:p>
        </w:tc>
        <w:tc>
          <w:tcPr>
            <w:tcW w:w="5076" w:type="dxa"/>
            <w:tcBorders>
              <w:top w:val="single" w:color="000000" w:sz="8" w:space="0"/>
              <w:left w:val="single" w:color="000000" w:sz="8" w:space="0"/>
              <w:bottom w:val="single" w:color="000000" w:sz="8" w:space="0"/>
              <w:right w:val="single" w:color="000000" w:sz="8" w:space="0"/>
            </w:tcBorders>
            <w:noWrap w:val="0"/>
            <w:vAlign w:val="top"/>
          </w:tcPr>
          <w:p>
            <w:pPr>
              <w:keepNext w:val="0"/>
              <w:keepLines w:val="0"/>
              <w:pageBreakBefore w:val="0"/>
              <w:widowControl/>
              <w:overflowPunct/>
              <w:topLinePunct w:val="0"/>
              <w:bidi w:val="0"/>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投标人应如实填写《技术规格偏离表》，评审委员会根据技术响应情况进行打分。除★条款外，全部满足得100分，</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重要技术指标，每有一项负偏离的扣5分；非</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的一般技术指标，每有一项负偏离扣0.15分，扣完为止。</w:t>
            </w:r>
          </w:p>
          <w:p>
            <w:pPr>
              <w:keepNext w:val="0"/>
              <w:keepLines w:val="0"/>
              <w:pageBreakBefore w:val="0"/>
              <w:widowControl/>
              <w:overflowPunct/>
              <w:topLinePunct w:val="0"/>
              <w:bidi w:val="0"/>
              <w:spacing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sz w:val="21"/>
                <w:szCs w:val="21"/>
                <w:lang w:val="en-US" w:eastAsia="zh-CN"/>
              </w:rPr>
              <w:t>证明文件：需要提供证相应证明文件的，则按照招标文件要求提供。如未按要求提供证明材料，或所提供的证明材料未能体现上述评分内容的，视为不满足，予以扣分。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1530" w:hRule="atLeast"/>
          <w:jc w:val="center"/>
        </w:trPr>
        <w:tc>
          <w:tcPr>
            <w:tcW w:w="672" w:type="dxa"/>
            <w:vMerge w:val="continue"/>
            <w:tcBorders>
              <w:left w:val="single" w:color="000000" w:sz="8" w:space="0"/>
              <w:right w:val="single" w:color="000000" w:sz="8" w:space="0"/>
            </w:tcBorders>
            <w:noWrap w:val="0"/>
            <w:vAlign w:val="center"/>
          </w:tcPr>
          <w:p>
            <w:pPr>
              <w:keepNext w:val="0"/>
              <w:keepLines w:val="0"/>
              <w:pageBreakBefore w:val="0"/>
              <w:widowControl/>
              <w:overflowPunct/>
              <w:topLinePunct w:val="0"/>
              <w:bidi w:val="0"/>
              <w:spacing w:line="240" w:lineRule="auto"/>
              <w:jc w:val="center"/>
              <w:rPr>
                <w:rFonts w:hint="eastAsia" w:asciiTheme="minorEastAsia" w:hAnsiTheme="minorEastAsia" w:eastAsiaTheme="minorEastAsia" w:cstheme="minorEastAsia"/>
                <w:b/>
                <w:bCs/>
                <w:color w:val="0000FF"/>
                <w:sz w:val="21"/>
                <w:szCs w:val="21"/>
              </w:rPr>
            </w:pPr>
          </w:p>
        </w:tc>
        <w:tc>
          <w:tcPr>
            <w:tcW w:w="656"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wordWrap w:val="0"/>
              <w:overflowPunct/>
              <w:topLinePunct w:val="0"/>
              <w:bidi w:val="0"/>
              <w:spacing w:line="240" w:lineRule="auto"/>
              <w:jc w:val="center"/>
              <w:textAlignment w:val="top"/>
              <w:rPr>
                <w:rFonts w:hint="eastAsia" w:asciiTheme="minorEastAsia" w:hAnsiTheme="minorEastAsia" w:eastAsiaTheme="minorEastAsia" w:cstheme="minorEastAsia"/>
                <w:kern w:val="0"/>
                <w:sz w:val="21"/>
                <w:szCs w:val="21"/>
              </w:rPr>
            </w:pPr>
          </w:p>
          <w:p>
            <w:pPr>
              <w:keepNext w:val="0"/>
              <w:keepLines w:val="0"/>
              <w:pageBreakBefore w:val="0"/>
              <w:widowControl/>
              <w:wordWrap w:val="0"/>
              <w:overflowPunct/>
              <w:topLinePunct w:val="0"/>
              <w:bidi w:val="0"/>
              <w:spacing w:line="240" w:lineRule="auto"/>
              <w:jc w:val="center"/>
              <w:textAlignment w:val="top"/>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2</w:t>
            </w:r>
          </w:p>
        </w:tc>
        <w:tc>
          <w:tcPr>
            <w:tcW w:w="1692"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overflowPunct/>
              <w:topLinePunct w:val="0"/>
              <w:bidi w:val="0"/>
              <w:spacing w:line="240" w:lineRule="auto"/>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产品证书</w:t>
            </w:r>
          </w:p>
        </w:tc>
        <w:tc>
          <w:tcPr>
            <w:tcW w:w="982"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wordWrap w:val="0"/>
              <w:overflowPunct/>
              <w:topLinePunct w:val="0"/>
              <w:bidi w:val="0"/>
              <w:spacing w:line="240" w:lineRule="auto"/>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2</w:t>
            </w:r>
          </w:p>
        </w:tc>
        <w:tc>
          <w:tcPr>
            <w:tcW w:w="5076" w:type="dxa"/>
            <w:tcBorders>
              <w:top w:val="single" w:color="000000" w:sz="8" w:space="0"/>
              <w:left w:val="single" w:color="000000" w:sz="8" w:space="0"/>
              <w:bottom w:val="single" w:color="000000" w:sz="8" w:space="0"/>
              <w:right w:val="single" w:color="000000" w:sz="8" w:space="0"/>
            </w:tcBorders>
            <w:noWrap w:val="0"/>
            <w:vAlign w:val="top"/>
          </w:tcPr>
          <w:p>
            <w:pPr>
              <w:keepNext w:val="0"/>
              <w:keepLines w:val="0"/>
              <w:pageBreakBefore w:val="0"/>
              <w:widowControl/>
              <w:overflowPunct/>
              <w:topLinePunct w:val="0"/>
              <w:bidi w:val="0"/>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所投“实验信息采集终端”的触控平板具有莱茵护眼认证证书得100分，否则不得分。</w:t>
            </w:r>
          </w:p>
          <w:p>
            <w:pPr>
              <w:keepNext w:val="0"/>
              <w:keepLines w:val="0"/>
              <w:pageBreakBefore w:val="0"/>
              <w:widowControl/>
              <w:overflowPunct/>
              <w:topLinePunct w:val="0"/>
              <w:bidi w:val="0"/>
              <w:spacing w:line="24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sz w:val="21"/>
                <w:szCs w:val="21"/>
                <w:lang w:val="en-US" w:eastAsia="zh-CN"/>
              </w:rPr>
              <w:t>证明文件：需要提供证相应证明文件的，则按照招标文件要求提供。如未按要求提供证明材料，或所提供的证明材料未能体现上述评分内容的，视为不满足，予以扣分</w:t>
            </w:r>
            <w:r>
              <w:rPr>
                <w:rFonts w:hint="eastAsia" w:ascii="宋体" w:hAnsi="宋体" w:eastAsia="宋体" w:cs="宋体"/>
                <w:b w:val="0"/>
                <w:bCs w:val="0"/>
                <w:color w:val="auto"/>
                <w:sz w:val="21"/>
                <w:szCs w:val="21"/>
                <w:lang w:val="en-US" w:eastAsia="zh-CN"/>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72" w:type="dxa"/>
            <w:vMerge w:val="continue"/>
            <w:tcBorders>
              <w:left w:val="single" w:color="000000" w:sz="8" w:space="0"/>
              <w:right w:val="single" w:color="000000" w:sz="8" w:space="0"/>
            </w:tcBorders>
            <w:noWrap w:val="0"/>
            <w:vAlign w:val="center"/>
          </w:tcPr>
          <w:p>
            <w:pPr>
              <w:keepNext w:val="0"/>
              <w:keepLines w:val="0"/>
              <w:pageBreakBefore w:val="0"/>
              <w:widowControl/>
              <w:overflowPunct/>
              <w:topLinePunct w:val="0"/>
              <w:bidi w:val="0"/>
              <w:spacing w:line="240" w:lineRule="auto"/>
              <w:jc w:val="center"/>
              <w:rPr>
                <w:rFonts w:hint="eastAsia" w:asciiTheme="minorEastAsia" w:hAnsiTheme="minorEastAsia" w:eastAsiaTheme="minorEastAsia" w:cstheme="minorEastAsia"/>
                <w:b/>
                <w:bCs/>
                <w:color w:val="0000FF"/>
                <w:sz w:val="21"/>
                <w:szCs w:val="21"/>
              </w:rPr>
            </w:pPr>
          </w:p>
        </w:tc>
        <w:tc>
          <w:tcPr>
            <w:tcW w:w="656"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wordWrap w:val="0"/>
              <w:overflowPunct/>
              <w:topLinePunct w:val="0"/>
              <w:bidi w:val="0"/>
              <w:spacing w:line="240" w:lineRule="auto"/>
              <w:jc w:val="center"/>
              <w:textAlignment w:val="top"/>
              <w:rPr>
                <w:rFonts w:hint="eastAsia" w:asciiTheme="minorEastAsia" w:hAnsiTheme="minorEastAsia" w:eastAsiaTheme="minorEastAsia" w:cstheme="minorEastAsia"/>
                <w:kern w:val="0"/>
                <w:sz w:val="21"/>
                <w:szCs w:val="21"/>
              </w:rPr>
            </w:pPr>
          </w:p>
          <w:p>
            <w:pPr>
              <w:keepNext w:val="0"/>
              <w:keepLines w:val="0"/>
              <w:pageBreakBefore w:val="0"/>
              <w:widowControl/>
              <w:wordWrap w:val="0"/>
              <w:overflowPunct/>
              <w:topLinePunct w:val="0"/>
              <w:bidi w:val="0"/>
              <w:spacing w:line="240" w:lineRule="auto"/>
              <w:jc w:val="center"/>
              <w:textAlignment w:val="top"/>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3</w:t>
            </w:r>
          </w:p>
        </w:tc>
        <w:tc>
          <w:tcPr>
            <w:tcW w:w="1692"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overflowPunct/>
              <w:topLinePunct w:val="0"/>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产品演示</w:t>
            </w:r>
          </w:p>
        </w:tc>
        <w:tc>
          <w:tcPr>
            <w:tcW w:w="982"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kinsoku/>
              <w:wordWrap w:val="0"/>
              <w:overflowPunct/>
              <w:topLinePunct w:val="0"/>
              <w:autoSpaceDE/>
              <w:autoSpaceDN/>
              <w:bidi w:val="0"/>
              <w:adjustRightInd/>
              <w:spacing w:line="360" w:lineRule="auto"/>
              <w:jc w:val="center"/>
              <w:textAlignment w:val="top"/>
              <w:rPr>
                <w:rFonts w:hint="eastAsia" w:asciiTheme="minorEastAsia" w:hAnsiTheme="minorEastAsia" w:eastAsiaTheme="minorEastAsia" w:cstheme="minorEastAsia"/>
                <w:sz w:val="21"/>
                <w:szCs w:val="21"/>
              </w:rPr>
            </w:pPr>
            <w:r>
              <w:rPr>
                <w:rFonts w:hint="eastAsia" w:ascii="宋体" w:hAnsi="宋体" w:eastAsia="宋体" w:cs="宋体"/>
                <w:sz w:val="21"/>
                <w:szCs w:val="21"/>
                <w:lang w:val="en-US" w:eastAsia="zh-CN"/>
              </w:rPr>
              <w:t>12</w:t>
            </w:r>
          </w:p>
        </w:tc>
        <w:tc>
          <w:tcPr>
            <w:tcW w:w="5076" w:type="dxa"/>
            <w:tcBorders>
              <w:top w:val="single" w:color="000000" w:sz="8" w:space="0"/>
              <w:left w:val="single" w:color="000000" w:sz="8" w:space="0"/>
              <w:bottom w:val="single" w:color="000000" w:sz="8" w:space="0"/>
              <w:right w:val="single" w:color="000000" w:sz="8" w:space="0"/>
            </w:tcBorders>
            <w:noWrap w:val="0"/>
            <w:vAlign w:val="top"/>
          </w:tcPr>
          <w:p>
            <w:pPr>
              <w:pStyle w:val="8"/>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b w:val="0"/>
                <w:bCs w:val="0"/>
                <w:sz w:val="21"/>
                <w:szCs w:val="21"/>
                <w:lang w:val="en-US" w:eastAsia="zh-CN" w:bidi="ar-SA"/>
              </w:rPr>
              <w:t>投标人根据《产品原型演示》准备所需的投标产品进行现场演示，评审委员会根据投标人现场演示情况进行评分，每一项演示中的每个步骤均全部满足得20分，否则不得分，最高得100分。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72" w:type="dxa"/>
            <w:vMerge w:val="continue"/>
            <w:tcBorders>
              <w:left w:val="single" w:color="000000" w:sz="8" w:space="0"/>
              <w:right w:val="single" w:color="000000" w:sz="8" w:space="0"/>
            </w:tcBorders>
            <w:noWrap w:val="0"/>
            <w:vAlign w:val="center"/>
          </w:tcPr>
          <w:p>
            <w:pPr>
              <w:keepNext w:val="0"/>
              <w:keepLines w:val="0"/>
              <w:pageBreakBefore w:val="0"/>
              <w:widowControl/>
              <w:overflowPunct/>
              <w:topLinePunct w:val="0"/>
              <w:bidi w:val="0"/>
              <w:spacing w:line="240" w:lineRule="auto"/>
              <w:jc w:val="center"/>
              <w:rPr>
                <w:rFonts w:hint="eastAsia" w:asciiTheme="minorEastAsia" w:hAnsiTheme="minorEastAsia" w:eastAsiaTheme="minorEastAsia" w:cstheme="minorEastAsia"/>
                <w:b/>
                <w:bCs/>
                <w:color w:val="0000FF"/>
                <w:sz w:val="21"/>
                <w:szCs w:val="21"/>
              </w:rPr>
            </w:pPr>
          </w:p>
        </w:tc>
        <w:tc>
          <w:tcPr>
            <w:tcW w:w="656"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wordWrap w:val="0"/>
              <w:overflowPunct/>
              <w:topLinePunct w:val="0"/>
              <w:bidi w:val="0"/>
              <w:spacing w:line="240" w:lineRule="auto"/>
              <w:jc w:val="center"/>
              <w:textAlignment w:val="top"/>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4</w:t>
            </w:r>
          </w:p>
        </w:tc>
        <w:tc>
          <w:tcPr>
            <w:tcW w:w="1692"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overflowPunct/>
              <w:topLinePunct w:val="0"/>
              <w:bidi w:val="0"/>
              <w:spacing w:line="240" w:lineRule="auto"/>
              <w:jc w:val="center"/>
              <w:rPr>
                <w:rFonts w:hint="eastAsia" w:asciiTheme="minorEastAsia" w:hAnsiTheme="minorEastAsia" w:eastAsiaTheme="minorEastAsia" w:cstheme="minorEastAsia"/>
                <w:color w:val="000000"/>
                <w:sz w:val="21"/>
                <w:szCs w:val="21"/>
                <w:highlight w:val="green"/>
              </w:rPr>
            </w:pPr>
            <w:r>
              <w:rPr>
                <w:rFonts w:hint="eastAsia" w:asciiTheme="minorEastAsia" w:hAnsiTheme="minorEastAsia" w:eastAsiaTheme="minorEastAsia" w:cstheme="minorEastAsia"/>
                <w:color w:val="000000"/>
                <w:sz w:val="21"/>
                <w:szCs w:val="21"/>
                <w:highlight w:val="none"/>
              </w:rPr>
              <w:t>实施团队人员情况</w:t>
            </w:r>
          </w:p>
        </w:tc>
        <w:tc>
          <w:tcPr>
            <w:tcW w:w="982"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overflowPunct/>
              <w:topLinePunct w:val="0"/>
              <w:bidi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7</w:t>
            </w:r>
          </w:p>
        </w:tc>
        <w:tc>
          <w:tcPr>
            <w:tcW w:w="5076" w:type="dxa"/>
            <w:tcBorders>
              <w:top w:val="single" w:color="000000" w:sz="8" w:space="0"/>
              <w:left w:val="single" w:color="000000" w:sz="8" w:space="0"/>
              <w:bottom w:val="single" w:color="000000" w:sz="8" w:space="0"/>
              <w:right w:val="single" w:color="000000" w:sz="8" w:space="0"/>
            </w:tcBorders>
            <w:noWrap w:val="0"/>
            <w:vAlign w:val="top"/>
          </w:tcPr>
          <w:p>
            <w:pPr>
              <w:pStyle w:val="62"/>
              <w:jc w:val="left"/>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（一）评审内容：</w:t>
            </w:r>
          </w:p>
          <w:p>
            <w:pPr>
              <w:pStyle w:val="62"/>
              <w:jc w:val="left"/>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拟安排项目负责人及主要团队成员为投标单位员工（以社保为准），否则该人员情况不计分。在此基础上，按以下标准评分：</w:t>
            </w:r>
          </w:p>
          <w:p>
            <w:pPr>
              <w:pStyle w:val="62"/>
              <w:jc w:val="left"/>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1.拟派1名项目负责人，具备以下资质证书：</w:t>
            </w:r>
          </w:p>
          <w:p>
            <w:pPr>
              <w:pStyle w:val="62"/>
              <w:jc w:val="left"/>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（1）具有</w:t>
            </w:r>
            <w:r>
              <w:rPr>
                <w:rFonts w:hint="eastAsia" w:ascii="宋体" w:hAnsi="宋体" w:eastAsia="宋体" w:cs="宋体"/>
                <w:b w:val="0"/>
                <w:bCs w:val="0"/>
                <w:color w:val="auto"/>
                <w:sz w:val="21"/>
                <w:szCs w:val="21"/>
                <w:lang w:val="en-US" w:eastAsia="zh-CN"/>
              </w:rPr>
              <w:t>硕士</w:t>
            </w:r>
            <w:r>
              <w:rPr>
                <w:rFonts w:hint="eastAsia" w:ascii="宋体" w:hAnsi="宋体" w:eastAsia="宋体" w:cs="宋体"/>
                <w:b w:val="0"/>
                <w:bCs w:val="0"/>
                <w:color w:val="auto"/>
                <w:sz w:val="21"/>
                <w:szCs w:val="21"/>
              </w:rPr>
              <w:t>研究生</w:t>
            </w:r>
            <w:r>
              <w:rPr>
                <w:rFonts w:hint="eastAsia" w:ascii="宋体" w:hAnsi="宋体" w:eastAsia="宋体" w:cs="宋体"/>
                <w:b w:val="0"/>
                <w:bCs w:val="0"/>
                <w:color w:val="auto"/>
                <w:sz w:val="21"/>
                <w:szCs w:val="21"/>
                <w:lang w:val="en-US" w:eastAsia="zh-CN"/>
              </w:rPr>
              <w:t>及以上</w:t>
            </w:r>
            <w:r>
              <w:rPr>
                <w:rFonts w:hint="eastAsia" w:ascii="宋体" w:hAnsi="宋体" w:eastAsia="宋体" w:cs="宋体"/>
                <w:b w:val="0"/>
                <w:bCs w:val="0"/>
                <w:color w:val="auto"/>
                <w:sz w:val="21"/>
                <w:szCs w:val="21"/>
              </w:rPr>
              <w:t>学历得</w:t>
            </w:r>
            <w:r>
              <w:rPr>
                <w:rFonts w:ascii="宋体" w:hAnsi="宋体" w:eastAsia="宋体" w:cs="宋体"/>
                <w:b w:val="0"/>
                <w:bCs w:val="0"/>
                <w:color w:val="auto"/>
                <w:sz w:val="21"/>
                <w:szCs w:val="21"/>
              </w:rPr>
              <w:t>6</w:t>
            </w:r>
            <w:r>
              <w:rPr>
                <w:rFonts w:hint="eastAsia" w:ascii="宋体" w:hAnsi="宋体" w:eastAsia="宋体" w:cs="宋体"/>
                <w:b w:val="0"/>
                <w:bCs w:val="0"/>
                <w:color w:val="auto"/>
                <w:sz w:val="21"/>
                <w:szCs w:val="21"/>
              </w:rPr>
              <w:t>分；具有本科学历得</w:t>
            </w:r>
            <w:r>
              <w:rPr>
                <w:rFonts w:ascii="宋体" w:hAnsi="宋体" w:eastAsia="宋体" w:cs="宋体"/>
                <w:b w:val="0"/>
                <w:bCs w:val="0"/>
                <w:color w:val="auto"/>
                <w:sz w:val="21"/>
                <w:szCs w:val="21"/>
              </w:rPr>
              <w:t>3</w:t>
            </w:r>
            <w:r>
              <w:rPr>
                <w:rFonts w:hint="eastAsia" w:ascii="宋体" w:hAnsi="宋体" w:eastAsia="宋体" w:cs="宋体"/>
                <w:b w:val="0"/>
                <w:bCs w:val="0"/>
                <w:color w:val="auto"/>
                <w:sz w:val="21"/>
                <w:szCs w:val="21"/>
              </w:rPr>
              <w:t>分。</w:t>
            </w:r>
          </w:p>
          <w:p>
            <w:pPr>
              <w:pStyle w:val="62"/>
              <w:jc w:val="left"/>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（2）具有工信部门和人社部门颁发的信息系统项目管理师（高级）证书得</w:t>
            </w:r>
            <w:r>
              <w:rPr>
                <w:rFonts w:ascii="宋体" w:hAnsi="宋体" w:eastAsia="宋体" w:cs="宋体"/>
                <w:b w:val="0"/>
                <w:bCs w:val="0"/>
                <w:color w:val="auto"/>
                <w:sz w:val="21"/>
                <w:szCs w:val="21"/>
              </w:rPr>
              <w:t>6</w:t>
            </w:r>
            <w:r>
              <w:rPr>
                <w:rFonts w:hint="eastAsia" w:ascii="宋体" w:hAnsi="宋体" w:eastAsia="宋体" w:cs="宋体"/>
                <w:b w:val="0"/>
                <w:bCs w:val="0"/>
                <w:color w:val="auto"/>
                <w:sz w:val="21"/>
                <w:szCs w:val="21"/>
              </w:rPr>
              <w:t>分；</w:t>
            </w:r>
          </w:p>
          <w:p>
            <w:pPr>
              <w:pStyle w:val="62"/>
              <w:jc w:val="left"/>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w:t>
            </w:r>
            <w:r>
              <w:rPr>
                <w:rFonts w:ascii="宋体" w:hAnsi="宋体" w:eastAsia="宋体" w:cs="宋体"/>
                <w:b w:val="0"/>
                <w:bCs w:val="0"/>
                <w:color w:val="auto"/>
                <w:sz w:val="21"/>
                <w:szCs w:val="21"/>
              </w:rPr>
              <w:t>3</w:t>
            </w:r>
            <w:r>
              <w:rPr>
                <w:rFonts w:hint="eastAsia" w:ascii="宋体" w:hAnsi="宋体" w:eastAsia="宋体" w:cs="宋体"/>
                <w:b w:val="0"/>
                <w:bCs w:val="0"/>
                <w:color w:val="auto"/>
                <w:sz w:val="21"/>
                <w:szCs w:val="21"/>
              </w:rPr>
              <w:t>）具有中国网络安全审查技术与认证中心（CISAW）颁发的信息安全保障人员认证证书(认证方向：安全运维)得</w:t>
            </w:r>
            <w:r>
              <w:rPr>
                <w:rFonts w:ascii="宋体" w:hAnsi="宋体" w:eastAsia="宋体" w:cs="宋体"/>
                <w:b w:val="0"/>
                <w:bCs w:val="0"/>
                <w:color w:val="auto"/>
                <w:sz w:val="21"/>
                <w:szCs w:val="21"/>
              </w:rPr>
              <w:t>6</w:t>
            </w:r>
            <w:r>
              <w:rPr>
                <w:rFonts w:hint="eastAsia" w:ascii="宋体" w:hAnsi="宋体" w:eastAsia="宋体" w:cs="宋体"/>
                <w:b w:val="0"/>
                <w:bCs w:val="0"/>
                <w:color w:val="auto"/>
                <w:sz w:val="21"/>
                <w:szCs w:val="21"/>
              </w:rPr>
              <w:t>分；</w:t>
            </w:r>
          </w:p>
          <w:p>
            <w:pPr>
              <w:pStyle w:val="62"/>
              <w:jc w:val="left"/>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w:t>
            </w:r>
            <w:r>
              <w:rPr>
                <w:rFonts w:ascii="宋体" w:hAnsi="宋体" w:eastAsia="宋体" w:cs="宋体"/>
                <w:b w:val="0"/>
                <w:bCs w:val="0"/>
                <w:color w:val="auto"/>
                <w:sz w:val="21"/>
                <w:szCs w:val="21"/>
              </w:rPr>
              <w:t>4</w:t>
            </w:r>
            <w:r>
              <w:rPr>
                <w:rFonts w:hint="eastAsia" w:ascii="宋体" w:hAnsi="宋体" w:eastAsia="宋体" w:cs="宋体"/>
                <w:b w:val="0"/>
                <w:bCs w:val="0"/>
                <w:color w:val="auto"/>
                <w:sz w:val="21"/>
                <w:szCs w:val="21"/>
              </w:rPr>
              <w:t>）具有</w:t>
            </w:r>
            <w:r>
              <w:rPr>
                <w:rFonts w:hint="eastAsia" w:ascii="宋体" w:hAnsi="宋体" w:eastAsia="宋体" w:cs="宋体"/>
                <w:sz w:val="21"/>
                <w:szCs w:val="21"/>
                <w:highlight w:val="yellow"/>
              </w:rPr>
              <w:t>人力资源和社会保障部门颁发的</w:t>
            </w:r>
            <w:r>
              <w:rPr>
                <w:rFonts w:hint="eastAsia" w:ascii="宋体" w:hAnsi="宋体" w:eastAsia="宋体" w:cs="宋体"/>
                <w:b w:val="0"/>
                <w:bCs w:val="0"/>
                <w:color w:val="auto"/>
                <w:sz w:val="21"/>
                <w:szCs w:val="21"/>
              </w:rPr>
              <w:t>信息通信网络运行管理员职业资格证书得6分；</w:t>
            </w:r>
          </w:p>
          <w:p>
            <w:pPr>
              <w:pStyle w:val="62"/>
              <w:jc w:val="left"/>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（5）具有中国信息安全测评中心颁发的注册信息安全工程师(CISE)证书得</w:t>
            </w:r>
            <w:r>
              <w:rPr>
                <w:rFonts w:ascii="宋体" w:hAnsi="宋体" w:eastAsia="宋体" w:cs="宋体"/>
                <w:b w:val="0"/>
                <w:bCs w:val="0"/>
                <w:color w:val="auto"/>
                <w:sz w:val="21"/>
                <w:szCs w:val="21"/>
              </w:rPr>
              <w:t>6</w:t>
            </w:r>
            <w:r>
              <w:rPr>
                <w:rFonts w:hint="eastAsia" w:ascii="宋体" w:hAnsi="宋体" w:eastAsia="宋体" w:cs="宋体"/>
                <w:b w:val="0"/>
                <w:bCs w:val="0"/>
                <w:color w:val="auto"/>
                <w:sz w:val="21"/>
                <w:szCs w:val="21"/>
              </w:rPr>
              <w:t>分；</w:t>
            </w:r>
          </w:p>
          <w:p>
            <w:pPr>
              <w:pStyle w:val="62"/>
              <w:jc w:val="left"/>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以上</w:t>
            </w:r>
            <w:r>
              <w:rPr>
                <w:rFonts w:ascii="宋体" w:hAnsi="宋体" w:eastAsia="宋体" w:cs="宋体"/>
                <w:b w:val="0"/>
                <w:bCs w:val="0"/>
                <w:color w:val="auto"/>
                <w:sz w:val="21"/>
                <w:szCs w:val="21"/>
              </w:rPr>
              <w:t>5</w:t>
            </w:r>
            <w:r>
              <w:rPr>
                <w:rFonts w:hint="eastAsia" w:ascii="宋体" w:hAnsi="宋体" w:eastAsia="宋体" w:cs="宋体"/>
                <w:b w:val="0"/>
                <w:bCs w:val="0"/>
                <w:color w:val="auto"/>
                <w:sz w:val="21"/>
                <w:szCs w:val="21"/>
              </w:rPr>
              <w:t>项累计最高得3</w:t>
            </w:r>
            <w:r>
              <w:rPr>
                <w:rFonts w:ascii="宋体" w:hAnsi="宋体" w:eastAsia="宋体" w:cs="宋体"/>
                <w:b w:val="0"/>
                <w:bCs w:val="0"/>
                <w:color w:val="auto"/>
                <w:sz w:val="21"/>
                <w:szCs w:val="21"/>
              </w:rPr>
              <w:t>0</w:t>
            </w:r>
            <w:r>
              <w:rPr>
                <w:rFonts w:hint="eastAsia" w:ascii="宋体" w:hAnsi="宋体" w:eastAsia="宋体" w:cs="宋体"/>
                <w:b w:val="0"/>
                <w:bCs w:val="0"/>
                <w:color w:val="auto"/>
                <w:sz w:val="21"/>
                <w:szCs w:val="21"/>
              </w:rPr>
              <w:t>分；</w:t>
            </w:r>
          </w:p>
          <w:p>
            <w:pPr>
              <w:pStyle w:val="62"/>
              <w:jc w:val="left"/>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2.拟安排的项目实施团队人员（项目团队人员（项目负责人除外）至少</w:t>
            </w:r>
            <w:r>
              <w:rPr>
                <w:rFonts w:ascii="宋体" w:hAnsi="宋体" w:eastAsia="宋体" w:cs="宋体"/>
                <w:b w:val="0"/>
                <w:bCs w:val="0"/>
                <w:color w:val="auto"/>
                <w:sz w:val="21"/>
                <w:szCs w:val="21"/>
              </w:rPr>
              <w:t>4</w:t>
            </w:r>
            <w:r>
              <w:rPr>
                <w:rFonts w:hint="eastAsia" w:ascii="宋体" w:hAnsi="宋体" w:eastAsia="宋体" w:cs="宋体"/>
                <w:b w:val="0"/>
                <w:bCs w:val="0"/>
                <w:color w:val="auto"/>
                <w:sz w:val="21"/>
                <w:szCs w:val="21"/>
              </w:rPr>
              <w:t>人，均要求本科</w:t>
            </w:r>
            <w:r>
              <w:rPr>
                <w:rFonts w:hint="eastAsia" w:ascii="宋体" w:hAnsi="宋体" w:eastAsia="宋体" w:cs="宋体"/>
                <w:b w:val="0"/>
                <w:bCs w:val="0"/>
                <w:color w:val="auto"/>
                <w:sz w:val="21"/>
                <w:szCs w:val="21"/>
                <w:lang w:val="en-US" w:eastAsia="zh-CN"/>
              </w:rPr>
              <w:t>及</w:t>
            </w:r>
            <w:r>
              <w:rPr>
                <w:rFonts w:hint="eastAsia" w:ascii="宋体" w:hAnsi="宋体" w:eastAsia="宋体" w:cs="宋体"/>
                <w:b w:val="0"/>
                <w:bCs w:val="0"/>
                <w:color w:val="auto"/>
                <w:sz w:val="21"/>
                <w:szCs w:val="21"/>
              </w:rPr>
              <w:t>以上学历，否则不得分，在此基础上，按照以下要求进行评分：</w:t>
            </w:r>
          </w:p>
          <w:p>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1）技术负责人（1人）：具有工信部门和人社部门颁发的网络规划设计师（高级）证书得10分，在此基础上，具有工信部门和人社部门颁发的通信专业技术人员中级或以上证书（专业：互联网技术）得10分，本项累计最高得20分。</w:t>
            </w:r>
          </w:p>
          <w:p>
            <w:pPr>
              <w:rPr>
                <w:rFonts w:hint="eastAsia" w:ascii="宋体" w:hAnsi="宋体" w:eastAsia="宋体" w:cs="宋体"/>
                <w:b w:val="0"/>
                <w:bCs w:val="0"/>
                <w:color w:val="auto"/>
                <w:sz w:val="21"/>
                <w:szCs w:val="21"/>
              </w:rPr>
            </w:pPr>
          </w:p>
          <w:p>
            <w:pPr>
              <w:pStyle w:val="62"/>
              <w:jc w:val="lef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（2）信息安全负责人（1人）：具有中国信息安全测评中心颁发的注册渗透测试工程师(CISP-PTE)得10分；在此基础上，具有中国信息安全测评中心颁发的注册信息安全工程师(CISE)证书得1</w:t>
            </w:r>
            <w:r>
              <w:rPr>
                <w:rFonts w:ascii="宋体" w:hAnsi="宋体" w:eastAsia="宋体" w:cs="宋体"/>
                <w:b w:val="0"/>
                <w:bCs w:val="0"/>
                <w:color w:val="auto"/>
                <w:sz w:val="21"/>
                <w:szCs w:val="21"/>
              </w:rPr>
              <w:t>0</w:t>
            </w:r>
            <w:r>
              <w:rPr>
                <w:rFonts w:hint="eastAsia" w:ascii="宋体" w:hAnsi="宋体" w:eastAsia="宋体" w:cs="宋体"/>
                <w:b w:val="0"/>
                <w:bCs w:val="0"/>
                <w:color w:val="auto"/>
                <w:sz w:val="21"/>
                <w:szCs w:val="21"/>
              </w:rPr>
              <w:t>分，本项累计最高得20分。</w:t>
            </w:r>
          </w:p>
          <w:p>
            <w:pPr>
              <w:rPr>
                <w:b w:val="0"/>
                <w:bCs w:val="0"/>
                <w:color w:val="auto"/>
                <w:sz w:val="21"/>
                <w:szCs w:val="21"/>
              </w:rPr>
            </w:pPr>
          </w:p>
          <w:p>
            <w:pPr>
              <w:pStyle w:val="62"/>
              <w:jc w:val="left"/>
              <w:rPr>
                <w:b w:val="0"/>
                <w:bCs w:val="0"/>
                <w:color w:val="auto"/>
                <w:sz w:val="21"/>
                <w:szCs w:val="21"/>
              </w:rPr>
            </w:pPr>
            <w:r>
              <w:rPr>
                <w:rFonts w:hint="eastAsia" w:ascii="宋体" w:hAnsi="宋体" w:eastAsia="宋体" w:cs="宋体"/>
                <w:b w:val="0"/>
                <w:bCs w:val="0"/>
                <w:color w:val="auto"/>
                <w:sz w:val="21"/>
                <w:szCs w:val="21"/>
              </w:rPr>
              <w:t>（3）信息安全工程师（1人）：具有信息系统安全认证专业人员（CISSP）证书得</w:t>
            </w:r>
            <w:r>
              <w:rPr>
                <w:rFonts w:ascii="宋体" w:hAnsi="宋体" w:eastAsia="宋体" w:cs="宋体"/>
                <w:b w:val="0"/>
                <w:bCs w:val="0"/>
                <w:color w:val="auto"/>
                <w:sz w:val="21"/>
                <w:szCs w:val="21"/>
              </w:rPr>
              <w:t>10</w:t>
            </w:r>
            <w:r>
              <w:rPr>
                <w:rFonts w:hint="eastAsia" w:ascii="宋体" w:hAnsi="宋体" w:eastAsia="宋体" w:cs="宋体"/>
                <w:b w:val="0"/>
                <w:bCs w:val="0"/>
                <w:color w:val="auto"/>
                <w:sz w:val="21"/>
                <w:szCs w:val="21"/>
              </w:rPr>
              <w:t>分；在此基础上，具有信息通信网络运行管理员职业资格证书得</w:t>
            </w:r>
            <w:r>
              <w:rPr>
                <w:rFonts w:ascii="宋体" w:hAnsi="宋体" w:eastAsia="宋体" w:cs="宋体"/>
                <w:b w:val="0"/>
                <w:bCs w:val="0"/>
                <w:color w:val="auto"/>
                <w:sz w:val="21"/>
                <w:szCs w:val="21"/>
              </w:rPr>
              <w:t>10</w:t>
            </w:r>
            <w:r>
              <w:rPr>
                <w:rFonts w:hint="eastAsia" w:ascii="宋体" w:hAnsi="宋体" w:eastAsia="宋体" w:cs="宋体"/>
                <w:b w:val="0"/>
                <w:bCs w:val="0"/>
                <w:color w:val="auto"/>
                <w:sz w:val="21"/>
                <w:szCs w:val="21"/>
              </w:rPr>
              <w:t>分，本项累计最高得20分。</w:t>
            </w:r>
          </w:p>
          <w:p>
            <w:pPr>
              <w:rPr>
                <w:b w:val="0"/>
                <w:bCs w:val="0"/>
                <w:color w:val="auto"/>
                <w:sz w:val="21"/>
                <w:szCs w:val="21"/>
              </w:rPr>
            </w:pPr>
          </w:p>
          <w:p>
            <w:pPr>
              <w:rPr>
                <w:b w:val="0"/>
                <w:bCs w:val="0"/>
                <w:color w:val="auto"/>
                <w:sz w:val="21"/>
                <w:szCs w:val="21"/>
              </w:rPr>
            </w:pPr>
            <w:r>
              <w:rPr>
                <w:rFonts w:hint="eastAsia" w:ascii="宋体" w:hAnsi="宋体" w:eastAsia="宋体" w:cs="宋体"/>
                <w:b w:val="0"/>
                <w:bCs w:val="0"/>
                <w:color w:val="auto"/>
                <w:sz w:val="21"/>
                <w:szCs w:val="21"/>
              </w:rPr>
              <w:t>（4）通信网络工程师（1人）：具有人社部门颁发的信息通信网络工程高级类工程师职称证书得</w:t>
            </w:r>
            <w:r>
              <w:rPr>
                <w:rFonts w:ascii="宋体" w:hAnsi="宋体" w:eastAsia="宋体" w:cs="宋体"/>
                <w:b w:val="0"/>
                <w:bCs w:val="0"/>
                <w:color w:val="auto"/>
                <w:sz w:val="21"/>
                <w:szCs w:val="21"/>
              </w:rPr>
              <w:t>5</w:t>
            </w:r>
            <w:r>
              <w:rPr>
                <w:rFonts w:hint="eastAsia" w:ascii="宋体" w:hAnsi="宋体" w:eastAsia="宋体" w:cs="宋体"/>
                <w:b w:val="0"/>
                <w:bCs w:val="0"/>
                <w:color w:val="auto"/>
                <w:sz w:val="21"/>
                <w:szCs w:val="21"/>
              </w:rPr>
              <w:t>分，在此基础上，具有</w:t>
            </w:r>
            <w:r>
              <w:rPr>
                <w:rFonts w:hint="eastAsia" w:ascii="宋体" w:hAnsi="宋体" w:eastAsia="宋体" w:cs="宋体"/>
                <w:b w:val="0"/>
                <w:bCs w:val="0"/>
                <w:color w:val="auto"/>
                <w:kern w:val="0"/>
                <w:sz w:val="21"/>
                <w:szCs w:val="21"/>
              </w:rPr>
              <w:t>工业和信息化部教育与考试中心颁发的</w:t>
            </w:r>
            <w:r>
              <w:rPr>
                <w:rFonts w:hint="eastAsia" w:ascii="宋体" w:hAnsi="宋体" w:eastAsia="宋体" w:cs="宋体"/>
                <w:b w:val="0"/>
                <w:bCs w:val="0"/>
                <w:color w:val="auto"/>
                <w:sz w:val="21"/>
                <w:szCs w:val="21"/>
              </w:rPr>
              <w:t>信息系统运维管理工程师（高级）证书得</w:t>
            </w:r>
            <w:r>
              <w:rPr>
                <w:rFonts w:ascii="宋体" w:hAnsi="宋体" w:eastAsia="宋体" w:cs="宋体"/>
                <w:b w:val="0"/>
                <w:bCs w:val="0"/>
                <w:color w:val="auto"/>
                <w:sz w:val="21"/>
                <w:szCs w:val="21"/>
              </w:rPr>
              <w:t>5</w:t>
            </w:r>
            <w:r>
              <w:rPr>
                <w:rFonts w:hint="eastAsia" w:ascii="宋体" w:hAnsi="宋体" w:eastAsia="宋体" w:cs="宋体"/>
                <w:b w:val="0"/>
                <w:bCs w:val="0"/>
                <w:color w:val="auto"/>
                <w:sz w:val="21"/>
                <w:szCs w:val="21"/>
              </w:rPr>
              <w:t>分，本项累计最高得10分。</w:t>
            </w:r>
          </w:p>
          <w:p>
            <w:pPr>
              <w:rPr>
                <w:b w:val="0"/>
                <w:bCs w:val="0"/>
                <w:color w:val="auto"/>
                <w:sz w:val="21"/>
                <w:szCs w:val="21"/>
              </w:rPr>
            </w:pPr>
          </w:p>
          <w:p>
            <w:pPr>
              <w:pStyle w:val="62"/>
              <w:jc w:val="left"/>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以上</w:t>
            </w:r>
            <w:r>
              <w:rPr>
                <w:rFonts w:ascii="宋体" w:hAnsi="宋体" w:eastAsia="宋体" w:cs="宋体"/>
                <w:b w:val="0"/>
                <w:bCs w:val="0"/>
                <w:color w:val="auto"/>
                <w:sz w:val="21"/>
                <w:szCs w:val="21"/>
              </w:rPr>
              <w:t>1</w:t>
            </w:r>
            <w:r>
              <w:rPr>
                <w:rFonts w:hint="eastAsia" w:ascii="宋体" w:hAnsi="宋体" w:eastAsia="宋体" w:cs="宋体"/>
                <w:b w:val="0"/>
                <w:bCs w:val="0"/>
                <w:color w:val="auto"/>
                <w:sz w:val="21"/>
                <w:szCs w:val="21"/>
              </w:rPr>
              <w:t>-</w:t>
            </w:r>
            <w:r>
              <w:rPr>
                <w:rFonts w:ascii="宋体" w:hAnsi="宋体" w:eastAsia="宋体" w:cs="宋体"/>
                <w:b w:val="0"/>
                <w:bCs w:val="0"/>
                <w:color w:val="auto"/>
                <w:sz w:val="21"/>
                <w:szCs w:val="21"/>
              </w:rPr>
              <w:t>2</w:t>
            </w:r>
            <w:r>
              <w:rPr>
                <w:rFonts w:hint="eastAsia" w:ascii="宋体" w:hAnsi="宋体" w:eastAsia="宋体" w:cs="宋体"/>
                <w:b w:val="0"/>
                <w:bCs w:val="0"/>
                <w:color w:val="auto"/>
                <w:sz w:val="21"/>
                <w:szCs w:val="21"/>
              </w:rPr>
              <w:t>项累计得分，累计最高得100分，团队人员仅可担任1个角色，同一人持有多证不重复计算得分，以最优得分计算。</w:t>
            </w:r>
          </w:p>
          <w:p>
            <w:pPr>
              <w:pStyle w:val="62"/>
              <w:jc w:val="left"/>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（二）评分依据：</w:t>
            </w:r>
          </w:p>
          <w:p>
            <w:pPr>
              <w:pStyle w:val="62"/>
              <w:jc w:val="left"/>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1.要求提供通过投标人缴纳的近三个月的任意一个月的社保证明作为本单位员工的证明依据。若供应商成立不足三个月的，需提供成立情况说明函（格式自拟），无需提供相关人员社保，亦可得分；若为退休返聘人员，需提供说明函（格式自拟），无需提供相关人员社保，亦可得分。</w:t>
            </w:r>
          </w:p>
          <w:p>
            <w:pPr>
              <w:pStyle w:val="62"/>
              <w:jc w:val="left"/>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2.要求提供相关证明资料作为得分依据。</w:t>
            </w:r>
          </w:p>
          <w:p>
            <w:pPr>
              <w:keepNext w:val="0"/>
              <w:keepLines w:val="0"/>
              <w:pageBreakBefore w:val="0"/>
              <w:widowControl/>
              <w:overflowPunct/>
              <w:topLinePunct w:val="0"/>
              <w:bidi w:val="0"/>
              <w:spacing w:line="240" w:lineRule="auto"/>
              <w:rPr>
                <w:rFonts w:hint="eastAsia" w:asciiTheme="minorEastAsia" w:hAnsiTheme="minorEastAsia" w:eastAsiaTheme="minorEastAsia" w:cstheme="minorEastAsia"/>
                <w:b/>
                <w:color w:val="000000"/>
                <w:sz w:val="21"/>
                <w:szCs w:val="21"/>
                <w:highlight w:val="green"/>
              </w:rPr>
            </w:pPr>
            <w:r>
              <w:rPr>
                <w:rFonts w:hint="eastAsia" w:ascii="宋体" w:hAnsi="宋体"/>
                <w:b w:val="0"/>
                <w:bCs w:val="0"/>
                <w:color w:val="auto"/>
                <w:sz w:val="21"/>
                <w:szCs w:val="21"/>
              </w:rPr>
              <w:t>3.以上资料均要求提供扫描件或官网查询截图，原件备查。评分中出现无证明资料或专家无法凭所提供资料判断是否得分的情况，一律作不得分处理。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72" w:type="dxa"/>
            <w:tcBorders>
              <w:left w:val="single" w:color="000000" w:sz="8" w:space="0"/>
              <w:right w:val="single" w:color="000000" w:sz="8" w:space="0"/>
            </w:tcBorders>
            <w:noWrap w:val="0"/>
            <w:vAlign w:val="center"/>
          </w:tcPr>
          <w:p>
            <w:pPr>
              <w:keepNext w:val="0"/>
              <w:keepLines w:val="0"/>
              <w:pageBreakBefore w:val="0"/>
              <w:widowControl/>
              <w:overflowPunct/>
              <w:topLinePunct w:val="0"/>
              <w:bidi w:val="0"/>
              <w:spacing w:line="240" w:lineRule="auto"/>
              <w:jc w:val="center"/>
              <w:rPr>
                <w:rFonts w:hint="eastAsia" w:asciiTheme="minorEastAsia" w:hAnsiTheme="minorEastAsia" w:eastAsiaTheme="minorEastAsia" w:cstheme="minorEastAsia"/>
                <w:b/>
                <w:bCs/>
                <w:color w:val="0000FF"/>
                <w:sz w:val="21"/>
                <w:szCs w:val="21"/>
              </w:rPr>
            </w:pPr>
          </w:p>
        </w:tc>
        <w:tc>
          <w:tcPr>
            <w:tcW w:w="656"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wordWrap w:val="0"/>
              <w:overflowPunct/>
              <w:topLinePunct w:val="0"/>
              <w:bidi w:val="0"/>
              <w:spacing w:line="240" w:lineRule="auto"/>
              <w:jc w:val="center"/>
              <w:textAlignment w:val="top"/>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5</w:t>
            </w:r>
          </w:p>
        </w:tc>
        <w:tc>
          <w:tcPr>
            <w:tcW w:w="1692"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overflowPunct/>
              <w:topLinePunct w:val="0"/>
              <w:bidi w:val="0"/>
              <w:spacing w:line="240" w:lineRule="auto"/>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质量及安全保障能力</w:t>
            </w:r>
          </w:p>
        </w:tc>
        <w:tc>
          <w:tcPr>
            <w:tcW w:w="982"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overflowPunct/>
              <w:topLinePunct w:val="0"/>
              <w:bidi w:val="0"/>
              <w:spacing w:line="240" w:lineRule="auto"/>
              <w:ind w:firstLine="210" w:firstLineChars="100"/>
              <w:jc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sz w:val="21"/>
                <w:szCs w:val="21"/>
                <w:lang w:val="en-US" w:eastAsia="zh-CN"/>
              </w:rPr>
              <w:t>8</w:t>
            </w:r>
          </w:p>
        </w:tc>
        <w:tc>
          <w:tcPr>
            <w:tcW w:w="5076" w:type="dxa"/>
            <w:tcBorders>
              <w:top w:val="single" w:color="000000" w:sz="8" w:space="0"/>
              <w:left w:val="single" w:color="000000" w:sz="8" w:space="0"/>
              <w:bottom w:val="single" w:color="000000" w:sz="8" w:space="0"/>
              <w:right w:val="single" w:color="000000" w:sz="8" w:space="0"/>
            </w:tcBorders>
            <w:noWrap w:val="0"/>
            <w:vAlign w:val="top"/>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sz w:val="21"/>
                <w:szCs w:val="21"/>
                <w:highlight w:val="none"/>
              </w:rPr>
              <w:t>（一）评审内容</w:t>
            </w:r>
            <w:r>
              <w:rPr>
                <w:rFonts w:hint="eastAsia" w:asciiTheme="minorEastAsia" w:hAnsiTheme="minorEastAsia" w:eastAsiaTheme="minorEastAsia" w:cstheme="minorEastAsia"/>
                <w:sz w:val="21"/>
                <w:szCs w:val="21"/>
                <w:highlight w:val="none"/>
              </w:rPr>
              <w:t>：</w:t>
            </w:r>
          </w:p>
          <w:p>
            <w:pPr>
              <w:pStyle w:val="62"/>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投标人具有以下质量及安全保障能力资质：</w:t>
            </w:r>
          </w:p>
          <w:p>
            <w:pPr>
              <w:pStyle w:val="62"/>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1.投标人具有ISO9001质量管理体系认证证书；</w:t>
            </w:r>
          </w:p>
          <w:p>
            <w:pPr>
              <w:pStyle w:val="62"/>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2.投标人具有ITSS信息技术服务标准符合性证书（业务领域：运行维护服务 评估等级：二级及以上）；</w:t>
            </w:r>
          </w:p>
          <w:p>
            <w:pPr>
              <w:pStyle w:val="62"/>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3.投标人具有软件能力成熟度等级证书（SJ/T11235）4级及以上证书；</w:t>
            </w:r>
          </w:p>
          <w:p>
            <w:pPr>
              <w:pStyle w:val="62"/>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4.投标人具有云安全管理体系认证证书（CSA STAR认证）；</w:t>
            </w:r>
          </w:p>
          <w:p>
            <w:pPr>
              <w:pStyle w:val="62"/>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以上4项每满足一项得25分，本项累计最高得100分。</w:t>
            </w:r>
          </w:p>
          <w:p>
            <w:pPr>
              <w:pStyle w:val="62"/>
              <w:jc w:val="left"/>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（二）评分依据：</w:t>
            </w:r>
          </w:p>
          <w:p>
            <w:pPr>
              <w:pStyle w:val="62"/>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1.要求提供有效的证书扫描件，如投标人为分支机构，可提供其总公司的证书；证书单位名称需与投标人名称或其总公司名称一致，否则不得分。</w:t>
            </w:r>
          </w:p>
          <w:p>
            <w:pPr>
              <w:keepNext w:val="0"/>
              <w:keepLines w:val="0"/>
              <w:pageBreakBefore w:val="0"/>
              <w:widowControl/>
              <w:overflowPunct/>
              <w:topLinePunct w:val="0"/>
              <w:bidi w:val="0"/>
              <w:spacing w:line="24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highlight w:val="none"/>
              </w:rPr>
              <w:t>2.以上资料均要求提供扫描件（或官方网站截图）。评分中出现无证明资料或专家无法凭所提供资料判断是否得分的情况，一律作不得分处理。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72" w:type="dxa"/>
            <w:vMerge w:val="restart"/>
            <w:tcBorders>
              <w:top w:val="single" w:color="000000" w:sz="8" w:space="0"/>
              <w:left w:val="single" w:color="000000" w:sz="8" w:space="0"/>
              <w:right w:val="single" w:color="000000" w:sz="8" w:space="0"/>
            </w:tcBorders>
            <w:noWrap w:val="0"/>
            <w:vAlign w:val="center"/>
          </w:tcPr>
          <w:p>
            <w:pPr>
              <w:keepNext w:val="0"/>
              <w:keepLines w:val="0"/>
              <w:pageBreakBefore w:val="0"/>
              <w:widowControl/>
              <w:wordWrap w:val="0"/>
              <w:overflowPunct/>
              <w:topLinePunct w:val="0"/>
              <w:bidi w:val="0"/>
              <w:spacing w:line="240" w:lineRule="auto"/>
              <w:jc w:val="center"/>
              <w:rPr>
                <w:rFonts w:hint="eastAsia" w:asciiTheme="minorEastAsia" w:hAnsiTheme="minorEastAsia" w:eastAsiaTheme="minorEastAsia" w:cstheme="minorEastAsia"/>
                <w:b/>
                <w:bCs/>
                <w:color w:val="0000FF"/>
                <w:sz w:val="21"/>
                <w:szCs w:val="21"/>
              </w:rPr>
            </w:pPr>
            <w:r>
              <w:rPr>
                <w:rFonts w:hint="eastAsia" w:asciiTheme="minorEastAsia" w:hAnsiTheme="minorEastAsia" w:eastAsiaTheme="minorEastAsia" w:cstheme="minorEastAsia"/>
                <w:b/>
                <w:bCs/>
                <w:color w:val="0000FF"/>
                <w:kern w:val="0"/>
                <w:sz w:val="21"/>
                <w:szCs w:val="21"/>
              </w:rPr>
              <w:t>4</w:t>
            </w:r>
          </w:p>
        </w:tc>
        <w:tc>
          <w:tcPr>
            <w:tcW w:w="3330" w:type="dxa"/>
            <w:gridSpan w:val="3"/>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wordWrap w:val="0"/>
              <w:overflowPunct/>
              <w:topLinePunct w:val="0"/>
              <w:bidi w:val="0"/>
              <w:spacing w:line="240" w:lineRule="auto"/>
              <w:jc w:val="center"/>
              <w:rPr>
                <w:rFonts w:hint="eastAsia" w:asciiTheme="minorEastAsia" w:hAnsiTheme="minorEastAsia" w:eastAsiaTheme="minorEastAsia" w:cstheme="minorEastAsia"/>
                <w:b/>
                <w:bCs/>
                <w:color w:val="0000FF"/>
                <w:sz w:val="21"/>
                <w:szCs w:val="21"/>
              </w:rPr>
            </w:pPr>
            <w:r>
              <w:rPr>
                <w:rFonts w:hint="eastAsia" w:asciiTheme="minorEastAsia" w:hAnsiTheme="minorEastAsia" w:eastAsiaTheme="minorEastAsia" w:cstheme="minorEastAsia"/>
                <w:b/>
                <w:bCs/>
                <w:color w:val="0000FF"/>
                <w:sz w:val="21"/>
                <w:szCs w:val="21"/>
              </w:rPr>
              <w:t>综合实力</w:t>
            </w:r>
          </w:p>
        </w:tc>
        <w:tc>
          <w:tcPr>
            <w:tcW w:w="5076"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wordWrap w:val="0"/>
              <w:overflowPunct/>
              <w:topLinePunct w:val="0"/>
              <w:bidi w:val="0"/>
              <w:spacing w:line="240" w:lineRule="auto"/>
              <w:jc w:val="center"/>
              <w:rPr>
                <w:rFonts w:hint="eastAsia" w:asciiTheme="minorEastAsia" w:hAnsiTheme="minorEastAsia" w:eastAsiaTheme="minorEastAsia" w:cstheme="minorEastAsia"/>
                <w:b/>
                <w:bCs/>
                <w:color w:val="0000FF"/>
                <w:sz w:val="21"/>
                <w:szCs w:val="21"/>
                <w:lang w:eastAsia="zh-CN"/>
              </w:rPr>
            </w:pPr>
            <w:r>
              <w:rPr>
                <w:rFonts w:hint="eastAsia" w:asciiTheme="minorEastAsia" w:hAnsiTheme="minorEastAsia" w:eastAsiaTheme="minorEastAsia" w:cstheme="minorEastAsia"/>
                <w:b/>
                <w:bCs/>
                <w:color w:val="0000FF"/>
                <w:sz w:val="21"/>
                <w:szCs w:val="21"/>
                <w:lang w:val="en-US" w:eastAsia="zh-CN"/>
              </w:rPr>
              <w:t>9</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72" w:type="dxa"/>
            <w:vMerge w:val="continue"/>
            <w:tcBorders>
              <w:left w:val="single" w:color="000000" w:sz="8" w:space="0"/>
              <w:right w:val="single" w:color="000000" w:sz="8" w:space="0"/>
            </w:tcBorders>
            <w:noWrap w:val="0"/>
            <w:vAlign w:val="center"/>
          </w:tcPr>
          <w:p>
            <w:pPr>
              <w:keepNext w:val="0"/>
              <w:keepLines w:val="0"/>
              <w:pageBreakBefore w:val="0"/>
              <w:widowControl/>
              <w:overflowPunct/>
              <w:topLinePunct w:val="0"/>
              <w:bidi w:val="0"/>
              <w:spacing w:line="240" w:lineRule="auto"/>
              <w:jc w:val="center"/>
              <w:rPr>
                <w:rFonts w:hint="eastAsia" w:asciiTheme="minorEastAsia" w:hAnsiTheme="minorEastAsia" w:eastAsiaTheme="minorEastAsia" w:cstheme="minorEastAsia"/>
                <w:b/>
                <w:bCs/>
                <w:color w:val="0000FF"/>
                <w:sz w:val="21"/>
                <w:szCs w:val="21"/>
              </w:rPr>
            </w:pPr>
          </w:p>
        </w:tc>
        <w:tc>
          <w:tcPr>
            <w:tcW w:w="8406" w:type="dxa"/>
            <w:gridSpan w:val="4"/>
            <w:tcBorders>
              <w:top w:val="single" w:color="000000" w:sz="8" w:space="0"/>
              <w:left w:val="single" w:color="000000" w:sz="8" w:space="0"/>
              <w:bottom w:val="single" w:color="000000" w:sz="8" w:space="0"/>
              <w:right w:val="single" w:color="000000" w:sz="8" w:space="0"/>
            </w:tcBorders>
            <w:noWrap w:val="0"/>
            <w:vAlign w:val="top"/>
          </w:tcPr>
          <w:p>
            <w:pPr>
              <w:keepNext w:val="0"/>
              <w:keepLines w:val="0"/>
              <w:pageBreakBefore w:val="0"/>
              <w:widowControl/>
              <w:overflowPunct/>
              <w:topLinePunct w:val="0"/>
              <w:bidi w:val="0"/>
              <w:spacing w:line="240" w:lineRule="auto"/>
              <w:rPr>
                <w:rFonts w:hint="eastAsia" w:asciiTheme="minorEastAsia" w:hAnsiTheme="minorEastAsia" w:eastAsiaTheme="minorEastAsia" w:cstheme="minorEastAsia"/>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72" w:type="dxa"/>
            <w:vMerge w:val="continue"/>
            <w:tcBorders>
              <w:left w:val="single" w:color="000000" w:sz="8" w:space="0"/>
              <w:right w:val="single" w:color="000000" w:sz="8" w:space="0"/>
            </w:tcBorders>
            <w:shd w:val="clear" w:color="auto" w:fill="E6EFFA"/>
            <w:noWrap w:val="0"/>
            <w:vAlign w:val="center"/>
          </w:tcPr>
          <w:p>
            <w:pPr>
              <w:keepNext w:val="0"/>
              <w:keepLines w:val="0"/>
              <w:pageBreakBefore w:val="0"/>
              <w:widowControl/>
              <w:overflowPunct/>
              <w:topLinePunct w:val="0"/>
              <w:bidi w:val="0"/>
              <w:spacing w:line="240" w:lineRule="auto"/>
              <w:jc w:val="center"/>
              <w:rPr>
                <w:rFonts w:hint="eastAsia" w:asciiTheme="minorEastAsia" w:hAnsiTheme="minorEastAsia" w:eastAsiaTheme="minorEastAsia" w:cstheme="minorEastAsia"/>
                <w:b/>
                <w:bCs/>
                <w:color w:val="0000FF"/>
                <w:sz w:val="21"/>
                <w:szCs w:val="21"/>
              </w:rPr>
            </w:pPr>
          </w:p>
        </w:tc>
        <w:tc>
          <w:tcPr>
            <w:tcW w:w="656"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keepNext w:val="0"/>
              <w:keepLines w:val="0"/>
              <w:pageBreakBefore w:val="0"/>
              <w:widowControl/>
              <w:wordWrap w:val="0"/>
              <w:overflowPunct/>
              <w:topLinePunct w:val="0"/>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0"/>
                <w:sz w:val="21"/>
                <w:szCs w:val="21"/>
              </w:rPr>
              <w:t>序号</w:t>
            </w:r>
          </w:p>
        </w:tc>
        <w:tc>
          <w:tcPr>
            <w:tcW w:w="1692"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keepNext w:val="0"/>
              <w:keepLines w:val="0"/>
              <w:pageBreakBefore w:val="0"/>
              <w:widowControl/>
              <w:wordWrap w:val="0"/>
              <w:overflowPunct/>
              <w:topLinePunct w:val="0"/>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0"/>
                <w:sz w:val="21"/>
                <w:szCs w:val="21"/>
              </w:rPr>
              <w:t>评分因素</w:t>
            </w:r>
          </w:p>
        </w:tc>
        <w:tc>
          <w:tcPr>
            <w:tcW w:w="982"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keepNext w:val="0"/>
              <w:keepLines w:val="0"/>
              <w:pageBreakBefore w:val="0"/>
              <w:widowControl/>
              <w:wordWrap w:val="0"/>
              <w:overflowPunct/>
              <w:topLinePunct w:val="0"/>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0"/>
                <w:sz w:val="21"/>
                <w:szCs w:val="21"/>
              </w:rPr>
              <w:t>权重(%)</w:t>
            </w:r>
          </w:p>
        </w:tc>
        <w:tc>
          <w:tcPr>
            <w:tcW w:w="5076"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keepNext w:val="0"/>
              <w:keepLines w:val="0"/>
              <w:pageBreakBefore w:val="0"/>
              <w:widowControl/>
              <w:wordWrap w:val="0"/>
              <w:overflowPunct/>
              <w:topLinePunct w:val="0"/>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0"/>
                <w:sz w:val="21"/>
                <w:szCs w:val="21"/>
              </w:rPr>
              <w:t>评分准则</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72" w:type="dxa"/>
            <w:vMerge w:val="continue"/>
            <w:tcBorders>
              <w:left w:val="single" w:color="000000" w:sz="8" w:space="0"/>
              <w:right w:val="single" w:color="000000" w:sz="8" w:space="0"/>
            </w:tcBorders>
            <w:noWrap w:val="0"/>
            <w:vAlign w:val="center"/>
          </w:tcPr>
          <w:p>
            <w:pPr>
              <w:keepNext w:val="0"/>
              <w:keepLines w:val="0"/>
              <w:pageBreakBefore w:val="0"/>
              <w:widowControl/>
              <w:overflowPunct/>
              <w:topLinePunct w:val="0"/>
              <w:bidi w:val="0"/>
              <w:spacing w:line="240" w:lineRule="auto"/>
              <w:jc w:val="center"/>
              <w:rPr>
                <w:rFonts w:hint="eastAsia" w:asciiTheme="minorEastAsia" w:hAnsiTheme="minorEastAsia" w:eastAsiaTheme="minorEastAsia" w:cstheme="minorEastAsia"/>
                <w:b/>
                <w:bCs/>
                <w:color w:val="0000FF"/>
                <w:sz w:val="21"/>
                <w:szCs w:val="21"/>
              </w:rPr>
            </w:pPr>
          </w:p>
        </w:tc>
        <w:tc>
          <w:tcPr>
            <w:tcW w:w="656"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wordWrap w:val="0"/>
              <w:overflowPunct/>
              <w:topLinePunct w:val="0"/>
              <w:bidi w:val="0"/>
              <w:spacing w:line="240" w:lineRule="auto"/>
              <w:jc w:val="center"/>
              <w:textAlignment w:val="top"/>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w:t>
            </w:r>
          </w:p>
        </w:tc>
        <w:tc>
          <w:tcPr>
            <w:tcW w:w="1692"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投标人荣誉情况</w:t>
            </w:r>
          </w:p>
        </w:tc>
        <w:tc>
          <w:tcPr>
            <w:tcW w:w="982"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5</w:t>
            </w:r>
          </w:p>
        </w:tc>
        <w:tc>
          <w:tcPr>
            <w:tcW w:w="5076" w:type="dxa"/>
            <w:tcBorders>
              <w:top w:val="single" w:color="000000" w:sz="8" w:space="0"/>
              <w:left w:val="single" w:color="000000" w:sz="8" w:space="0"/>
              <w:bottom w:val="single" w:color="000000" w:sz="8" w:space="0"/>
              <w:right w:val="single" w:color="000000" w:sz="8" w:space="0"/>
            </w:tcBorders>
            <w:noWrap w:val="0"/>
            <w:vAlign w:val="top"/>
          </w:tcPr>
          <w:p>
            <w:pPr>
              <w:wordWrap w:val="0"/>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（一）评分内容：</w:t>
            </w:r>
          </w:p>
          <w:p>
            <w:pPr>
              <w:wordWrap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投标自2019年1月1日至本项目投标截止之日（以奖项颁发时间为准）获得过省级人民政府（或以上行政级别）颁发的科学技术进步奖（或科技进步奖）情况,每获得一个，得20分，累计最高得分100分。</w:t>
            </w:r>
          </w:p>
          <w:p>
            <w:pPr>
              <w:wordWrap w:val="0"/>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（二）评分依据：</w:t>
            </w:r>
          </w:p>
          <w:p>
            <w:pPr>
              <w:wordWrap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1.要求提供奖项照片或获奖（荣誉）证书证明材料作为得分依据。如投标人为分支机构，提供其总公司获奖证书也可按照评分规则计分；获奖单位名称需与投标人名称或其总公司名称一致，否则不得分。</w:t>
            </w:r>
          </w:p>
          <w:p>
            <w:pPr>
              <w:wordWrap w:val="0"/>
              <w:rPr>
                <w:rFonts w:hint="eastAsia" w:asciiTheme="minorEastAsia" w:hAnsiTheme="minorEastAsia" w:eastAsiaTheme="minorEastAsia" w:cstheme="minorEastAsia"/>
                <w:snapToGrid w:val="0"/>
                <w:color w:val="000000"/>
                <w:spacing w:val="-4"/>
                <w:kern w:val="0"/>
                <w:sz w:val="21"/>
                <w:szCs w:val="21"/>
                <w:highlight w:val="none"/>
              </w:rPr>
            </w:pPr>
            <w:r>
              <w:rPr>
                <w:rFonts w:hint="eastAsia" w:asciiTheme="minorEastAsia" w:hAnsiTheme="minorEastAsia" w:eastAsiaTheme="minorEastAsia" w:cstheme="minorEastAsia"/>
                <w:sz w:val="21"/>
                <w:szCs w:val="21"/>
                <w:highlight w:val="none"/>
              </w:rPr>
              <w:t>2.以上资料均要求提供扫描件（或官方网站截图）。评分中出现无证明资料或专家无法凭所提供资料判断是否得分的情况，一律作不得分处理。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72" w:type="dxa"/>
            <w:vMerge w:val="continue"/>
            <w:tcBorders>
              <w:left w:val="single" w:color="000000" w:sz="8" w:space="0"/>
              <w:right w:val="single" w:color="000000" w:sz="8" w:space="0"/>
            </w:tcBorders>
            <w:noWrap w:val="0"/>
            <w:vAlign w:val="center"/>
          </w:tcPr>
          <w:p>
            <w:pPr>
              <w:keepNext w:val="0"/>
              <w:keepLines w:val="0"/>
              <w:pageBreakBefore w:val="0"/>
              <w:widowControl/>
              <w:overflowPunct/>
              <w:topLinePunct w:val="0"/>
              <w:bidi w:val="0"/>
              <w:spacing w:line="240" w:lineRule="auto"/>
              <w:jc w:val="center"/>
              <w:rPr>
                <w:rFonts w:hint="eastAsia" w:asciiTheme="minorEastAsia" w:hAnsiTheme="minorEastAsia" w:eastAsiaTheme="minorEastAsia" w:cstheme="minorEastAsia"/>
                <w:b/>
                <w:bCs/>
                <w:color w:val="0000FF"/>
                <w:sz w:val="21"/>
                <w:szCs w:val="21"/>
              </w:rPr>
            </w:pPr>
          </w:p>
        </w:tc>
        <w:tc>
          <w:tcPr>
            <w:tcW w:w="656"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wordWrap w:val="0"/>
              <w:overflowPunct/>
              <w:topLinePunct w:val="0"/>
              <w:bidi w:val="0"/>
              <w:spacing w:line="240" w:lineRule="auto"/>
              <w:jc w:val="center"/>
              <w:textAlignment w:val="top"/>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w:t>
            </w:r>
          </w:p>
        </w:tc>
        <w:tc>
          <w:tcPr>
            <w:tcW w:w="1692" w:type="dxa"/>
            <w:tcBorders>
              <w:top w:val="single" w:color="000000" w:sz="8" w:space="0"/>
              <w:left w:val="single" w:color="000000" w:sz="8" w:space="0"/>
              <w:bottom w:val="single" w:color="000000" w:sz="8" w:space="0"/>
              <w:right w:val="single" w:color="000000" w:sz="8" w:space="0"/>
            </w:tcBorders>
            <w:noWrap w:val="0"/>
            <w:vAlign w:val="center"/>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sz w:val="21"/>
                <w:szCs w:val="21"/>
              </w:rPr>
              <w:t>投标人自主知识产权产品（创新、设计）情况</w:t>
            </w:r>
          </w:p>
        </w:tc>
        <w:tc>
          <w:tcPr>
            <w:tcW w:w="982"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p>
        </w:tc>
        <w:tc>
          <w:tcPr>
            <w:tcW w:w="5076" w:type="dxa"/>
            <w:tcBorders>
              <w:top w:val="single" w:color="000000" w:sz="8" w:space="0"/>
              <w:left w:val="single" w:color="000000" w:sz="8" w:space="0"/>
              <w:bottom w:val="single" w:color="000000" w:sz="8" w:space="0"/>
              <w:right w:val="single" w:color="000000" w:sz="8" w:space="0"/>
            </w:tcBorders>
            <w:noWrap w:val="0"/>
            <w:vAlign w:val="center"/>
          </w:tcPr>
          <w:p>
            <w:pPr>
              <w:pStyle w:val="62"/>
              <w:jc w:val="lef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（一）评分内容：</w:t>
            </w:r>
          </w:p>
          <w:p>
            <w:pPr>
              <w:wordWrap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1.投标人具有数据采集治理分析管理及应用平台相关计算机软件著作权登记证书或专利证书得25分；</w:t>
            </w:r>
          </w:p>
          <w:p>
            <w:pPr>
              <w:wordWrap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2.投标人具有网络数据安全管理系统相关计算机软件著作权登记证书或专利证书得25分；</w:t>
            </w:r>
          </w:p>
          <w:p>
            <w:pPr>
              <w:wordWrap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3.投标人具有重大突发事件应急调度处置分析系统相关计算机软件著作权登记证书或专利证书得25分；</w:t>
            </w:r>
          </w:p>
          <w:p>
            <w:pPr>
              <w:wordWrap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4.投标人具有智能运维平台相关计算机软件著作权登记证书或专利证书得25分；</w:t>
            </w:r>
          </w:p>
          <w:p>
            <w:pPr>
              <w:wordWrap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以上4项可累计得分，单项提供多个也仅计分1次，最高得100分。</w:t>
            </w:r>
          </w:p>
          <w:p>
            <w:pPr>
              <w:pStyle w:val="62"/>
              <w:jc w:val="lef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（二）评分依据：</w:t>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要求提供有效的产权（专利、计算机软件著作权）证书扫描件等证明材料作为得分依据，原件备查；如投标人为分支机构，提供其总公司获奖证书也可按照评分规则计分；获奖单位名称需与投标人名称或其总公司名称一致，否则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72" w:type="dxa"/>
            <w:vMerge w:val="restart"/>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wordWrap w:val="0"/>
              <w:overflowPunct/>
              <w:topLinePunct w:val="0"/>
              <w:bidi w:val="0"/>
              <w:spacing w:line="240" w:lineRule="auto"/>
              <w:jc w:val="center"/>
              <w:rPr>
                <w:rFonts w:hint="eastAsia" w:asciiTheme="minorEastAsia" w:hAnsiTheme="minorEastAsia" w:eastAsiaTheme="minorEastAsia" w:cstheme="minorEastAsia"/>
                <w:b/>
                <w:bCs/>
                <w:color w:val="0000FF"/>
                <w:sz w:val="21"/>
                <w:szCs w:val="21"/>
              </w:rPr>
            </w:pPr>
            <w:r>
              <w:rPr>
                <w:rFonts w:hint="eastAsia" w:asciiTheme="minorEastAsia" w:hAnsiTheme="minorEastAsia" w:eastAsiaTheme="minorEastAsia" w:cstheme="minorEastAsia"/>
                <w:b/>
                <w:bCs/>
                <w:color w:val="0000FF"/>
                <w:kern w:val="0"/>
                <w:sz w:val="21"/>
                <w:szCs w:val="21"/>
              </w:rPr>
              <w:t>5</w:t>
            </w:r>
          </w:p>
        </w:tc>
        <w:tc>
          <w:tcPr>
            <w:tcW w:w="3330" w:type="dxa"/>
            <w:gridSpan w:val="3"/>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wordWrap w:val="0"/>
              <w:overflowPunct/>
              <w:topLinePunct w:val="0"/>
              <w:bidi w:val="0"/>
              <w:spacing w:line="240" w:lineRule="auto"/>
              <w:jc w:val="center"/>
              <w:rPr>
                <w:rFonts w:hint="eastAsia" w:asciiTheme="minorEastAsia" w:hAnsiTheme="minorEastAsia" w:eastAsiaTheme="minorEastAsia" w:cstheme="minorEastAsia"/>
                <w:b/>
                <w:bCs/>
                <w:color w:val="0000FF"/>
                <w:sz w:val="21"/>
                <w:szCs w:val="21"/>
              </w:rPr>
            </w:pPr>
            <w:r>
              <w:rPr>
                <w:rFonts w:hint="eastAsia" w:asciiTheme="minorEastAsia" w:hAnsiTheme="minorEastAsia" w:eastAsiaTheme="minorEastAsia" w:cstheme="minorEastAsia"/>
                <w:b/>
                <w:bCs/>
                <w:color w:val="0000FF"/>
                <w:kern w:val="0"/>
                <w:sz w:val="21"/>
                <w:szCs w:val="21"/>
              </w:rPr>
              <w:t>诚信情况</w:t>
            </w:r>
          </w:p>
        </w:tc>
        <w:tc>
          <w:tcPr>
            <w:tcW w:w="5076"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wordWrap w:val="0"/>
              <w:overflowPunct/>
              <w:topLinePunct w:val="0"/>
              <w:bidi w:val="0"/>
              <w:spacing w:line="240" w:lineRule="auto"/>
              <w:jc w:val="center"/>
              <w:rPr>
                <w:rFonts w:hint="eastAsia" w:asciiTheme="minorEastAsia" w:hAnsiTheme="minorEastAsia" w:eastAsiaTheme="minorEastAsia" w:cstheme="minorEastAsia"/>
                <w:b/>
                <w:bCs/>
                <w:color w:val="0000FF"/>
                <w:sz w:val="21"/>
                <w:szCs w:val="21"/>
              </w:rPr>
            </w:pPr>
            <w:r>
              <w:rPr>
                <w:rFonts w:hint="eastAsia" w:asciiTheme="minorEastAsia" w:hAnsiTheme="minorEastAsia" w:eastAsiaTheme="minorEastAsia" w:cstheme="minorEastAsia"/>
                <w:b/>
                <w:bCs/>
                <w:color w:val="0000FF"/>
                <w:sz w:val="21"/>
                <w:szCs w:val="21"/>
              </w:rPr>
              <w:t>5</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72" w:type="dxa"/>
            <w:vMerge w:val="continue"/>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overflowPunct/>
              <w:topLinePunct w:val="0"/>
              <w:bidi w:val="0"/>
              <w:spacing w:line="240" w:lineRule="auto"/>
              <w:jc w:val="center"/>
              <w:rPr>
                <w:rFonts w:hint="eastAsia" w:asciiTheme="minorEastAsia" w:hAnsiTheme="minorEastAsia" w:eastAsiaTheme="minorEastAsia" w:cstheme="minorEastAsia"/>
                <w:b/>
                <w:bCs/>
                <w:color w:val="0000FF"/>
                <w:sz w:val="21"/>
                <w:szCs w:val="21"/>
              </w:rPr>
            </w:pPr>
          </w:p>
        </w:tc>
        <w:tc>
          <w:tcPr>
            <w:tcW w:w="8406" w:type="dxa"/>
            <w:gridSpan w:val="4"/>
            <w:tcBorders>
              <w:top w:val="single" w:color="000000" w:sz="8" w:space="0"/>
              <w:left w:val="single" w:color="000000" w:sz="8" w:space="0"/>
              <w:bottom w:val="single" w:color="000000" w:sz="8" w:space="0"/>
              <w:right w:val="single" w:color="000000" w:sz="8" w:space="0"/>
            </w:tcBorders>
            <w:noWrap w:val="0"/>
            <w:vAlign w:val="top"/>
          </w:tcPr>
          <w:p>
            <w:pPr>
              <w:keepNext w:val="0"/>
              <w:keepLines w:val="0"/>
              <w:pageBreakBefore w:val="0"/>
              <w:widowControl/>
              <w:overflowPunct/>
              <w:topLinePunct w:val="0"/>
              <w:bidi w:val="0"/>
              <w:spacing w:line="240" w:lineRule="auto"/>
              <w:rPr>
                <w:rFonts w:hint="eastAsia" w:asciiTheme="minorEastAsia" w:hAnsiTheme="minorEastAsia" w:eastAsiaTheme="minorEastAsia" w:cstheme="minorEastAsia"/>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72" w:type="dxa"/>
            <w:vMerge w:val="continue"/>
            <w:tcBorders>
              <w:top w:val="single" w:color="000000" w:sz="8" w:space="0"/>
              <w:left w:val="single" w:color="000000" w:sz="8" w:space="0"/>
              <w:bottom w:val="single" w:color="000000" w:sz="8" w:space="0"/>
              <w:right w:val="single" w:color="000000" w:sz="8" w:space="0"/>
            </w:tcBorders>
            <w:shd w:val="clear" w:color="auto" w:fill="E6EFFA"/>
            <w:noWrap w:val="0"/>
            <w:vAlign w:val="center"/>
          </w:tcPr>
          <w:p>
            <w:pPr>
              <w:keepNext w:val="0"/>
              <w:keepLines w:val="0"/>
              <w:pageBreakBefore w:val="0"/>
              <w:widowControl/>
              <w:overflowPunct/>
              <w:topLinePunct w:val="0"/>
              <w:bidi w:val="0"/>
              <w:spacing w:line="240" w:lineRule="auto"/>
              <w:jc w:val="center"/>
              <w:rPr>
                <w:rFonts w:hint="eastAsia" w:asciiTheme="minorEastAsia" w:hAnsiTheme="minorEastAsia" w:eastAsiaTheme="minorEastAsia" w:cstheme="minorEastAsia"/>
                <w:b/>
                <w:bCs/>
                <w:color w:val="0000FF"/>
                <w:sz w:val="21"/>
                <w:szCs w:val="21"/>
              </w:rPr>
            </w:pPr>
          </w:p>
        </w:tc>
        <w:tc>
          <w:tcPr>
            <w:tcW w:w="656"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keepNext w:val="0"/>
              <w:keepLines w:val="0"/>
              <w:pageBreakBefore w:val="0"/>
              <w:widowControl/>
              <w:wordWrap w:val="0"/>
              <w:overflowPunct/>
              <w:topLinePunct w:val="0"/>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0"/>
                <w:sz w:val="21"/>
                <w:szCs w:val="21"/>
              </w:rPr>
              <w:t>序号</w:t>
            </w:r>
          </w:p>
        </w:tc>
        <w:tc>
          <w:tcPr>
            <w:tcW w:w="1692"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keepNext w:val="0"/>
              <w:keepLines w:val="0"/>
              <w:pageBreakBefore w:val="0"/>
              <w:widowControl/>
              <w:wordWrap w:val="0"/>
              <w:overflowPunct/>
              <w:topLinePunct w:val="0"/>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0"/>
                <w:sz w:val="21"/>
                <w:szCs w:val="21"/>
              </w:rPr>
              <w:t>评分因素</w:t>
            </w:r>
          </w:p>
        </w:tc>
        <w:tc>
          <w:tcPr>
            <w:tcW w:w="982"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keepNext w:val="0"/>
              <w:keepLines w:val="0"/>
              <w:pageBreakBefore w:val="0"/>
              <w:widowControl/>
              <w:wordWrap w:val="0"/>
              <w:overflowPunct/>
              <w:topLinePunct w:val="0"/>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0"/>
                <w:sz w:val="21"/>
                <w:szCs w:val="21"/>
              </w:rPr>
              <w:t>权重(%)</w:t>
            </w:r>
          </w:p>
        </w:tc>
        <w:tc>
          <w:tcPr>
            <w:tcW w:w="5076"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keepNext w:val="0"/>
              <w:keepLines w:val="0"/>
              <w:pageBreakBefore w:val="0"/>
              <w:widowControl/>
              <w:wordWrap w:val="0"/>
              <w:overflowPunct/>
              <w:topLinePunct w:val="0"/>
              <w:bidi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0"/>
                <w:sz w:val="21"/>
                <w:szCs w:val="21"/>
              </w:rPr>
              <w:t>评分准则</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72" w:type="dxa"/>
            <w:vMerge w:val="continue"/>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overflowPunct/>
              <w:topLinePunct w:val="0"/>
              <w:bidi w:val="0"/>
              <w:spacing w:line="240" w:lineRule="auto"/>
              <w:jc w:val="center"/>
              <w:rPr>
                <w:rFonts w:hint="eastAsia" w:asciiTheme="minorEastAsia" w:hAnsiTheme="minorEastAsia" w:eastAsiaTheme="minorEastAsia" w:cstheme="minorEastAsia"/>
                <w:b/>
                <w:bCs/>
                <w:color w:val="0000FF"/>
                <w:sz w:val="21"/>
                <w:szCs w:val="21"/>
              </w:rPr>
            </w:pPr>
          </w:p>
        </w:tc>
        <w:tc>
          <w:tcPr>
            <w:tcW w:w="656" w:type="dxa"/>
            <w:tcBorders>
              <w:top w:val="single" w:color="000000" w:sz="8" w:space="0"/>
              <w:left w:val="single" w:color="000000" w:sz="8" w:space="0"/>
              <w:bottom w:val="single" w:color="000000" w:sz="8" w:space="0"/>
              <w:right w:val="single" w:color="000000" w:sz="8" w:space="0"/>
            </w:tcBorders>
            <w:noWrap w:val="0"/>
            <w:vAlign w:val="top"/>
          </w:tcPr>
          <w:p>
            <w:pPr>
              <w:keepNext w:val="0"/>
              <w:keepLines w:val="0"/>
              <w:pageBreakBefore w:val="0"/>
              <w:widowControl/>
              <w:wordWrap w:val="0"/>
              <w:overflowPunct/>
              <w:topLinePunct w:val="0"/>
              <w:bidi w:val="0"/>
              <w:spacing w:line="240" w:lineRule="auto"/>
              <w:jc w:val="center"/>
              <w:textAlignment w:val="top"/>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1692"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wordWrap w:val="0"/>
              <w:overflowPunct/>
              <w:topLinePunct w:val="0"/>
              <w:bidi w:val="0"/>
              <w:spacing w:line="240" w:lineRule="auto"/>
              <w:jc w:val="center"/>
              <w:textAlignment w:val="top"/>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诚信情况</w:t>
            </w:r>
          </w:p>
          <w:p>
            <w:pPr>
              <w:keepNext w:val="0"/>
              <w:keepLines w:val="0"/>
              <w:pageBreakBefore w:val="0"/>
              <w:widowControl/>
              <w:wordWrap w:val="0"/>
              <w:overflowPunct/>
              <w:topLinePunct w:val="0"/>
              <w:bidi w:val="0"/>
              <w:spacing w:line="240" w:lineRule="auto"/>
              <w:jc w:val="center"/>
              <w:textAlignment w:val="top"/>
              <w:rPr>
                <w:rFonts w:hint="eastAsia" w:asciiTheme="minorEastAsia" w:hAnsiTheme="minorEastAsia" w:eastAsiaTheme="minorEastAsia" w:cstheme="minorEastAsia"/>
                <w:sz w:val="21"/>
                <w:szCs w:val="21"/>
              </w:rPr>
            </w:pPr>
          </w:p>
        </w:tc>
        <w:tc>
          <w:tcPr>
            <w:tcW w:w="982"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wordWrap w:val="0"/>
              <w:overflowPunct/>
              <w:topLinePunct w:val="0"/>
              <w:bidi w:val="0"/>
              <w:spacing w:line="240" w:lineRule="auto"/>
              <w:jc w:val="center"/>
              <w:textAlignment w:val="top"/>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p>
        </w:tc>
        <w:tc>
          <w:tcPr>
            <w:tcW w:w="5076" w:type="dxa"/>
            <w:tcBorders>
              <w:top w:val="single" w:color="000000" w:sz="8" w:space="0"/>
              <w:left w:val="single" w:color="000000" w:sz="8" w:space="0"/>
              <w:bottom w:val="single" w:color="000000" w:sz="8" w:space="0"/>
              <w:right w:val="single" w:color="000000" w:sz="8" w:space="0"/>
            </w:tcBorders>
            <w:noWrap w:val="0"/>
            <w:vAlign w:val="top"/>
          </w:tcPr>
          <w:p>
            <w:pPr>
              <w:keepNext w:val="0"/>
              <w:keepLines w:val="0"/>
              <w:pageBreakBefore w:val="0"/>
              <w:widowControl/>
              <w:wordWrap w:val="0"/>
              <w:overflowPunct/>
              <w:topLinePunct w:val="0"/>
              <w:bidi w:val="0"/>
              <w:spacing w:line="240" w:lineRule="auto"/>
              <w:jc w:val="left"/>
              <w:textAlignment w:val="top"/>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投标人在参与政府采购活动中存在诚信相关问题且在主管部门相关处理措施实施期限内的，本项不得分，否则得满分。投标人无需提供任何证明材料，由采购机构工作人员查询后向评审委员会提供相关信息。</w:t>
            </w:r>
          </w:p>
        </w:tc>
      </w:tr>
      <w:bookmarkEnd w:id="0"/>
    </w:tbl>
    <w:p>
      <w:pPr>
        <w:rPr>
          <w:szCs w:val="32"/>
        </w:rPr>
      </w:pPr>
    </w:p>
    <w:p>
      <w:r>
        <w:rPr>
          <w:rFonts w:hint="eastAsia"/>
        </w:rPr>
        <w:br w:type="page"/>
      </w:r>
    </w:p>
    <w:p>
      <w:pPr>
        <w:pStyle w:val="16"/>
        <w:jc w:val="center"/>
        <w:outlineLvl w:val="1"/>
        <w:rPr>
          <w:rFonts w:hint="eastAsia" w:ascii="宋体" w:hAnsi="宋体" w:eastAsia="宋体" w:cs="宋体"/>
          <w:color w:val="000000" w:themeColor="text1"/>
          <w:sz w:val="40"/>
          <w:szCs w:val="40"/>
          <w:highlight w:val="none"/>
          <w14:textFill>
            <w14:solidFill>
              <w14:schemeClr w14:val="tx1"/>
            </w14:solidFill>
          </w14:textFill>
        </w:rPr>
      </w:pPr>
      <w:r>
        <w:rPr>
          <w:rFonts w:hint="eastAsia" w:ascii="宋体" w:hAnsi="宋体" w:eastAsia="宋体" w:cs="宋体"/>
          <w:color w:val="000000" w:themeColor="text1"/>
          <w:sz w:val="40"/>
          <w:szCs w:val="40"/>
          <w:highlight w:val="none"/>
          <w14:textFill>
            <w14:solidFill>
              <w14:schemeClr w14:val="tx1"/>
            </w14:solidFill>
          </w14:textFill>
        </w:rPr>
        <w:t>投标书目录</w:t>
      </w:r>
    </w:p>
    <w:tbl>
      <w:tblPr>
        <w:tblStyle w:val="19"/>
        <w:tblW w:w="9072" w:type="dxa"/>
        <w:jc w:val="center"/>
        <w:tblCellSpacing w:w="0" w:type="dxa"/>
        <w:tblLayout w:type="autofit"/>
        <w:tblCellMar>
          <w:top w:w="45" w:type="dxa"/>
          <w:left w:w="45" w:type="dxa"/>
          <w:bottom w:w="45" w:type="dxa"/>
          <w:right w:w="45" w:type="dxa"/>
        </w:tblCellMar>
      </w:tblPr>
      <w:tblGrid>
        <w:gridCol w:w="9072"/>
      </w:tblGrid>
      <w:tr>
        <w:tblPrEx>
          <w:tblCellMar>
            <w:top w:w="45" w:type="dxa"/>
            <w:left w:w="45" w:type="dxa"/>
            <w:bottom w:w="45" w:type="dxa"/>
            <w:right w:w="45" w:type="dxa"/>
          </w:tblCellMar>
        </w:tblPrEx>
        <w:trPr>
          <w:tblCellSpacing w:w="0" w:type="dxa"/>
          <w:jc w:val="center"/>
        </w:trPr>
        <w:tc>
          <w:tcPr>
            <w:tcW w:w="0" w:type="auto"/>
            <w:vAlign w:val="center"/>
          </w:tcPr>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投标文件正文（信息公开部分）</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1.投标人资格证明材料（格式自拟）</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2.投标函（详见格式附件）</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3.政府采购投标及履约承诺函（详见格式附件）</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4.分项报价清单（详见格式附件）</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5.中小企业声明函及残疾人福利性单位声明函（或省级以上监狱管理局、戒毒管理局（含新疆生产建设兵团）出具的属于监狱企业的证明文件）（</w:t>
            </w:r>
            <w:r>
              <w:rPr>
                <w:rFonts w:hint="eastAsia" w:ascii="宋体" w:hAnsi="宋体" w:eastAsia="宋体" w:cs="宋体"/>
                <w:color w:val="000000" w:themeColor="text1"/>
                <w:szCs w:val="21"/>
                <w:lang w:val="en-US" w:eastAsia="zh-CN"/>
                <w14:textFill>
                  <w14:solidFill>
                    <w14:schemeClr w14:val="tx1"/>
                  </w14:solidFill>
                </w14:textFill>
              </w:rPr>
              <w:t>可</w:t>
            </w:r>
            <w:r>
              <w:rPr>
                <w:rFonts w:hint="eastAsia" w:ascii="宋体" w:hAnsi="宋体" w:eastAsia="宋体" w:cs="宋体"/>
                <w:color w:val="000000" w:themeColor="text1"/>
                <w:szCs w:val="21"/>
                <w14:textFill>
                  <w14:solidFill>
                    <w14:schemeClr w14:val="tx1"/>
                  </w14:solidFill>
                </w14:textFill>
              </w:rPr>
              <w:t>选）（详见格式附件）</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6</w:t>
            </w:r>
            <w:r>
              <w:rPr>
                <w:rFonts w:hint="eastAsia" w:ascii="宋体" w:hAnsi="宋体" w:eastAsia="宋体" w:cs="宋体"/>
                <w:color w:val="000000" w:themeColor="text1"/>
                <w:szCs w:val="21"/>
                <w14:textFill>
                  <w14:solidFill>
                    <w14:schemeClr w14:val="tx1"/>
                  </w14:solidFill>
                </w14:textFill>
              </w:rPr>
              <w:t>.产品证书（格式自拟）</w:t>
            </w:r>
          </w:p>
          <w:p>
            <w:pPr>
              <w:numPr>
                <w:ilvl w:val="255"/>
                <w:numId w:val="0"/>
              </w:numPr>
              <w:ind w:left="360"/>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7.</w:t>
            </w:r>
            <w:r>
              <w:rPr>
                <w:rFonts w:hint="eastAsia" w:ascii="宋体" w:hAnsi="宋体" w:eastAsia="宋体" w:cs="宋体"/>
                <w:color w:val="000000" w:themeColor="text1"/>
                <w:szCs w:val="21"/>
                <w14:textFill>
                  <w14:solidFill>
                    <w14:schemeClr w14:val="tx1"/>
                  </w14:solidFill>
                </w14:textFill>
              </w:rPr>
              <w:t>投标人荣誉情况（格式自拟）</w:t>
            </w:r>
          </w:p>
          <w:p>
            <w:pPr>
              <w:numPr>
                <w:ilvl w:val="255"/>
                <w:numId w:val="0"/>
              </w:numPr>
              <w:ind w:left="360"/>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8.投标人自主知识产权产品（创新、设计）情况</w:t>
            </w:r>
            <w:r>
              <w:rPr>
                <w:rFonts w:hint="eastAsia" w:ascii="宋体" w:hAnsi="宋体" w:eastAsia="宋体" w:cs="宋体"/>
                <w:color w:val="000000" w:themeColor="text1"/>
                <w:szCs w:val="21"/>
                <w14:textFill>
                  <w14:solidFill>
                    <w14:schemeClr w14:val="tx1"/>
                  </w14:solidFill>
                </w14:textFill>
              </w:rPr>
              <w:t>（格式自拟）</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9</w:t>
            </w:r>
            <w:r>
              <w:rPr>
                <w:rFonts w:hint="eastAsia" w:ascii="宋体" w:hAnsi="宋体" w:eastAsia="宋体" w:cs="宋体"/>
                <w:color w:val="000000" w:themeColor="text1"/>
                <w:szCs w:val="21"/>
                <w14:textFill>
                  <w14:solidFill>
                    <w14:schemeClr w14:val="tx1"/>
                  </w14:solidFill>
                </w14:textFill>
              </w:rPr>
              <w:t>.政府采购违法行为风险知悉确认书（详见格式附件）</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投标文件附件（信息不公开部分）</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1.法定代表人证明书（详见格式附件）</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2.投标文件签署授权委托书（详见格式附件）</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3.投标人情况介绍（详见格式附件）</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4.实质性条款响应情况表（详见格式附件）</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5.技术规格偏离情况（格式自拟）</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6.</w:t>
            </w:r>
            <w:r>
              <w:rPr>
                <w:rFonts w:hint="eastAsia" w:ascii="宋体" w:hAnsi="宋体" w:eastAsia="宋体" w:cs="宋体"/>
                <w:color w:val="000000" w:themeColor="text1"/>
                <w:szCs w:val="21"/>
                <w:lang w:val="en-US" w:eastAsia="zh-CN"/>
                <w14:textFill>
                  <w14:solidFill>
                    <w14:schemeClr w14:val="tx1"/>
                  </w14:solidFill>
                </w14:textFill>
              </w:rPr>
              <w:t>商务</w:t>
            </w:r>
            <w:r>
              <w:rPr>
                <w:rFonts w:hint="eastAsia" w:ascii="宋体" w:hAnsi="宋体" w:eastAsia="宋体" w:cs="宋体"/>
                <w:color w:val="000000" w:themeColor="text1"/>
                <w:szCs w:val="21"/>
                <w14:textFill>
                  <w14:solidFill>
                    <w14:schemeClr w14:val="tx1"/>
                  </w14:solidFill>
                </w14:textFill>
              </w:rPr>
              <w:t>条款偏离情况（格式自拟）</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7.实施团队人员情况（格式自拟）</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8.质量及安全保障能力（格式自拟）</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9.现场演示</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10.</w:t>
            </w:r>
            <w:r>
              <w:rPr>
                <w:rFonts w:hint="eastAsia" w:ascii="宋体" w:hAnsi="宋体" w:eastAsia="宋体" w:cs="宋体"/>
                <w:color w:val="000000" w:themeColor="text1"/>
                <w:szCs w:val="21"/>
                <w:lang w:eastAsia="zh-CN"/>
                <w14:textFill>
                  <w14:solidFill>
                    <w14:schemeClr w14:val="tx1"/>
                  </w14:solidFill>
                </w14:textFill>
              </w:rPr>
              <w:t>诚信情况</w:t>
            </w:r>
            <w:r>
              <w:rPr>
                <w:rFonts w:hint="eastAsia" w:ascii="宋体" w:hAnsi="宋体" w:eastAsia="宋体" w:cs="宋体"/>
                <w:color w:val="000000" w:themeColor="text1"/>
                <w:szCs w:val="21"/>
                <w14:textFill>
                  <w14:solidFill>
                    <w14:schemeClr w14:val="tx1"/>
                  </w14:solidFill>
                </w14:textFill>
              </w:rPr>
              <w:t>（无需提供）</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w:t>
            </w:r>
            <w:r>
              <w:rPr>
                <w:rFonts w:hint="eastAsia" w:ascii="宋体" w:hAnsi="宋体" w:eastAsia="宋体" w:cs="宋体"/>
                <w:color w:val="000000" w:themeColor="text1"/>
                <w:szCs w:val="21"/>
                <w:lang w:val="en-US" w:eastAsia="zh-CN"/>
                <w14:textFill>
                  <w14:solidFill>
                    <w14:schemeClr w14:val="tx1"/>
                  </w14:solidFill>
                </w14:textFill>
              </w:rPr>
              <w:t>1</w:t>
            </w:r>
            <w:r>
              <w:rPr>
                <w:rFonts w:hint="eastAsia" w:ascii="宋体" w:hAnsi="宋体" w:eastAsia="宋体" w:cs="宋体"/>
                <w:color w:val="000000" w:themeColor="text1"/>
                <w:szCs w:val="21"/>
                <w14:textFill>
                  <w14:solidFill>
                    <w14:schemeClr w14:val="tx1"/>
                  </w14:solidFill>
                </w14:textFill>
              </w:rPr>
              <w:t>.招标代理服务费承诺书（详见格式附件）</w:t>
            </w:r>
          </w:p>
          <w:p>
            <w:pPr>
              <w:numPr>
                <w:ilvl w:val="255"/>
                <w:numId w:val="0"/>
              </w:numPr>
              <w:ind w:left="360"/>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w:t>
            </w:r>
            <w:r>
              <w:rPr>
                <w:rFonts w:hint="eastAsia" w:ascii="宋体" w:hAnsi="宋体" w:eastAsia="宋体" w:cs="宋体"/>
                <w:color w:val="000000" w:themeColor="text1"/>
                <w:szCs w:val="21"/>
                <w:lang w:val="en-US" w:eastAsia="zh-CN"/>
                <w14:textFill>
                  <w14:solidFill>
                    <w14:schemeClr w14:val="tx1"/>
                  </w14:solidFill>
                </w14:textFill>
              </w:rPr>
              <w:t>2</w:t>
            </w:r>
            <w:r>
              <w:rPr>
                <w:rFonts w:hint="eastAsia" w:ascii="宋体" w:hAnsi="宋体" w:eastAsia="宋体" w:cs="宋体"/>
                <w:color w:val="000000" w:themeColor="text1"/>
                <w:szCs w:val="21"/>
                <w14:textFill>
                  <w14:solidFill>
                    <w14:schemeClr w14:val="tx1"/>
                  </w14:solidFill>
                </w14:textFill>
              </w:rPr>
              <w:t>.投标人认为需要加以说明的其他内容（格式自拟）</w:t>
            </w:r>
          </w:p>
        </w:tc>
      </w:tr>
    </w:tbl>
    <w:p>
      <w:pPr>
        <w:rPr>
          <w:rFonts w:hint="eastAsia" w:cs="宋体"/>
          <w:b/>
          <w:bCs/>
        </w:rPr>
      </w:pPr>
      <w:r>
        <w:rPr>
          <w:rFonts w:hint="eastAsia" w:cs="宋体"/>
          <w:b/>
          <w:bCs/>
        </w:rPr>
        <w:br w:type="page"/>
      </w:r>
    </w:p>
    <w:p/>
    <w:p>
      <w:pPr>
        <w:spacing w:before="340" w:after="330" w:line="360" w:lineRule="auto"/>
        <w:jc w:val="center"/>
        <w:outlineLvl w:val="0"/>
        <w:rPr>
          <w:rFonts w:ascii="宋体" w:hAnsi="宋体" w:eastAsia="黑体"/>
          <w:kern w:val="44"/>
          <w:sz w:val="32"/>
          <w:szCs w:val="72"/>
        </w:rPr>
      </w:pPr>
      <w:r>
        <w:rPr>
          <w:rFonts w:hint="eastAsia" w:ascii="宋体" w:hAnsi="宋体" w:eastAsia="黑体"/>
          <w:kern w:val="44"/>
          <w:sz w:val="32"/>
          <w:szCs w:val="72"/>
        </w:rPr>
        <w:t>招标书目录</w:t>
      </w:r>
    </w:p>
    <w:p>
      <w:pPr>
        <w:rPr>
          <w:b/>
        </w:rPr>
      </w:pPr>
      <w:r>
        <w:rPr>
          <w:rFonts w:hint="eastAsia"/>
          <w:b/>
        </w:rPr>
        <w:t>第一册  专用条款</w:t>
      </w:r>
    </w:p>
    <w:p>
      <w:r>
        <w:rPr>
          <w:rFonts w:hint="eastAsia"/>
        </w:rPr>
        <w:t xml:space="preserve"> 关键信息</w:t>
      </w:r>
    </w:p>
    <w:p>
      <w:pPr>
        <w:rPr>
          <w:rFonts w:hint="eastAsia" w:ascii="宋体" w:hAnsi="宋体"/>
          <w:szCs w:val="21"/>
        </w:rPr>
      </w:pPr>
      <w:r>
        <w:rPr>
          <w:rFonts w:hint="eastAsia" w:ascii="宋体" w:hAnsi="宋体"/>
          <w:szCs w:val="21"/>
        </w:rPr>
        <w:t>第一章  招标公告</w:t>
      </w:r>
    </w:p>
    <w:p>
      <w:pPr>
        <w:rPr>
          <w:rFonts w:hint="eastAsia" w:ascii="宋体" w:hAnsi="宋体"/>
          <w:szCs w:val="21"/>
        </w:rPr>
      </w:pPr>
      <w:r>
        <w:rPr>
          <w:rFonts w:hint="eastAsia" w:ascii="宋体" w:hAnsi="宋体"/>
          <w:szCs w:val="21"/>
        </w:rPr>
        <w:t>第二章  对通用条款的补充内容及其他关键信息</w:t>
      </w:r>
    </w:p>
    <w:p>
      <w:pPr>
        <w:rPr>
          <w:rFonts w:hint="default" w:ascii="宋体" w:hAnsi="宋体" w:eastAsia="宋体"/>
          <w:szCs w:val="21"/>
          <w:lang w:val="en-US" w:eastAsia="zh-CN"/>
        </w:rPr>
      </w:pPr>
      <w:r>
        <w:rPr>
          <w:rFonts w:hint="eastAsia" w:ascii="宋体" w:hAnsi="宋体"/>
          <w:szCs w:val="21"/>
        </w:rPr>
        <w:t xml:space="preserve">第三章  </w:t>
      </w:r>
      <w:r>
        <w:rPr>
          <w:rFonts w:hint="eastAsia" w:ascii="宋体" w:hAnsi="宋体" w:eastAsia="宋体"/>
          <w:szCs w:val="21"/>
          <w:lang w:val="en-US" w:eastAsia="zh-CN"/>
        </w:rPr>
        <w:t>用户需求书</w:t>
      </w:r>
    </w:p>
    <w:p>
      <w:pPr>
        <w:rPr>
          <w:rFonts w:hint="eastAsia" w:ascii="宋体" w:hAnsi="宋体"/>
          <w:szCs w:val="21"/>
        </w:rPr>
      </w:pPr>
      <w:r>
        <w:rPr>
          <w:rFonts w:hint="eastAsia" w:ascii="宋体" w:hAnsi="宋体"/>
          <w:szCs w:val="21"/>
        </w:rPr>
        <w:t>第四章  投标文件格式、附件</w:t>
      </w:r>
    </w:p>
    <w:p>
      <w:pPr>
        <w:rPr>
          <w:b/>
        </w:rPr>
      </w:pPr>
      <w:r>
        <w:rPr>
          <w:rFonts w:hint="eastAsia" w:ascii="宋体" w:hAnsi="宋体"/>
          <w:szCs w:val="21"/>
        </w:rPr>
        <w:t>第五章  合同及履约情况反馈格式</w:t>
      </w:r>
    </w:p>
    <w:p>
      <w:pPr>
        <w:rPr>
          <w:rFonts w:hint="eastAsia"/>
          <w:b/>
        </w:rPr>
      </w:pPr>
    </w:p>
    <w:p>
      <w:pPr>
        <w:rPr>
          <w:b/>
        </w:rPr>
      </w:pPr>
      <w:r>
        <w:rPr>
          <w:rFonts w:hint="eastAsia"/>
          <w:b/>
        </w:rPr>
        <w:t>第二册  通用条款</w:t>
      </w:r>
    </w:p>
    <w:p>
      <w:pPr>
        <w:rPr>
          <w:rFonts w:ascii="宋体" w:hAnsi="宋体" w:cs="宋体"/>
          <w:szCs w:val="21"/>
        </w:rPr>
      </w:pPr>
      <w:r>
        <w:rPr>
          <w:rFonts w:hint="eastAsia" w:ascii="宋体" w:hAnsi="宋体" w:cs="宋体"/>
          <w:szCs w:val="21"/>
        </w:rPr>
        <w:t>第一章  总则</w:t>
      </w:r>
    </w:p>
    <w:p>
      <w:pPr>
        <w:rPr>
          <w:rFonts w:ascii="宋体" w:hAnsi="宋体" w:cs="宋体"/>
          <w:szCs w:val="21"/>
        </w:rPr>
      </w:pPr>
      <w:r>
        <w:rPr>
          <w:rFonts w:hint="eastAsia" w:ascii="宋体" w:hAnsi="宋体" w:cs="宋体"/>
          <w:szCs w:val="21"/>
        </w:rPr>
        <w:t>第二章  招标文件</w:t>
      </w:r>
    </w:p>
    <w:p>
      <w:pPr>
        <w:rPr>
          <w:rFonts w:ascii="宋体" w:hAnsi="宋体" w:cs="宋体"/>
          <w:szCs w:val="21"/>
        </w:rPr>
      </w:pPr>
      <w:r>
        <w:rPr>
          <w:rFonts w:hint="eastAsia" w:ascii="宋体" w:hAnsi="宋体" w:cs="宋体"/>
          <w:szCs w:val="21"/>
        </w:rPr>
        <w:t>第三章  投标文件的编制</w:t>
      </w:r>
    </w:p>
    <w:p>
      <w:pPr>
        <w:rPr>
          <w:rFonts w:ascii="宋体" w:hAnsi="宋体" w:cs="宋体"/>
          <w:szCs w:val="21"/>
        </w:rPr>
      </w:pPr>
      <w:r>
        <w:rPr>
          <w:rFonts w:hint="eastAsia" w:ascii="宋体" w:hAnsi="宋体" w:cs="宋体"/>
          <w:szCs w:val="21"/>
        </w:rPr>
        <w:t>第四章  投标文件的递交</w:t>
      </w:r>
    </w:p>
    <w:p>
      <w:pPr>
        <w:rPr>
          <w:rFonts w:ascii="宋体" w:hAnsi="宋体" w:cs="宋体"/>
          <w:szCs w:val="21"/>
        </w:rPr>
      </w:pPr>
      <w:r>
        <w:rPr>
          <w:rFonts w:hint="eastAsia" w:ascii="宋体" w:hAnsi="宋体" w:cs="宋体"/>
          <w:szCs w:val="21"/>
        </w:rPr>
        <w:t>第五章  开标</w:t>
      </w:r>
    </w:p>
    <w:p>
      <w:pPr>
        <w:rPr>
          <w:rFonts w:ascii="宋体" w:hAnsi="宋体" w:cs="宋体"/>
          <w:szCs w:val="21"/>
        </w:rPr>
      </w:pPr>
      <w:r>
        <w:rPr>
          <w:rFonts w:hint="eastAsia" w:ascii="宋体" w:hAnsi="宋体" w:cs="宋体"/>
          <w:szCs w:val="21"/>
        </w:rPr>
        <w:t>第六章  评标要求</w:t>
      </w:r>
    </w:p>
    <w:p>
      <w:pPr>
        <w:rPr>
          <w:rFonts w:ascii="宋体" w:hAnsi="宋体" w:cs="宋体"/>
          <w:szCs w:val="21"/>
        </w:rPr>
      </w:pPr>
      <w:r>
        <w:rPr>
          <w:rFonts w:hint="eastAsia" w:ascii="宋体" w:hAnsi="宋体" w:cs="宋体"/>
          <w:szCs w:val="21"/>
        </w:rPr>
        <w:t>第七章  评标程序及评标方法</w:t>
      </w:r>
    </w:p>
    <w:p>
      <w:pPr>
        <w:rPr>
          <w:rFonts w:ascii="宋体" w:hAnsi="宋体" w:cs="宋体"/>
          <w:szCs w:val="21"/>
        </w:rPr>
      </w:pPr>
      <w:r>
        <w:rPr>
          <w:rFonts w:hint="eastAsia" w:ascii="宋体" w:hAnsi="宋体" w:cs="宋体"/>
          <w:szCs w:val="21"/>
        </w:rPr>
        <w:t>第八章  定标及公示</w:t>
      </w:r>
    </w:p>
    <w:p>
      <w:pPr>
        <w:rPr>
          <w:rFonts w:ascii="宋体" w:hAnsi="宋体" w:cs="宋体"/>
          <w:szCs w:val="21"/>
        </w:rPr>
      </w:pPr>
      <w:r>
        <w:rPr>
          <w:rFonts w:hint="eastAsia" w:ascii="宋体" w:hAnsi="宋体" w:cs="宋体"/>
          <w:szCs w:val="21"/>
        </w:rPr>
        <w:t>第九章  公开招标失败的后续处理</w:t>
      </w:r>
    </w:p>
    <w:p>
      <w:pPr>
        <w:rPr>
          <w:rFonts w:ascii="宋体" w:hAnsi="宋体" w:cs="宋体"/>
          <w:szCs w:val="21"/>
        </w:rPr>
      </w:pPr>
      <w:r>
        <w:rPr>
          <w:rFonts w:hint="eastAsia" w:ascii="宋体" w:hAnsi="宋体" w:cs="宋体"/>
          <w:szCs w:val="21"/>
        </w:rPr>
        <w:t>第十章  合同的授予与备案</w:t>
      </w:r>
    </w:p>
    <w:p>
      <w:pPr>
        <w:rPr>
          <w:rFonts w:ascii="宋体" w:hAnsi="宋体"/>
          <w:szCs w:val="21"/>
        </w:rPr>
      </w:pPr>
      <w:r>
        <w:rPr>
          <w:rFonts w:hint="eastAsia" w:ascii="宋体" w:hAnsi="宋体" w:cs="宋体"/>
          <w:szCs w:val="21"/>
        </w:rPr>
        <w:t>第十一章</w:t>
      </w:r>
      <w:r>
        <w:rPr>
          <w:rFonts w:ascii="宋体" w:hAnsi="宋体" w:cs="宋体"/>
          <w:szCs w:val="21"/>
        </w:rPr>
        <w:t xml:space="preserve"> </w:t>
      </w:r>
      <w:r>
        <w:rPr>
          <w:rFonts w:hint="eastAsia" w:ascii="宋体" w:hAnsi="宋体" w:cs="宋体"/>
          <w:szCs w:val="21"/>
        </w:rPr>
        <w:t>质疑处理</w:t>
      </w:r>
    </w:p>
    <w:p>
      <w:pPr>
        <w:rPr>
          <w:rFonts w:ascii="宋体" w:hAnsi="宋体"/>
          <w:szCs w:val="21"/>
        </w:rPr>
      </w:pPr>
      <w:r>
        <w:rPr>
          <w:rFonts w:hint="eastAsia" w:ascii="宋体" w:hAnsi="宋体"/>
          <w:szCs w:val="21"/>
        </w:rPr>
        <w:t>第十二章 中标代理服务费</w:t>
      </w:r>
    </w:p>
    <w:p>
      <w:pPr>
        <w:rPr>
          <w:b/>
        </w:rPr>
      </w:pPr>
      <w:r>
        <w:rPr>
          <w:rFonts w:hint="eastAsia"/>
          <w:b/>
        </w:rPr>
        <w:t>备注：</w:t>
      </w:r>
    </w:p>
    <w:p>
      <w:pPr>
        <w:spacing w:line="360" w:lineRule="auto"/>
        <w:rPr>
          <w:rFonts w:hint="eastAsia" w:ascii="宋体" w:hAnsi="宋体" w:eastAsia="Times New Roman" w:cs="Times New Roman"/>
          <w:szCs w:val="21"/>
        </w:rPr>
      </w:pPr>
      <w:r>
        <w:rPr>
          <w:rFonts w:hint="eastAsia" w:ascii="宋体" w:hAnsi="宋体" w:eastAsia="Times New Roman" w:cs="Times New Roman"/>
          <w:szCs w:val="21"/>
        </w:rPr>
        <w:t>1.本招标文件分为第一册“专用条款”和第二册“通用条款”。</w:t>
      </w:r>
    </w:p>
    <w:p>
      <w:pPr>
        <w:spacing w:line="360" w:lineRule="auto"/>
        <w:rPr>
          <w:rFonts w:hint="eastAsia" w:ascii="宋体" w:hAnsi="宋体" w:eastAsia="Times New Roman" w:cs="Times New Roman"/>
          <w:szCs w:val="21"/>
        </w:rPr>
      </w:pPr>
      <w:r>
        <w:rPr>
          <w:rFonts w:hint="eastAsia" w:ascii="宋体" w:hAnsi="宋体" w:eastAsia="Times New Roman" w:cs="Times New Roman"/>
          <w:szCs w:val="21"/>
        </w:rPr>
        <w:t>2.“专用条款”是对本次采购项目的具体要求，包含招标公告、</w:t>
      </w:r>
      <w:r>
        <w:rPr>
          <w:rFonts w:hint="eastAsia" w:ascii="宋体" w:hAnsi="宋体" w:eastAsia="Times New Roman" w:cs="Times New Roman"/>
          <w:szCs w:val="21"/>
          <w:lang w:val="en-US" w:eastAsia="zh-CN"/>
        </w:rPr>
        <w:t>用户需求书</w:t>
      </w:r>
      <w:r>
        <w:rPr>
          <w:rFonts w:hint="eastAsia" w:ascii="宋体" w:hAnsi="宋体" w:eastAsia="Times New Roman" w:cs="Times New Roman"/>
          <w:szCs w:val="21"/>
        </w:rPr>
        <w:t>、投标文件格式、合同条款及格式、附件等内容。</w:t>
      </w:r>
    </w:p>
    <w:p>
      <w:pPr>
        <w:spacing w:line="360" w:lineRule="auto"/>
        <w:rPr>
          <w:rFonts w:hint="eastAsia" w:ascii="宋体" w:hAnsi="宋体" w:eastAsia="Times New Roman" w:cs="Times New Roman"/>
          <w:szCs w:val="21"/>
        </w:rPr>
      </w:pPr>
      <w:r>
        <w:rPr>
          <w:rFonts w:hint="eastAsia" w:ascii="宋体" w:hAnsi="宋体" w:eastAsia="Times New Roman" w:cs="Times New Roman"/>
          <w:szCs w:val="21"/>
        </w:rPr>
        <w:t>3.“通用条款”是通用于政府采购项目的基础性条款，具有普遍性和通用性。</w:t>
      </w:r>
    </w:p>
    <w:p>
      <w:pPr>
        <w:spacing w:line="360" w:lineRule="auto"/>
        <w:rPr>
          <w:rFonts w:hint="eastAsia" w:ascii="宋体" w:hAnsi="宋体" w:eastAsia="Times New Roman" w:cs="Times New Roman"/>
          <w:szCs w:val="21"/>
        </w:rPr>
      </w:pPr>
      <w:r>
        <w:rPr>
          <w:rFonts w:hint="eastAsia" w:ascii="宋体" w:hAnsi="宋体" w:eastAsia="Times New Roman" w:cs="Times New Roman"/>
          <w:szCs w:val="21"/>
        </w:rPr>
        <w:t>4.当出现“专用条款”和“通用条款”表述不一致或有冲突时，以“专用条款”为准。</w:t>
      </w:r>
    </w:p>
    <w:p>
      <w:pPr>
        <w:rPr>
          <w:rFonts w:ascii="宋体" w:hAnsi="宋体" w:eastAsia="宋体" w:cs="宋体"/>
          <w:b/>
          <w:bCs/>
          <w:color w:val="000000" w:themeColor="text1"/>
          <w:kern w:val="44"/>
          <w:sz w:val="36"/>
          <w:szCs w:val="44"/>
          <w14:textFill>
            <w14:solidFill>
              <w14:schemeClr w14:val="tx1"/>
            </w14:solidFill>
          </w14:textFill>
        </w:rPr>
      </w:pPr>
    </w:p>
    <w:p>
      <w:pPr>
        <w:keepNext/>
        <w:keepLines/>
        <w:spacing w:line="360" w:lineRule="auto"/>
        <w:jc w:val="center"/>
        <w:outlineLvl w:val="0"/>
        <w:rPr>
          <w:rFonts w:ascii="宋体" w:hAnsi="宋体" w:eastAsia="宋体" w:cs="宋体"/>
          <w:b/>
          <w:bCs/>
          <w:color w:val="000000" w:themeColor="text1"/>
          <w:kern w:val="44"/>
          <w:sz w:val="32"/>
          <w:szCs w:val="32"/>
          <w14:textFill>
            <w14:solidFill>
              <w14:schemeClr w14:val="tx1"/>
            </w14:solidFill>
          </w14:textFill>
        </w:rPr>
      </w:pPr>
      <w:r>
        <w:rPr>
          <w:rFonts w:hint="eastAsia" w:ascii="宋体" w:hAnsi="宋体" w:eastAsia="宋体" w:cs="宋体"/>
          <w:b/>
          <w:bCs/>
          <w:color w:val="000000" w:themeColor="text1"/>
          <w:kern w:val="44"/>
          <w:sz w:val="32"/>
          <w:szCs w:val="32"/>
          <w14:textFill>
            <w14:solidFill>
              <w14:schemeClr w14:val="tx1"/>
            </w14:solidFill>
          </w14:textFill>
        </w:rPr>
        <w:br w:type="page"/>
      </w:r>
      <w:r>
        <w:rPr>
          <w:rFonts w:hint="eastAsia" w:ascii="宋体" w:hAnsi="宋体" w:eastAsia="宋体" w:cs="宋体"/>
          <w:b/>
          <w:bCs/>
          <w:color w:val="000000" w:themeColor="text1"/>
          <w:kern w:val="44"/>
          <w:sz w:val="32"/>
          <w:szCs w:val="32"/>
          <w14:textFill>
            <w14:solidFill>
              <w14:schemeClr w14:val="tx1"/>
            </w14:solidFill>
          </w14:textFill>
        </w:rPr>
        <w:t>第一册专用条款</w:t>
      </w:r>
    </w:p>
    <w:p>
      <w:pPr>
        <w:spacing w:line="360" w:lineRule="auto"/>
        <w:jc w:val="center"/>
        <w:outlineLvl w:val="1"/>
        <w:rPr>
          <w:rFonts w:ascii="宋体" w:hAnsi="宋体" w:eastAsia="宋体" w:cs="宋体"/>
          <w:b/>
          <w:bCs/>
          <w:color w:val="000000" w:themeColor="text1"/>
          <w:kern w:val="44"/>
          <w:sz w:val="32"/>
          <w:szCs w:val="32"/>
          <w14:textFill>
            <w14:solidFill>
              <w14:schemeClr w14:val="tx1"/>
            </w14:solidFill>
          </w14:textFill>
        </w:rPr>
      </w:pPr>
      <w:r>
        <w:rPr>
          <w:rFonts w:hint="eastAsia" w:ascii="宋体" w:hAnsi="宋体" w:eastAsia="宋体" w:cs="宋体"/>
          <w:b/>
          <w:bCs/>
          <w:color w:val="000000" w:themeColor="text1"/>
          <w:kern w:val="44"/>
          <w:sz w:val="32"/>
          <w:szCs w:val="32"/>
          <w14:textFill>
            <w14:solidFill>
              <w14:schemeClr w14:val="tx1"/>
            </w14:solidFill>
          </w14:textFill>
        </w:rPr>
        <w:t>第一章 招标公告</w:t>
      </w:r>
    </w:p>
    <w:p>
      <w:pPr>
        <w:pBdr>
          <w:top w:val="single" w:color="auto" w:sz="4" w:space="1"/>
          <w:left w:val="single" w:color="auto" w:sz="4" w:space="4"/>
          <w:bottom w:val="single" w:color="auto" w:sz="4" w:space="1"/>
          <w:right w:val="single" w:color="auto" w:sz="4" w:space="4"/>
        </w:pBdr>
        <w:spacing w:line="360" w:lineRule="auto"/>
        <w:rPr>
          <w:rFonts w:ascii="宋体" w:hAnsi="宋体" w:eastAsia="宋体" w:cs="宋体"/>
        </w:rPr>
      </w:pPr>
      <w:r>
        <w:rPr>
          <w:rFonts w:hint="eastAsia" w:ascii="宋体" w:hAnsi="宋体" w:eastAsia="宋体" w:cs="宋体"/>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eastAsia="宋体" w:cs="宋体"/>
        </w:rPr>
      </w:pPr>
      <w:r>
        <w:rPr>
          <w:rFonts w:hint="eastAsia" w:ascii="宋体" w:hAnsi="宋体" w:eastAsia="宋体" w:cs="宋体"/>
          <w:u w:val="single"/>
          <w:lang w:eastAsia="zh-CN"/>
        </w:rPr>
        <w:t xml:space="preserve">白石洲学校南山区初中阶段理科实验教学与测评改革软硬件建设  </w:t>
      </w:r>
      <w:r>
        <w:rPr>
          <w:rFonts w:hint="eastAsia" w:ascii="宋体" w:hAnsi="宋体" w:eastAsia="宋体" w:cs="宋体"/>
        </w:rPr>
        <w:t>招标项目的潜在投标人应在（本公告附件中）获取招标文件，并于</w:t>
      </w:r>
      <w:r>
        <w:rPr>
          <w:rFonts w:hint="eastAsia" w:ascii="宋体" w:hAnsi="宋体" w:eastAsia="宋体" w:cs="宋体"/>
          <w:u w:val="single"/>
          <w:lang w:val="en-US" w:eastAsia="zh-CN"/>
        </w:rPr>
        <w:t xml:space="preserve"> 2024</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u w:val="single"/>
          <w:lang w:val="en-US" w:eastAsia="zh-CN"/>
        </w:rPr>
        <w:t>*</w:t>
      </w:r>
      <w:r>
        <w:rPr>
          <w:rFonts w:hint="eastAsia" w:ascii="宋体" w:hAnsi="宋体" w:eastAsia="宋体" w:cs="宋体"/>
          <w:u w:val="single"/>
        </w:rPr>
        <w:t xml:space="preserve"> </w:t>
      </w:r>
      <w:r>
        <w:rPr>
          <w:rFonts w:hint="eastAsia" w:ascii="宋体" w:hAnsi="宋体" w:eastAsia="宋体" w:cs="宋体"/>
        </w:rPr>
        <w:t>日</w:t>
      </w:r>
      <w:r>
        <w:rPr>
          <w:rFonts w:hint="eastAsia" w:ascii="宋体" w:hAnsi="宋体" w:eastAsia="宋体" w:cs="宋体"/>
          <w:u w:val="single"/>
          <w:lang w:val="en-US" w:eastAsia="zh-CN"/>
        </w:rPr>
        <w:t>**</w:t>
      </w:r>
      <w:r>
        <w:rPr>
          <w:rFonts w:hint="eastAsia" w:ascii="宋体" w:hAnsi="宋体" w:eastAsia="宋体" w:cs="宋体"/>
          <w:u w:val="single"/>
        </w:rPr>
        <w:t>:</w:t>
      </w:r>
      <w:r>
        <w:rPr>
          <w:rFonts w:hint="eastAsia" w:ascii="宋体" w:hAnsi="宋体" w:eastAsia="宋体" w:cs="宋体"/>
          <w:u w:val="single"/>
          <w:lang w:val="en-US" w:eastAsia="zh-CN"/>
        </w:rPr>
        <w:t>**</w:t>
      </w:r>
      <w:r>
        <w:rPr>
          <w:rFonts w:hint="eastAsia" w:ascii="宋体" w:hAnsi="宋体" w:eastAsia="宋体" w:cs="宋体"/>
        </w:rPr>
        <w:t>（北京时间）前递交投标文件。</w:t>
      </w:r>
    </w:p>
    <w:p>
      <w:pPr>
        <w:spacing w:line="360" w:lineRule="auto"/>
        <w:jc w:val="left"/>
        <w:outlineLvl w:val="9"/>
        <w:rPr>
          <w:rFonts w:ascii="宋体" w:hAnsi="宋体" w:eastAsia="宋体" w:cs="宋体"/>
          <w:szCs w:val="24"/>
        </w:rPr>
      </w:pPr>
      <w:r>
        <w:rPr>
          <w:rFonts w:hint="eastAsia" w:ascii="宋体" w:hAnsi="宋体" w:eastAsia="宋体" w:cs="宋体"/>
          <w:szCs w:val="24"/>
        </w:rPr>
        <w:t>一、项目基本情况：</w:t>
      </w:r>
    </w:p>
    <w:p>
      <w:pPr>
        <w:spacing w:line="360" w:lineRule="auto"/>
        <w:ind w:firstLine="480" w:firstLineChars="200"/>
        <w:rPr>
          <w:rFonts w:hint="eastAsia" w:ascii="宋体" w:hAnsi="宋体" w:eastAsia="宋体" w:cs="宋体"/>
          <w:lang w:eastAsia="zh-CN"/>
        </w:rPr>
      </w:pPr>
      <w:r>
        <w:rPr>
          <w:rFonts w:hint="eastAsia" w:ascii="宋体" w:hAnsi="宋体" w:eastAsia="宋体" w:cs="宋体"/>
        </w:rPr>
        <w:t>1.项目编号：</w:t>
      </w:r>
      <w:r>
        <w:rPr>
          <w:rFonts w:hint="eastAsia" w:ascii="宋体" w:hAnsi="宋体" w:eastAsia="宋体" w:cs="宋体"/>
          <w:lang w:eastAsia="zh-CN"/>
        </w:rPr>
        <w:t>NSDL2024000050</w:t>
      </w:r>
      <w:r>
        <w:rPr>
          <w:rFonts w:hint="eastAsia" w:ascii="宋体" w:hAnsi="宋体" w:eastAsia="宋体" w:cs="宋体"/>
        </w:rPr>
        <w:t xml:space="preserve"> </w:t>
      </w:r>
    </w:p>
    <w:p>
      <w:pPr>
        <w:spacing w:line="360" w:lineRule="auto"/>
        <w:ind w:firstLine="480" w:firstLineChars="200"/>
        <w:rPr>
          <w:rFonts w:hint="eastAsia" w:ascii="宋体" w:hAnsi="宋体" w:eastAsia="宋体" w:cs="宋体"/>
          <w:lang w:eastAsia="zh-CN"/>
        </w:rPr>
      </w:pPr>
      <w:r>
        <w:rPr>
          <w:rFonts w:hint="eastAsia" w:ascii="宋体" w:hAnsi="宋体" w:eastAsia="宋体" w:cs="宋体"/>
        </w:rPr>
        <w:t>2.项目名称：</w:t>
      </w:r>
      <w:r>
        <w:rPr>
          <w:rFonts w:hint="eastAsia" w:ascii="宋体" w:hAnsi="宋体" w:eastAsia="宋体" w:cs="宋体"/>
          <w:u w:val="none"/>
          <w:lang w:eastAsia="zh-CN"/>
        </w:rPr>
        <w:t xml:space="preserve">白石洲学校南山区初中阶段理科实验教学与测评改革软硬件建设  </w:t>
      </w:r>
    </w:p>
    <w:p>
      <w:pPr>
        <w:spacing w:line="360" w:lineRule="auto"/>
        <w:ind w:firstLine="480" w:firstLineChars="200"/>
        <w:rPr>
          <w:rFonts w:hint="eastAsia" w:ascii="宋体" w:hAnsi="宋体" w:eastAsia="宋体" w:cs="宋体"/>
          <w:color w:val="auto"/>
          <w:lang w:val="en-US" w:eastAsia="zh-CN"/>
        </w:rPr>
      </w:pPr>
      <w:r>
        <w:rPr>
          <w:rFonts w:hint="eastAsia" w:ascii="宋体" w:hAnsi="宋体" w:eastAsia="宋体" w:cs="宋体"/>
        </w:rPr>
        <w:t>3.预算金额（单位：元）</w:t>
      </w:r>
      <w:r>
        <w:rPr>
          <w:rFonts w:hint="eastAsia" w:ascii="宋体" w:hAnsi="宋体" w:eastAsia="宋体" w:cs="宋体"/>
          <w:color w:val="auto"/>
        </w:rPr>
        <w:t>：1410833.00</w:t>
      </w:r>
    </w:p>
    <w:p>
      <w:pPr>
        <w:spacing w:line="360" w:lineRule="auto"/>
        <w:ind w:firstLine="480" w:firstLineChars="200"/>
        <w:rPr>
          <w:rFonts w:hint="default" w:ascii="宋体" w:hAnsi="宋体" w:eastAsia="宋体" w:cs="宋体"/>
          <w:color w:val="auto"/>
          <w:lang w:val="en-US" w:eastAsia="zh-CN"/>
        </w:rPr>
      </w:pPr>
      <w:r>
        <w:rPr>
          <w:rFonts w:hint="eastAsia" w:ascii="宋体" w:hAnsi="宋体" w:eastAsia="宋体" w:cs="宋体"/>
          <w:color w:val="auto"/>
        </w:rPr>
        <w:t>4.最高限价（单位：元）：</w:t>
      </w:r>
      <w:r>
        <w:rPr>
          <w:rFonts w:hint="eastAsia" w:ascii="宋体" w:hAnsi="宋体" w:eastAsia="宋体" w:cs="宋体"/>
          <w:color w:val="auto"/>
          <w:lang w:val="en-US" w:eastAsia="zh-CN"/>
        </w:rPr>
        <w:t>1370833.00</w:t>
      </w:r>
    </w:p>
    <w:p>
      <w:pPr>
        <w:spacing w:line="360" w:lineRule="auto"/>
        <w:ind w:firstLine="480" w:firstLineChars="200"/>
        <w:rPr>
          <w:rFonts w:ascii="宋体" w:hAnsi="宋体" w:eastAsia="宋体" w:cs="宋体"/>
        </w:rPr>
      </w:pPr>
      <w:r>
        <w:rPr>
          <w:rFonts w:hint="eastAsia" w:ascii="宋体" w:hAnsi="宋体" w:eastAsia="宋体" w:cs="宋体"/>
        </w:rPr>
        <w:t>5.采购需求：</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25"/>
        <w:gridCol w:w="1011"/>
        <w:gridCol w:w="1076"/>
        <w:gridCol w:w="1897"/>
        <w:gridCol w:w="13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95" w:type="dxa"/>
            <w:vAlign w:val="center"/>
          </w:tcPr>
          <w:p>
            <w:pPr>
              <w:widowControl/>
              <w:spacing w:line="360" w:lineRule="auto"/>
              <w:jc w:val="center"/>
              <w:rPr>
                <w:rFonts w:ascii="宋体" w:hAnsi="宋体" w:eastAsia="宋体" w:cs="宋体"/>
              </w:rPr>
            </w:pPr>
            <w:r>
              <w:rPr>
                <w:rFonts w:hint="eastAsia" w:ascii="宋体" w:hAnsi="宋体" w:eastAsia="宋体" w:cs="宋体"/>
                <w:lang w:val="en-US" w:eastAsia="zh-CN"/>
              </w:rPr>
              <w:t>项目</w:t>
            </w:r>
            <w:r>
              <w:rPr>
                <w:rFonts w:hint="eastAsia" w:ascii="宋体" w:hAnsi="宋体" w:eastAsia="宋体" w:cs="宋体"/>
              </w:rPr>
              <w:t>名称</w:t>
            </w:r>
          </w:p>
        </w:tc>
        <w:tc>
          <w:tcPr>
            <w:tcW w:w="1065" w:type="dxa"/>
            <w:vAlign w:val="center"/>
          </w:tcPr>
          <w:p>
            <w:pPr>
              <w:widowControl/>
              <w:spacing w:line="360" w:lineRule="auto"/>
              <w:jc w:val="center"/>
              <w:rPr>
                <w:rFonts w:ascii="宋体" w:hAnsi="宋体" w:eastAsia="宋体" w:cs="宋体"/>
              </w:rPr>
            </w:pPr>
            <w:r>
              <w:rPr>
                <w:rFonts w:hint="eastAsia" w:ascii="宋体" w:hAnsi="宋体" w:eastAsia="宋体" w:cs="宋体"/>
              </w:rPr>
              <w:t>数量</w:t>
            </w:r>
          </w:p>
        </w:tc>
        <w:tc>
          <w:tcPr>
            <w:tcW w:w="1136" w:type="dxa"/>
            <w:vAlign w:val="center"/>
          </w:tcPr>
          <w:p>
            <w:pPr>
              <w:widowControl/>
              <w:spacing w:line="360" w:lineRule="auto"/>
              <w:jc w:val="center"/>
              <w:rPr>
                <w:rFonts w:ascii="宋体" w:hAnsi="宋体" w:eastAsia="宋体" w:cs="宋体"/>
              </w:rPr>
            </w:pPr>
            <w:r>
              <w:rPr>
                <w:rFonts w:hint="eastAsia" w:ascii="宋体" w:hAnsi="宋体" w:eastAsia="宋体" w:cs="宋体"/>
              </w:rPr>
              <w:t>单位</w:t>
            </w:r>
          </w:p>
        </w:tc>
        <w:tc>
          <w:tcPr>
            <w:tcW w:w="2014" w:type="dxa"/>
            <w:vAlign w:val="center"/>
          </w:tcPr>
          <w:p>
            <w:pPr>
              <w:widowControl/>
              <w:spacing w:line="360" w:lineRule="auto"/>
              <w:jc w:val="center"/>
              <w:rPr>
                <w:rFonts w:ascii="宋体" w:hAnsi="宋体" w:eastAsia="宋体" w:cs="宋体"/>
              </w:rPr>
            </w:pPr>
            <w:r>
              <w:rPr>
                <w:rFonts w:hint="eastAsia" w:ascii="宋体" w:hAnsi="宋体" w:eastAsia="宋体" w:cs="宋体"/>
              </w:rPr>
              <w:t>简要技术需求（服务需求）</w:t>
            </w:r>
          </w:p>
        </w:tc>
        <w:tc>
          <w:tcPr>
            <w:tcW w:w="1396" w:type="dxa"/>
            <w:vAlign w:val="center"/>
          </w:tcPr>
          <w:p>
            <w:pPr>
              <w:widowControl/>
              <w:spacing w:line="360" w:lineRule="auto"/>
              <w:jc w:val="center"/>
              <w:rPr>
                <w:rFonts w:ascii="宋体" w:hAnsi="宋体" w:eastAsia="宋体" w:cs="宋体"/>
              </w:rPr>
            </w:pPr>
            <w:r>
              <w:rPr>
                <w:rFonts w:hint="eastAsia" w:ascii="宋体" w:hAnsi="宋体" w:eastAsia="宋体" w:cs="宋体"/>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95" w:type="dxa"/>
            <w:vAlign w:val="center"/>
          </w:tcPr>
          <w:p>
            <w:pPr>
              <w:widowControl/>
              <w:spacing w:line="360" w:lineRule="auto"/>
              <w:jc w:val="center"/>
              <w:rPr>
                <w:rFonts w:hint="eastAsia" w:ascii="宋体" w:hAnsi="宋体" w:eastAsia="宋体" w:cs="宋体"/>
                <w:lang w:eastAsia="zh-CN"/>
              </w:rPr>
            </w:pPr>
            <w:r>
              <w:rPr>
                <w:rFonts w:hint="eastAsia" w:ascii="宋体" w:hAnsi="宋体" w:eastAsia="宋体" w:cs="宋体"/>
                <w:u w:val="none"/>
                <w:lang w:eastAsia="zh-CN"/>
              </w:rPr>
              <w:t xml:space="preserve">白石洲学校南山区初中阶段理科实验教学与测评改革软硬件建设  </w:t>
            </w:r>
          </w:p>
        </w:tc>
        <w:tc>
          <w:tcPr>
            <w:tcW w:w="1065" w:type="dxa"/>
            <w:vAlign w:val="center"/>
          </w:tcPr>
          <w:p>
            <w:pPr>
              <w:widowControl/>
              <w:spacing w:line="360" w:lineRule="auto"/>
              <w:jc w:val="center"/>
              <w:rPr>
                <w:rFonts w:ascii="宋体" w:hAnsi="宋体" w:eastAsia="宋体" w:cs="宋体"/>
              </w:rPr>
            </w:pPr>
            <w:r>
              <w:rPr>
                <w:rFonts w:hint="eastAsia" w:ascii="宋体" w:hAnsi="宋体" w:eastAsia="宋体" w:cs="宋体"/>
              </w:rPr>
              <w:t>1</w:t>
            </w:r>
          </w:p>
        </w:tc>
        <w:tc>
          <w:tcPr>
            <w:tcW w:w="1136" w:type="dxa"/>
            <w:vAlign w:val="center"/>
          </w:tcPr>
          <w:p>
            <w:pPr>
              <w:widowControl/>
              <w:spacing w:line="360" w:lineRule="auto"/>
              <w:jc w:val="center"/>
              <w:rPr>
                <w:rFonts w:ascii="宋体" w:hAnsi="宋体" w:eastAsia="宋体" w:cs="宋体"/>
              </w:rPr>
            </w:pPr>
            <w:r>
              <w:rPr>
                <w:rFonts w:hint="eastAsia" w:ascii="宋体" w:hAnsi="宋体" w:eastAsia="宋体" w:cs="宋体"/>
              </w:rPr>
              <w:t>项</w:t>
            </w:r>
          </w:p>
        </w:tc>
        <w:tc>
          <w:tcPr>
            <w:tcW w:w="2014" w:type="dxa"/>
            <w:vAlign w:val="center"/>
          </w:tcPr>
          <w:p>
            <w:pPr>
              <w:widowControl/>
              <w:spacing w:line="360" w:lineRule="auto"/>
              <w:jc w:val="center"/>
              <w:rPr>
                <w:rFonts w:ascii="宋体" w:hAnsi="宋体" w:eastAsia="宋体" w:cs="宋体"/>
              </w:rPr>
            </w:pPr>
            <w:r>
              <w:rPr>
                <w:rFonts w:hint="eastAsia" w:ascii="宋体" w:hAnsi="宋体" w:eastAsia="宋体" w:cs="宋体"/>
              </w:rPr>
              <w:t>详见招标文件</w:t>
            </w:r>
          </w:p>
        </w:tc>
        <w:tc>
          <w:tcPr>
            <w:tcW w:w="1396" w:type="dxa"/>
            <w:vAlign w:val="center"/>
          </w:tcPr>
          <w:p>
            <w:pPr>
              <w:widowControl/>
              <w:spacing w:line="360" w:lineRule="auto"/>
              <w:jc w:val="center"/>
              <w:rPr>
                <w:rFonts w:ascii="宋体" w:hAnsi="宋体" w:eastAsia="宋体" w:cs="宋体"/>
              </w:rPr>
            </w:pPr>
            <w:r>
              <w:rPr>
                <w:rFonts w:hint="eastAsia" w:ascii="宋体" w:hAnsi="宋体" w:eastAsia="宋体" w:cs="宋体"/>
              </w:rPr>
              <w:t>/</w:t>
            </w:r>
          </w:p>
        </w:tc>
      </w:tr>
    </w:tbl>
    <w:p>
      <w:pPr>
        <w:spacing w:line="360" w:lineRule="auto"/>
        <w:ind w:firstLine="480" w:firstLineChars="200"/>
        <w:rPr>
          <w:rFonts w:ascii="宋体" w:hAnsi="宋体" w:eastAsia="宋体" w:cs="宋体"/>
        </w:rPr>
      </w:pPr>
      <w:r>
        <w:rPr>
          <w:rFonts w:hint="eastAsia" w:ascii="宋体" w:hAnsi="宋体" w:eastAsia="宋体" w:cs="宋体"/>
        </w:rPr>
        <w:t>6.合同履行期限：详见招标文件用户需求书。</w:t>
      </w:r>
    </w:p>
    <w:p>
      <w:pPr>
        <w:spacing w:line="360" w:lineRule="auto"/>
        <w:ind w:firstLine="480" w:firstLineChars="200"/>
        <w:rPr>
          <w:rFonts w:ascii="宋体" w:hAnsi="宋体" w:eastAsia="宋体" w:cs="宋体"/>
        </w:rPr>
      </w:pPr>
      <w:r>
        <w:rPr>
          <w:rFonts w:hint="eastAsia" w:ascii="宋体" w:hAnsi="宋体" w:eastAsia="宋体" w:cs="宋体"/>
        </w:rPr>
        <w:t>7.本项目</w:t>
      </w:r>
      <w:r>
        <w:rPr>
          <w:rFonts w:hint="eastAsia" w:ascii="宋体" w:hAnsi="宋体" w:eastAsia="宋体" w:cs="宋体"/>
          <w:lang w:val="en-US" w:eastAsia="zh-CN"/>
        </w:rPr>
        <w:t>是</w:t>
      </w:r>
      <w:r>
        <w:rPr>
          <w:rFonts w:hint="eastAsia" w:ascii="宋体" w:hAnsi="宋体" w:eastAsia="宋体" w:cs="宋体"/>
        </w:rPr>
        <w:t>否接受联合体投标，详见“申请人的资格要求”。</w:t>
      </w:r>
    </w:p>
    <w:p>
      <w:pPr>
        <w:spacing w:line="360" w:lineRule="auto"/>
        <w:jc w:val="left"/>
        <w:outlineLvl w:val="9"/>
        <w:rPr>
          <w:rFonts w:ascii="宋体" w:hAnsi="宋体" w:eastAsia="宋体" w:cs="宋体"/>
          <w:bCs/>
          <w:szCs w:val="24"/>
        </w:rPr>
      </w:pPr>
      <w:r>
        <w:rPr>
          <w:rFonts w:hint="eastAsia" w:ascii="宋体" w:hAnsi="宋体" w:eastAsia="宋体" w:cs="宋体"/>
          <w:bCs/>
          <w:szCs w:val="24"/>
        </w:rPr>
        <w:t>二、申请人的资格要求：</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Cs/>
          <w:szCs w:val="24"/>
        </w:rPr>
      </w:pPr>
      <w:r>
        <w:rPr>
          <w:rFonts w:hint="eastAsia" w:ascii="宋体" w:hAnsi="宋体" w:eastAsia="宋体" w:cs="宋体"/>
          <w:bCs/>
          <w:szCs w:val="24"/>
        </w:rPr>
        <w:t>1</w:t>
      </w:r>
      <w:r>
        <w:rPr>
          <w:rFonts w:hint="eastAsia" w:ascii="宋体" w:hAnsi="宋体" w:eastAsia="宋体" w:cs="宋体"/>
          <w:bCs/>
          <w:szCs w:val="24"/>
          <w:lang w:val="en-US" w:eastAsia="zh-CN"/>
        </w:rPr>
        <w:t>.具有独立法人资格或具有独立承担民事责任的能力的其它组织（提供营业执照或事业单位法人证等法人证明扫描件，原件备查）</w:t>
      </w:r>
      <w:r>
        <w:rPr>
          <w:rFonts w:hint="eastAsia"/>
        </w:rPr>
        <w:t>；</w:t>
      </w:r>
      <w:r>
        <w:rPr>
          <w:rFonts w:hint="eastAsia" w:ascii="宋体" w:hAnsi="宋体" w:cs="宋体"/>
          <w:kern w:val="0"/>
          <w:szCs w:val="21"/>
          <w:highlight w:val="none"/>
        </w:rPr>
        <w:t>总公司或者分公司只允许一家投标，不允许同时参与本项目投标，以分公司名义参与投标的，须提供总公司或具有独立法人资格的上一级公司出具的愿为其参与本项目投标以及履约等行为承担民事责任的加盖总公司公章的授权函，并提供总公司及分公司的营业执照扫描件，原件备查）。</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Cs/>
          <w:szCs w:val="24"/>
        </w:rPr>
      </w:pPr>
      <w:r>
        <w:rPr>
          <w:rFonts w:hint="eastAsia" w:ascii="宋体" w:hAnsi="宋体" w:eastAsia="宋体" w:cs="宋体"/>
          <w:bCs/>
          <w:szCs w:val="24"/>
        </w:rPr>
        <w:t>2</w:t>
      </w:r>
      <w:r>
        <w:rPr>
          <w:rFonts w:hint="eastAsia" w:ascii="宋体" w:hAnsi="宋体" w:eastAsia="宋体" w:cs="宋体"/>
          <w:bCs/>
          <w:szCs w:val="24"/>
          <w:lang w:val="en-US" w:eastAsia="zh-CN"/>
        </w:rPr>
        <w:t>.</w:t>
      </w:r>
      <w:r>
        <w:rPr>
          <w:rFonts w:hint="eastAsia" w:ascii="宋体" w:hAnsi="宋体" w:eastAsia="宋体" w:cs="宋体"/>
          <w:bCs/>
          <w:szCs w:val="24"/>
        </w:rPr>
        <w:t>满足《中华人民共和国政府采购法》第二十二条第一款的条件（在《政府采购投标及履约承诺函》中作出声明）。</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Cs/>
          <w:szCs w:val="24"/>
        </w:rPr>
      </w:pPr>
      <w:r>
        <w:rPr>
          <w:rFonts w:hint="eastAsia" w:ascii="宋体" w:hAnsi="宋体" w:eastAsia="宋体" w:cs="宋体"/>
          <w:bCs/>
          <w:szCs w:val="24"/>
        </w:rPr>
        <w:t>3</w:t>
      </w:r>
      <w:r>
        <w:rPr>
          <w:rFonts w:hint="eastAsia" w:ascii="宋体" w:hAnsi="宋体" w:eastAsia="宋体" w:cs="宋体"/>
          <w:bCs/>
          <w:szCs w:val="24"/>
          <w:lang w:val="en-US" w:eastAsia="zh-CN"/>
        </w:rPr>
        <w:t>.</w:t>
      </w:r>
      <w:r>
        <w:rPr>
          <w:rFonts w:hint="eastAsia" w:ascii="宋体" w:hAnsi="宋体" w:eastAsia="宋体" w:cs="宋体"/>
          <w:bCs/>
          <w:szCs w:val="24"/>
        </w:rPr>
        <w:t>参与本项目投标前三年内，在经营活动中没有重大违法记录（在《政府采购投标及履约承诺函》中作出声明）。</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Cs/>
          <w:szCs w:val="24"/>
        </w:rPr>
      </w:pPr>
      <w:r>
        <w:rPr>
          <w:rFonts w:hint="eastAsia" w:ascii="宋体" w:hAnsi="宋体" w:eastAsia="宋体" w:cs="宋体"/>
          <w:bCs/>
          <w:szCs w:val="24"/>
        </w:rPr>
        <w:t>4</w:t>
      </w:r>
      <w:r>
        <w:rPr>
          <w:rFonts w:hint="eastAsia" w:ascii="宋体" w:hAnsi="宋体" w:eastAsia="宋体" w:cs="宋体"/>
          <w:bCs/>
          <w:szCs w:val="24"/>
          <w:lang w:val="en-US" w:eastAsia="zh-CN"/>
        </w:rPr>
        <w:t>.</w:t>
      </w:r>
      <w:r>
        <w:rPr>
          <w:rFonts w:hint="eastAsia" w:ascii="宋体" w:hAnsi="宋体" w:eastAsia="宋体" w:cs="宋体"/>
          <w:bCs/>
          <w:szCs w:val="24"/>
        </w:rPr>
        <w:t>参与本项目政府采购活动时不存在被有关部门禁止参与政府采购活动且在有效期内的情况（在《政府采购投标及履约承诺函》中作出声明）。</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Cs/>
          <w:szCs w:val="24"/>
        </w:rPr>
      </w:pPr>
      <w:r>
        <w:rPr>
          <w:rFonts w:hint="eastAsia" w:ascii="宋体" w:hAnsi="宋体" w:eastAsia="宋体" w:cs="宋体"/>
          <w:bCs/>
          <w:szCs w:val="24"/>
        </w:rPr>
        <w:t>5</w:t>
      </w:r>
      <w:r>
        <w:rPr>
          <w:rFonts w:hint="eastAsia" w:ascii="宋体" w:hAnsi="宋体" w:eastAsia="宋体" w:cs="宋体"/>
          <w:bCs/>
          <w:szCs w:val="24"/>
          <w:lang w:val="en-US" w:eastAsia="zh-CN"/>
        </w:rPr>
        <w:t>.</w:t>
      </w:r>
      <w:r>
        <w:rPr>
          <w:rFonts w:hint="eastAsia" w:ascii="宋体" w:hAnsi="宋体" w:eastAsia="宋体" w:cs="宋体"/>
          <w:bCs/>
          <w:szCs w:val="24"/>
        </w:rPr>
        <w:t>未被列入失信被执行人、重大税收违法案件当事人名单、政府采购严重违法失信行为记录名单（在《政府采购投标及履约承诺函》中作出声明。注：“信用中国”、“中国政府采购网”、“深圳信用网”以及“深圳市政府采购监管网”为信息查询渠道，相关信息以开标当日的查询结果为准）。</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Cs/>
          <w:szCs w:val="24"/>
        </w:rPr>
      </w:pPr>
      <w:r>
        <w:rPr>
          <w:rFonts w:hint="eastAsia" w:ascii="宋体" w:hAnsi="宋体" w:eastAsia="宋体" w:cs="宋体"/>
          <w:bCs/>
          <w:szCs w:val="24"/>
        </w:rPr>
        <w:t>6</w:t>
      </w:r>
      <w:r>
        <w:rPr>
          <w:rFonts w:hint="eastAsia" w:ascii="宋体" w:hAnsi="宋体" w:eastAsia="宋体" w:cs="宋体"/>
          <w:bCs/>
          <w:szCs w:val="24"/>
          <w:lang w:val="en-US" w:eastAsia="zh-CN"/>
        </w:rPr>
        <w:t>.</w:t>
      </w:r>
      <w:r>
        <w:rPr>
          <w:rFonts w:hint="eastAsia" w:ascii="宋体" w:hAnsi="宋体" w:eastAsia="宋体" w:cs="宋体"/>
          <w:bCs/>
          <w:szCs w:val="24"/>
        </w:rPr>
        <w:t>本项目不接受联合体投标,不允许转包、分包，不允许投标人选用进口产品参与投标。</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Cs/>
          <w:szCs w:val="24"/>
        </w:rPr>
      </w:pPr>
      <w:r>
        <w:rPr>
          <w:rFonts w:hint="eastAsia" w:ascii="宋体" w:hAnsi="宋体" w:eastAsia="宋体" w:cs="宋体"/>
          <w:bCs/>
          <w:szCs w:val="24"/>
        </w:rPr>
        <w:t>7</w:t>
      </w:r>
      <w:r>
        <w:rPr>
          <w:rFonts w:hint="eastAsia" w:ascii="宋体" w:hAnsi="宋体" w:eastAsia="宋体" w:cs="宋体"/>
          <w:bCs/>
          <w:szCs w:val="24"/>
          <w:lang w:val="en-US" w:eastAsia="zh-CN"/>
        </w:rPr>
        <w:t>.</w:t>
      </w:r>
      <w:r>
        <w:rPr>
          <w:rFonts w:hint="eastAsia" w:ascii="宋体" w:hAnsi="宋体" w:eastAsia="宋体" w:cs="宋体"/>
          <w:bCs/>
          <w:szCs w:val="24"/>
        </w:rPr>
        <w:t xml:space="preserve">单位负责人为同一人或者存在直接控股、管理关系的不同供应商，不得参加同一合同项下的政府采购活动；为采购项目提供整体设计、规范编制或者项目管理、监理、检测等服务的供应商，不得再参加该采购项目的其他采购活动（在《政府采购投标及履约承诺函》中作出声明）。 </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Cs/>
          <w:szCs w:val="24"/>
        </w:rPr>
      </w:pPr>
      <w:r>
        <w:rPr>
          <w:rFonts w:hint="eastAsia" w:ascii="宋体" w:hAnsi="宋体" w:eastAsia="宋体" w:cs="宋体"/>
          <w:bCs/>
          <w:szCs w:val="24"/>
        </w:rPr>
        <w:t>8</w:t>
      </w:r>
      <w:r>
        <w:rPr>
          <w:rFonts w:hint="eastAsia" w:ascii="宋体" w:hAnsi="宋体" w:eastAsia="宋体" w:cs="宋体"/>
          <w:bCs/>
          <w:szCs w:val="24"/>
          <w:lang w:val="en-US" w:eastAsia="zh-CN"/>
        </w:rPr>
        <w:t>.</w:t>
      </w:r>
      <w:r>
        <w:rPr>
          <w:rFonts w:hAnsi="宋体"/>
        </w:rPr>
        <w:t>落实政府采购政策需满足的资格要求：本项目</w:t>
      </w:r>
      <w:r>
        <w:rPr>
          <w:rFonts w:hint="eastAsia" w:hAnsi="宋体"/>
        </w:rPr>
        <w:t>不属于</w:t>
      </w:r>
      <w:r>
        <w:rPr>
          <w:rFonts w:hint="eastAsia"/>
        </w:rPr>
        <w:t>专门面向中小企业采购的项目</w:t>
      </w:r>
      <w:r>
        <w:rPr>
          <w:rFonts w:hint="eastAsia" w:ascii="宋体" w:hAnsi="宋体" w:eastAsia="宋体" w:cs="宋体"/>
          <w:bCs/>
          <w:szCs w:val="24"/>
        </w:rPr>
        <w:t>。</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default" w:ascii="宋体" w:hAnsi="宋体" w:eastAsia="宋体" w:cs="宋体"/>
          <w:bCs/>
          <w:szCs w:val="24"/>
          <w:lang w:val="en-US" w:eastAsia="zh-CN"/>
        </w:rPr>
      </w:pPr>
      <w:r>
        <w:rPr>
          <w:rFonts w:hint="eastAsia" w:ascii="宋体" w:hAnsi="宋体" w:eastAsia="宋体" w:cs="宋体"/>
          <w:bCs/>
          <w:szCs w:val="24"/>
        </w:rPr>
        <w:t xml:space="preserve"> </w:t>
      </w:r>
      <w:r>
        <w:rPr>
          <w:rFonts w:hint="eastAsia" w:ascii="宋体" w:hAnsi="宋体" w:eastAsia="宋体" w:cs="宋体"/>
          <w:bCs/>
          <w:szCs w:val="24"/>
          <w:lang w:val="en-US" w:eastAsia="zh-CN"/>
        </w:rPr>
        <w:t>9.本项目的特定资格要求：无。</w:t>
      </w:r>
    </w:p>
    <w:p>
      <w:pPr>
        <w:keepNext w:val="0"/>
        <w:keepLines w:val="0"/>
        <w:pageBreakBefore w:val="0"/>
        <w:widowControl/>
        <w:kinsoku/>
        <w:wordWrap/>
        <w:overflowPunct/>
        <w:topLinePunct w:val="0"/>
        <w:autoSpaceDE/>
        <w:autoSpaceDN/>
        <w:bidi w:val="0"/>
        <w:adjustRightInd/>
        <w:snapToGrid/>
        <w:spacing w:line="360" w:lineRule="auto"/>
        <w:jc w:val="left"/>
        <w:textAlignment w:val="auto"/>
        <w:outlineLvl w:val="9"/>
        <w:rPr>
          <w:rFonts w:ascii="宋体" w:hAnsi="宋体" w:eastAsia="宋体" w:cs="宋体"/>
          <w:bCs/>
          <w:szCs w:val="24"/>
        </w:rPr>
      </w:pPr>
      <w:r>
        <w:rPr>
          <w:rFonts w:hint="eastAsia" w:ascii="宋体" w:hAnsi="宋体" w:eastAsia="宋体" w:cs="宋体"/>
          <w:bCs/>
          <w:szCs w:val="24"/>
        </w:rPr>
        <w:t>三、获取招标文件</w:t>
      </w:r>
    </w:p>
    <w:p>
      <w:pPr>
        <w:spacing w:line="360" w:lineRule="auto"/>
        <w:ind w:firstLine="480" w:firstLineChars="200"/>
        <w:rPr>
          <w:rFonts w:ascii="宋体" w:hAnsi="宋体" w:eastAsia="宋体" w:cs="宋体"/>
        </w:rPr>
      </w:pPr>
      <w:r>
        <w:rPr>
          <w:rFonts w:hint="eastAsia" w:ascii="宋体" w:hAnsi="宋体" w:eastAsia="宋体" w:cs="宋体"/>
        </w:rPr>
        <w:t>时间：</w:t>
      </w:r>
      <w:r>
        <w:rPr>
          <w:rFonts w:hint="eastAsia" w:ascii="宋体" w:hAnsi="宋体" w:eastAsia="宋体" w:cs="宋体"/>
          <w:color w:val="0000FF"/>
          <w:u w:val="single"/>
          <w:lang w:eastAsia="zh-CN"/>
        </w:rPr>
        <w:t xml:space="preserve"> 202</w:t>
      </w:r>
      <w:r>
        <w:rPr>
          <w:rFonts w:hint="eastAsia" w:ascii="宋体" w:hAnsi="宋体" w:eastAsia="宋体" w:cs="宋体"/>
          <w:color w:val="0000FF"/>
          <w:u w:val="single"/>
          <w:lang w:val="en-US" w:eastAsia="zh-CN"/>
        </w:rPr>
        <w:t>4</w:t>
      </w:r>
      <w:r>
        <w:rPr>
          <w:rFonts w:hint="eastAsia" w:ascii="宋体" w:hAnsi="宋体" w:eastAsia="宋体" w:cs="宋体"/>
          <w:color w:val="0000FF"/>
          <w:u w:val="single"/>
        </w:rPr>
        <w:t>年*月*日至</w:t>
      </w:r>
      <w:r>
        <w:rPr>
          <w:rFonts w:hint="eastAsia" w:ascii="宋体" w:hAnsi="宋体" w:eastAsia="宋体" w:cs="宋体"/>
          <w:color w:val="0000FF"/>
          <w:u w:val="single"/>
          <w:lang w:eastAsia="zh-CN"/>
        </w:rPr>
        <w:t xml:space="preserve"> 202</w:t>
      </w:r>
      <w:r>
        <w:rPr>
          <w:rFonts w:hint="eastAsia" w:ascii="宋体" w:hAnsi="宋体" w:eastAsia="宋体" w:cs="宋体"/>
          <w:color w:val="0000FF"/>
          <w:u w:val="single"/>
          <w:lang w:val="en-US" w:eastAsia="zh-CN"/>
        </w:rPr>
        <w:t>4</w:t>
      </w:r>
      <w:r>
        <w:rPr>
          <w:rFonts w:hint="eastAsia" w:ascii="宋体" w:hAnsi="宋体" w:eastAsia="宋体" w:cs="宋体"/>
          <w:color w:val="0000FF"/>
          <w:u w:val="single"/>
        </w:rPr>
        <w:t>年*月*日（北京时间）。</w:t>
      </w:r>
    </w:p>
    <w:p>
      <w:pPr>
        <w:spacing w:line="360" w:lineRule="auto"/>
        <w:ind w:firstLine="480" w:firstLineChars="200"/>
        <w:rPr>
          <w:rFonts w:ascii="宋体" w:hAnsi="宋体" w:eastAsia="宋体" w:cs="宋体"/>
        </w:rPr>
      </w:pPr>
      <w:r>
        <w:rPr>
          <w:rFonts w:hint="eastAsia" w:ascii="宋体" w:hAnsi="宋体" w:eastAsia="宋体" w:cs="宋体"/>
        </w:rPr>
        <w:t>地点：登录深圳政府采购智慧平台（http://zfcg.szggzy.com:8081/）下载本项目的招标文件。</w:t>
      </w:r>
    </w:p>
    <w:p>
      <w:pPr>
        <w:spacing w:line="360" w:lineRule="auto"/>
        <w:ind w:firstLine="480" w:firstLineChars="200"/>
        <w:rPr>
          <w:rFonts w:ascii="宋体" w:hAnsi="宋体" w:eastAsia="宋体" w:cs="宋体"/>
        </w:rPr>
      </w:pPr>
      <w:r>
        <w:rPr>
          <w:rFonts w:hint="eastAsia" w:ascii="宋体" w:hAnsi="宋体" w:eastAsia="宋体" w:cs="宋体"/>
        </w:rPr>
        <w:t>方式：在线下载。</w:t>
      </w:r>
    </w:p>
    <w:p>
      <w:pPr>
        <w:spacing w:line="360" w:lineRule="auto"/>
        <w:ind w:firstLine="480" w:firstLineChars="200"/>
        <w:rPr>
          <w:rFonts w:ascii="宋体" w:hAnsi="宋体" w:eastAsia="宋体" w:cs="宋体"/>
        </w:rPr>
      </w:pPr>
      <w:r>
        <w:rPr>
          <w:rFonts w:hint="eastAsia" w:ascii="宋体" w:hAnsi="宋体" w:eastAsia="宋体" w:cs="宋体"/>
        </w:rPr>
        <w:t>售价：</w:t>
      </w:r>
      <w:r>
        <w:rPr>
          <w:rFonts w:hint="eastAsia" w:ascii="宋体" w:hAnsi="宋体" w:eastAsia="宋体" w:cs="宋体"/>
          <w:u w:val="single"/>
        </w:rPr>
        <w:t>0元</w:t>
      </w:r>
      <w:r>
        <w:rPr>
          <w:rFonts w:hint="eastAsia" w:ascii="宋体" w:hAnsi="宋体" w:eastAsia="宋体" w:cs="宋体"/>
        </w:rPr>
        <w:t>。</w:t>
      </w:r>
    </w:p>
    <w:p>
      <w:pPr>
        <w:wordWrap w:val="0"/>
        <w:spacing w:line="360" w:lineRule="auto"/>
        <w:ind w:firstLine="480" w:firstLineChars="200"/>
        <w:rPr>
          <w:rFonts w:ascii="宋体" w:hAnsi="宋体" w:eastAsia="宋体" w:cs="宋体"/>
        </w:rPr>
      </w:pPr>
      <w:r>
        <w:rPr>
          <w:rFonts w:hint="eastAsia" w:ascii="宋体" w:hAnsi="宋体" w:eastAsia="宋体" w:cs="宋体"/>
        </w:rPr>
        <w:t>凡已注册的深圳市网上政府采购供应商，按照授予的操作权限，可于</w:t>
      </w:r>
      <w:r>
        <w:rPr>
          <w:rFonts w:hint="eastAsia" w:ascii="宋体" w:hAnsi="宋体" w:eastAsia="宋体" w:cs="宋体"/>
          <w:color w:val="0000FF"/>
          <w:u w:val="single"/>
          <w:lang w:eastAsia="zh-CN"/>
        </w:rPr>
        <w:t xml:space="preserve"> 2023</w:t>
      </w:r>
      <w:r>
        <w:rPr>
          <w:rFonts w:hint="eastAsia" w:ascii="宋体" w:hAnsi="宋体" w:eastAsia="宋体" w:cs="宋体"/>
          <w:color w:val="0000FF"/>
        </w:rPr>
        <w:t>年</w:t>
      </w:r>
      <w:r>
        <w:rPr>
          <w:rFonts w:hint="eastAsia" w:ascii="宋体" w:hAnsi="宋体" w:eastAsia="宋体" w:cs="宋体"/>
          <w:color w:val="0000FF"/>
          <w:u w:val="single"/>
        </w:rPr>
        <w:t xml:space="preserve"> * </w:t>
      </w:r>
      <w:r>
        <w:rPr>
          <w:rFonts w:hint="eastAsia" w:ascii="宋体" w:hAnsi="宋体" w:eastAsia="宋体" w:cs="宋体"/>
          <w:color w:val="0000FF"/>
        </w:rPr>
        <w:t>月</w:t>
      </w:r>
      <w:r>
        <w:rPr>
          <w:rFonts w:hint="eastAsia" w:ascii="宋体" w:hAnsi="宋体" w:eastAsia="宋体" w:cs="宋体"/>
          <w:color w:val="0000FF"/>
          <w:u w:val="single"/>
        </w:rPr>
        <w:t xml:space="preserve"> *</w:t>
      </w:r>
      <w:r>
        <w:rPr>
          <w:rFonts w:hint="eastAsia" w:ascii="宋体" w:hAnsi="宋体" w:eastAsia="宋体" w:cs="宋体"/>
          <w:color w:val="0000FF"/>
          <w:u w:val="single"/>
          <w:lang w:val="en-US" w:eastAsia="zh-CN"/>
        </w:rPr>
        <w:t xml:space="preserve"> </w:t>
      </w:r>
      <w:r>
        <w:rPr>
          <w:rFonts w:hint="eastAsia" w:ascii="宋体" w:hAnsi="宋体" w:eastAsia="宋体" w:cs="宋体"/>
          <w:color w:val="0000FF"/>
        </w:rPr>
        <w:t>日</w:t>
      </w:r>
      <w:r>
        <w:rPr>
          <w:rFonts w:hint="eastAsia" w:ascii="宋体" w:hAnsi="宋体" w:eastAsia="宋体" w:cs="宋体"/>
          <w:color w:val="0000FF"/>
          <w:u w:val="single"/>
        </w:rPr>
        <w:t>**:**</w:t>
      </w:r>
      <w:r>
        <w:rPr>
          <w:rFonts w:hint="eastAsia" w:ascii="宋体" w:hAnsi="宋体" w:eastAsia="宋体" w:cs="宋体"/>
          <w:color w:val="0000FF"/>
        </w:rPr>
        <w:t>至</w:t>
      </w:r>
      <w:r>
        <w:rPr>
          <w:rFonts w:hint="eastAsia" w:ascii="宋体" w:hAnsi="宋体" w:eastAsia="宋体" w:cs="宋体"/>
          <w:color w:val="0000FF"/>
          <w:u w:val="single"/>
          <w:lang w:eastAsia="zh-CN"/>
        </w:rPr>
        <w:t xml:space="preserve"> 2023</w:t>
      </w:r>
      <w:r>
        <w:rPr>
          <w:rFonts w:hint="eastAsia" w:ascii="宋体" w:hAnsi="宋体" w:eastAsia="宋体" w:cs="宋体"/>
          <w:color w:val="0000FF"/>
        </w:rPr>
        <w:t>年</w:t>
      </w:r>
      <w:r>
        <w:rPr>
          <w:rFonts w:hint="eastAsia" w:ascii="宋体" w:hAnsi="宋体" w:eastAsia="宋体" w:cs="宋体"/>
          <w:color w:val="0000FF"/>
          <w:u w:val="single"/>
        </w:rPr>
        <w:t xml:space="preserve"> * </w:t>
      </w:r>
      <w:r>
        <w:rPr>
          <w:rFonts w:hint="eastAsia" w:ascii="宋体" w:hAnsi="宋体" w:eastAsia="宋体" w:cs="宋体"/>
          <w:color w:val="0000FF"/>
        </w:rPr>
        <w:t>月</w:t>
      </w:r>
      <w:r>
        <w:rPr>
          <w:rFonts w:hint="eastAsia" w:ascii="宋体" w:hAnsi="宋体" w:eastAsia="宋体" w:cs="宋体"/>
          <w:color w:val="0000FF"/>
          <w:u w:val="single"/>
        </w:rPr>
        <w:t xml:space="preserve"> *</w:t>
      </w:r>
      <w:r>
        <w:rPr>
          <w:rFonts w:hint="eastAsia" w:ascii="宋体" w:hAnsi="宋体" w:eastAsia="宋体" w:cs="宋体"/>
          <w:color w:val="0000FF"/>
          <w:u w:val="single"/>
          <w:lang w:val="en-US" w:eastAsia="zh-CN"/>
        </w:rPr>
        <w:t xml:space="preserve"> </w:t>
      </w:r>
      <w:r>
        <w:rPr>
          <w:rFonts w:hint="eastAsia" w:ascii="宋体" w:hAnsi="宋体" w:eastAsia="宋体" w:cs="宋体"/>
          <w:color w:val="0000FF"/>
        </w:rPr>
        <w:t>日</w:t>
      </w:r>
      <w:r>
        <w:rPr>
          <w:rFonts w:hint="eastAsia" w:ascii="宋体" w:hAnsi="宋体" w:eastAsia="宋体" w:cs="宋体"/>
          <w:color w:val="0000FF"/>
          <w:u w:val="single"/>
        </w:rPr>
        <w:t>**:**</w:t>
      </w:r>
      <w:r>
        <w:rPr>
          <w:rFonts w:hint="eastAsia" w:ascii="宋体" w:hAnsi="宋体" w:eastAsia="宋体" w:cs="宋体"/>
        </w:rPr>
        <w:t>期间登录深圳政府采购智慧平台（http://zfcg.szggzy.com:8081/）下载本项目的采购文件。投标人如确定参加投标，首先要在深圳政府采购智慧平台网上办事子系统（http://zfcg.szggzy.com:8081/TPBidder/memberLogin）网上报名投标，方法为在网上办事子系统后点击“【招标公告】→【我要报名】”；如果网上报名后上传了投标文件，又不参加投标，应再到【我的项目】→【项目流程】→【递交投标(应答)文件】功能点中进行“【撤回本次投标】”操作；如果是未注册为深圳政府采购智慧平台（http://zfcg.szggzy.com:8081/）的供应商，请先办理密钥（请点击），并前往深圳公共资源交易中心（深圳交易集团有限公司政府采购业务分公司）绑定深圳政府采购智慧平台用户（地址：深圳市福田区景田东路70号雅枫国际酒店北侧二楼市政府采购业务窗口服务大厅；电子密钥办理咨询电话：0755-83948165），再进行投标报名。在网上报名后，点击“【我的项目】→【项目流程】→【采购文件下载】”进行招标文件的下载。</w:t>
      </w:r>
    </w:p>
    <w:p>
      <w:pPr>
        <w:spacing w:line="360" w:lineRule="auto"/>
        <w:jc w:val="left"/>
        <w:outlineLvl w:val="9"/>
        <w:rPr>
          <w:rFonts w:ascii="宋体" w:hAnsi="宋体" w:eastAsia="宋体" w:cs="宋体"/>
          <w:bCs/>
          <w:szCs w:val="24"/>
        </w:rPr>
      </w:pPr>
      <w:r>
        <w:rPr>
          <w:rFonts w:hint="eastAsia" w:ascii="宋体" w:hAnsi="宋体" w:eastAsia="宋体" w:cs="宋体"/>
          <w:bCs/>
          <w:szCs w:val="24"/>
        </w:rPr>
        <w:t>四、提交投标文件截止时间、开标时间和地点</w:t>
      </w:r>
    </w:p>
    <w:p>
      <w:pPr>
        <w:wordWrap w:val="0"/>
        <w:spacing w:line="360" w:lineRule="auto"/>
        <w:ind w:firstLine="480" w:firstLineChars="200"/>
        <w:rPr>
          <w:rFonts w:ascii="宋体" w:hAnsi="宋体" w:eastAsia="宋体" w:cs="宋体"/>
        </w:rPr>
      </w:pPr>
      <w:r>
        <w:rPr>
          <w:rFonts w:hint="eastAsia" w:ascii="宋体" w:hAnsi="宋体" w:eastAsia="宋体" w:cs="宋体"/>
        </w:rPr>
        <w:t>1.投标截止时间：所有投标文件应于</w:t>
      </w:r>
      <w:r>
        <w:rPr>
          <w:rFonts w:hint="eastAsia" w:ascii="宋体" w:hAnsi="宋体" w:eastAsia="宋体" w:cs="宋体"/>
          <w:color w:val="0000FF"/>
          <w:u w:val="single"/>
          <w:lang w:eastAsia="zh-CN"/>
        </w:rPr>
        <w:t xml:space="preserve"> 202</w:t>
      </w:r>
      <w:r>
        <w:rPr>
          <w:rFonts w:hint="eastAsia" w:ascii="宋体" w:hAnsi="宋体" w:eastAsia="宋体" w:cs="宋体"/>
          <w:color w:val="0000FF"/>
          <w:u w:val="single"/>
          <w:lang w:val="en-US" w:eastAsia="zh-CN"/>
        </w:rPr>
        <w:t>4</w:t>
      </w:r>
      <w:r>
        <w:rPr>
          <w:rFonts w:hint="eastAsia" w:ascii="宋体" w:hAnsi="宋体" w:eastAsia="宋体" w:cs="宋体"/>
          <w:color w:val="0000FF"/>
        </w:rPr>
        <w:t>年</w:t>
      </w:r>
      <w:r>
        <w:rPr>
          <w:rFonts w:hint="eastAsia" w:ascii="宋体" w:hAnsi="宋体" w:eastAsia="宋体" w:cs="宋体"/>
          <w:color w:val="0000FF"/>
          <w:u w:val="single"/>
        </w:rPr>
        <w:t xml:space="preserve"> *</w:t>
      </w:r>
      <w:r>
        <w:rPr>
          <w:rFonts w:hint="eastAsia" w:ascii="宋体" w:hAnsi="宋体" w:eastAsia="宋体" w:cs="宋体"/>
          <w:color w:val="0000FF"/>
          <w:u w:val="single"/>
          <w:lang w:val="en-US" w:eastAsia="zh-CN"/>
        </w:rPr>
        <w:t xml:space="preserve"> </w:t>
      </w:r>
      <w:r>
        <w:rPr>
          <w:rFonts w:hint="eastAsia" w:ascii="宋体" w:hAnsi="宋体" w:eastAsia="宋体" w:cs="宋体"/>
          <w:color w:val="0000FF"/>
        </w:rPr>
        <w:t>月</w:t>
      </w:r>
      <w:r>
        <w:rPr>
          <w:rFonts w:hint="eastAsia" w:ascii="宋体" w:hAnsi="宋体" w:eastAsia="宋体" w:cs="宋体"/>
          <w:color w:val="0000FF"/>
          <w:u w:val="single"/>
          <w:lang w:val="en-US" w:eastAsia="zh-CN"/>
        </w:rPr>
        <w:t xml:space="preserve"> </w:t>
      </w:r>
      <w:r>
        <w:rPr>
          <w:rFonts w:hint="eastAsia" w:ascii="宋体" w:hAnsi="宋体" w:eastAsia="宋体" w:cs="宋体"/>
          <w:color w:val="0000FF"/>
          <w:u w:val="single"/>
        </w:rPr>
        <w:t>*</w:t>
      </w:r>
      <w:r>
        <w:rPr>
          <w:rFonts w:hint="eastAsia" w:ascii="宋体" w:hAnsi="宋体" w:eastAsia="宋体" w:cs="宋体"/>
          <w:color w:val="0000FF"/>
        </w:rPr>
        <w:t>日</w:t>
      </w:r>
      <w:r>
        <w:rPr>
          <w:rFonts w:hint="eastAsia" w:ascii="宋体" w:hAnsi="宋体" w:eastAsia="宋体" w:cs="宋体"/>
          <w:color w:val="0000FF"/>
          <w:u w:val="single"/>
        </w:rPr>
        <w:t>**:**</w:t>
      </w:r>
      <w:r>
        <w:rPr>
          <w:rFonts w:hint="eastAsia" w:ascii="宋体" w:hAnsi="宋体" w:eastAsia="宋体" w:cs="宋体"/>
        </w:rPr>
        <w:t>（北京时间）之前上传到深圳政府采购智慧平台（http://zfcg.szggzy.com:8081/）。具体操作为登录“深圳政府采购智慧平台用户网上办事子系统（http://zfcg.szggzy.com:8081/TPBidder/memberLogin）”，用“【我的项目】→【项目流程】→【递交投标(应答)文件】”功能点上传投标文件。本项目电子投标文件最大容量为100MB，超过此容量的文件将被拒绝。</w:t>
      </w:r>
    </w:p>
    <w:p>
      <w:pPr>
        <w:wordWrap w:val="0"/>
        <w:spacing w:line="360" w:lineRule="auto"/>
        <w:ind w:firstLine="480" w:firstLineChars="200"/>
        <w:rPr>
          <w:rFonts w:ascii="宋体" w:hAnsi="宋体" w:eastAsia="宋体" w:cs="宋体"/>
        </w:rPr>
      </w:pPr>
      <w:r>
        <w:rPr>
          <w:rFonts w:hint="eastAsia" w:ascii="宋体" w:hAnsi="宋体" w:eastAsia="宋体" w:cs="宋体"/>
        </w:rPr>
        <w:t>2.开标时间和地点：定于</w:t>
      </w:r>
      <w:r>
        <w:rPr>
          <w:rFonts w:hint="eastAsia" w:ascii="宋体" w:hAnsi="宋体" w:eastAsia="宋体" w:cs="宋体"/>
          <w:color w:val="0000FF"/>
          <w:u w:val="single"/>
          <w:lang w:eastAsia="zh-CN"/>
        </w:rPr>
        <w:t xml:space="preserve"> 202</w:t>
      </w:r>
      <w:r>
        <w:rPr>
          <w:rFonts w:hint="eastAsia" w:ascii="宋体" w:hAnsi="宋体" w:eastAsia="宋体" w:cs="宋体"/>
          <w:color w:val="0000FF"/>
          <w:u w:val="single"/>
          <w:lang w:val="en-US" w:eastAsia="zh-CN"/>
        </w:rPr>
        <w:t>4</w:t>
      </w:r>
      <w:r>
        <w:rPr>
          <w:rFonts w:hint="eastAsia" w:ascii="宋体" w:hAnsi="宋体" w:eastAsia="宋体" w:cs="宋体"/>
          <w:color w:val="0000FF"/>
        </w:rPr>
        <w:t>年</w:t>
      </w:r>
      <w:r>
        <w:rPr>
          <w:rFonts w:hint="eastAsia" w:ascii="宋体" w:hAnsi="宋体" w:eastAsia="宋体" w:cs="宋体"/>
          <w:color w:val="0000FF"/>
          <w:u w:val="single"/>
        </w:rPr>
        <w:t xml:space="preserve"> *</w:t>
      </w:r>
      <w:r>
        <w:rPr>
          <w:rFonts w:hint="eastAsia" w:ascii="宋体" w:hAnsi="宋体" w:eastAsia="宋体" w:cs="宋体"/>
          <w:color w:val="0000FF"/>
          <w:u w:val="single"/>
          <w:lang w:val="en-US" w:eastAsia="zh-CN"/>
        </w:rPr>
        <w:t xml:space="preserve"> </w:t>
      </w:r>
      <w:r>
        <w:rPr>
          <w:rFonts w:hint="eastAsia" w:ascii="宋体" w:hAnsi="宋体" w:eastAsia="宋体" w:cs="宋体"/>
          <w:color w:val="0000FF"/>
        </w:rPr>
        <w:t>月</w:t>
      </w:r>
      <w:r>
        <w:rPr>
          <w:rFonts w:hint="eastAsia" w:ascii="宋体" w:hAnsi="宋体" w:eastAsia="宋体" w:cs="宋体"/>
          <w:color w:val="0000FF"/>
          <w:u w:val="single"/>
        </w:rPr>
        <w:t>*</w:t>
      </w:r>
      <w:r>
        <w:rPr>
          <w:rFonts w:hint="eastAsia" w:ascii="宋体" w:hAnsi="宋体" w:eastAsia="宋体" w:cs="宋体"/>
          <w:color w:val="0000FF"/>
          <w:u w:val="single"/>
          <w:lang w:val="en-US" w:eastAsia="zh-CN"/>
        </w:rPr>
        <w:t xml:space="preserve"> </w:t>
      </w:r>
      <w:r>
        <w:rPr>
          <w:rFonts w:hint="eastAsia" w:ascii="宋体" w:hAnsi="宋体" w:eastAsia="宋体" w:cs="宋体"/>
          <w:color w:val="0000FF"/>
        </w:rPr>
        <w:t>日</w:t>
      </w:r>
      <w:r>
        <w:rPr>
          <w:rFonts w:hint="eastAsia" w:ascii="宋体" w:hAnsi="宋体" w:eastAsia="宋体" w:cs="宋体"/>
          <w:color w:val="0000FF"/>
          <w:u w:val="single"/>
        </w:rPr>
        <w:t>**:**</w:t>
      </w:r>
      <w:r>
        <w:rPr>
          <w:rFonts w:hint="eastAsia" w:ascii="宋体" w:hAnsi="宋体" w:eastAsia="宋体" w:cs="宋体"/>
          <w:color w:val="0000FF"/>
        </w:rPr>
        <w:t>（</w:t>
      </w:r>
      <w:r>
        <w:rPr>
          <w:rFonts w:hint="eastAsia" w:ascii="宋体" w:hAnsi="宋体" w:eastAsia="宋体" w:cs="宋体"/>
        </w:rPr>
        <w:t>北京时间），在</w:t>
      </w:r>
      <w:r>
        <w:rPr>
          <w:rFonts w:hint="eastAsia" w:ascii="宋体" w:hAnsi="宋体" w:eastAsia="宋体" w:cs="宋体"/>
          <w:u w:val="single"/>
        </w:rPr>
        <w:t xml:space="preserve">深圳市福田区彩田路中深花园大厦A座15楼深圳市合创建设工程顾问有限公司 </w:t>
      </w:r>
      <w:r>
        <w:rPr>
          <w:rFonts w:hint="eastAsia" w:ascii="宋体" w:hAnsi="宋体" w:eastAsia="宋体" w:cs="宋体"/>
        </w:rPr>
        <w:t>公开开标。供应商可以登录“深圳政府采购智慧平台用户网上办事子系统（http://zfcg.szggzy.com:8081/TPBidder/memberLogin）”，在“【我的项目】→【项目流程】→【开标及解密】”进行在线解密、查询开标情况。</w:t>
      </w:r>
    </w:p>
    <w:p>
      <w:pPr>
        <w:spacing w:line="360" w:lineRule="auto"/>
        <w:ind w:firstLine="480" w:firstLineChars="200"/>
        <w:rPr>
          <w:rFonts w:ascii="宋体" w:hAnsi="宋体" w:eastAsia="宋体" w:cs="宋体"/>
        </w:rPr>
      </w:pPr>
      <w:r>
        <w:rPr>
          <w:rFonts w:hint="eastAsia" w:ascii="宋体" w:hAnsi="宋体" w:eastAsia="宋体" w:cs="宋体"/>
        </w:rPr>
        <w:t>3.在线解密：投标人须在开标当日</w:t>
      </w:r>
      <w:r>
        <w:rPr>
          <w:rFonts w:hint="eastAsia" w:ascii="宋体" w:hAnsi="宋体" w:eastAsia="宋体" w:cs="宋体"/>
          <w:color w:val="0000FF"/>
          <w:u w:val="single"/>
        </w:rPr>
        <w:t>**:**:**-**:**:**</w:t>
      </w:r>
      <w:r>
        <w:rPr>
          <w:rFonts w:hint="eastAsia" w:ascii="宋体" w:hAnsi="宋体" w:eastAsia="宋体" w:cs="宋体"/>
        </w:rPr>
        <w:t>期间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pPr>
        <w:spacing w:line="360" w:lineRule="auto"/>
        <w:jc w:val="left"/>
        <w:outlineLvl w:val="9"/>
        <w:rPr>
          <w:rFonts w:ascii="宋体" w:hAnsi="宋体" w:eastAsia="宋体" w:cs="宋体"/>
          <w:bCs/>
          <w:szCs w:val="24"/>
        </w:rPr>
      </w:pPr>
      <w:r>
        <w:rPr>
          <w:rFonts w:hint="eastAsia" w:ascii="宋体" w:hAnsi="宋体" w:eastAsia="宋体" w:cs="宋体"/>
          <w:bCs/>
          <w:szCs w:val="24"/>
        </w:rPr>
        <w:t>五、公告期限</w:t>
      </w:r>
    </w:p>
    <w:p>
      <w:pPr>
        <w:spacing w:line="360" w:lineRule="auto"/>
        <w:ind w:firstLine="480" w:firstLineChars="200"/>
        <w:rPr>
          <w:rFonts w:ascii="宋体" w:hAnsi="宋体" w:eastAsia="宋体" w:cs="宋体"/>
        </w:rPr>
      </w:pPr>
      <w:r>
        <w:rPr>
          <w:rFonts w:hint="eastAsia" w:ascii="宋体" w:hAnsi="宋体" w:eastAsia="宋体" w:cs="宋体"/>
        </w:rPr>
        <w:t>自本公告发布之日起</w:t>
      </w:r>
      <w:r>
        <w:rPr>
          <w:rFonts w:hint="eastAsia" w:ascii="宋体" w:hAnsi="宋体" w:eastAsia="宋体" w:cs="宋体"/>
          <w:u w:val="single"/>
        </w:rPr>
        <w:t xml:space="preserve"> 5 </w:t>
      </w:r>
      <w:r>
        <w:rPr>
          <w:rFonts w:hint="eastAsia" w:ascii="宋体" w:hAnsi="宋体" w:eastAsia="宋体" w:cs="宋体"/>
        </w:rPr>
        <w:t>个工作日。</w:t>
      </w:r>
    </w:p>
    <w:p>
      <w:pPr>
        <w:spacing w:line="360" w:lineRule="auto"/>
        <w:jc w:val="left"/>
        <w:outlineLvl w:val="9"/>
        <w:rPr>
          <w:rFonts w:ascii="宋体" w:hAnsi="宋体" w:eastAsia="宋体" w:cs="宋体"/>
          <w:bCs/>
          <w:szCs w:val="24"/>
        </w:rPr>
      </w:pPr>
      <w:r>
        <w:rPr>
          <w:rFonts w:hint="eastAsia" w:ascii="宋体" w:hAnsi="宋体" w:eastAsia="宋体" w:cs="宋体"/>
          <w:bCs/>
          <w:szCs w:val="24"/>
        </w:rPr>
        <w:t>六、其他补充事宜</w:t>
      </w:r>
    </w:p>
    <w:p>
      <w:pPr>
        <w:spacing w:line="360" w:lineRule="auto"/>
        <w:ind w:firstLine="480" w:firstLineChars="200"/>
        <w:rPr>
          <w:rFonts w:ascii="宋体" w:hAnsi="宋体" w:eastAsia="宋体" w:cs="宋体"/>
        </w:rPr>
      </w:pPr>
      <w:r>
        <w:rPr>
          <w:rFonts w:hint="eastAsia" w:ascii="宋体" w:hAnsi="宋体" w:eastAsia="宋体" w:cs="宋体"/>
        </w:rPr>
        <w:t>1.本项目实行网上投标，采用电子投标文件。</w:t>
      </w:r>
    </w:p>
    <w:p>
      <w:pPr>
        <w:wordWrap w:val="0"/>
        <w:spacing w:line="360" w:lineRule="auto"/>
        <w:ind w:firstLine="480" w:firstLineChars="200"/>
        <w:rPr>
          <w:rFonts w:ascii="宋体" w:hAnsi="宋体" w:eastAsia="宋体" w:cs="宋体"/>
        </w:rPr>
      </w:pPr>
      <w:r>
        <w:rPr>
          <w:rFonts w:hint="eastAsia" w:ascii="宋体" w:hAnsi="宋体" w:eastAsia="宋体" w:cs="宋体"/>
        </w:rPr>
        <w:t>2.报名操作：投标人如确定参加投标，首先要在深圳政府采购网上报名投标，方法为登录深圳公共资源交易中心（深圳交易集团有限公司政府采购业务分公司）网后点击“招标公告”选中要报名标段点击“我要报名”或“代办→邀请提醒”；如果网上报名后上传了投标文件，又不参加投标，应再到【我的项目】→【项目流程】→【递交投标(应答)文件】→【上传投标文件】功能点中进行“撤标”操作；如果是未注册为深圳政府采购的供应商，请访问深圳公共资源交易中心（深圳交易集团有限公司政府采购业务分公司）（http://www.szzfcg.cn/）,先办理注册手续（注册咨询：83938966；电子密钥咨询：83948165 4008301330），再进行投标报名。在网上报名后，点击“我的项目→项目流程”中进行招标文件的下载。</w:t>
      </w:r>
    </w:p>
    <w:p>
      <w:pPr>
        <w:spacing w:line="360" w:lineRule="auto"/>
        <w:ind w:firstLine="480" w:firstLineChars="200"/>
        <w:rPr>
          <w:rFonts w:ascii="宋体" w:hAnsi="宋体" w:eastAsia="宋体" w:cs="宋体"/>
        </w:rPr>
      </w:pPr>
      <w:r>
        <w:rPr>
          <w:rFonts w:hint="eastAsia" w:ascii="宋体" w:hAnsi="宋体" w:eastAsia="宋体" w:cs="宋体"/>
        </w:rPr>
        <w:t>3.开标操作：投标人可以登录“深圳公共资源交易中心（深圳交易集团有限公司政府采购业务分公司）网站”，在系统登录首页面即可查看开标情况。</w:t>
      </w:r>
    </w:p>
    <w:p>
      <w:pPr>
        <w:spacing w:line="360" w:lineRule="auto"/>
        <w:ind w:firstLine="480" w:firstLineChars="200"/>
        <w:rPr>
          <w:rFonts w:ascii="宋体" w:hAnsi="宋体" w:eastAsia="宋体" w:cs="宋体"/>
        </w:rPr>
      </w:pPr>
      <w:r>
        <w:rPr>
          <w:rFonts w:hint="eastAsia" w:ascii="宋体" w:hAnsi="宋体" w:eastAsia="宋体" w:cs="宋体"/>
        </w:rPr>
        <w:t>4.投标操作：具体操作为登录“深圳公共资源交易中心（深圳交易集团有限公司政府采购业务分公司）网站”，用“我的项目→项目流程→递交投标(应答)文件→上传投标文件”功能点上传投标文件。本项目电子投标文件最大容量为100MB，超过此容量的文件将被拒绝。</w:t>
      </w:r>
    </w:p>
    <w:p>
      <w:pPr>
        <w:wordWrap w:val="0"/>
        <w:spacing w:line="360" w:lineRule="auto"/>
        <w:ind w:firstLine="480" w:firstLineChars="200"/>
        <w:rPr>
          <w:rFonts w:ascii="宋体" w:hAnsi="宋体" w:eastAsia="宋体" w:cs="宋体"/>
        </w:rPr>
      </w:pPr>
      <w:r>
        <w:rPr>
          <w:rFonts w:hint="eastAsia" w:ascii="宋体" w:hAnsi="宋体" w:eastAsia="宋体" w:cs="宋体"/>
        </w:rPr>
        <w:t>5.采购文件澄清/修改事项：</w:t>
      </w:r>
      <w:r>
        <w:rPr>
          <w:rFonts w:hint="eastAsia" w:ascii="宋体" w:hAnsi="宋体" w:eastAsia="宋体" w:cs="宋体"/>
          <w:color w:val="0000FF"/>
          <w:u w:val="single"/>
          <w:lang w:eastAsia="zh-CN"/>
        </w:rPr>
        <w:t xml:space="preserve"> 202</w:t>
      </w:r>
      <w:r>
        <w:rPr>
          <w:rFonts w:hint="eastAsia" w:ascii="宋体" w:hAnsi="宋体" w:eastAsia="宋体" w:cs="宋体"/>
          <w:color w:val="0000FF"/>
          <w:u w:val="single"/>
          <w:lang w:val="en-US" w:eastAsia="zh-CN"/>
        </w:rPr>
        <w:t>4</w:t>
      </w:r>
      <w:r>
        <w:rPr>
          <w:rFonts w:hint="eastAsia" w:ascii="宋体" w:hAnsi="宋体" w:eastAsia="宋体" w:cs="宋体"/>
          <w:color w:val="0000FF"/>
        </w:rPr>
        <w:t>年</w:t>
      </w:r>
      <w:r>
        <w:rPr>
          <w:rFonts w:hint="eastAsia" w:ascii="宋体" w:hAnsi="宋体" w:eastAsia="宋体" w:cs="宋体"/>
          <w:color w:val="0000FF"/>
          <w:u w:val="single"/>
          <w:lang w:val="en-US" w:eastAsia="zh-CN"/>
        </w:rPr>
        <w:t xml:space="preserve"> </w:t>
      </w:r>
      <w:r>
        <w:rPr>
          <w:rFonts w:hint="eastAsia" w:ascii="宋体" w:hAnsi="宋体" w:eastAsia="宋体" w:cs="宋体"/>
          <w:color w:val="0000FF"/>
          <w:u w:val="single"/>
        </w:rPr>
        <w:t>*</w:t>
      </w:r>
      <w:r>
        <w:rPr>
          <w:rFonts w:hint="eastAsia" w:ascii="宋体" w:hAnsi="宋体" w:eastAsia="宋体" w:cs="宋体"/>
          <w:color w:val="0000FF"/>
          <w:u w:val="single"/>
          <w:lang w:val="en-US" w:eastAsia="zh-CN"/>
        </w:rPr>
        <w:t xml:space="preserve"> </w:t>
      </w:r>
      <w:r>
        <w:rPr>
          <w:rFonts w:hint="eastAsia" w:ascii="宋体" w:hAnsi="宋体" w:eastAsia="宋体" w:cs="宋体"/>
          <w:color w:val="0000FF"/>
        </w:rPr>
        <w:t>月</w:t>
      </w:r>
      <w:r>
        <w:rPr>
          <w:rFonts w:hint="eastAsia" w:ascii="宋体" w:hAnsi="宋体" w:eastAsia="宋体" w:cs="宋体"/>
          <w:color w:val="0000FF"/>
          <w:u w:val="single"/>
        </w:rPr>
        <w:t>*</w:t>
      </w:r>
      <w:r>
        <w:rPr>
          <w:rFonts w:hint="eastAsia" w:ascii="宋体" w:hAnsi="宋体" w:eastAsia="宋体" w:cs="宋体"/>
          <w:color w:val="0000FF"/>
          <w:u w:val="single"/>
          <w:lang w:val="en-US" w:eastAsia="zh-CN"/>
        </w:rPr>
        <w:t xml:space="preserve"> </w:t>
      </w:r>
      <w:r>
        <w:rPr>
          <w:rFonts w:hint="eastAsia" w:ascii="宋体" w:hAnsi="宋体" w:eastAsia="宋体" w:cs="宋体"/>
          <w:color w:val="0000FF"/>
        </w:rPr>
        <w:t>日</w:t>
      </w:r>
      <w:r>
        <w:rPr>
          <w:rFonts w:hint="eastAsia" w:ascii="宋体" w:hAnsi="宋体" w:eastAsia="宋体" w:cs="宋体"/>
          <w:color w:val="0000FF"/>
          <w:u w:val="single"/>
        </w:rPr>
        <w:t>**</w:t>
      </w:r>
      <w:r>
        <w:rPr>
          <w:rFonts w:hint="eastAsia" w:ascii="宋体" w:hAnsi="宋体" w:eastAsia="宋体" w:cs="宋体"/>
          <w:color w:val="0000FF"/>
        </w:rPr>
        <w:t>:</w:t>
      </w:r>
      <w:r>
        <w:rPr>
          <w:rFonts w:hint="eastAsia" w:ascii="宋体" w:hAnsi="宋体" w:eastAsia="宋体" w:cs="宋体"/>
          <w:color w:val="0000FF"/>
          <w:u w:val="single"/>
        </w:rPr>
        <w:t>**</w:t>
      </w:r>
      <w:r>
        <w:rPr>
          <w:rFonts w:hint="eastAsia" w:ascii="宋体" w:hAnsi="宋体" w:eastAsia="宋体" w:cs="宋体"/>
        </w:rPr>
        <w:t>（北京时间）前，供应商如果认为采购文件存在不明确、不清晰和前后不一致等问题，可登录深圳公共资源交易中心网（http://zfcg.szggzy.com:8081/）→“深圳政府采购智慧平台用户网上办事子系统（http://zfcg.szggzy.com:8081/TPBidder/memberLogin）”，在“【我的项目】→【项目流程】→【提问】”功能点中填写需澄清内容。</w:t>
      </w:r>
      <w:r>
        <w:rPr>
          <w:rFonts w:hint="eastAsia" w:ascii="宋体" w:hAnsi="宋体" w:eastAsia="宋体" w:cs="宋体"/>
          <w:color w:val="0000FF"/>
          <w:u w:val="single"/>
          <w:lang w:eastAsia="zh-CN"/>
        </w:rPr>
        <w:t xml:space="preserve"> 202</w:t>
      </w:r>
      <w:r>
        <w:rPr>
          <w:rFonts w:hint="eastAsia" w:ascii="宋体" w:hAnsi="宋体" w:eastAsia="宋体" w:cs="宋体"/>
          <w:color w:val="0000FF"/>
          <w:u w:val="single"/>
          <w:lang w:val="en-US" w:eastAsia="zh-CN"/>
        </w:rPr>
        <w:t>4</w:t>
      </w:r>
      <w:r>
        <w:rPr>
          <w:rFonts w:hint="eastAsia" w:ascii="宋体" w:hAnsi="宋体" w:eastAsia="宋体" w:cs="宋体"/>
          <w:color w:val="0000FF"/>
        </w:rPr>
        <w:t>年</w:t>
      </w:r>
      <w:r>
        <w:rPr>
          <w:rFonts w:hint="eastAsia" w:ascii="宋体" w:hAnsi="宋体" w:eastAsia="宋体" w:cs="宋体"/>
          <w:color w:val="0000FF"/>
          <w:u w:val="single"/>
          <w:lang w:val="en-US" w:eastAsia="zh-CN"/>
        </w:rPr>
        <w:t xml:space="preserve"> </w:t>
      </w:r>
      <w:r>
        <w:rPr>
          <w:rFonts w:hint="eastAsia" w:ascii="宋体" w:hAnsi="宋体" w:eastAsia="宋体" w:cs="宋体"/>
          <w:color w:val="0000FF"/>
          <w:u w:val="single"/>
        </w:rPr>
        <w:t>*</w:t>
      </w:r>
      <w:r>
        <w:rPr>
          <w:rFonts w:hint="eastAsia" w:ascii="宋体" w:hAnsi="宋体" w:eastAsia="宋体" w:cs="宋体"/>
          <w:color w:val="0000FF"/>
          <w:u w:val="single"/>
          <w:lang w:val="en-US" w:eastAsia="zh-CN"/>
        </w:rPr>
        <w:t xml:space="preserve"> </w:t>
      </w:r>
      <w:r>
        <w:rPr>
          <w:rFonts w:hint="eastAsia" w:ascii="宋体" w:hAnsi="宋体" w:eastAsia="宋体" w:cs="宋体"/>
          <w:color w:val="0000FF"/>
        </w:rPr>
        <w:t>月</w:t>
      </w:r>
      <w:r>
        <w:rPr>
          <w:rFonts w:hint="eastAsia" w:ascii="宋体" w:hAnsi="宋体" w:eastAsia="宋体" w:cs="宋体"/>
          <w:color w:val="0000FF"/>
          <w:u w:val="single"/>
        </w:rPr>
        <w:t>*</w:t>
      </w:r>
      <w:r>
        <w:rPr>
          <w:rFonts w:hint="eastAsia" w:ascii="宋体" w:hAnsi="宋体" w:eastAsia="宋体" w:cs="宋体"/>
          <w:color w:val="0000FF"/>
          <w:u w:val="single"/>
          <w:lang w:val="en-US" w:eastAsia="zh-CN"/>
        </w:rPr>
        <w:t xml:space="preserve"> </w:t>
      </w:r>
      <w:r>
        <w:rPr>
          <w:rFonts w:hint="eastAsia" w:ascii="宋体" w:hAnsi="宋体" w:eastAsia="宋体" w:cs="宋体"/>
          <w:color w:val="0000FF"/>
        </w:rPr>
        <w:t>日</w:t>
      </w:r>
      <w:r>
        <w:rPr>
          <w:rFonts w:hint="eastAsia" w:ascii="宋体" w:hAnsi="宋体" w:eastAsia="宋体" w:cs="宋体"/>
          <w:color w:val="0000FF"/>
          <w:u w:val="single"/>
        </w:rPr>
        <w:t>**</w:t>
      </w:r>
      <w:r>
        <w:rPr>
          <w:rFonts w:hint="eastAsia" w:ascii="宋体" w:hAnsi="宋体" w:eastAsia="宋体" w:cs="宋体"/>
          <w:color w:val="0000FF"/>
        </w:rPr>
        <w:t>:</w:t>
      </w:r>
      <w:r>
        <w:rPr>
          <w:rFonts w:hint="eastAsia" w:ascii="宋体" w:hAnsi="宋体" w:eastAsia="宋体" w:cs="宋体"/>
          <w:color w:val="0000FF"/>
          <w:u w:val="single"/>
        </w:rPr>
        <w:t>**</w:t>
      </w:r>
      <w:r>
        <w:rPr>
          <w:rFonts w:hint="eastAsia" w:ascii="宋体" w:hAnsi="宋体" w:eastAsia="宋体" w:cs="宋体"/>
        </w:rPr>
        <w:t>（北京时间）前将采购文件澄清/修改情况在“【我的项目】→【项目流程】→【答疑澄清文件下载】”中公布，望投标人予以关注。</w:t>
      </w:r>
    </w:p>
    <w:p>
      <w:pPr>
        <w:spacing w:line="360" w:lineRule="auto"/>
        <w:ind w:firstLine="480" w:firstLineChars="200"/>
        <w:rPr>
          <w:rFonts w:hint="eastAsia" w:ascii="宋体" w:hAnsi="宋体" w:eastAsia="宋体" w:cs="宋体"/>
          <w:lang w:eastAsia="zh-CN"/>
        </w:rPr>
      </w:pPr>
      <w:r>
        <w:rPr>
          <w:rFonts w:hint="eastAsia" w:ascii="宋体" w:hAnsi="宋体" w:eastAsia="宋体" w:cs="宋体"/>
        </w:rPr>
        <w:t>（重要提示：“提出采购文件澄清要求”不等同于“对采购文件质疑”，供应商提出的澄清要求内容如出现“质疑”字眼，将予以退回。供应商如认为采购文件存在限制性、倾向性、其权益受到损害，应在采购文件公布之日起七个工作日内以书面形式提出质疑。）</w:t>
      </w:r>
      <w:r>
        <w:rPr>
          <w:rFonts w:hint="eastAsia" w:ascii="宋体" w:hAnsi="宋体" w:eastAsia="宋体" w:cs="宋体"/>
          <w:lang w:eastAsia="zh-CN"/>
        </w:rPr>
        <w:t xml:space="preserve"> </w:t>
      </w:r>
    </w:p>
    <w:p>
      <w:pPr>
        <w:spacing w:line="360" w:lineRule="auto"/>
        <w:ind w:firstLine="480" w:firstLineChars="200"/>
        <w:rPr>
          <w:rFonts w:ascii="宋体" w:hAnsi="宋体" w:eastAsia="宋体" w:cs="宋体"/>
        </w:rPr>
      </w:pPr>
      <w:r>
        <w:rPr>
          <w:rFonts w:hint="eastAsia" w:ascii="宋体" w:hAnsi="宋体" w:eastAsia="宋体" w:cs="宋体"/>
        </w:rPr>
        <w:t>6.本项目不需要投标保证金。</w:t>
      </w:r>
    </w:p>
    <w:p>
      <w:pPr>
        <w:spacing w:line="360" w:lineRule="auto"/>
        <w:ind w:firstLine="480" w:firstLineChars="200"/>
        <w:rPr>
          <w:rFonts w:ascii="宋体" w:hAnsi="宋体" w:eastAsia="宋体" w:cs="宋体"/>
        </w:rPr>
      </w:pPr>
      <w:r>
        <w:rPr>
          <w:rFonts w:hint="eastAsia" w:ascii="宋体" w:hAnsi="宋体" w:eastAsia="宋体" w:cs="宋体"/>
        </w:rPr>
        <w:t>7. 本项目相关公告在以下媒体发布</w:t>
      </w:r>
    </w:p>
    <w:p>
      <w:pPr>
        <w:wordWrap w:val="0"/>
        <w:spacing w:line="360" w:lineRule="auto"/>
        <w:ind w:firstLine="480" w:firstLineChars="200"/>
        <w:rPr>
          <w:rFonts w:ascii="宋体" w:hAnsi="宋体" w:eastAsia="宋体" w:cs="宋体"/>
        </w:rPr>
      </w:pPr>
      <w:r>
        <w:rPr>
          <w:rFonts w:hint="eastAsia" w:ascii="宋体" w:hAnsi="宋体" w:eastAsia="宋体" w:cs="宋体"/>
        </w:rPr>
        <w:t>1）法定媒体：中国政府采购网（www.ccgp.gov.cn）、深圳公共资源交易中心网站（http://www.szzfcg.cn/、http://zfcg.szggzy.com:8081/）、深圳市政府采购监管网（zfcg.sz.gov.cn）。相关公告在法定媒体上公布之日即视为有效送达，不再另行通知。2）采购代理机构网站（http://szhcjl.bibeinfo.com/）。3）以上媒体公告内容不一致的，以深圳市政府采购监管网（zfcg.sz.gov.cn）的公告内容为准。</w:t>
      </w:r>
    </w:p>
    <w:p>
      <w:pPr>
        <w:spacing w:line="360" w:lineRule="auto"/>
        <w:jc w:val="left"/>
        <w:outlineLvl w:val="9"/>
        <w:rPr>
          <w:rFonts w:ascii="宋体" w:hAnsi="宋体" w:eastAsia="宋体" w:cs="宋体"/>
          <w:bCs/>
          <w:szCs w:val="24"/>
        </w:rPr>
      </w:pPr>
      <w:r>
        <w:rPr>
          <w:rFonts w:hint="eastAsia" w:ascii="宋体" w:hAnsi="宋体" w:eastAsia="宋体" w:cs="宋体"/>
          <w:bCs/>
          <w:szCs w:val="24"/>
        </w:rPr>
        <w:t>七、对本次招标提出询问，请按以下方式联系</w:t>
      </w:r>
    </w:p>
    <w:p>
      <w:pPr>
        <w:spacing w:line="360" w:lineRule="auto"/>
        <w:ind w:firstLine="480" w:firstLineChars="200"/>
        <w:rPr>
          <w:rFonts w:ascii="宋体" w:hAnsi="宋体" w:eastAsia="宋体" w:cs="宋体"/>
        </w:rPr>
      </w:pPr>
      <w:r>
        <w:rPr>
          <w:rFonts w:hint="eastAsia" w:ascii="宋体" w:hAnsi="宋体" w:eastAsia="宋体" w:cs="宋体"/>
        </w:rPr>
        <w:t>1.采购人信息</w:t>
      </w:r>
    </w:p>
    <w:p>
      <w:pPr>
        <w:spacing w:line="360" w:lineRule="auto"/>
        <w:ind w:firstLine="480" w:firstLineChars="200"/>
        <w:rPr>
          <w:rFonts w:hint="eastAsia" w:ascii="宋体" w:hAnsi="宋体" w:eastAsia="宋体" w:cs="宋体"/>
          <w:highlight w:val="none"/>
          <w:lang w:val="en-US" w:eastAsia="zh-CN"/>
        </w:rPr>
      </w:pPr>
      <w:r>
        <w:rPr>
          <w:rFonts w:hint="eastAsia" w:ascii="宋体" w:hAnsi="宋体" w:eastAsia="宋体" w:cs="宋体"/>
          <w:highlight w:val="none"/>
        </w:rPr>
        <w:t>名称：</w:t>
      </w:r>
      <w:r>
        <w:rPr>
          <w:rFonts w:hint="eastAsia" w:ascii="宋体" w:hAnsi="宋体" w:eastAsia="宋体" w:cs="宋体"/>
          <w:highlight w:val="none"/>
          <w:lang w:eastAsia="zh-CN"/>
        </w:rPr>
        <w:t>深圳市南山实验教育集团</w:t>
      </w:r>
    </w:p>
    <w:p>
      <w:pPr>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地址：深圳市南山区义学路9号麒麟中学</w:t>
      </w:r>
    </w:p>
    <w:p>
      <w:pPr>
        <w:spacing w:line="360" w:lineRule="auto"/>
        <w:ind w:firstLine="480" w:firstLineChars="200"/>
        <w:rPr>
          <w:rFonts w:hint="default" w:ascii="宋体" w:hAnsi="宋体" w:eastAsia="宋体" w:cs="宋体"/>
          <w:highlight w:val="none"/>
          <w:lang w:val="en-US" w:eastAsia="zh-CN"/>
        </w:rPr>
      </w:pPr>
      <w:r>
        <w:rPr>
          <w:rFonts w:hint="eastAsia" w:ascii="宋体" w:hAnsi="宋体" w:eastAsia="宋体" w:cs="宋体"/>
          <w:highlight w:val="none"/>
        </w:rPr>
        <w:t>联系方式：</w:t>
      </w:r>
      <w:r>
        <w:rPr>
          <w:rFonts w:hint="eastAsia" w:ascii="宋体" w:hAnsi="宋体" w:eastAsia="宋体" w:cs="宋体"/>
          <w:highlight w:val="none"/>
          <w:lang w:val="en-US" w:eastAsia="zh-CN"/>
        </w:rPr>
        <w:t>黄老师 0755-83501027</w:t>
      </w:r>
    </w:p>
    <w:p>
      <w:pPr>
        <w:spacing w:line="360" w:lineRule="auto"/>
        <w:ind w:firstLine="480" w:firstLineChars="200"/>
        <w:rPr>
          <w:rFonts w:ascii="宋体" w:hAnsi="宋体" w:eastAsia="宋体" w:cs="宋体"/>
        </w:rPr>
      </w:pPr>
      <w:r>
        <w:rPr>
          <w:rFonts w:hint="eastAsia" w:ascii="宋体" w:hAnsi="宋体" w:eastAsia="宋体" w:cs="宋体"/>
        </w:rPr>
        <w:t>2.采购代理机构</w:t>
      </w:r>
    </w:p>
    <w:p>
      <w:pPr>
        <w:spacing w:line="360" w:lineRule="auto"/>
        <w:ind w:firstLine="480" w:firstLineChars="200"/>
        <w:rPr>
          <w:rFonts w:ascii="宋体" w:hAnsi="宋体" w:eastAsia="宋体" w:cs="宋体"/>
        </w:rPr>
      </w:pPr>
      <w:r>
        <w:rPr>
          <w:rFonts w:hint="eastAsia" w:ascii="宋体" w:hAnsi="宋体" w:eastAsia="宋体" w:cs="宋体"/>
        </w:rPr>
        <w:t>名称：深圳市合创建设工程顾问有限公司</w:t>
      </w:r>
    </w:p>
    <w:p>
      <w:pPr>
        <w:spacing w:line="360" w:lineRule="auto"/>
        <w:ind w:firstLine="480" w:firstLineChars="200"/>
        <w:rPr>
          <w:rFonts w:ascii="宋体" w:hAnsi="宋体" w:eastAsia="宋体" w:cs="宋体"/>
        </w:rPr>
      </w:pPr>
      <w:r>
        <w:rPr>
          <w:rFonts w:hint="eastAsia" w:ascii="宋体" w:hAnsi="宋体" w:eastAsia="宋体" w:cs="宋体"/>
        </w:rPr>
        <w:t>地址：深圳市福田区彩田南路中深花园A座1006A室</w:t>
      </w:r>
    </w:p>
    <w:p>
      <w:pPr>
        <w:spacing w:line="360" w:lineRule="auto"/>
        <w:ind w:firstLine="480" w:firstLineChars="200"/>
        <w:rPr>
          <w:rFonts w:ascii="宋体" w:hAnsi="宋体" w:eastAsia="宋体" w:cs="宋体"/>
        </w:rPr>
      </w:pPr>
      <w:r>
        <w:rPr>
          <w:rFonts w:hint="eastAsia" w:ascii="宋体" w:hAnsi="宋体" w:eastAsia="宋体" w:cs="宋体"/>
        </w:rPr>
        <w:t>联系方式：0755-88605175</w:t>
      </w:r>
    </w:p>
    <w:p>
      <w:pPr>
        <w:spacing w:line="360" w:lineRule="auto"/>
        <w:ind w:firstLine="480" w:firstLineChars="200"/>
        <w:rPr>
          <w:rFonts w:ascii="宋体" w:hAnsi="宋体" w:eastAsia="宋体" w:cs="宋体"/>
        </w:rPr>
      </w:pPr>
      <w:r>
        <w:rPr>
          <w:rFonts w:hint="eastAsia" w:ascii="宋体" w:hAnsi="宋体" w:eastAsia="宋体" w:cs="宋体"/>
        </w:rPr>
        <w:t>3.项目联系方式</w:t>
      </w:r>
    </w:p>
    <w:p>
      <w:pPr>
        <w:spacing w:line="360" w:lineRule="auto"/>
        <w:ind w:firstLine="480" w:firstLineChars="200"/>
        <w:rPr>
          <w:rFonts w:hint="eastAsia" w:ascii="宋体" w:hAnsi="宋体" w:eastAsia="宋体" w:cs="宋体"/>
          <w:lang w:val="en-US" w:eastAsia="zh-CN"/>
        </w:rPr>
      </w:pPr>
      <w:r>
        <w:rPr>
          <w:rFonts w:hint="eastAsia" w:ascii="宋体" w:hAnsi="宋体" w:eastAsia="宋体" w:cs="宋体"/>
        </w:rPr>
        <w:t>项目联系人：</w:t>
      </w:r>
      <w:r>
        <w:rPr>
          <w:rFonts w:hint="eastAsia" w:ascii="宋体" w:hAnsi="宋体" w:eastAsia="宋体" w:cs="宋体"/>
          <w:lang w:val="en-US" w:eastAsia="zh-CN"/>
        </w:rPr>
        <w:t>余工</w:t>
      </w:r>
    </w:p>
    <w:p>
      <w:pPr>
        <w:spacing w:line="360" w:lineRule="auto"/>
        <w:ind w:firstLine="480" w:firstLineChars="200"/>
        <w:rPr>
          <w:rFonts w:hint="eastAsia" w:ascii="宋体" w:hAnsi="宋体" w:eastAsia="宋体" w:cs="宋体"/>
          <w:lang w:eastAsia="zh-CN"/>
        </w:rPr>
      </w:pPr>
      <w:r>
        <w:rPr>
          <w:rFonts w:hint="eastAsia" w:ascii="宋体" w:hAnsi="宋体" w:eastAsia="宋体" w:cs="宋体"/>
        </w:rPr>
        <w:t>电话：0755-88605175 转50</w:t>
      </w:r>
      <w:r>
        <w:rPr>
          <w:rFonts w:hint="eastAsia" w:ascii="宋体" w:hAnsi="宋体" w:eastAsia="宋体" w:cs="宋体"/>
          <w:lang w:val="en-US" w:eastAsia="zh-CN"/>
        </w:rPr>
        <w:t>4</w:t>
      </w:r>
      <w:r>
        <w:rPr>
          <w:rFonts w:hint="eastAsia" w:ascii="宋体" w:hAnsi="宋体" w:eastAsia="宋体" w:cs="宋体"/>
        </w:rPr>
        <w:t>、50</w:t>
      </w:r>
      <w:r>
        <w:rPr>
          <w:rFonts w:hint="eastAsia" w:ascii="宋体" w:hAnsi="宋体" w:eastAsia="宋体" w:cs="宋体"/>
          <w:lang w:val="en-US" w:eastAsia="zh-CN"/>
        </w:rPr>
        <w:t>8</w:t>
      </w:r>
    </w:p>
    <w:p>
      <w:pPr>
        <w:spacing w:line="360" w:lineRule="auto"/>
        <w:rPr>
          <w:rFonts w:ascii="宋体" w:hAnsi="宋体" w:eastAsia="宋体" w:cs="宋体"/>
          <w:u w:val="single"/>
        </w:rPr>
      </w:pPr>
      <w:r>
        <w:rPr>
          <w:rFonts w:hint="eastAsia" w:ascii="宋体" w:hAnsi="宋体" w:eastAsia="宋体" w:cs="宋体"/>
          <w:lang w:eastAsia="zh-CN"/>
        </w:rPr>
        <w:t xml:space="preserve"> </w:t>
      </w:r>
      <w:r>
        <w:rPr>
          <w:rFonts w:hint="eastAsia" w:ascii="宋体" w:hAnsi="宋体" w:eastAsia="宋体" w:cs="宋体"/>
          <w:lang w:val="en-US" w:eastAsia="zh-CN"/>
        </w:rPr>
        <w:t xml:space="preserve">   </w:t>
      </w:r>
      <w:r>
        <w:rPr>
          <w:rFonts w:hint="eastAsia" w:ascii="宋体" w:hAnsi="宋体" w:eastAsia="宋体" w:cs="宋体"/>
        </w:rPr>
        <w:t>技术支持：注册咨询：83938966；电子密钥咨询：83948165 4008301330</w:t>
      </w:r>
    </w:p>
    <w:p>
      <w:pPr>
        <w:wordWrap w:val="0"/>
        <w:spacing w:line="360" w:lineRule="auto"/>
        <w:jc w:val="right"/>
        <w:rPr>
          <w:rFonts w:ascii="宋体" w:hAnsi="宋体" w:eastAsia="宋体" w:cs="宋体"/>
          <w:u w:val="single"/>
        </w:rPr>
      </w:pPr>
      <w:r>
        <w:rPr>
          <w:rFonts w:hint="eastAsia" w:ascii="宋体" w:hAnsi="宋体" w:eastAsia="宋体" w:cs="宋体"/>
          <w:u w:val="single"/>
        </w:rPr>
        <w:t xml:space="preserve"> 深圳市合创建设工程顾问有限公司 </w:t>
      </w:r>
    </w:p>
    <w:p>
      <w:pPr>
        <w:spacing w:line="360" w:lineRule="auto"/>
        <w:jc w:val="right"/>
        <w:rPr>
          <w:rFonts w:ascii="宋体" w:hAnsi="宋体" w:eastAsia="宋体" w:cs="宋体"/>
        </w:rPr>
      </w:pPr>
      <w:r>
        <w:rPr>
          <w:rFonts w:hint="eastAsia" w:ascii="宋体" w:hAnsi="宋体" w:eastAsia="宋体" w:cs="宋体"/>
          <w:u w:val="single"/>
          <w:lang w:eastAsia="zh-CN"/>
        </w:rPr>
        <w:t xml:space="preserve"> 202</w:t>
      </w:r>
      <w:r>
        <w:rPr>
          <w:rFonts w:hint="eastAsia" w:ascii="宋体" w:hAnsi="宋体" w:eastAsia="宋体" w:cs="宋体"/>
          <w:u w:val="single"/>
          <w:lang w:val="en-US" w:eastAsia="zh-CN"/>
        </w:rPr>
        <w:t>4</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u w:val="none"/>
        </w:rPr>
        <w:t>日</w:t>
      </w:r>
    </w:p>
    <w:p>
      <w:pPr>
        <w:spacing w:line="360" w:lineRule="auto"/>
        <w:rPr>
          <w:rFonts w:ascii="宋体" w:hAnsi="宋体" w:eastAsia="宋体" w:cs="宋体"/>
          <w:b w:val="0"/>
          <w:bCs w:val="0"/>
        </w:rPr>
      </w:pPr>
      <w:r>
        <w:rPr>
          <w:rFonts w:hint="eastAsia" w:ascii="宋体" w:hAnsi="宋体" w:eastAsia="宋体" w:cs="宋体"/>
          <w:b w:val="0"/>
          <w:bCs w:val="0"/>
        </w:rPr>
        <w:t>八、附件</w:t>
      </w:r>
    </w:p>
    <w:p>
      <w:pPr>
        <w:spacing w:line="360" w:lineRule="auto"/>
        <w:rPr>
          <w:rFonts w:ascii="宋体" w:hAnsi="宋体" w:eastAsia="宋体" w:cs="宋体"/>
        </w:rPr>
      </w:pPr>
      <w:r>
        <w:rPr>
          <w:rFonts w:hint="eastAsia" w:ascii="宋体" w:hAnsi="宋体" w:eastAsia="宋体" w:cs="宋体"/>
          <w:lang w:eastAsia="zh-CN"/>
        </w:rPr>
        <w:t xml:space="preserve"> </w:t>
      </w:r>
      <w:r>
        <w:rPr>
          <w:rFonts w:hint="eastAsia" w:ascii="宋体" w:hAnsi="宋体" w:eastAsia="宋体" w:cs="宋体"/>
        </w:rPr>
        <w:t>采购文件szczf：-详见后面附件-</w:t>
      </w:r>
    </w:p>
    <w:p>
      <w:pPr>
        <w:spacing w:line="360" w:lineRule="auto"/>
        <w:rPr>
          <w:rFonts w:ascii="宋体" w:hAnsi="宋体" w:eastAsia="宋体" w:cs="宋体"/>
        </w:rPr>
      </w:pPr>
      <w:r>
        <w:rPr>
          <w:rFonts w:hint="eastAsia" w:ascii="宋体" w:hAnsi="宋体" w:eastAsia="宋体" w:cs="宋体"/>
          <w:lang w:eastAsia="zh-CN"/>
        </w:rPr>
        <w:t xml:space="preserve"> </w:t>
      </w:r>
      <w:r>
        <w:rPr>
          <w:rFonts w:hint="eastAsia" w:ascii="宋体" w:hAnsi="宋体" w:eastAsia="宋体" w:cs="宋体"/>
        </w:rPr>
        <w:t>采购文件PDF：-详见后面附件-</w:t>
      </w:r>
    </w:p>
    <w:p>
      <w:pPr>
        <w:spacing w:line="360" w:lineRule="auto"/>
        <w:rPr>
          <w:rFonts w:ascii="宋体" w:hAnsi="宋体" w:eastAsia="宋体" w:cs="宋体"/>
        </w:rPr>
      </w:pPr>
      <w:r>
        <w:rPr>
          <w:rFonts w:hint="eastAsia" w:ascii="宋体" w:hAnsi="宋体" w:eastAsia="宋体" w:cs="宋体"/>
          <w:lang w:eastAsia="zh-CN"/>
        </w:rPr>
        <w:t xml:space="preserve"> </w:t>
      </w:r>
      <w:r>
        <w:rPr>
          <w:rFonts w:hint="eastAsia" w:ascii="宋体" w:hAnsi="宋体" w:eastAsia="宋体" w:cs="宋体"/>
        </w:rPr>
        <w:t>采购文件DOC：-详见后面附件-</w:t>
      </w:r>
    </w:p>
    <w:p>
      <w:pPr>
        <w:spacing w:line="360" w:lineRule="auto"/>
        <w:rPr>
          <w:rFonts w:ascii="宋体" w:hAnsi="宋体" w:eastAsia="宋体" w:cs="宋体"/>
        </w:rPr>
      </w:pPr>
      <w:r>
        <w:rPr>
          <w:rFonts w:hint="eastAsia" w:ascii="宋体" w:hAnsi="宋体" w:eastAsia="宋体" w:cs="宋体"/>
          <w:lang w:eastAsia="zh-CN"/>
        </w:rPr>
        <w:t xml:space="preserve"> </w:t>
      </w:r>
      <w:r>
        <w:rPr>
          <w:rFonts w:hint="eastAsia" w:ascii="宋体" w:hAnsi="宋体" w:eastAsia="宋体" w:cs="宋体"/>
        </w:rPr>
        <w:t>采购文件附件：（如工程类项目，还包括图纸和工程量清单）-详见后面附件-</w:t>
      </w:r>
    </w:p>
    <w:p>
      <w:pPr>
        <w:spacing w:line="360" w:lineRule="auto"/>
        <w:rPr>
          <w:rFonts w:ascii="宋体" w:hAnsi="宋体" w:eastAsia="宋体" w:cs="宋体"/>
        </w:rPr>
      </w:pPr>
      <w:r>
        <w:rPr>
          <w:rFonts w:hint="eastAsia" w:ascii="宋体" w:hAnsi="宋体" w:eastAsia="宋体" w:cs="宋体"/>
        </w:rPr>
        <w:t>通用附件： 1、请下载并使用相应的深圳智慧采购平台投标文件制作专用软件打开招标文件（.szczf格式）。2、供应商端操作手册。</w:t>
      </w:r>
    </w:p>
    <w:p>
      <w:pPr>
        <w:spacing w:line="240" w:lineRule="auto"/>
        <w:ind w:left="0" w:leftChars="0" w:firstLine="0"/>
        <w:jc w:val="center"/>
        <w:rPr>
          <w:rFonts w:ascii="宋体" w:hAnsi="宋体" w:eastAsia="宋体" w:cs="宋体"/>
        </w:rPr>
      </w:pPr>
      <w:r>
        <w:rPr>
          <w:rFonts w:hint="eastAsia" w:ascii="宋体" w:hAnsi="宋体"/>
          <w:b/>
          <w:bCs/>
          <w:color w:val="FF0000"/>
          <w:sz w:val="24"/>
          <w:shd w:val="clear" w:color="auto" w:fill="auto"/>
        </w:rPr>
        <w:t>*备注：各项时间节点以“深圳公共资源交易网（https://www.szggzy.com）” 招标（采购）公告的公布信息为准</w:t>
      </w:r>
      <w:r>
        <w:rPr>
          <w:rFonts w:hint="eastAsia" w:ascii="宋体" w:hAnsi="宋体"/>
          <w:b/>
          <w:bCs/>
          <w:color w:val="FF0000"/>
          <w:sz w:val="24"/>
          <w:shd w:val="clear" w:color="auto" w:fill="auto"/>
          <w:lang w:eastAsia="zh-CN"/>
        </w:rPr>
        <w:t>。</w:t>
      </w:r>
    </w:p>
    <w:p>
      <w:pPr>
        <w:jc w:val="both"/>
        <w:rPr>
          <w:rFonts w:ascii="宋体" w:hAnsi="宋体" w:eastAsia="宋体" w:cs="宋体"/>
          <w:szCs w:val="21"/>
        </w:rPr>
      </w:pPr>
    </w:p>
    <w:p>
      <w:pPr>
        <w:jc w:val="center"/>
        <w:rPr>
          <w:rFonts w:ascii="宋体" w:hAnsi="宋体" w:cs="宋体"/>
          <w:vanish/>
        </w:rPr>
      </w:pPr>
      <w:r>
        <w:rPr>
          <w:rFonts w:hint="eastAsia" w:ascii="宋体" w:hAnsi="宋体" w:eastAsia="宋体" w:cs="宋体"/>
          <w:szCs w:val="21"/>
        </w:rPr>
        <w:br w:type="page"/>
      </w:r>
    </w:p>
    <w:p>
      <w:pPr>
        <w:keepNext/>
        <w:keepLines/>
        <w:spacing w:before="0" w:after="0" w:line="240" w:lineRule="auto"/>
        <w:jc w:val="center"/>
        <w:outlineLvl w:val="1"/>
        <w:rPr>
          <w:rFonts w:hint="eastAsia" w:ascii="宋体" w:hAnsi="宋体" w:eastAsia="宋体" w:cs="宋体"/>
          <w:b/>
          <w:bCs/>
          <w:color w:val="000000" w:themeColor="text1"/>
          <w:kern w:val="0"/>
          <w:sz w:val="28"/>
          <w:szCs w:val="28"/>
          <w:highlight w:val="non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t xml:space="preserve">第二章 </w:t>
      </w:r>
      <w:bookmarkStart w:id="1" w:name="_Hlk71926094"/>
      <w:r>
        <w:rPr>
          <w:rFonts w:hint="eastAsia" w:ascii="宋体" w:hAnsi="宋体" w:eastAsia="宋体" w:cs="宋体"/>
          <w:b/>
          <w:bCs/>
          <w:color w:val="000000" w:themeColor="text1"/>
          <w:kern w:val="0"/>
          <w:sz w:val="28"/>
          <w:szCs w:val="28"/>
          <w:highlight w:val="none"/>
          <w14:textFill>
            <w14:solidFill>
              <w14:schemeClr w14:val="tx1"/>
            </w14:solidFill>
          </w14:textFill>
        </w:rPr>
        <w:t>对通用条款的补充内容及其他关键信息</w:t>
      </w:r>
      <w:bookmarkEnd w:id="1"/>
    </w:p>
    <w:p>
      <w:pPr>
        <w:keepNext/>
        <w:keepLines/>
        <w:adjustRightInd w:val="0"/>
        <w:spacing w:before="120" w:beforeLines="50" w:after="120" w:afterLines="50"/>
        <w:jc w:val="center"/>
        <w:textAlignment w:val="baseline"/>
        <w:outlineLvl w:val="2"/>
        <w:rPr>
          <w:rFonts w:hint="eastAsia" w:ascii="宋体" w:hAnsi="宋体" w:eastAsia="宋体" w:cs="宋体"/>
          <w:b/>
          <w:bCs/>
          <w:color w:val="000000" w:themeColor="text1"/>
          <w:kern w:val="0"/>
          <w:sz w:val="24"/>
          <w:szCs w:val="24"/>
          <w:highlight w:val="none"/>
          <w14:textFill>
            <w14:solidFill>
              <w14:schemeClr w14:val="tx1"/>
            </w14:solidFill>
          </w14:textFill>
        </w:rPr>
      </w:pPr>
      <w:bookmarkStart w:id="2" w:name="_Toc73521547"/>
      <w:bookmarkStart w:id="3" w:name="_Toc73521635"/>
      <w:bookmarkStart w:id="4" w:name="_Toc73518117"/>
      <w:bookmarkStart w:id="5" w:name="_Toc101074876"/>
      <w:bookmarkStart w:id="6" w:name="_Toc60560625"/>
      <w:bookmarkStart w:id="7" w:name="_Toc100052364"/>
      <w:bookmarkStart w:id="8" w:name="_Toc60631620"/>
      <w:bookmarkStart w:id="9" w:name="_Toc73517639"/>
      <w:r>
        <w:rPr>
          <w:rFonts w:hint="eastAsia" w:ascii="宋体" w:hAnsi="宋体" w:eastAsia="宋体" w:cs="宋体"/>
          <w:b/>
          <w:bCs/>
          <w:color w:val="000000" w:themeColor="text1"/>
          <w:kern w:val="0"/>
          <w:sz w:val="24"/>
          <w:szCs w:val="24"/>
          <w:highlight w:val="none"/>
          <w14:textFill>
            <w14:solidFill>
              <w14:schemeClr w14:val="tx1"/>
            </w14:solidFill>
          </w14:textFill>
        </w:rPr>
        <w:t>一、对通用条款的补充内容</w:t>
      </w:r>
      <w:bookmarkEnd w:id="2"/>
      <w:bookmarkEnd w:id="3"/>
      <w:bookmarkEnd w:id="4"/>
      <w:bookmarkEnd w:id="5"/>
      <w:bookmarkEnd w:id="6"/>
      <w:bookmarkEnd w:id="7"/>
      <w:bookmarkEnd w:id="8"/>
      <w:bookmarkEnd w:id="9"/>
    </w:p>
    <w:tbl>
      <w:tblPr>
        <w:tblStyle w:val="19"/>
        <w:tblW w:w="836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07"/>
        <w:gridCol w:w="2160"/>
        <w:gridCol w:w="540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807" w:type="dxa"/>
            <w:vAlign w:val="center"/>
          </w:tcPr>
          <w:p>
            <w:pPr>
              <w:jc w:val="center"/>
              <w:rPr>
                <w:b/>
              </w:rPr>
            </w:pPr>
            <w:r>
              <w:rPr>
                <w:b/>
              </w:rPr>
              <w:t>序号</w:t>
            </w:r>
          </w:p>
        </w:tc>
        <w:tc>
          <w:tcPr>
            <w:tcW w:w="2160" w:type="dxa"/>
            <w:vAlign w:val="center"/>
          </w:tcPr>
          <w:p>
            <w:pPr>
              <w:jc w:val="center"/>
              <w:rPr>
                <w:b/>
              </w:rPr>
            </w:pPr>
            <w:r>
              <w:rPr>
                <w:b/>
              </w:rPr>
              <w:t>内</w:t>
            </w:r>
            <w:r>
              <w:rPr>
                <w:rFonts w:hint="eastAsia" w:eastAsia="宋体"/>
                <w:b/>
                <w:lang w:eastAsia="zh-CN"/>
              </w:rPr>
              <w:t xml:space="preserve"> </w:t>
            </w:r>
            <w:r>
              <w:rPr>
                <w:b/>
              </w:rPr>
              <w:t>容</w:t>
            </w:r>
          </w:p>
        </w:tc>
        <w:tc>
          <w:tcPr>
            <w:tcW w:w="5400" w:type="dxa"/>
            <w:vAlign w:val="center"/>
          </w:tcPr>
          <w:p>
            <w:pPr>
              <w:jc w:val="center"/>
              <w:rPr>
                <w:b/>
              </w:rPr>
            </w:pPr>
            <w:r>
              <w:rPr>
                <w:b/>
              </w:rPr>
              <w:t>规</w:t>
            </w:r>
            <w:r>
              <w:rPr>
                <w:rFonts w:hint="eastAsia" w:eastAsia="宋体"/>
                <w:b/>
                <w:lang w:eastAsia="zh-CN"/>
              </w:rPr>
              <w:t xml:space="preserve"> </w:t>
            </w:r>
            <w:r>
              <w:rPr>
                <w:b/>
              </w:rPr>
              <w:t>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807" w:type="dxa"/>
            <w:vAlign w:val="center"/>
          </w:tcPr>
          <w:p>
            <w:pPr>
              <w:jc w:val="center"/>
            </w:pPr>
            <w:r>
              <w:t>1</w:t>
            </w:r>
          </w:p>
        </w:tc>
        <w:tc>
          <w:tcPr>
            <w:tcW w:w="2160" w:type="dxa"/>
            <w:vAlign w:val="center"/>
          </w:tcPr>
          <w:p>
            <w:r>
              <w:t>联合体投标</w:t>
            </w:r>
          </w:p>
        </w:tc>
        <w:tc>
          <w:tcPr>
            <w:tcW w:w="5400" w:type="dxa"/>
            <w:vAlign w:val="center"/>
          </w:tcPr>
          <w:p>
            <w:r>
              <w:t>见《招标公告》中</w:t>
            </w:r>
            <w:r>
              <w:rPr>
                <w:rFonts w:hint="eastAsia"/>
              </w:rPr>
              <w:t>“申请人的资格要求”</w:t>
            </w:r>
            <w:r>
              <w:t>部分的相关内容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807" w:type="dxa"/>
            <w:vAlign w:val="center"/>
          </w:tcPr>
          <w:p>
            <w:pPr>
              <w:jc w:val="center"/>
            </w:pPr>
            <w:r>
              <w:t>2</w:t>
            </w:r>
          </w:p>
        </w:tc>
        <w:tc>
          <w:tcPr>
            <w:tcW w:w="2160" w:type="dxa"/>
            <w:vAlign w:val="center"/>
          </w:tcPr>
          <w:p>
            <w:r>
              <w:t>投标有效期</w:t>
            </w:r>
          </w:p>
        </w:tc>
        <w:tc>
          <w:tcPr>
            <w:tcW w:w="5400" w:type="dxa"/>
            <w:vAlign w:val="center"/>
          </w:tcPr>
          <w:p>
            <w:r>
              <w:t>90日历天（从投标截止之日算起）</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807" w:type="dxa"/>
            <w:vAlign w:val="center"/>
          </w:tcPr>
          <w:p>
            <w:pPr>
              <w:jc w:val="center"/>
            </w:pPr>
            <w:r>
              <w:t>3</w:t>
            </w:r>
          </w:p>
        </w:tc>
        <w:tc>
          <w:tcPr>
            <w:tcW w:w="2160" w:type="dxa"/>
            <w:vAlign w:val="center"/>
          </w:tcPr>
          <w:p>
            <w:r>
              <w:t>投标人的替代方案</w:t>
            </w:r>
          </w:p>
        </w:tc>
        <w:tc>
          <w:tcPr>
            <w:tcW w:w="5400" w:type="dxa"/>
            <w:vAlign w:val="center"/>
          </w:tcPr>
          <w:p>
            <w:r>
              <w:t>不允许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807" w:type="dxa"/>
            <w:vAlign w:val="center"/>
          </w:tcPr>
          <w:p>
            <w:pPr>
              <w:jc w:val="center"/>
            </w:pPr>
            <w:r>
              <w:t>4</w:t>
            </w:r>
          </w:p>
        </w:tc>
        <w:tc>
          <w:tcPr>
            <w:tcW w:w="2160" w:type="dxa"/>
            <w:vAlign w:val="center"/>
          </w:tcPr>
          <w:p>
            <w:r>
              <w:t>投标文件的投递</w:t>
            </w:r>
          </w:p>
        </w:tc>
        <w:tc>
          <w:tcPr>
            <w:tcW w:w="5400" w:type="dxa"/>
            <w:vAlign w:val="center"/>
          </w:tcPr>
          <w:p>
            <w:r>
              <w:rPr>
                <w:rFonts w:hint="eastAsia" w:ascii="宋体" w:hAnsi="宋体"/>
              </w:rPr>
              <w:t>本项目实行网上投标，投标人必须在招标文件规定的投标截止时间前登录“深圳政府采购智慧平台用户网上办事子系统”，使用“【我的项目】→【项目流程】→【递交投标(应答)文件】</w:t>
            </w:r>
            <w:r>
              <w:rPr>
                <w:rFonts w:ascii="宋体" w:hAnsi="宋体"/>
              </w:rPr>
              <w:t>”功能</w:t>
            </w:r>
            <w:r>
              <w:rPr>
                <w:rFonts w:hint="eastAsia" w:ascii="宋体" w:hAnsi="宋体"/>
              </w:rPr>
              <w:t>点，</w:t>
            </w:r>
            <w:r>
              <w:rPr>
                <w:rFonts w:ascii="宋体" w:hAnsi="宋体"/>
              </w:rPr>
              <w:t>将编制好的电子投标文件上传，投标文件大小不得超过</w:t>
            </w:r>
            <w:r>
              <w:rPr>
                <w:rFonts w:hint="eastAsia" w:ascii="宋体" w:hAnsi="宋体"/>
              </w:rPr>
              <w:t>10</w:t>
            </w:r>
            <w:r>
              <w:rPr>
                <w:rFonts w:ascii="宋体" w:hAnsi="宋体"/>
              </w:rPr>
              <w:t>0MB</w:t>
            </w:r>
            <w:r>
              <w:rPr>
                <w:rFonts w:hint="eastAsia" w:ascii="宋体" w:hAnsi="宋体"/>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807" w:type="dxa"/>
            <w:vAlign w:val="center"/>
          </w:tcPr>
          <w:p>
            <w:pPr>
              <w:jc w:val="center"/>
            </w:pPr>
            <w:r>
              <w:t>5</w:t>
            </w:r>
          </w:p>
        </w:tc>
        <w:tc>
          <w:tcPr>
            <w:tcW w:w="2160" w:type="dxa"/>
            <w:vAlign w:val="center"/>
          </w:tcPr>
          <w:p>
            <w:r>
              <w:t>履约担保金额</w:t>
            </w:r>
          </w:p>
        </w:tc>
        <w:tc>
          <w:tcPr>
            <w:tcW w:w="5400" w:type="dxa"/>
            <w:vAlign w:val="center"/>
          </w:tcPr>
          <w:p>
            <w:r>
              <w:rPr>
                <w:rFonts w:hint="eastAsia"/>
              </w:rPr>
              <w:t>无</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807" w:type="dxa"/>
            <w:vAlign w:val="center"/>
          </w:tcPr>
          <w:p>
            <w:pPr>
              <w:jc w:val="center"/>
            </w:pPr>
            <w:r>
              <w:t>6</w:t>
            </w:r>
          </w:p>
        </w:tc>
        <w:tc>
          <w:tcPr>
            <w:tcW w:w="2160" w:type="dxa"/>
            <w:vAlign w:val="center"/>
          </w:tcPr>
          <w:p>
            <w:r>
              <w:t>中标数量</w:t>
            </w:r>
          </w:p>
        </w:tc>
        <w:tc>
          <w:tcPr>
            <w:tcW w:w="5400" w:type="dxa"/>
            <w:vAlign w:val="center"/>
          </w:tcPr>
          <w:p>
            <w:r>
              <w:t>该项目确定中标单位1名，若参与本项目投标的供应商或通过初审的供应商不足3名，则本项目招标失败。</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807" w:type="dxa"/>
            <w:vAlign w:val="center"/>
          </w:tcPr>
          <w:p>
            <w:pPr>
              <w:jc w:val="center"/>
            </w:pPr>
            <w:r>
              <w:t>7</w:t>
            </w:r>
          </w:p>
        </w:tc>
        <w:tc>
          <w:tcPr>
            <w:tcW w:w="2160" w:type="dxa"/>
            <w:vAlign w:val="center"/>
          </w:tcPr>
          <w:p>
            <w:r>
              <w:t>评审方法和定标方法</w:t>
            </w:r>
          </w:p>
        </w:tc>
        <w:tc>
          <w:tcPr>
            <w:tcW w:w="5400" w:type="dxa"/>
            <w:vAlign w:val="center"/>
          </w:tcPr>
          <w:p>
            <w:r>
              <w:rPr>
                <w:rFonts w:hint="eastAsia" w:eastAsia="宋体"/>
              </w:rPr>
              <w:t>综合评分法和授权评审委员会定标。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807" w:type="dxa"/>
            <w:vAlign w:val="center"/>
          </w:tcPr>
          <w:p>
            <w:pPr>
              <w:jc w:val="center"/>
            </w:pPr>
            <w:r>
              <w:rPr>
                <w:rFonts w:hint="eastAsia"/>
              </w:rPr>
              <w:t>8</w:t>
            </w:r>
          </w:p>
        </w:tc>
        <w:tc>
          <w:tcPr>
            <w:tcW w:w="2160" w:type="dxa"/>
            <w:vAlign w:val="center"/>
          </w:tcPr>
          <w:p>
            <w:pPr>
              <w:widowControl w:val="0"/>
              <w:jc w:val="center"/>
            </w:pPr>
            <w:r>
              <w:rPr>
                <w:rFonts w:hint="eastAsia"/>
                <w:color w:val="000000"/>
              </w:rPr>
              <w:t>招标代理</w:t>
            </w:r>
            <w:r>
              <w:rPr>
                <w:color w:val="000000"/>
              </w:rPr>
              <w:t>服务费</w:t>
            </w:r>
          </w:p>
        </w:tc>
        <w:tc>
          <w:tcPr>
            <w:tcW w:w="5400" w:type="dxa"/>
            <w:vAlign w:val="center"/>
          </w:tcPr>
          <w:p>
            <w:pPr>
              <w:widowControl w:val="0"/>
              <w:rPr>
                <w:rFonts w:hint="eastAsia"/>
                <w:color w:val="000000"/>
              </w:rPr>
            </w:pPr>
            <w:r>
              <w:rPr>
                <w:rFonts w:hint="eastAsia"/>
                <w:color w:val="000000"/>
              </w:rPr>
              <w:t>由</w:t>
            </w:r>
            <w:r>
              <w:rPr>
                <w:rFonts w:hint="eastAsia" w:eastAsia="宋体"/>
                <w:color w:val="000000"/>
                <w:lang w:val="en-US" w:eastAsia="zh-CN"/>
              </w:rPr>
              <w:t>中标</w:t>
            </w:r>
            <w:r>
              <w:rPr>
                <w:rFonts w:hint="eastAsia"/>
                <w:color w:val="000000"/>
              </w:rPr>
              <w:t>人支付。</w:t>
            </w:r>
          </w:p>
          <w:p>
            <w:pPr>
              <w:widowControl w:val="0"/>
              <w:rPr>
                <w:color w:val="000000"/>
              </w:rPr>
            </w:pPr>
            <w:r>
              <w:rPr>
                <w:rFonts w:hint="eastAsia"/>
                <w:color w:val="000000"/>
              </w:rPr>
              <w:t>采购代理机构以中标金额为计算基数，参考《深圳市财政委员会关于规范深圳市社会采购代理机构管理有关事项的补充通知》（深财购〔</w:t>
            </w:r>
            <w:r>
              <w:rPr>
                <w:color w:val="000000"/>
              </w:rPr>
              <w:t>2018〕27号）规定的招标代理服务费收费办法，按差额定率累进法计算收取。</w:t>
            </w:r>
            <w:r>
              <w:rPr>
                <w:rFonts w:hint="eastAsia"/>
                <w:color w:val="000000"/>
              </w:rPr>
              <w:t>服务费采用转账的方式，账户信息如下：</w:t>
            </w:r>
          </w:p>
          <w:p>
            <w:pPr>
              <w:widowControl w:val="0"/>
              <w:rPr>
                <w:rFonts w:hint="eastAsia"/>
                <w:color w:val="000000"/>
              </w:rPr>
            </w:pPr>
            <w:r>
              <w:rPr>
                <w:rFonts w:hint="eastAsia"/>
                <w:color w:val="000000"/>
              </w:rPr>
              <w:t>户名：深圳市合创建设工程顾问有限公司</w:t>
            </w:r>
          </w:p>
          <w:p>
            <w:pPr>
              <w:widowControl w:val="0"/>
              <w:rPr>
                <w:rFonts w:hint="eastAsia"/>
                <w:color w:val="000000"/>
              </w:rPr>
            </w:pPr>
            <w:r>
              <w:rPr>
                <w:rFonts w:hint="eastAsia"/>
                <w:color w:val="000000"/>
              </w:rPr>
              <w:t>账号：39050188000083280</w:t>
            </w:r>
          </w:p>
          <w:p>
            <w:pPr>
              <w:widowControl w:val="0"/>
              <w:rPr>
                <w:rFonts w:hint="eastAsia"/>
                <w:color w:val="000000"/>
              </w:rPr>
            </w:pPr>
            <w:r>
              <w:rPr>
                <w:rFonts w:hint="eastAsia"/>
                <w:color w:val="000000"/>
              </w:rPr>
              <w:t>开户行：光大银行深圳景田支行</w:t>
            </w:r>
          </w:p>
          <w:p>
            <w:pPr>
              <w:widowControl w:val="0"/>
              <w:jc w:val="both"/>
              <w:rPr>
                <w:rStyle w:val="54"/>
                <w:rFonts w:hint="default"/>
              </w:rPr>
            </w:pPr>
            <w:r>
              <w:rPr>
                <w:rFonts w:hint="eastAsia"/>
                <w:color w:val="000000"/>
              </w:rPr>
              <w:t>发票联系人：张宁（0755-88605175转531）</w:t>
            </w:r>
          </w:p>
        </w:tc>
      </w:tr>
    </w:tbl>
    <w:p>
      <w:pPr>
        <w:widowControl/>
        <w:jc w:val="left"/>
        <w:outlineLvl w:val="9"/>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备注：本表是通用条款相关条款的补充和明确，如与通用条款内容相冲突的，以本表为准。</w:t>
      </w:r>
      <w:r>
        <w:rPr>
          <w:rFonts w:hint="eastAsia" w:ascii="宋体" w:hAnsi="宋体" w:eastAsia="宋体" w:cs="宋体"/>
          <w:b/>
          <w:bCs/>
          <w:color w:val="000000" w:themeColor="text1"/>
          <w:szCs w:val="21"/>
          <w14:textFill>
            <w14:solidFill>
              <w14:schemeClr w14:val="tx1"/>
            </w14:solidFill>
          </w14:textFill>
        </w:rPr>
        <w:t>本项目使用深圳政府采购智慧平台进行操作，通用条款中如有与深圳政府采购智慧平台操作流程不一致的内容，请以zfcg.szggzy.com:8081公布的操作手册内容为准。</w:t>
      </w:r>
    </w:p>
    <w:p>
      <w:pPr>
        <w:widowControl/>
        <w:jc w:val="center"/>
        <w:outlineLvl w:val="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br w:type="page"/>
      </w:r>
      <w:r>
        <w:rPr>
          <w:rFonts w:hint="eastAsia" w:ascii="宋体" w:hAnsi="宋体" w:eastAsia="宋体" w:cs="宋体"/>
          <w:b/>
          <w:bCs/>
          <w:color w:val="000000" w:themeColor="text1"/>
          <w:kern w:val="0"/>
          <w:sz w:val="24"/>
          <w:szCs w:val="24"/>
          <w:highlight w:val="none"/>
          <w14:textFill>
            <w14:solidFill>
              <w14:schemeClr w14:val="tx1"/>
            </w14:solidFill>
          </w14:textFill>
        </w:rPr>
        <w:t>二、其他关键信息</w:t>
      </w:r>
    </w:p>
    <w:p>
      <w:pPr>
        <w:keepNext w:val="0"/>
        <w:keepLines w:val="0"/>
        <w:pageBreakBefore w:val="0"/>
        <w:widowControl/>
        <w:tabs>
          <w:tab w:val="left" w:pos="72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Cs w:val="21"/>
          <w:highlight w:val="none"/>
          <w:lang w:eastAsia="zh-CN"/>
          <w14:textFill>
            <w14:solidFill>
              <w14:schemeClr w14:val="tx1"/>
            </w14:solidFill>
          </w14:textFill>
        </w:rPr>
        <w:t>（</w:t>
      </w:r>
      <w:r>
        <w:rPr>
          <w:rFonts w:hint="eastAsia" w:ascii="宋体" w:hAnsi="宋体" w:eastAsia="宋体" w:cs="宋体"/>
          <w:b w:val="0"/>
          <w:bCs/>
          <w:color w:val="000000" w:themeColor="text1"/>
          <w:szCs w:val="21"/>
          <w:highlight w:val="none"/>
          <w:lang w:val="en-US" w:eastAsia="zh-CN"/>
          <w14:textFill>
            <w14:solidFill>
              <w14:schemeClr w14:val="tx1"/>
            </w14:solidFill>
          </w14:textFill>
        </w:rPr>
        <w:t>一</w:t>
      </w:r>
      <w:r>
        <w:rPr>
          <w:rFonts w:hint="eastAsia" w:ascii="宋体" w:hAnsi="宋体" w:eastAsia="宋体" w:cs="宋体"/>
          <w:b w:val="0"/>
          <w:bCs/>
          <w:color w:val="000000" w:themeColor="text1"/>
          <w:szCs w:val="21"/>
          <w:highlight w:val="none"/>
          <w:lang w:eastAsia="zh-CN"/>
          <w14:textFill>
            <w14:solidFill>
              <w14:schemeClr w14:val="tx1"/>
            </w14:solidFill>
          </w14:textFill>
        </w:rPr>
        <w:t>）</w:t>
      </w:r>
      <w:r>
        <w:rPr>
          <w:rFonts w:hint="eastAsia" w:ascii="宋体" w:hAnsi="宋体" w:eastAsia="宋体" w:cs="宋体"/>
          <w:b w:val="0"/>
          <w:bCs/>
          <w:color w:val="000000" w:themeColor="text1"/>
          <w:szCs w:val="21"/>
          <w:highlight w:val="none"/>
          <w14:textFill>
            <w14:solidFill>
              <w14:schemeClr w14:val="tx1"/>
            </w14:solidFill>
          </w14:textFill>
        </w:rPr>
        <w:t>关于享受优惠政策的主体及价格扣除比例（</w:t>
      </w:r>
      <w:r>
        <w:rPr>
          <w:rFonts w:hint="eastAsia" w:ascii="宋体" w:hAnsi="宋体" w:eastAsia="宋体" w:cs="宋体"/>
          <w:b/>
          <w:bCs w:val="0"/>
          <w:color w:val="000000" w:themeColor="text1"/>
          <w:szCs w:val="21"/>
          <w:highlight w:val="none"/>
          <w14:textFill>
            <w14:solidFill>
              <w14:schemeClr w14:val="tx1"/>
            </w14:solidFill>
          </w14:textFill>
        </w:rPr>
        <w:t>非专门面向特定企业（单位）的采购项目适用，否则不适用以下规定</w:t>
      </w:r>
      <w:r>
        <w:rPr>
          <w:rFonts w:hint="eastAsia" w:ascii="宋体" w:hAnsi="宋体" w:eastAsia="宋体" w:cs="宋体"/>
          <w:b w:val="0"/>
          <w:bCs/>
          <w:color w:val="000000" w:themeColor="text1"/>
          <w:szCs w:val="21"/>
          <w:highlight w:val="none"/>
          <w14:textFill>
            <w14:solidFill>
              <w14:schemeClr w14:val="tx1"/>
            </w14:solidFill>
          </w14:textFill>
        </w:rPr>
        <w:t>）</w:t>
      </w:r>
    </w:p>
    <w:p>
      <w:pPr>
        <w:keepNext w:val="0"/>
        <w:keepLines w:val="0"/>
        <w:pageBreakBefore w:val="0"/>
        <w:widowControl/>
        <w:tabs>
          <w:tab w:val="left" w:pos="72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Cs w:val="21"/>
          <w:highlight w:val="none"/>
          <w:lang w:val="en-US" w:eastAsia="zh-CN"/>
          <w14:textFill>
            <w14:solidFill>
              <w14:schemeClr w14:val="tx1"/>
            </w14:solidFill>
          </w14:textFill>
        </w:rPr>
        <w:t>1.</w:t>
      </w:r>
      <w:r>
        <w:rPr>
          <w:rFonts w:hint="eastAsia" w:ascii="宋体" w:hAnsi="宋体" w:eastAsia="宋体" w:cs="宋体"/>
          <w:b w:val="0"/>
          <w:bCs/>
          <w:color w:val="000000" w:themeColor="text1"/>
          <w:szCs w:val="21"/>
          <w:highlight w:val="none"/>
          <w14:textFill>
            <w14:solidFill>
              <w14:schemeClr w14:val="tx1"/>
            </w14:solidFill>
          </w14:textFill>
        </w:rPr>
        <w:t>根据《财政部司法部关于政府采购支持监狱企业发展有关问题的通知》（财库〔2014〕68号）、《财政部 民政部 中国残疾人联合会关于促进残疾人就业政府采购政策的通知》（财库〔2017〕141号）以及《深圳市人民政府印发关于以更大力度支持民营经济发展若干措施的通知》（深府规〔2018〕23号）等文件关于政府采购优惠政策的规定，监狱企业、残疾人福利性单位提供本企业制造的货物，承担的工程或服务，或者提供其他符合优惠主体资格条件企业制造的货物，其投标报价扣除</w:t>
      </w:r>
      <w:r>
        <w:rPr>
          <w:rFonts w:hint="eastAsia" w:ascii="宋体" w:hAnsi="宋体" w:eastAsia="宋体" w:cs="宋体"/>
          <w:b/>
          <w:bCs w:val="0"/>
          <w:color w:val="000000" w:themeColor="text1"/>
          <w:szCs w:val="21"/>
          <w:highlight w:val="none"/>
          <w:u w:val="single"/>
          <w14:textFill>
            <w14:solidFill>
              <w14:schemeClr w14:val="tx1"/>
            </w14:solidFill>
          </w14:textFill>
        </w:rPr>
        <w:t>10%</w:t>
      </w:r>
      <w:r>
        <w:rPr>
          <w:rFonts w:hint="eastAsia" w:ascii="宋体" w:hAnsi="宋体" w:eastAsia="宋体" w:cs="宋体"/>
          <w:b w:val="0"/>
          <w:bCs/>
          <w:color w:val="000000" w:themeColor="text1"/>
          <w:szCs w:val="21"/>
          <w:highlight w:val="none"/>
          <w14:textFill>
            <w14:solidFill>
              <w14:schemeClr w14:val="tx1"/>
            </w14:solidFill>
          </w14:textFill>
        </w:rPr>
        <w:t>后参与评审。</w:t>
      </w:r>
    </w:p>
    <w:p>
      <w:pPr>
        <w:keepNext w:val="0"/>
        <w:keepLines w:val="0"/>
        <w:pageBreakBefore w:val="0"/>
        <w:widowControl/>
        <w:tabs>
          <w:tab w:val="left" w:pos="72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Cs w:val="21"/>
          <w:highlight w:val="none"/>
          <w:lang w:val="en-US" w:eastAsia="zh-CN"/>
          <w14:textFill>
            <w14:solidFill>
              <w14:schemeClr w14:val="tx1"/>
            </w14:solidFill>
          </w14:textFill>
        </w:rPr>
        <w:t>2.</w:t>
      </w:r>
      <w:r>
        <w:rPr>
          <w:rFonts w:hint="eastAsia" w:ascii="宋体" w:hAnsi="宋体" w:eastAsia="宋体" w:cs="宋体"/>
          <w:b w:val="0"/>
          <w:bCs/>
          <w:color w:val="000000" w:themeColor="text1"/>
          <w:szCs w:val="21"/>
          <w:highlight w:val="none"/>
          <w14:textFill>
            <w14:solidFill>
              <w14:schemeClr w14:val="tx1"/>
            </w14:solidFill>
          </w14:textFill>
        </w:rPr>
        <w:t>根据《财政部工业和信息化部关于印发〈政府采购促进中小企业发展管理办法〉的通知》(财库〔2020〕46号)等文件关于政府采购优惠政策的规定，对于经主管预算单位统筹后未预留份额专门面向中小企业采购的采购项目，以及预留份额项目中的非预留部分采购包；小型企业、微型企业提供本企业制造的货物，承接的服务，或者提供其他符合优惠主体资格条件企业制造的货物，其投标报价扣除</w:t>
      </w:r>
      <w:r>
        <w:rPr>
          <w:rFonts w:hint="eastAsia" w:ascii="宋体" w:hAnsi="宋体" w:eastAsia="宋体" w:cs="宋体"/>
          <w:b/>
          <w:bCs w:val="0"/>
          <w:color w:val="000000" w:themeColor="text1"/>
          <w:szCs w:val="21"/>
          <w:highlight w:val="none"/>
          <w:u w:val="single"/>
          <w14:textFill>
            <w14:solidFill>
              <w14:schemeClr w14:val="tx1"/>
            </w14:solidFill>
          </w14:textFill>
        </w:rPr>
        <w:t>10%</w:t>
      </w:r>
      <w:r>
        <w:rPr>
          <w:rFonts w:hint="eastAsia" w:ascii="宋体" w:hAnsi="宋体" w:eastAsia="宋体" w:cs="宋体"/>
          <w:b w:val="0"/>
          <w:bCs/>
          <w:color w:val="000000" w:themeColor="text1"/>
          <w:szCs w:val="21"/>
          <w:highlight w:val="none"/>
          <w14:textFill>
            <w14:solidFill>
              <w14:schemeClr w14:val="tx1"/>
            </w14:solidFill>
          </w14:textFill>
        </w:rPr>
        <w:t>后参与评审；小型企业、微型企业承建的工程，其投标报价扣除</w:t>
      </w:r>
      <w:r>
        <w:rPr>
          <w:rFonts w:hint="eastAsia" w:ascii="宋体" w:hAnsi="宋体" w:eastAsia="宋体" w:cs="宋体"/>
          <w:b/>
          <w:bCs w:val="0"/>
          <w:color w:val="000000" w:themeColor="text1"/>
          <w:szCs w:val="21"/>
          <w:highlight w:val="none"/>
          <w:u w:val="single"/>
          <w:lang w:val="en-US" w:eastAsia="zh-CN"/>
          <w14:textFill>
            <w14:solidFill>
              <w14:schemeClr w14:val="tx1"/>
            </w14:solidFill>
          </w14:textFill>
        </w:rPr>
        <w:t>3</w:t>
      </w:r>
      <w:r>
        <w:rPr>
          <w:rFonts w:hint="eastAsia" w:ascii="宋体" w:hAnsi="宋体" w:eastAsia="宋体" w:cs="宋体"/>
          <w:b/>
          <w:bCs w:val="0"/>
          <w:color w:val="000000" w:themeColor="text1"/>
          <w:szCs w:val="21"/>
          <w:highlight w:val="none"/>
          <w:u w:val="single"/>
          <w14:textFill>
            <w14:solidFill>
              <w14:schemeClr w14:val="tx1"/>
            </w14:solidFill>
          </w14:textFill>
        </w:rPr>
        <w:t>%</w:t>
      </w:r>
      <w:r>
        <w:rPr>
          <w:rFonts w:hint="eastAsia" w:ascii="宋体" w:hAnsi="宋体" w:eastAsia="宋体" w:cs="宋体"/>
          <w:b w:val="0"/>
          <w:bCs/>
          <w:color w:val="000000" w:themeColor="text1"/>
          <w:szCs w:val="21"/>
          <w:highlight w:val="none"/>
          <w14:textFill>
            <w14:solidFill>
              <w14:schemeClr w14:val="tx1"/>
            </w14:solidFill>
          </w14:textFill>
        </w:rPr>
        <w:t>后参与评审。</w:t>
      </w:r>
    </w:p>
    <w:p>
      <w:pPr>
        <w:keepNext w:val="0"/>
        <w:keepLines w:val="0"/>
        <w:pageBreakBefore w:val="0"/>
        <w:widowControl/>
        <w:tabs>
          <w:tab w:val="left" w:pos="72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Cs w:val="21"/>
          <w:highlight w:val="none"/>
          <w:lang w:val="en-US" w:eastAsia="zh-CN"/>
          <w14:textFill>
            <w14:solidFill>
              <w14:schemeClr w14:val="tx1"/>
            </w14:solidFill>
          </w14:textFill>
        </w:rPr>
        <w:t>3.</w:t>
      </w:r>
      <w:r>
        <w:rPr>
          <w:rFonts w:hint="eastAsia" w:ascii="宋体" w:hAnsi="宋体" w:eastAsia="宋体" w:cs="宋体"/>
          <w:b w:val="0"/>
          <w:bCs/>
          <w:color w:val="000000" w:themeColor="text1"/>
          <w:szCs w:val="21"/>
          <w:highlight w:val="none"/>
          <w14:textFill>
            <w14:solidFill>
              <w14:schemeClr w14:val="tx1"/>
            </w14:solidFill>
          </w14:textFill>
        </w:rPr>
        <w:t>接受大中型企业与小微企业组成联合体或者允许大中型企业向一家或者多家小微企业分包的采购项目，对于联合协议或者分包意向协议约定小微企业的合同份额占到合同总金额30%以上的，联合体或者大中型企业的投标报价扣除</w:t>
      </w:r>
      <w:r>
        <w:rPr>
          <w:rFonts w:hint="eastAsia" w:ascii="宋体" w:hAnsi="宋体" w:eastAsia="宋体" w:cs="宋体"/>
          <w:b/>
          <w:bCs w:val="0"/>
          <w:color w:val="000000" w:themeColor="text1"/>
          <w:szCs w:val="21"/>
          <w:highlight w:val="none"/>
          <w:u w:val="single"/>
          <w14:textFill>
            <w14:solidFill>
              <w14:schemeClr w14:val="tx1"/>
            </w14:solidFill>
          </w14:textFill>
        </w:rPr>
        <w:t>4%</w:t>
      </w:r>
      <w:r>
        <w:rPr>
          <w:rFonts w:hint="eastAsia" w:ascii="宋体" w:hAnsi="宋体" w:eastAsia="宋体" w:cs="宋体"/>
          <w:b w:val="0"/>
          <w:bCs/>
          <w:color w:val="000000" w:themeColor="text1"/>
          <w:szCs w:val="21"/>
          <w:highlight w:val="none"/>
          <w14:textFill>
            <w14:solidFill>
              <w14:schemeClr w14:val="tx1"/>
            </w14:solidFill>
          </w14:textFill>
        </w:rPr>
        <w:t>后参与评审。组成联合体或者接受分包的小微企业与联合体内其他企业、分包企业之间存在直接控股、管理关系的，不享受价格扣除优惠政策。</w:t>
      </w:r>
    </w:p>
    <w:p>
      <w:pPr>
        <w:keepNext w:val="0"/>
        <w:keepLines w:val="0"/>
        <w:pageBreakBefore w:val="0"/>
        <w:widowControl/>
        <w:tabs>
          <w:tab w:val="left" w:pos="72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Cs w:val="21"/>
          <w:highlight w:val="none"/>
          <w:lang w:val="en-US" w:eastAsia="zh-CN"/>
          <w14:textFill>
            <w14:solidFill>
              <w14:schemeClr w14:val="tx1"/>
            </w14:solidFill>
          </w14:textFill>
        </w:rPr>
        <w:t>4.</w:t>
      </w:r>
      <w:r>
        <w:rPr>
          <w:rFonts w:hint="eastAsia" w:ascii="宋体" w:hAnsi="宋体" w:eastAsia="宋体" w:cs="宋体"/>
          <w:b w:val="0"/>
          <w:bCs/>
          <w:color w:val="000000" w:themeColor="text1"/>
          <w:szCs w:val="21"/>
          <w:highlight w:val="none"/>
          <w14:textFill>
            <w14:solidFill>
              <w14:schemeClr w14:val="tx1"/>
            </w14:solidFill>
          </w14:textFill>
        </w:rPr>
        <w:t>满足多项优惠政策的企业，不重复享受多项价格扣除政策。</w:t>
      </w:r>
    </w:p>
    <w:p>
      <w:pPr>
        <w:keepNext w:val="0"/>
        <w:keepLines w:val="0"/>
        <w:pageBreakBefore w:val="0"/>
        <w:widowControl/>
        <w:tabs>
          <w:tab w:val="left" w:pos="72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Cs w:val="21"/>
          <w:highlight w:val="none"/>
          <w14:textFill>
            <w14:solidFill>
              <w14:schemeClr w14:val="tx1"/>
            </w14:solidFill>
          </w14:textFill>
        </w:rPr>
        <w:t>备注：（1）优惠主体包括小型企业、微型企业、监狱企业、残疾人福利性单位；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2）小型企业、微型企业、残疾人福利性单位作为优惠主体的认定资料为《中小企业声明函》、《残疾人福利性单位声明函》；监狱企业作为优惠主体的认定资料为省级以上监狱管理局、戒毒管理局出具的监狱企业证明文件。</w:t>
      </w:r>
    </w:p>
    <w:p>
      <w:pPr>
        <w:keepNext w:val="0"/>
        <w:keepLines w:val="0"/>
        <w:pageBreakBefore w:val="0"/>
        <w:widowControl/>
        <w:tabs>
          <w:tab w:val="left" w:pos="72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Cs w:val="21"/>
          <w:highlight w:val="none"/>
          <w14:textFill>
            <w14:solidFill>
              <w14:schemeClr w14:val="tx1"/>
            </w14:solidFill>
          </w14:textFill>
        </w:rPr>
        <w:t>2、本项目采购标的对应的中小企业划分标准所属行业，根据《中小企业划型标准规定》（工信部联企业〔2011〕300 号）、《统计上大中小微型企业划分办法（2017）》（国统字〔2017〕213 号）或国务院批准的其他中小企业划分标准文件确定。</w:t>
      </w:r>
    </w:p>
    <w:p>
      <w:pPr>
        <w:keepNext w:val="0"/>
        <w:keepLines w:val="0"/>
        <w:pageBreakBefore w:val="0"/>
        <w:widowControl/>
        <w:tabs>
          <w:tab w:val="left" w:pos="720"/>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本项目采购标的共有</w:t>
      </w:r>
      <w:r>
        <w:rPr>
          <w:rFonts w:hint="default" w:ascii="宋体" w:hAnsi="宋体" w:eastAsia="宋体" w:cs="宋体"/>
          <w:b/>
          <w:color w:val="000000" w:themeColor="text1"/>
          <w:szCs w:val="21"/>
          <w:highlight w:val="yellow"/>
          <w:u w:val="single"/>
          <w:lang w:val="en-US" w:eastAsia="zh-CN"/>
          <w14:textFill>
            <w14:solidFill>
              <w14:schemeClr w14:val="tx1"/>
            </w14:solidFill>
          </w14:textFill>
        </w:rPr>
        <w:t>89</w:t>
      </w:r>
      <w:r>
        <w:rPr>
          <w:rFonts w:hint="eastAsia" w:ascii="宋体" w:hAnsi="宋体" w:eastAsia="宋体" w:cs="宋体"/>
          <w:b/>
          <w:color w:val="000000" w:themeColor="text1"/>
          <w:szCs w:val="21"/>
          <w:highlight w:val="none"/>
          <w14:textFill>
            <w14:solidFill>
              <w14:schemeClr w14:val="tx1"/>
            </w14:solidFill>
          </w14:textFill>
        </w:rPr>
        <w:t>个，其中</w:t>
      </w:r>
      <w:r>
        <w:rPr>
          <w:rFonts w:hint="eastAsia" w:ascii="宋体" w:hAnsi="宋体" w:eastAsia="宋体" w:cs="宋体"/>
          <w:b/>
          <w:color w:val="000000" w:themeColor="text1"/>
          <w:szCs w:val="21"/>
          <w:highlight w:val="yellow"/>
          <w:u w:val="single"/>
          <w14:textFill>
            <w14:solidFill>
              <w14:schemeClr w14:val="tx1"/>
            </w14:solidFill>
          </w14:textFill>
        </w:rPr>
        <w:t>实验教学测评管理系统</w:t>
      </w:r>
      <w:r>
        <w:rPr>
          <w:rFonts w:hint="eastAsia" w:ascii="宋体" w:hAnsi="宋体" w:eastAsia="宋体" w:cs="宋体"/>
          <w:b/>
          <w:color w:val="000000" w:themeColor="text1"/>
          <w:szCs w:val="21"/>
          <w:highlight w:val="yellow"/>
          <w:u w:val="single"/>
          <w:lang w:eastAsia="zh-CN"/>
          <w14:textFill>
            <w14:solidFill>
              <w14:schemeClr w14:val="tx1"/>
            </w14:solidFill>
          </w14:textFill>
        </w:rPr>
        <w:t>、</w:t>
      </w:r>
      <w:r>
        <w:rPr>
          <w:rFonts w:hint="eastAsia" w:ascii="宋体" w:hAnsi="宋体" w:eastAsia="宋体" w:cs="宋体"/>
          <w:b/>
          <w:color w:val="000000" w:themeColor="text1"/>
          <w:szCs w:val="21"/>
          <w:highlight w:val="yellow"/>
          <w:u w:val="single"/>
          <w14:textFill>
            <w14:solidFill>
              <w14:schemeClr w14:val="tx1"/>
            </w14:solidFill>
          </w14:textFill>
        </w:rPr>
        <w:t>AI教考练系统</w:t>
      </w:r>
      <w:r>
        <w:rPr>
          <w:rFonts w:hint="eastAsia" w:ascii="宋体" w:hAnsi="宋体" w:eastAsia="宋体" w:cs="宋体"/>
          <w:b/>
          <w:color w:val="000000" w:themeColor="text1"/>
          <w:szCs w:val="21"/>
          <w:highlight w:val="yellow"/>
          <w:u w:val="single"/>
          <w:lang w:eastAsia="zh-CN"/>
          <w14:textFill>
            <w14:solidFill>
              <w14:schemeClr w14:val="tx1"/>
            </w14:solidFill>
          </w14:textFill>
        </w:rPr>
        <w:t>、</w:t>
      </w:r>
      <w:r>
        <w:rPr>
          <w:rFonts w:hint="eastAsia" w:ascii="宋体" w:hAnsi="宋体" w:eastAsia="宋体" w:cs="宋体"/>
          <w:b/>
          <w:color w:val="000000" w:themeColor="text1"/>
          <w:szCs w:val="21"/>
          <w:highlight w:val="yellow"/>
          <w:u w:val="single"/>
          <w14:textFill>
            <w14:solidFill>
              <w14:schemeClr w14:val="tx1"/>
            </w14:solidFill>
          </w14:textFill>
        </w:rPr>
        <w:t>国产操作系统</w:t>
      </w:r>
      <w:r>
        <w:rPr>
          <w:rFonts w:hint="eastAsia" w:ascii="宋体" w:hAnsi="宋体" w:eastAsia="宋体" w:cs="宋体"/>
          <w:b/>
          <w:color w:val="000000" w:themeColor="text1"/>
          <w:szCs w:val="21"/>
          <w:highlight w:val="yellow"/>
          <w:u w:val="single"/>
          <w:lang w:eastAsia="zh-CN"/>
          <w14:textFill>
            <w14:solidFill>
              <w14:schemeClr w14:val="tx1"/>
            </w14:solidFill>
          </w14:textFill>
        </w:rPr>
        <w:t>、</w:t>
      </w:r>
      <w:r>
        <w:rPr>
          <w:rFonts w:hint="eastAsia" w:ascii="宋体" w:hAnsi="宋体" w:eastAsia="宋体" w:cs="宋体"/>
          <w:b/>
          <w:color w:val="000000" w:themeColor="text1"/>
          <w:szCs w:val="21"/>
          <w:highlight w:val="yellow"/>
          <w:u w:val="single"/>
          <w14:textFill>
            <w14:solidFill>
              <w14:schemeClr w14:val="tx1"/>
            </w14:solidFill>
          </w14:textFill>
        </w:rPr>
        <w:t>学生实验操作台（终端）</w:t>
      </w:r>
      <w:r>
        <w:rPr>
          <w:rFonts w:hint="eastAsia" w:ascii="宋体" w:hAnsi="宋体" w:eastAsia="宋体" w:cs="宋体"/>
          <w:b/>
          <w:color w:val="000000" w:themeColor="text1"/>
          <w:szCs w:val="21"/>
          <w:highlight w:val="yellow"/>
          <w:u w:val="single"/>
          <w:lang w:eastAsia="zh-CN"/>
          <w14:textFill>
            <w14:solidFill>
              <w14:schemeClr w14:val="tx1"/>
            </w14:solidFill>
          </w14:textFill>
        </w:rPr>
        <w:t>、</w:t>
      </w:r>
      <w:r>
        <w:rPr>
          <w:rFonts w:hint="eastAsia" w:ascii="宋体" w:hAnsi="宋体" w:eastAsia="宋体" w:cs="宋体"/>
          <w:b/>
          <w:color w:val="000000" w:themeColor="text1"/>
          <w:szCs w:val="21"/>
          <w:highlight w:val="yellow"/>
          <w:u w:val="single"/>
          <w14:textFill>
            <w14:solidFill>
              <w14:schemeClr w14:val="tx1"/>
            </w14:solidFill>
          </w14:textFill>
        </w:rPr>
        <w:t>实验教学测评监考软件</w:t>
      </w:r>
      <w:r>
        <w:rPr>
          <w:rFonts w:hint="eastAsia" w:ascii="宋体" w:hAnsi="宋体" w:eastAsia="宋体" w:cs="宋体"/>
          <w:b/>
          <w:color w:val="000000" w:themeColor="text1"/>
          <w:szCs w:val="21"/>
          <w:highlight w:val="yellow"/>
          <w:u w:val="single"/>
          <w:lang w:eastAsia="zh-CN"/>
          <w14:textFill>
            <w14:solidFill>
              <w14:schemeClr w14:val="tx1"/>
            </w14:solidFill>
          </w14:textFill>
        </w:rPr>
        <w:t>、</w:t>
      </w:r>
      <w:r>
        <w:rPr>
          <w:rFonts w:hint="eastAsia" w:ascii="宋体" w:hAnsi="宋体" w:eastAsia="宋体" w:cs="宋体"/>
          <w:b/>
          <w:color w:val="000000" w:themeColor="text1"/>
          <w:szCs w:val="21"/>
          <w:highlight w:val="yellow"/>
          <w:u w:val="single"/>
          <w14:textFill>
            <w14:solidFill>
              <w14:schemeClr w14:val="tx1"/>
            </w14:solidFill>
          </w14:textFill>
        </w:rPr>
        <w:t>辅材、综合布线、安装调试</w:t>
      </w:r>
      <w:r>
        <w:rPr>
          <w:rFonts w:hint="eastAsia" w:ascii="宋体" w:hAnsi="宋体" w:eastAsia="宋体" w:cs="宋体"/>
          <w:b/>
          <w:color w:val="000000" w:themeColor="text1"/>
          <w:szCs w:val="21"/>
          <w:highlight w:val="yellow"/>
          <w:u w:val="single"/>
          <w:lang w:eastAsia="zh-CN"/>
          <w14:textFill>
            <w14:solidFill>
              <w14:schemeClr w14:val="tx1"/>
            </w14:solidFill>
          </w14:textFill>
        </w:rPr>
        <w:t>、</w:t>
      </w:r>
      <w:r>
        <w:rPr>
          <w:rFonts w:hint="eastAsia" w:ascii="宋体" w:hAnsi="宋体" w:eastAsia="宋体" w:cs="宋体"/>
          <w:b/>
          <w:color w:val="000000" w:themeColor="text1"/>
          <w:szCs w:val="21"/>
          <w:highlight w:val="yellow"/>
          <w:u w:val="single"/>
          <w14:textFill>
            <w14:solidFill>
              <w14:schemeClr w14:val="tx1"/>
            </w14:solidFill>
          </w14:textFill>
        </w:rPr>
        <w:t>抽签软件</w:t>
      </w:r>
      <w:r>
        <w:rPr>
          <w:rFonts w:hint="eastAsia" w:ascii="宋体" w:hAnsi="宋体" w:eastAsia="宋体" w:cs="宋体"/>
          <w:b/>
          <w:color w:val="000000" w:themeColor="text1"/>
          <w:szCs w:val="21"/>
          <w:highlight w:val="yellow"/>
          <w:u w:val="single"/>
          <w:lang w:eastAsia="zh-CN"/>
          <w14:textFill>
            <w14:solidFill>
              <w14:schemeClr w14:val="tx1"/>
            </w14:solidFill>
          </w14:textFill>
        </w:rPr>
        <w:t>、</w:t>
      </w:r>
      <w:r>
        <w:rPr>
          <w:rFonts w:hint="eastAsia" w:ascii="宋体" w:hAnsi="宋体" w:eastAsia="宋体" w:cs="宋体"/>
          <w:b/>
          <w:color w:val="000000" w:themeColor="text1"/>
          <w:szCs w:val="21"/>
          <w:highlight w:val="yellow"/>
          <w:u w:val="single"/>
          <w14:textFill>
            <w14:solidFill>
              <w14:schemeClr w14:val="tx1"/>
            </w14:solidFill>
          </w14:textFill>
        </w:rPr>
        <w:t>实验室安装调试</w:t>
      </w:r>
      <w:r>
        <w:rPr>
          <w:rFonts w:hint="eastAsia" w:ascii="宋体" w:hAnsi="宋体" w:eastAsia="宋体" w:cs="宋体"/>
          <w:b/>
          <w:color w:val="000000" w:themeColor="text1"/>
          <w:szCs w:val="21"/>
          <w:highlight w:val="none"/>
          <w14:textFill>
            <w14:solidFill>
              <w14:schemeClr w14:val="tx1"/>
            </w14:solidFill>
          </w14:textFill>
        </w:rPr>
        <w:t>对应的中小企业划分标准所属行业为</w:t>
      </w:r>
      <w:r>
        <w:rPr>
          <w:rFonts w:hint="eastAsia" w:ascii="宋体" w:hAnsi="宋体" w:eastAsia="宋体" w:cs="宋体"/>
          <w:b/>
          <w:color w:val="FF0000"/>
          <w:szCs w:val="21"/>
          <w:highlight w:val="none"/>
          <w:u w:val="single"/>
        </w:rPr>
        <w:t>软件和信息技术服务业</w:t>
      </w:r>
      <w:r>
        <w:rPr>
          <w:rFonts w:hint="eastAsia" w:ascii="宋体" w:hAnsi="宋体" w:eastAsia="宋体" w:cs="宋体"/>
          <w:b/>
          <w:color w:val="000000" w:themeColor="text1"/>
          <w:szCs w:val="21"/>
          <w:highlight w:val="none"/>
          <w14:textFill>
            <w14:solidFill>
              <w14:schemeClr w14:val="tx1"/>
            </w14:solidFill>
          </w14:textFill>
        </w:rPr>
        <w:t>，</w:t>
      </w:r>
      <w:r>
        <w:rPr>
          <w:rFonts w:hint="eastAsia" w:ascii="宋体" w:hAnsi="宋体" w:eastAsia="宋体" w:cs="宋体"/>
          <w:b/>
          <w:color w:val="000000" w:themeColor="text1"/>
          <w:szCs w:val="21"/>
          <w:highlight w:val="yellow"/>
          <w:u w:val="single"/>
          <w:lang w:val="en-US" w:eastAsia="zh-CN"/>
          <w14:textFill>
            <w14:solidFill>
              <w14:schemeClr w14:val="tx1"/>
            </w14:solidFill>
          </w14:textFill>
        </w:rPr>
        <w:t>校级平台服务器、AI算力终端、移动硬盘、汇聚交换机、实验信息采集终端、考场监考管理主机、考场交换机、路由器、桌垫、巡考摄像机、机柜、作弊防控系统、电子目镜、不间断电源、未来实验室系统、学生端分组控制系统、实验室照明系统、实验室护眼灯罩、功能模块、低压电源、水槽柜、自动排水系统、排水系统水泵、给水控制系统、废水收集装置、系统舱体构架、悬臂动力机构、系统悬臂行程机构、摇臂、学生控制终端、舱体末端封板、系统安装辅件、学生实验桌、学生凳、教师演示台、教师椅、给排水布管、智能系统控制平台、移动控制平台、照明线路、摇臂控制系统、转轴护罩</w:t>
      </w:r>
      <w:r>
        <w:rPr>
          <w:rFonts w:hint="eastAsia" w:ascii="宋体" w:hAnsi="宋体" w:eastAsia="宋体" w:cs="宋体"/>
          <w:b/>
          <w:color w:val="000000" w:themeColor="text1"/>
          <w:szCs w:val="21"/>
          <w:highlight w:val="none"/>
          <w14:textFill>
            <w14:solidFill>
              <w14:schemeClr w14:val="tx1"/>
            </w14:solidFill>
          </w14:textFill>
        </w:rPr>
        <w:t>对应的中小企业划分标准所属行业为</w:t>
      </w:r>
      <w:r>
        <w:rPr>
          <w:rFonts w:hint="eastAsia" w:ascii="宋体" w:hAnsi="宋体" w:eastAsia="宋体" w:cs="宋体"/>
          <w:b/>
          <w:color w:val="000000" w:themeColor="text1"/>
          <w:szCs w:val="21"/>
          <w:highlight w:val="none"/>
          <w:u w:val="single"/>
          <w14:textFill>
            <w14:solidFill>
              <w14:schemeClr w14:val="tx1"/>
            </w14:solidFill>
          </w14:textFill>
        </w:rPr>
        <w:t xml:space="preserve"> </w:t>
      </w:r>
      <w:r>
        <w:rPr>
          <w:rFonts w:hint="eastAsia" w:ascii="宋体" w:hAnsi="宋体" w:eastAsia="宋体" w:cs="宋体"/>
          <w:b/>
          <w:color w:val="FF0000"/>
          <w:szCs w:val="21"/>
          <w:highlight w:val="none"/>
          <w:u w:val="single"/>
        </w:rPr>
        <w:t>工业</w:t>
      </w:r>
      <w:r>
        <w:rPr>
          <w:rFonts w:hint="eastAsia" w:ascii="宋体" w:hAnsi="宋体" w:eastAsia="宋体" w:cs="宋体"/>
          <w:b/>
          <w:color w:val="000000" w:themeColor="text1"/>
          <w:szCs w:val="21"/>
          <w:highlight w:val="none"/>
          <w14:textFill>
            <w14:solidFill>
              <w14:schemeClr w14:val="tx1"/>
            </w14:solidFill>
          </w14:textFill>
        </w:rPr>
        <w:t>。</w:t>
      </w:r>
    </w:p>
    <w:p>
      <w:pPr>
        <w:rPr>
          <w:rFonts w:hint="eastAsia" w:ascii="仿宋_GB2312" w:hAnsi="华文仿宋" w:eastAsia="仿宋_GB2312"/>
          <w:sz w:val="28"/>
          <w:szCs w:val="28"/>
          <w:highlight w:val="none"/>
        </w:rPr>
      </w:pPr>
      <w:r>
        <w:rPr>
          <w:rFonts w:hint="eastAsia" w:ascii="仿宋_GB2312" w:hAnsi="华文仿宋" w:eastAsia="仿宋_GB2312"/>
          <w:sz w:val="28"/>
          <w:szCs w:val="28"/>
          <w:highlight w:val="none"/>
        </w:rPr>
        <w:br w:type="page"/>
      </w:r>
    </w:p>
    <w:p>
      <w:pPr>
        <w:pStyle w:val="37"/>
        <w:jc w:val="center"/>
        <w:outlineLvl w:val="1"/>
        <w:rPr>
          <w:rFonts w:hint="eastAsia" w:eastAsia="宋体"/>
          <w:lang w:val="en-US" w:eastAsia="zh-CN"/>
        </w:rPr>
      </w:pPr>
      <w:r>
        <w:rPr>
          <w:rFonts w:hint="eastAsia" w:ascii="宋体" w:hAnsi="宋体" w:eastAsia="宋体" w:cs="宋体"/>
          <w:b/>
          <w:bCs/>
          <w:color w:val="000000" w:themeColor="text1"/>
          <w:kern w:val="0"/>
          <w:sz w:val="28"/>
          <w:szCs w:val="28"/>
          <w:highlight w:val="none"/>
          <w14:textFill>
            <w14:solidFill>
              <w14:schemeClr w14:val="tx1"/>
            </w14:solidFill>
          </w14:textFill>
        </w:rPr>
        <w:t xml:space="preserve">第三章 </w:t>
      </w:r>
      <w:r>
        <w:rPr>
          <w:rFonts w:hint="eastAsia" w:ascii="宋体" w:hAnsi="宋体" w:eastAsia="宋体" w:cs="宋体"/>
          <w:b/>
          <w:bCs/>
          <w:color w:val="000000" w:themeColor="text1"/>
          <w:kern w:val="0"/>
          <w:sz w:val="28"/>
          <w:szCs w:val="28"/>
          <w:highlight w:val="none"/>
          <w:lang w:val="en-US" w:eastAsia="zh-CN"/>
          <w14:textFill>
            <w14:solidFill>
              <w14:schemeClr w14:val="tx1"/>
            </w14:solidFill>
          </w14:textFill>
        </w:rPr>
        <w:t>用户</w:t>
      </w:r>
      <w:r>
        <w:rPr>
          <w:rFonts w:hint="eastAsia" w:ascii="宋体" w:hAnsi="宋体" w:eastAsia="宋体" w:cs="宋体"/>
          <w:b/>
          <w:bCs/>
          <w:color w:val="000000" w:themeColor="text1"/>
          <w:kern w:val="0"/>
          <w:sz w:val="28"/>
          <w:szCs w:val="28"/>
          <w:highlight w:val="none"/>
          <w14:textFill>
            <w14:solidFill>
              <w14:schemeClr w14:val="tx1"/>
            </w14:solidFill>
          </w14:textFill>
        </w:rPr>
        <w:t>需求</w:t>
      </w:r>
      <w:r>
        <w:rPr>
          <w:rFonts w:hint="eastAsia" w:ascii="宋体" w:hAnsi="宋体" w:eastAsia="宋体" w:cs="宋体"/>
          <w:b/>
          <w:bCs/>
          <w:color w:val="000000" w:themeColor="text1"/>
          <w:kern w:val="0"/>
          <w:sz w:val="28"/>
          <w:szCs w:val="28"/>
          <w:highlight w:val="none"/>
          <w:lang w:val="en-US" w:eastAsia="zh-CN"/>
          <w14:textFill>
            <w14:solidFill>
              <w14:schemeClr w14:val="tx1"/>
            </w14:solidFill>
          </w14:textFill>
        </w:rPr>
        <w:t>书</w:t>
      </w:r>
    </w:p>
    <w:p>
      <w:pPr>
        <w:spacing w:line="440" w:lineRule="exact"/>
        <w:ind w:firstLine="480" w:firstLineChars="200"/>
        <w:jc w:val="left"/>
        <w:rPr>
          <w:rFonts w:hint="eastAsia" w:ascii="宋体" w:hAnsi="宋体" w:eastAsia="宋体" w:cs="宋体"/>
          <w:b w:val="0"/>
          <w:color w:val="FF0000"/>
          <w:sz w:val="24"/>
          <w:szCs w:val="24"/>
        </w:rPr>
      </w:pPr>
      <w:r>
        <w:rPr>
          <w:rFonts w:hint="eastAsia" w:ascii="宋体" w:hAnsi="宋体" w:eastAsia="宋体" w:cs="宋体"/>
          <w:b w:val="0"/>
          <w:color w:val="FF0000"/>
          <w:sz w:val="24"/>
          <w:szCs w:val="24"/>
        </w:rPr>
        <w:t>1</w:t>
      </w:r>
      <w:r>
        <w:rPr>
          <w:rFonts w:hint="eastAsia" w:ascii="宋体" w:hAnsi="宋体" w:eastAsia="宋体" w:cs="宋体"/>
          <w:b w:val="0"/>
          <w:color w:val="FF0000"/>
          <w:sz w:val="24"/>
          <w:szCs w:val="24"/>
          <w:lang w:eastAsia="zh-CN"/>
        </w:rPr>
        <w:t>）</w:t>
      </w:r>
      <w:r>
        <w:rPr>
          <w:rFonts w:hint="eastAsia" w:ascii="宋体" w:hAnsi="宋体" w:eastAsia="宋体" w:cs="宋体"/>
          <w:b w:val="0"/>
          <w:color w:val="FF0000"/>
          <w:sz w:val="24"/>
          <w:szCs w:val="24"/>
        </w:rPr>
        <w:t>带★号条款为不可偏离条款，投标人必须完全响应满足，否则将导致投标无效。投标人是否满足本部分带★号条款要求，以《</w:t>
      </w:r>
      <w:r>
        <w:rPr>
          <w:rFonts w:hint="eastAsia" w:ascii="宋体" w:hAnsi="宋体" w:eastAsia="宋体" w:cs="宋体"/>
          <w:b w:val="0"/>
          <w:bCs w:val="0"/>
          <w:color w:val="FF0000"/>
          <w:sz w:val="24"/>
          <w:szCs w:val="24"/>
        </w:rPr>
        <w:t>实质性条款响应情况表</w:t>
      </w:r>
      <w:r>
        <w:rPr>
          <w:rFonts w:hint="eastAsia" w:ascii="宋体" w:hAnsi="宋体" w:eastAsia="宋体" w:cs="宋体"/>
          <w:b w:val="0"/>
          <w:color w:val="FF0000"/>
          <w:sz w:val="24"/>
          <w:szCs w:val="24"/>
        </w:rPr>
        <w:t>》响应为准。</w:t>
      </w:r>
    </w:p>
    <w:p>
      <w:pPr>
        <w:spacing w:line="440" w:lineRule="exact"/>
        <w:ind w:firstLine="480" w:firstLineChars="200"/>
        <w:jc w:val="left"/>
        <w:rPr>
          <w:rFonts w:hint="eastAsia" w:ascii="宋体" w:hAnsi="宋体" w:eastAsia="宋体" w:cs="宋体"/>
          <w:b w:val="0"/>
          <w:color w:val="FF0000"/>
          <w:sz w:val="24"/>
          <w:szCs w:val="24"/>
        </w:rPr>
      </w:pPr>
      <w:r>
        <w:rPr>
          <w:rFonts w:hint="eastAsia" w:ascii="宋体" w:hAnsi="宋体" w:eastAsia="宋体" w:cs="宋体"/>
          <w:b w:val="0"/>
          <w:color w:val="FF0000"/>
          <w:sz w:val="24"/>
          <w:szCs w:val="24"/>
        </w:rPr>
        <w:t>2</w:t>
      </w:r>
      <w:r>
        <w:rPr>
          <w:rFonts w:hint="eastAsia" w:ascii="宋体" w:hAnsi="宋体" w:eastAsia="宋体" w:cs="宋体"/>
          <w:b w:val="0"/>
          <w:color w:val="FF0000"/>
          <w:sz w:val="24"/>
          <w:szCs w:val="24"/>
          <w:lang w:eastAsia="zh-CN"/>
        </w:rPr>
        <w:t>）</w:t>
      </w:r>
      <w:r>
        <w:rPr>
          <w:rFonts w:hint="eastAsia" w:ascii="宋体" w:hAnsi="宋体" w:eastAsia="宋体" w:cs="宋体"/>
          <w:b w:val="0"/>
          <w:color w:val="FF0000"/>
          <w:sz w:val="24"/>
          <w:szCs w:val="24"/>
        </w:rPr>
        <w:t>如投标人中标后被发现不能满足本部分带★号条款要求的，采购单位有权拒绝签订合同，一切后果由投标人承担。</w:t>
      </w:r>
    </w:p>
    <w:p>
      <w:pPr>
        <w:spacing w:line="440" w:lineRule="exact"/>
        <w:ind w:firstLine="480" w:firstLineChars="200"/>
        <w:jc w:val="left"/>
        <w:rPr>
          <w:rFonts w:hint="eastAsia" w:ascii="宋体" w:hAnsi="宋体" w:eastAsia="宋体" w:cs="宋体"/>
          <w:sz w:val="24"/>
          <w:szCs w:val="24"/>
        </w:rPr>
      </w:pPr>
    </w:p>
    <w:p>
      <w:pPr>
        <w:keepNext w:val="0"/>
        <w:keepLines w:val="0"/>
        <w:pageBreakBefore w:val="0"/>
        <w:widowControl/>
        <w:kinsoku/>
        <w:wordWrap/>
        <w:overflowPunct/>
        <w:topLinePunct w:val="0"/>
        <w:autoSpaceDE/>
        <w:autoSpaceDN/>
        <w:bidi w:val="0"/>
        <w:adjustRightInd/>
        <w:snapToGrid/>
        <w:spacing w:line="360" w:lineRule="auto"/>
        <w:jc w:val="left"/>
        <w:textAlignment w:val="auto"/>
        <w:outlineLvl w:val="2"/>
        <w:rPr>
          <w:rFonts w:hint="eastAsia" w:ascii="宋体" w:hAnsi="宋体" w:eastAsia="宋体" w:cs="宋体"/>
          <w:b/>
          <w:bCs/>
          <w:sz w:val="24"/>
          <w:szCs w:val="24"/>
        </w:rPr>
      </w:pPr>
      <w:r>
        <w:rPr>
          <w:rFonts w:hint="eastAsia" w:ascii="宋体" w:hAnsi="宋体" w:eastAsia="宋体" w:cs="宋体"/>
          <w:b/>
          <w:bCs/>
          <w:sz w:val="24"/>
          <w:szCs w:val="24"/>
        </w:rPr>
        <w:t>（一）采购项目基本信息</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项目名称</w:t>
      </w:r>
      <w:r>
        <w:rPr>
          <w:rFonts w:hint="eastAsia" w:ascii="宋体" w:hAnsi="宋体" w:eastAsia="宋体" w:cs="宋体"/>
          <w:sz w:val="24"/>
          <w:szCs w:val="24"/>
          <w:lang w:eastAsia="zh-CN"/>
        </w:rPr>
        <w:t>：</w:t>
      </w:r>
      <w:r>
        <w:rPr>
          <w:rFonts w:hint="eastAsia" w:ascii="宋体" w:hAnsi="宋体" w:eastAsia="宋体" w:cs="宋体"/>
          <w:bCs/>
          <w:color w:val="000000"/>
          <w:kern w:val="0"/>
          <w:sz w:val="24"/>
          <w:szCs w:val="24"/>
          <w:lang w:val="en-US" w:eastAsia="zh-CN"/>
        </w:rPr>
        <w:t xml:space="preserve">白石洲学校南山区初中阶段理科实验教学与测评改革软硬件建设        </w:t>
      </w:r>
      <w:r>
        <w:rPr>
          <w:rFonts w:hint="eastAsia" w:ascii="宋体" w:hAnsi="宋体" w:eastAsia="宋体" w:cs="宋体"/>
          <w:sz w:val="24"/>
          <w:szCs w:val="24"/>
          <w:lang w:val="en-US" w:eastAsia="zh-CN"/>
        </w:rPr>
        <w:t xml:space="preserve"> </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交货地点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深圳市南山实验教育集团</w:t>
      </w:r>
      <w:r>
        <w:rPr>
          <w:rFonts w:hint="eastAsia" w:ascii="宋体" w:hAnsi="宋体" w:eastAsia="宋体" w:cs="宋体"/>
          <w:sz w:val="24"/>
          <w:szCs w:val="24"/>
          <w:highlight w:val="none"/>
          <w:lang w:eastAsia="zh-CN"/>
        </w:rPr>
        <w:t>白石洲学校</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jc w:val="left"/>
        <w:rPr>
          <w:rFonts w:ascii="宋体" w:hAnsi="宋体"/>
          <w:bCs/>
          <w:color w:val="000000" w:themeColor="text1"/>
          <w:szCs w:val="21"/>
          <w14:textFill>
            <w14:solidFill>
              <w14:schemeClr w14:val="tx1"/>
            </w14:solidFill>
          </w14:textFill>
        </w:rPr>
      </w:pPr>
      <w:r>
        <w:rPr>
          <w:rFonts w:hint="eastAsia" w:ascii="宋体" w:hAnsi="宋体" w:eastAsia="宋体" w:cs="宋体"/>
          <w:sz w:val="24"/>
          <w:szCs w:val="24"/>
          <w:highlight w:val="none"/>
          <w:lang w:val="en-US" w:eastAsia="zh-CN"/>
        </w:rPr>
        <w:t>3.</w:t>
      </w:r>
      <w:r>
        <w:rPr>
          <w:rFonts w:hint="eastAsia" w:ascii="宋体" w:hAnsi="宋体"/>
          <w:bCs/>
          <w:color w:val="000000" w:themeColor="text1"/>
          <w:szCs w:val="21"/>
          <w14:textFill>
            <w14:solidFill>
              <w14:schemeClr w14:val="tx1"/>
            </w14:solidFill>
          </w14:textFill>
        </w:rPr>
        <w:t>货物总清单</w:t>
      </w:r>
    </w:p>
    <w:tbl>
      <w:tblPr>
        <w:tblStyle w:val="19"/>
        <w:tblW w:w="8816" w:type="dxa"/>
        <w:tblInd w:w="93" w:type="dxa"/>
        <w:tblLayout w:type="fixed"/>
        <w:tblCellMar>
          <w:top w:w="0" w:type="dxa"/>
          <w:left w:w="108" w:type="dxa"/>
          <w:bottom w:w="0" w:type="dxa"/>
          <w:right w:w="108" w:type="dxa"/>
        </w:tblCellMar>
      </w:tblPr>
      <w:tblGrid>
        <w:gridCol w:w="540"/>
        <w:gridCol w:w="2009"/>
        <w:gridCol w:w="1485"/>
        <w:gridCol w:w="555"/>
        <w:gridCol w:w="616"/>
        <w:gridCol w:w="700"/>
        <w:gridCol w:w="1550"/>
        <w:gridCol w:w="1361"/>
      </w:tblGrid>
      <w:tr>
        <w:tblPrEx>
          <w:tblCellMar>
            <w:top w:w="0" w:type="dxa"/>
            <w:left w:w="108" w:type="dxa"/>
            <w:bottom w:w="0" w:type="dxa"/>
            <w:right w:w="108" w:type="dxa"/>
          </w:tblCellMar>
        </w:tblPrEx>
        <w:trPr>
          <w:trHeight w:val="35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1"/>
                <w:szCs w:val="21"/>
              </w:rPr>
            </w:pPr>
            <w:r>
              <w:rPr>
                <w:rFonts w:hint="eastAsia" w:ascii="宋体" w:hAnsi="宋体" w:eastAsia="宋体" w:cs="宋体"/>
                <w:color w:val="000000"/>
                <w:kern w:val="0"/>
                <w:sz w:val="21"/>
                <w:szCs w:val="21"/>
                <w:lang w:bidi="ar"/>
              </w:rPr>
              <w:t>序号</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1"/>
                <w:szCs w:val="21"/>
              </w:rPr>
            </w:pPr>
            <w:r>
              <w:rPr>
                <w:rFonts w:hint="eastAsia" w:ascii="宋体" w:hAnsi="宋体" w:eastAsia="宋体" w:cs="宋体"/>
                <w:color w:val="000000"/>
                <w:kern w:val="0"/>
                <w:sz w:val="21"/>
                <w:szCs w:val="21"/>
                <w:lang w:bidi="ar"/>
              </w:rPr>
              <w:t>采购计划编号</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1"/>
                <w:szCs w:val="21"/>
              </w:rPr>
            </w:pPr>
            <w:r>
              <w:rPr>
                <w:rFonts w:hint="eastAsia" w:ascii="宋体" w:hAnsi="宋体" w:eastAsia="宋体" w:cs="宋体"/>
                <w:color w:val="000000"/>
                <w:kern w:val="0"/>
                <w:sz w:val="21"/>
                <w:szCs w:val="21"/>
                <w:lang w:bidi="ar"/>
              </w:rPr>
              <w:t>货物名称</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1"/>
                <w:szCs w:val="21"/>
              </w:rPr>
            </w:pPr>
            <w:r>
              <w:rPr>
                <w:rFonts w:hint="eastAsia" w:ascii="宋体" w:hAnsi="宋体" w:eastAsia="宋体" w:cs="宋体"/>
                <w:color w:val="000000"/>
                <w:kern w:val="0"/>
                <w:sz w:val="21"/>
                <w:szCs w:val="21"/>
                <w:lang w:bidi="ar"/>
              </w:rPr>
              <w:t>数量</w:t>
            </w:r>
          </w:p>
        </w:tc>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1"/>
                <w:szCs w:val="21"/>
              </w:rPr>
            </w:pPr>
            <w:r>
              <w:rPr>
                <w:rFonts w:hint="eastAsia" w:ascii="宋体" w:hAnsi="宋体" w:eastAsia="宋体" w:cs="宋体"/>
                <w:color w:val="000000"/>
                <w:kern w:val="0"/>
                <w:sz w:val="21"/>
                <w:szCs w:val="21"/>
                <w:lang w:bidi="ar"/>
              </w:rPr>
              <w:t>单位</w:t>
            </w: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1"/>
                <w:szCs w:val="21"/>
              </w:rPr>
            </w:pPr>
            <w:r>
              <w:rPr>
                <w:rFonts w:hint="eastAsia" w:ascii="宋体" w:hAnsi="宋体" w:eastAsia="宋体" w:cs="宋体"/>
                <w:color w:val="000000"/>
                <w:kern w:val="0"/>
                <w:sz w:val="21"/>
                <w:szCs w:val="21"/>
                <w:lang w:bidi="ar"/>
              </w:rPr>
              <w:t>备注</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1"/>
                <w:szCs w:val="21"/>
              </w:rPr>
            </w:pPr>
            <w:r>
              <w:rPr>
                <w:rFonts w:hint="eastAsia" w:ascii="宋体" w:hAnsi="宋体" w:eastAsia="宋体" w:cs="宋体"/>
                <w:color w:val="000000"/>
                <w:kern w:val="0"/>
                <w:sz w:val="21"/>
                <w:szCs w:val="21"/>
                <w:lang w:bidi="ar"/>
              </w:rPr>
              <w:t>财政预算限额（元）</w:t>
            </w:r>
          </w:p>
        </w:tc>
        <w:tc>
          <w:tcPr>
            <w:tcW w:w="136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1"/>
                <w:szCs w:val="21"/>
              </w:rPr>
            </w:pPr>
            <w:r>
              <w:rPr>
                <w:rFonts w:hint="eastAsia" w:ascii="宋体" w:hAnsi="宋体" w:eastAsia="宋体" w:cs="宋体"/>
                <w:color w:val="000000"/>
                <w:kern w:val="0"/>
                <w:sz w:val="21"/>
                <w:szCs w:val="21"/>
                <w:lang w:bidi="ar"/>
              </w:rPr>
              <w:t>最高投标限价（元）</w:t>
            </w:r>
          </w:p>
        </w:tc>
      </w:tr>
      <w:tr>
        <w:tblPrEx>
          <w:tblCellMar>
            <w:top w:w="0" w:type="dxa"/>
            <w:left w:w="108" w:type="dxa"/>
            <w:bottom w:w="0" w:type="dxa"/>
            <w:right w:w="108" w:type="dxa"/>
          </w:tblCellMar>
        </w:tblPrEx>
        <w:trPr>
          <w:trHeight w:val="146"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1"/>
                <w:szCs w:val="21"/>
              </w:rPr>
            </w:pPr>
            <w:r>
              <w:rPr>
                <w:rFonts w:hint="eastAsia" w:ascii="宋体" w:hAnsi="宋体" w:eastAsia="宋体" w:cs="宋体"/>
                <w:color w:val="000000"/>
                <w:kern w:val="0"/>
                <w:sz w:val="21"/>
                <w:szCs w:val="21"/>
                <w:lang w:bidi="ar"/>
              </w:rPr>
              <w:t>1</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21"/>
                <w:szCs w:val="21"/>
                <w:lang w:eastAsia="zh-CN"/>
              </w:rPr>
            </w:pPr>
            <w:r>
              <w:rPr>
                <w:rFonts w:ascii="宋体" w:hAnsi="宋体" w:eastAsia="宋体" w:cs="宋体"/>
                <w:color w:val="000000"/>
                <w:sz w:val="21"/>
                <w:szCs w:val="21"/>
              </w:rPr>
              <w:t>PLAN-2024-440305000-112037-05888</w:t>
            </w:r>
            <w:r>
              <w:rPr>
                <w:rFonts w:hint="eastAsia" w:ascii="宋体" w:hAnsi="宋体" w:eastAsia="宋体" w:cs="宋体"/>
                <w:color w:val="000000"/>
                <w:sz w:val="21"/>
                <w:szCs w:val="21"/>
                <w:lang w:eastAsia="zh-CN"/>
              </w:rPr>
              <w:t>、PLAN-2024-440305000-112037-05890</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FF0000"/>
                <w:sz w:val="21"/>
                <w:szCs w:val="21"/>
                <w:lang w:eastAsia="zh-CN"/>
              </w:rPr>
            </w:pPr>
            <w:r>
              <w:rPr>
                <w:rFonts w:hint="eastAsia" w:ascii="宋体" w:hAnsi="宋体" w:eastAsia="宋体" w:cs="宋体"/>
                <w:color w:val="000000"/>
                <w:kern w:val="0"/>
                <w:sz w:val="21"/>
                <w:szCs w:val="21"/>
                <w:lang w:eastAsia="zh-CN" w:bidi="ar"/>
              </w:rPr>
              <w:t>白石洲学校南山区初中阶段理科实验教学与测评改革软硬件建设</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1"/>
                <w:szCs w:val="21"/>
              </w:rPr>
            </w:pPr>
            <w:r>
              <w:rPr>
                <w:rFonts w:hint="eastAsia" w:ascii="宋体" w:hAnsi="宋体" w:eastAsia="宋体" w:cs="宋体"/>
                <w:color w:val="000000"/>
                <w:kern w:val="0"/>
                <w:sz w:val="21"/>
                <w:szCs w:val="21"/>
                <w:lang w:bidi="ar"/>
              </w:rPr>
              <w:t>1</w:t>
            </w:r>
          </w:p>
        </w:tc>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1"/>
                <w:szCs w:val="21"/>
              </w:rPr>
            </w:pPr>
            <w:r>
              <w:rPr>
                <w:rFonts w:hint="eastAsia" w:ascii="宋体" w:hAnsi="宋体" w:eastAsia="宋体" w:cs="宋体"/>
                <w:color w:val="000000"/>
                <w:kern w:val="0"/>
                <w:sz w:val="21"/>
                <w:szCs w:val="21"/>
                <w:lang w:bidi="ar"/>
              </w:rPr>
              <w:t>项</w:t>
            </w: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1"/>
                <w:szCs w:val="21"/>
              </w:rPr>
            </w:pPr>
            <w:r>
              <w:rPr>
                <w:rFonts w:hint="eastAsia" w:ascii="宋体" w:hAnsi="宋体" w:eastAsia="宋体" w:cs="宋体"/>
                <w:color w:val="000000"/>
                <w:sz w:val="21"/>
                <w:szCs w:val="21"/>
              </w:rPr>
              <w:t>拒绝进口</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1370833.00</w:t>
            </w:r>
          </w:p>
        </w:tc>
        <w:tc>
          <w:tcPr>
            <w:tcW w:w="136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1370833.00</w:t>
            </w:r>
          </w:p>
        </w:tc>
      </w:tr>
    </w:tbl>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jc w:val="left"/>
        <w:rPr>
          <w:rFonts w:hint="eastAsia" w:ascii="宋体" w:hAnsi="宋体" w:eastAsia="宋体" w:cs="宋体"/>
          <w:sz w:val="24"/>
          <w:szCs w:val="24"/>
          <w:highlight w:val="none"/>
          <w:lang w:val="en-US" w:eastAsia="zh-CN"/>
        </w:rPr>
      </w:pPr>
    </w:p>
    <w:p>
      <w:pPr>
        <w:spacing w:line="440" w:lineRule="exact"/>
        <w:jc w:val="left"/>
        <w:outlineLvl w:val="2"/>
        <w:rPr>
          <w:rFonts w:hint="eastAsia" w:ascii="宋体" w:hAnsi="宋体" w:eastAsia="宋体" w:cs="宋体"/>
          <w:b/>
          <w:bCs/>
          <w:sz w:val="24"/>
          <w:szCs w:val="24"/>
        </w:rPr>
      </w:pPr>
      <w:r>
        <w:rPr>
          <w:rFonts w:hint="eastAsia" w:ascii="宋体" w:hAnsi="宋体" w:eastAsia="宋体" w:cs="宋体"/>
          <w:b/>
          <w:bCs/>
          <w:sz w:val="24"/>
          <w:szCs w:val="24"/>
          <w:lang w:val="en-US" w:eastAsia="zh-CN"/>
        </w:rPr>
        <w:t>（二）</w:t>
      </w:r>
      <w:bookmarkStart w:id="10" w:name="_Hlk72073432"/>
      <w:r>
        <w:rPr>
          <w:rFonts w:hint="eastAsia" w:ascii="宋体" w:hAnsi="宋体" w:eastAsia="宋体" w:cs="宋体"/>
          <w:b/>
          <w:bCs/>
          <w:sz w:val="24"/>
          <w:szCs w:val="24"/>
        </w:rPr>
        <w:t>货物需求明细</w:t>
      </w:r>
      <w:bookmarkEnd w:id="10"/>
    </w:p>
    <w:tbl>
      <w:tblPr>
        <w:tblStyle w:val="19"/>
        <w:tblW w:w="83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80"/>
        <w:gridCol w:w="2836"/>
        <w:gridCol w:w="1080"/>
        <w:gridCol w:w="1080"/>
        <w:gridCol w:w="1079"/>
        <w:gridCol w:w="12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bCs/>
                <w:sz w:val="24"/>
                <w:szCs w:val="24"/>
              </w:rPr>
              <w:t>货物名称（标的名称）</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备注</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color w:val="FF0000"/>
                <w:sz w:val="24"/>
                <w:szCs w:val="24"/>
              </w:rPr>
              <w:t>所属行业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6076"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一、校级机房</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实验教学测评管理系统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kern w:val="0"/>
                <w:sz w:val="20"/>
                <w:szCs w:val="20"/>
              </w:rPr>
              <w:t>软件和信息技术服务业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AI教考练系统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kern w:val="0"/>
                <w:sz w:val="20"/>
                <w:szCs w:val="20"/>
              </w:rPr>
              <w:t>软件和信息技术服务业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校级平台服务器</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国产操作系统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kern w:val="0"/>
                <w:sz w:val="20"/>
                <w:szCs w:val="20"/>
              </w:rPr>
              <w:t>软件和信息技术服务业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AI算力终端</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移动硬盘</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汇聚交换机</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6076"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二、物理考场</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实验信息采集终端</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学生实验操作台（终端）</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kern w:val="0"/>
                <w:sz w:val="20"/>
                <w:szCs w:val="20"/>
              </w:rPr>
              <w:t>软件和信息技术服务业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考场监考管理主机</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实验教学测评监考软件</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kern w:val="0"/>
                <w:sz w:val="20"/>
                <w:szCs w:val="20"/>
              </w:rPr>
              <w:t>软件和信息技术服务业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考场交换机</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路由器</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桌垫</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巡考摄像机</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不间断电源</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机柜</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2836"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作弊防控系统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2836"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辅材、综合布线、安装调试</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间</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kern w:val="0"/>
                <w:sz w:val="20"/>
                <w:szCs w:val="20"/>
              </w:rPr>
              <w:t>软件和信息技术服务业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6076"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三、生物考场</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FF"/>
                <w:sz w:val="20"/>
                <w:szCs w:val="20"/>
                <w:u w:val="none"/>
              </w:rPr>
            </w:pPr>
            <w:r>
              <w:rPr>
                <w:rFonts w:hint="eastAsia" w:ascii="宋体" w:hAnsi="宋体" w:eastAsia="宋体" w:cs="宋体"/>
                <w:i w:val="0"/>
                <w:iCs w:val="0"/>
                <w:color w:val="0000FF"/>
                <w:kern w:val="0"/>
                <w:sz w:val="20"/>
                <w:szCs w:val="20"/>
                <w:u w:val="none"/>
                <w:lang w:val="en-US" w:eastAsia="zh-CN" w:bidi="ar"/>
              </w:rPr>
              <w:t>20</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FF"/>
                <w:sz w:val="20"/>
                <w:szCs w:val="20"/>
                <w:u w:val="none"/>
              </w:rPr>
            </w:pPr>
            <w:r>
              <w:rPr>
                <w:rFonts w:hint="eastAsia" w:ascii="宋体" w:hAnsi="宋体" w:eastAsia="宋体" w:cs="宋体"/>
                <w:i w:val="0"/>
                <w:iCs w:val="0"/>
                <w:color w:val="0000FF"/>
                <w:kern w:val="0"/>
                <w:sz w:val="20"/>
                <w:szCs w:val="20"/>
                <w:u w:val="none"/>
                <w:lang w:val="en-US" w:eastAsia="zh-CN" w:bidi="ar"/>
              </w:rPr>
              <w:t>实验信息采集终端</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FF"/>
                <w:sz w:val="20"/>
                <w:szCs w:val="20"/>
                <w:u w:val="none"/>
              </w:rPr>
            </w:pPr>
            <w:r>
              <w:rPr>
                <w:rFonts w:hint="eastAsia" w:ascii="宋体" w:hAnsi="宋体" w:eastAsia="宋体" w:cs="宋体"/>
                <w:i w:val="0"/>
                <w:iCs w:val="0"/>
                <w:color w:val="0000FF"/>
                <w:kern w:val="0"/>
                <w:sz w:val="20"/>
                <w:szCs w:val="20"/>
                <w:u w:val="none"/>
                <w:lang w:val="en-US" w:eastAsia="zh-CN" w:bidi="ar"/>
              </w:rPr>
              <w:t>25</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FF"/>
                <w:sz w:val="20"/>
                <w:szCs w:val="20"/>
                <w:u w:val="none"/>
              </w:rPr>
            </w:pPr>
            <w:r>
              <w:rPr>
                <w:rFonts w:hint="eastAsia" w:ascii="宋体" w:hAnsi="宋体" w:eastAsia="宋体" w:cs="宋体"/>
                <w:i w:val="0"/>
                <w:iCs w:val="0"/>
                <w:color w:val="0000FF"/>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FF"/>
                <w:sz w:val="20"/>
                <w:szCs w:val="20"/>
                <w:u w:val="none"/>
              </w:rPr>
            </w:pPr>
            <w:r>
              <w:rPr>
                <w:rFonts w:hint="eastAsia" w:ascii="宋体" w:hAnsi="宋体" w:eastAsia="宋体" w:cs="宋体"/>
                <w:i w:val="0"/>
                <w:iCs w:val="0"/>
                <w:color w:val="0000FF"/>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FF"/>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学生实验操作台（终端）</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kern w:val="0"/>
                <w:sz w:val="20"/>
                <w:szCs w:val="20"/>
              </w:rPr>
              <w:t>软件和信息技术服务业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电子目镜</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考场监考管理主机</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实验教学测评监考软件</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kern w:val="0"/>
                <w:sz w:val="20"/>
                <w:szCs w:val="20"/>
              </w:rPr>
              <w:t>软件和信息技术服务业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考场交换机</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路由器</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桌垫</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巡考摄像机</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不间断电源</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机柜</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2836"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作弊防控系统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2836"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辅材、综合布线、安装调试</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间</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kern w:val="0"/>
                <w:sz w:val="20"/>
                <w:szCs w:val="20"/>
              </w:rPr>
              <w:t>软件和信息技术服务业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6076"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四、抽签候考设备</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1080"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2836"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抽签软件</w:t>
            </w:r>
          </w:p>
        </w:tc>
        <w:tc>
          <w:tcPr>
            <w:tcW w:w="1080"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kern w:val="0"/>
                <w:sz w:val="20"/>
                <w:szCs w:val="20"/>
              </w:rPr>
              <w:t>软件和信息技术服务业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6076"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五、生物实验室配置方案</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智能系统控制平台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未来实验室系统</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学生端分组控制系统</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移动控制平台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实验室照明系统</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实验室护眼灯罩</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照明线路</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功能模块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低压电源</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水槽柜</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自动排水系统</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排水系统水泵</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给水控制系统</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废水收集装置</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摇臂控制系统</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系统舱体构架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转轴护罩</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悬臂动力机构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系统悬臂行程机构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摇臂</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学生控制终端</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舱体末端封板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系统安装辅件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学生实验桌</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学生凳</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教师演示台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教师椅</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给排水布管</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实验室安装调试</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kern w:val="0"/>
                <w:sz w:val="20"/>
                <w:szCs w:val="20"/>
              </w:rPr>
              <w:t>软件和信息技术服务业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6076"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六、物理实验室配置方案</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67</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智能系统控制平台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未来实验室系统</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学生端分组控制系统</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移动控制平台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71</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实验室照明系统</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实验室护眼灯罩</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照明线路</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74</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功能模块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低压电源</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76</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摇臂控制系统</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系统舱体构架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78</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转轴护罩</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79</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悬臂动力机构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系统悬臂行程机构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81</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摇臂</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学生控制终端</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83</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舱体末端封板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84</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系统安装辅件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学生实验桌</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86</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学生凳</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87</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教师演示台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88</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教师椅</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89</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实验室安装调试</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拒绝进口</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kern w:val="0"/>
                <w:sz w:val="20"/>
                <w:szCs w:val="20"/>
              </w:rPr>
              <w:t>软件和信息技术服务业</w:t>
            </w:r>
          </w:p>
        </w:tc>
      </w:tr>
    </w:tbl>
    <w:p>
      <w:pPr>
        <w:rPr>
          <w:rFonts w:hint="eastAsia"/>
        </w:rPr>
      </w:pPr>
    </w:p>
    <w:p>
      <w:pPr>
        <w:ind w:firstLine="482" w:firstLineChars="200"/>
        <w:rPr>
          <w:rFonts w:hint="eastAsia" w:ascii="宋体" w:hAnsi="宋体" w:eastAsia="宋体" w:cs="宋体"/>
          <w:b/>
          <w:sz w:val="24"/>
          <w:szCs w:val="24"/>
        </w:rPr>
      </w:pPr>
      <w:r>
        <w:rPr>
          <w:rFonts w:hint="eastAsia" w:ascii="宋体" w:hAnsi="宋体" w:eastAsia="宋体" w:cs="宋体"/>
          <w:b/>
          <w:sz w:val="24"/>
          <w:szCs w:val="24"/>
        </w:rPr>
        <w:t xml:space="preserve">备注：1.备注栏注明“拒绝进口”的产品不接受投标人选用进口产品参与投标；注明“接受进口”的产品允许投标人选用进口产品参与投标，但不排斥国内产品。 </w:t>
      </w:r>
    </w:p>
    <w:p>
      <w:pPr>
        <w:widowControl/>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2、进口产品是指通过海关验放进入中国境内且产自关境外的产品。即所谓进口产品是指制造过程均在国外，如果产品在国内组装，其中的零部件（包括核心部件）是进口产品，则应当视为非进口产品。采用“接受进口”的产品优先采购向我国企业转让技术、与我国企业签订消化吸收再创新方案的供应商的进口产品，相关内容以财库〔2007〕119 号文和财办库〔2008〕248 号文的相关规定为准。</w:t>
      </w:r>
    </w:p>
    <w:p>
      <w:pPr>
        <w:ind w:firstLine="472" w:firstLineChars="196"/>
        <w:rPr>
          <w:rFonts w:hint="eastAsia" w:ascii="宋体" w:hAnsi="宋体" w:eastAsia="宋体" w:cs="宋体"/>
          <w:color w:val="FF0000"/>
          <w:sz w:val="24"/>
          <w:szCs w:val="24"/>
        </w:rPr>
      </w:pPr>
      <w:r>
        <w:rPr>
          <w:rFonts w:hint="eastAsia" w:ascii="宋体" w:hAnsi="宋体" w:eastAsia="宋体" w:cs="宋体"/>
          <w:b/>
          <w:color w:val="FF0000"/>
          <w:sz w:val="24"/>
          <w:szCs w:val="24"/>
        </w:rPr>
        <w:t>3、本项目核心产品为：</w:t>
      </w:r>
      <w:r>
        <w:rPr>
          <w:rFonts w:hint="eastAsia" w:ascii="宋体" w:hAnsi="宋体" w:eastAsia="宋体" w:cs="宋体"/>
          <w:b/>
          <w:color w:val="FF0000"/>
          <w:sz w:val="24"/>
          <w:szCs w:val="24"/>
          <w:u w:val="single"/>
        </w:rPr>
        <w:t xml:space="preserve"> </w:t>
      </w:r>
      <w:r>
        <w:rPr>
          <w:rFonts w:hint="eastAsia" w:ascii="宋体" w:hAnsi="宋体" w:eastAsia="宋体" w:cs="宋体"/>
          <w:b/>
          <w:color w:val="FF0000"/>
          <w:sz w:val="24"/>
          <w:szCs w:val="24"/>
          <w:u w:val="single"/>
          <w:lang w:val="en-US" w:eastAsia="zh-CN"/>
        </w:rPr>
        <w:t>实验信息采集终端</w:t>
      </w:r>
      <w:r>
        <w:rPr>
          <w:rFonts w:hint="eastAsia" w:ascii="宋体" w:hAnsi="宋体" w:eastAsia="宋体" w:cs="宋体"/>
          <w:b/>
          <w:color w:val="FF0000"/>
          <w:sz w:val="24"/>
          <w:szCs w:val="24"/>
          <w:u w:val="single"/>
        </w:rPr>
        <w:t xml:space="preserve"> </w:t>
      </w:r>
      <w:r>
        <w:rPr>
          <w:rFonts w:hint="eastAsia" w:ascii="宋体" w:hAnsi="宋体" w:eastAsia="宋体" w:cs="宋体"/>
          <w:b/>
          <w:color w:val="FF0000"/>
          <w:sz w:val="24"/>
          <w:szCs w:val="24"/>
        </w:rPr>
        <w:t>。</w:t>
      </w:r>
      <w:r>
        <w:rPr>
          <w:rFonts w:hint="eastAsia" w:ascii="宋体" w:hAnsi="宋体" w:eastAsia="宋体" w:cs="宋体"/>
          <w:sz w:val="24"/>
          <w:szCs w:val="24"/>
        </w:rPr>
        <w:t>如出现多家投标人提供的核心产品品牌相同的情况，将由评审委员会根据《政府采购货物和服务招标投标管理办法》（财政部令第87号）第三十一条的规定进行处理。</w:t>
      </w:r>
    </w:p>
    <w:p>
      <w:pPr>
        <w:ind w:firstLine="482" w:firstLineChars="200"/>
        <w:rPr>
          <w:rFonts w:hint="eastAsia" w:ascii="宋体" w:hAnsi="宋体" w:eastAsia="宋体" w:cs="宋体"/>
          <w:b/>
          <w:color w:val="FF0000"/>
          <w:sz w:val="24"/>
          <w:szCs w:val="24"/>
        </w:rPr>
      </w:pPr>
    </w:p>
    <w:p>
      <w:pPr>
        <w:ind w:firstLine="482" w:firstLineChars="200"/>
        <w:rPr>
          <w:rFonts w:hint="eastAsia" w:ascii="宋体" w:hAnsi="宋体" w:eastAsia="宋体" w:cs="宋体"/>
          <w:b/>
          <w:color w:val="FF0000"/>
          <w:sz w:val="24"/>
          <w:szCs w:val="24"/>
        </w:rPr>
      </w:pPr>
    </w:p>
    <w:p>
      <w:pPr>
        <w:pStyle w:val="4"/>
        <w:spacing w:before="120" w:beforeLines="50" w:after="120" w:afterLines="50"/>
        <w:jc w:val="both"/>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（三）技术要求</w:t>
      </w:r>
    </w:p>
    <w:p>
      <w:pPr>
        <w:ind w:firstLine="482" w:firstLineChars="200"/>
        <w:rPr>
          <w:rFonts w:hint="eastAsia" w:ascii="宋体" w:hAnsi="宋体" w:eastAsia="宋体" w:cs="宋体"/>
          <w:b/>
          <w:sz w:val="24"/>
          <w:szCs w:val="24"/>
        </w:rPr>
      </w:pPr>
      <w:r>
        <w:rPr>
          <w:rFonts w:hint="eastAsia" w:ascii="宋体" w:hAnsi="宋体" w:eastAsia="宋体" w:cs="宋体"/>
          <w:b/>
          <w:sz w:val="24"/>
          <w:szCs w:val="24"/>
        </w:rPr>
        <w:t xml:space="preserve">说明： </w:t>
      </w:r>
    </w:p>
    <w:p>
      <w:pPr>
        <w:ind w:firstLine="482" w:firstLineChars="200"/>
        <w:rPr>
          <w:rFonts w:hint="eastAsia" w:ascii="宋体" w:hAnsi="宋体" w:eastAsia="宋体" w:cs="宋体"/>
          <w:b/>
          <w:sz w:val="24"/>
          <w:szCs w:val="24"/>
        </w:rPr>
      </w:pPr>
      <w:r>
        <w:rPr>
          <w:rFonts w:hint="eastAsia" w:ascii="宋体" w:hAnsi="宋体" w:eastAsia="宋体" w:cs="宋体"/>
          <w:b/>
          <w:sz w:val="24"/>
          <w:szCs w:val="24"/>
        </w:rPr>
        <w:t>1、评分时，如对一项招标技术要求（以划分框为准）中的内容存在两处（或以上）负偏离的，在评分时只作一项负偏离扣分。</w:t>
      </w:r>
    </w:p>
    <w:p>
      <w:pPr>
        <w:ind w:firstLine="482" w:firstLineChars="200"/>
        <w:rPr>
          <w:rFonts w:hint="eastAsia" w:ascii="宋体" w:hAnsi="宋体" w:eastAsia="宋体" w:cs="宋体"/>
          <w:b/>
          <w:sz w:val="24"/>
          <w:szCs w:val="24"/>
        </w:rPr>
      </w:pPr>
      <w:r>
        <w:rPr>
          <w:rFonts w:hint="eastAsia" w:ascii="宋体" w:hAnsi="宋体" w:eastAsia="宋体" w:cs="宋体"/>
          <w:b/>
          <w:sz w:val="24"/>
          <w:szCs w:val="24"/>
        </w:rPr>
        <w:t>2、带“★”指标项为实质性条款，不作为评分准则中的评分内容。如出现负偏离，将被视为未实质性满足招标文件要求作投标无效处理；带“▲”指标项为重要参数条款，负偏离时依相关评分准则内容作重点扣分处理。</w:t>
      </w:r>
    </w:p>
    <w:p>
      <w:pPr>
        <w:ind w:firstLine="482" w:firstLineChars="200"/>
        <w:rPr>
          <w:rFonts w:hint="eastAsia" w:ascii="宋体" w:hAnsi="宋体" w:eastAsia="宋体" w:cs="宋体"/>
          <w:b/>
          <w:sz w:val="24"/>
          <w:szCs w:val="24"/>
        </w:rPr>
      </w:pPr>
      <w:r>
        <w:rPr>
          <w:rFonts w:hint="eastAsia" w:ascii="宋体" w:hAnsi="宋体" w:eastAsia="宋体" w:cs="宋体"/>
          <w:b/>
          <w:sz w:val="24"/>
          <w:szCs w:val="24"/>
        </w:rPr>
        <w:t>3、</w:t>
      </w:r>
      <w:bookmarkStart w:id="11" w:name="_Hlk72585069"/>
      <w:r>
        <w:rPr>
          <w:rFonts w:hint="eastAsia" w:ascii="宋体" w:hAnsi="宋体" w:eastAsia="宋体" w:cs="宋体"/>
          <w:b/>
          <w:sz w:val="24"/>
          <w:szCs w:val="24"/>
        </w:rPr>
        <w:t>招标技术要求中，用</w:t>
      </w:r>
      <w:r>
        <w:rPr>
          <w:rFonts w:hint="eastAsia" w:ascii="宋体" w:hAnsi="宋体" w:eastAsia="宋体" w:cs="宋体"/>
          <w:b/>
          <w:color w:val="FF0000"/>
          <w:sz w:val="24"/>
          <w:szCs w:val="24"/>
        </w:rPr>
        <w:t>红色加粗字体标注</w:t>
      </w:r>
      <w:r>
        <w:rPr>
          <w:rFonts w:hint="eastAsia" w:ascii="宋体" w:hAnsi="宋体" w:eastAsia="宋体" w:cs="宋体"/>
          <w:b/>
          <w:sz w:val="24"/>
          <w:szCs w:val="24"/>
        </w:rPr>
        <w:t>的指标项均要求提供证明资料，</w:t>
      </w:r>
      <w:r>
        <w:rPr>
          <w:rFonts w:hint="eastAsia" w:ascii="宋体" w:hAnsi="宋体" w:eastAsia="宋体" w:cs="宋体"/>
          <w:b/>
          <w:color w:val="FF0000"/>
          <w:sz w:val="24"/>
          <w:szCs w:val="24"/>
        </w:rPr>
        <w:t>共</w:t>
      </w:r>
      <w:r>
        <w:rPr>
          <w:rFonts w:hint="eastAsia" w:ascii="宋体" w:hAnsi="宋体" w:eastAsia="宋体" w:cs="宋体"/>
          <w:b/>
          <w:color w:val="FF0000"/>
          <w:sz w:val="24"/>
          <w:szCs w:val="24"/>
          <w:lang w:val="en-US" w:eastAsia="zh-CN"/>
        </w:rPr>
        <w:t>17</w:t>
      </w:r>
      <w:r>
        <w:rPr>
          <w:rFonts w:hint="eastAsia" w:ascii="宋体" w:hAnsi="宋体" w:eastAsia="宋体" w:cs="宋体"/>
          <w:b/>
          <w:color w:val="FF0000"/>
          <w:sz w:val="24"/>
          <w:szCs w:val="24"/>
        </w:rPr>
        <w:t>项</w:t>
      </w:r>
      <w:r>
        <w:rPr>
          <w:rFonts w:hint="eastAsia" w:ascii="宋体" w:hAnsi="宋体" w:eastAsia="宋体" w:cs="宋体"/>
          <w:b/>
          <w:sz w:val="24"/>
          <w:szCs w:val="24"/>
        </w:rPr>
        <w:t>；其余指标项未要求提供证明资料，无需提供相关证明资料。</w:t>
      </w:r>
      <w:bookmarkEnd w:id="11"/>
    </w:p>
    <w:tbl>
      <w:tblPr>
        <w:tblStyle w:val="19"/>
        <w:tblW w:w="93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7"/>
        <w:gridCol w:w="1039"/>
        <w:gridCol w:w="69"/>
        <w:gridCol w:w="5732"/>
        <w:gridCol w:w="843"/>
        <w:gridCol w:w="7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7" w:type="dxa"/>
            <w:shd w:val="clear" w:color="auto" w:fill="BEBEBE"/>
            <w:noWrap w:val="0"/>
            <w:vAlign w:val="center"/>
          </w:tcPr>
          <w:p>
            <w:pPr>
              <w:jc w:val="center"/>
              <w:rPr>
                <w:rFonts w:hint="eastAsia" w:ascii="宋体" w:hAnsi="宋体" w:eastAsia="宋体" w:cs="宋体"/>
                <w:b/>
                <w:sz w:val="21"/>
                <w:szCs w:val="21"/>
              </w:rPr>
            </w:pPr>
            <w:r>
              <w:rPr>
                <w:rFonts w:hint="eastAsia" w:ascii="宋体" w:hAnsi="宋体" w:eastAsia="宋体" w:cs="宋体"/>
                <w:b/>
                <w:sz w:val="21"/>
                <w:szCs w:val="21"/>
              </w:rPr>
              <w:t>序号</w:t>
            </w:r>
          </w:p>
        </w:tc>
        <w:tc>
          <w:tcPr>
            <w:tcW w:w="1039" w:type="dxa"/>
            <w:shd w:val="clear" w:color="auto" w:fill="BEBEBE"/>
            <w:noWrap w:val="0"/>
            <w:vAlign w:val="center"/>
          </w:tcPr>
          <w:p>
            <w:pPr>
              <w:jc w:val="center"/>
              <w:rPr>
                <w:rFonts w:hint="default" w:ascii="宋体" w:hAnsi="宋体" w:eastAsia="宋体" w:cs="宋体"/>
                <w:b/>
                <w:sz w:val="21"/>
                <w:szCs w:val="21"/>
                <w:lang w:val="en-US" w:eastAsia="zh-CN"/>
              </w:rPr>
            </w:pPr>
            <w:r>
              <w:rPr>
                <w:rFonts w:hint="eastAsia" w:ascii="宋体" w:hAnsi="宋体" w:eastAsia="宋体" w:cs="宋体"/>
                <w:b/>
                <w:sz w:val="21"/>
                <w:szCs w:val="21"/>
              </w:rPr>
              <w:t>货物</w:t>
            </w:r>
            <w:r>
              <w:rPr>
                <w:rFonts w:hint="eastAsia" w:ascii="宋体" w:hAnsi="宋体" w:eastAsia="宋体" w:cs="宋体"/>
                <w:b/>
                <w:sz w:val="21"/>
                <w:szCs w:val="21"/>
                <w:lang w:val="en-US" w:eastAsia="zh-CN"/>
              </w:rPr>
              <w:t>名称（产品名称）</w:t>
            </w:r>
          </w:p>
        </w:tc>
        <w:tc>
          <w:tcPr>
            <w:tcW w:w="5801" w:type="dxa"/>
            <w:gridSpan w:val="2"/>
            <w:shd w:val="clear" w:color="auto" w:fill="BEBEBE"/>
            <w:noWrap w:val="0"/>
            <w:vAlign w:val="center"/>
          </w:tcPr>
          <w:p>
            <w:pPr>
              <w:jc w:val="center"/>
              <w:rPr>
                <w:rFonts w:hint="eastAsia" w:ascii="宋体" w:hAnsi="宋体" w:eastAsia="宋体" w:cs="宋体"/>
                <w:b/>
                <w:sz w:val="21"/>
                <w:szCs w:val="21"/>
              </w:rPr>
            </w:pPr>
            <w:r>
              <w:rPr>
                <w:rFonts w:hint="eastAsia" w:ascii="宋体" w:hAnsi="宋体" w:eastAsia="宋体" w:cs="宋体"/>
                <w:b/>
                <w:sz w:val="21"/>
                <w:szCs w:val="21"/>
              </w:rPr>
              <w:t>技术要求</w:t>
            </w:r>
          </w:p>
        </w:tc>
        <w:tc>
          <w:tcPr>
            <w:tcW w:w="843" w:type="dxa"/>
            <w:shd w:val="clear" w:color="auto" w:fill="BEBEBE"/>
            <w:noWrap w:val="0"/>
            <w:vAlign w:val="center"/>
          </w:tcPr>
          <w:p>
            <w:pPr>
              <w:jc w:val="center"/>
              <w:rPr>
                <w:rFonts w:hint="eastAsia" w:ascii="宋体" w:hAnsi="宋体" w:eastAsia="宋体" w:cs="宋体"/>
                <w:b/>
                <w:sz w:val="21"/>
                <w:szCs w:val="21"/>
              </w:rPr>
            </w:pPr>
            <w:r>
              <w:rPr>
                <w:rFonts w:hint="eastAsia" w:ascii="宋体" w:hAnsi="宋体" w:eastAsia="宋体" w:cs="宋体"/>
                <w:b/>
                <w:sz w:val="21"/>
                <w:szCs w:val="21"/>
              </w:rPr>
              <w:t>标注</w:t>
            </w:r>
          </w:p>
        </w:tc>
        <w:tc>
          <w:tcPr>
            <w:tcW w:w="765" w:type="dxa"/>
            <w:shd w:val="clear" w:color="auto" w:fill="BEBEBE"/>
            <w:noWrap w:val="0"/>
            <w:vAlign w:val="center"/>
          </w:tcPr>
          <w:p>
            <w:pPr>
              <w:jc w:val="center"/>
              <w:rPr>
                <w:rFonts w:hint="eastAsia" w:ascii="宋体" w:hAnsi="宋体" w:eastAsia="宋体" w:cs="宋体"/>
                <w:b/>
                <w:sz w:val="21"/>
                <w:szCs w:val="21"/>
              </w:rPr>
            </w:pPr>
            <w:r>
              <w:rPr>
                <w:rFonts w:hint="eastAsia" w:ascii="宋体" w:hAnsi="宋体" w:eastAsia="宋体" w:cs="宋体"/>
                <w:b/>
                <w:sz w:val="21"/>
                <w:szCs w:val="21"/>
              </w:rPr>
              <w:t>其他说明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7727" w:type="dxa"/>
            <w:gridSpan w:val="4"/>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一、校级机房</w:t>
            </w:r>
          </w:p>
        </w:tc>
        <w:tc>
          <w:tcPr>
            <w:tcW w:w="843"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08" w:type="dxa"/>
            <w:gridSpan w:val="2"/>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实验教学测评管理系统</w:t>
            </w:r>
          </w:p>
        </w:tc>
        <w:tc>
          <w:tcPr>
            <w:tcW w:w="5732"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一、教师实验教学平台（校级）</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108" w:type="dxa"/>
            <w:gridSpan w:val="2"/>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732"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1.同屏功能：支持教师投屏其教学课件至学生终端和讲台大屏。</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108" w:type="dxa"/>
            <w:gridSpan w:val="2"/>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732"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2.演示功能：支持教师通过信息采集终端录制操作过程并生成视频文件，投屏其演示过程至学生端和讲台大屏。</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108" w:type="dxa"/>
            <w:gridSpan w:val="2"/>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732"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3.终端控制：支持批量查看和控制所有学生终端的使用状态，包含锁屏、投屏功能。</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108" w:type="dxa"/>
            <w:gridSpan w:val="2"/>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732"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4.随堂测试：教师可以在查看详情页面查看单个学生的测试结果页面，查看学生操作录制过程中不同角度的视频、答题卡、答题次数、答题用时、评分点的得分情况及一切关键答题信息。</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108" w:type="dxa"/>
            <w:gridSpan w:val="2"/>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732"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5.数据统计：支持统计实验课程开展情况，学生操作的AI课堂评分结果及各评分点错误率统计情况，上传至实验教学与测评监管平台。</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108" w:type="dxa"/>
            <w:gridSpan w:val="2"/>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732"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6.教师实验教学平台应支持部署在国产化软硬件平台上，包括但不限于兼容适配麒麟、统信等国产化操作系统。</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108" w:type="dxa"/>
            <w:gridSpan w:val="2"/>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732"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二、实验考务平台（校级）</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108" w:type="dxa"/>
            <w:gridSpan w:val="2"/>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732"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1.考务管理：应具有信息管理及考场记录、抽签管理、场次管理、座位管理功能；考点信息需满足深圳市教育局发布《关于开展2023年初中物理、化学和生物学实验操作考核的通知》的考务流程。</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108" w:type="dxa"/>
            <w:gridSpan w:val="2"/>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732"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2.终端控制：支持远程批量升级信息采集终端软件；支持设置规则批量上传信息采集终端的视频数据至实验评卷平台；支持设置规则批量删除信息采集终端的存储数据。</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108" w:type="dxa"/>
            <w:gridSpan w:val="2"/>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732"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3.权限设置：分学校管理员、年级组长和任课老师等权限，开放相应功能。</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108" w:type="dxa"/>
            <w:gridSpan w:val="2"/>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732"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监考功能：支持场次选择；支持学生提前交卷；支持考务信息实时同步；支持考试设备状态实时监控；支持画面自检、异常提醒，学生端和监考端同步提醒；支持视频完整性检查；支持终端视频监考与教室视频监考。</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108" w:type="dxa"/>
            <w:gridSpan w:val="2"/>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732"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5.数据统计：支持考中实时查看考试进程和异常数据统计；考后查看分数统计情况；相关数据上传至实验教学与测评管理平台。</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108" w:type="dxa"/>
            <w:gridSpan w:val="2"/>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732"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6.故障应急：设备故障换机时，支持在5分钟内完成新设备绑定和同步；支持启用备用批次补考。</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108" w:type="dxa"/>
            <w:gridSpan w:val="2"/>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732"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7.实验考务平台应支持部署在国产化软硬件平台上，包括但不限于兼容适配麒麟、统信等国产化操作系统。</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108" w:type="dxa"/>
            <w:gridSpan w:val="2"/>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732"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8.平台总体采用B/S架构，支持分布式部署，保障系统的伸缩性和灵活性；</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108" w:type="dxa"/>
            <w:gridSpan w:val="2"/>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732"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9.服务端采用JAVA技术开发；</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108" w:type="dxa"/>
            <w:gridSpan w:val="2"/>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732"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10.要求平台无需安装额外插件，PC端用户可直接使用Chrome、FireFox等浏览器及其主要版本进行访问；</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restart"/>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108" w:type="dxa"/>
            <w:gridSpan w:val="2"/>
            <w:vMerge w:val="restart"/>
            <w:shd w:val="clear" w:color="auto" w:fill="auto"/>
            <w:vAlign w:val="center"/>
          </w:tcPr>
          <w:p>
            <w:pPr>
              <w:jc w:val="center"/>
              <w:rPr>
                <w:rFonts w:hint="eastAsia" w:ascii="宋体" w:hAnsi="宋体" w:eastAsia="宋体" w:cs="宋体"/>
                <w:i w:val="0"/>
                <w:iCs w:val="0"/>
                <w:color w:val="000000"/>
                <w:sz w:val="20"/>
                <w:szCs w:val="20"/>
                <w:u w:val="none"/>
              </w:rPr>
            </w:pPr>
          </w:p>
        </w:tc>
        <w:tc>
          <w:tcPr>
            <w:tcW w:w="5732"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11.拥有考试管理权限的用户，可以对考试的数据进行管理。可以在平台上安排考题，安排考试日期，考试范围，考试考生等操作；</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108" w:type="dxa"/>
            <w:gridSpan w:val="2"/>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732"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12.考场管理：支持设置不少于2个考场分组，可以实现单学科多考场情况同时排考，满足考试需求；</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restart"/>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restart"/>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13.考场布局：支持按照横排书序、竖排顺序等规则进行快速布局，可以自定义（支持英文、阿拉伯数字）座位号显示；</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FF0000"/>
                <w:sz w:val="20"/>
                <w:szCs w:val="20"/>
                <w:u w:val="none"/>
              </w:rPr>
            </w:pPr>
            <w:r>
              <w:rPr>
                <w:rFonts w:hint="eastAsia" w:ascii="宋体" w:hAnsi="宋体" w:eastAsia="宋体" w:cs="宋体"/>
                <w:b/>
                <w:bCs/>
                <w:i w:val="0"/>
                <w:iCs w:val="0"/>
                <w:color w:val="FF0000"/>
                <w:kern w:val="0"/>
                <w:sz w:val="20"/>
                <w:szCs w:val="20"/>
                <w:u w:val="none"/>
                <w:lang w:val="en-US" w:eastAsia="zh-CN" w:bidi="ar"/>
              </w:rPr>
              <w:t>14.▲考试监控管理：可管理播放多个考场的巡考摄像机，支持切换二分屏、四分屏、九分屏等画面布局，便于主考老师在后台监控所有考场的考试情况（投标时提供功能实际运行截图及“考场监控管理”功能相关软件著作权证书扫描件以及中国版权保护中心（https://register.ccopyright.com.cn/query.html）计算机软件著作权登记公告检索截图）；</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color w:val="FF0000"/>
                <w:sz w:val="21"/>
                <w:szCs w:val="21"/>
                <w:lang w:val="en-US" w:eastAsia="zh-CN"/>
              </w:rPr>
              <w:t>1</w:t>
            </w:r>
            <w:r>
              <w:rPr>
                <w:rFonts w:hint="eastAsia" w:ascii="宋体" w:hAnsi="宋体" w:eastAsia="宋体" w:cs="宋体"/>
                <w:b/>
                <w:bCs/>
                <w:color w:val="FF0000"/>
                <w:sz w:val="21"/>
                <w:szCs w:val="21"/>
              </w:rPr>
              <w:t>▲</w:t>
            </w: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FF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15.考题管理：可以根据评分项设置评分值标准，支持启用电子试卷，可以自定义电子实验报告，报告填写内容可设置填空题、简答题及选择题等；</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16.排考办法：支持定时定点排考，灵活定点排考、随到随考；</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17.定时定点排考：生成考试全部批次信息，固定考场、时间、考试范围，考生按点按时进行考试；</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18.灵活定点排考：生成考试全部批次信息，固定考场和考生名单，但不固定考试时间，由主考官老师控制考试的开始和结束。考试结束前具有提示功能，监考老师可根据实际情况选择是否延长考试。</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19.支持“三固定、一抽签”：每个考位固定考题、固定实验器材、固定座位号，学生进场前抽签决定座位；</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20.结果预览：支持排考数据填写完毕后，具有数据检测功能，检测通过方可发布考试，可以以文字方式指出错误原因。</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21.闲时补考：拥有考试管理权限的用户可以为考生安排补考，补考时间需在闲时（非已排考的考试时间），并且补考考试编排可以继承正常考试的数据。</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22.三端校验：可以通过 MD5 加密算法生成序列码，平台服务端、监考端考生端视频文件使用 MD5 进行校验，确保数据传输的完整性防止文件被篡改；</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23.评分管理：支持在线视频阅卷评分、支持成绩查询和导出，在线阅卷时支持加速播放、暂停、查看考卷实验报告等操作。</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24.考卷数据核验：</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a）支持对从考场上传的数据进行核验；</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b）核验内容包括电子实验报告、显微镜截图、考卷视频数据；</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c）输出核验结果，可以显示核查考卷数、存在问题，支持跳转至异常考卷列表，可以补充上传。</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25.阅卷规则：支持单评制、多评制，多评制可以设定阈值。</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26.阅卷试评：可以在正式阅卷工作之前试评卷，随机选取部分考卷发放给阅卷老师进行评阅，以便阅卷组长统一评分标准。</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27.评分管理：支持在线视频阅卷评分、支持成绩查询和导出，在线阅卷时支持加速播放0.5-8倍数、暂停、查看考卷实验报告等操作；</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可不需要设置具体的考生批次、考试时长、考试间隔时长,用户可根据实际学生到场情况，在报到页面为学生进行签到并生成考试批次，每个批次的考生有序进行抽签后即可进入考场，考场老师根据学生入场情况实时在监考端软件上开始考试和结束考试即可，可根据考务要求配置规则，定时结束考试。考试结束前具有提示功能，监考老师可根据实际情况选择是否延长考试；</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29.设备管理：可查看、清理服务器磁盘容量；查看监考端、学生端当前版本并上传软件更新包，实现远程自动更新。</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i w:val="0"/>
                <w:iCs w:val="0"/>
                <w:color w:val="FF0000"/>
                <w:kern w:val="0"/>
                <w:sz w:val="20"/>
                <w:szCs w:val="20"/>
                <w:u w:val="none"/>
                <w:lang w:val="en-US" w:eastAsia="zh-CN" w:bidi="ar"/>
              </w:rPr>
              <w:t>30.▲校级运维监控：能够实时监控校内与本考试相关的服务器的实时运维数据，包括存储、网卡、CPU、内存占用、网络请求等情况。（投标时提供功能实际运行截图及“运维监控”功能相关的软件著作权证书扫描件以及中国版权保护中心（https://register.ccopyright.com.cn/query.html）计算机软件著作权登记公告检索截图）；</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color w:val="FF0000"/>
                <w:sz w:val="21"/>
                <w:szCs w:val="21"/>
                <w:lang w:val="en-US" w:eastAsia="zh-CN"/>
              </w:rPr>
              <w:t>2</w:t>
            </w:r>
            <w:r>
              <w:rPr>
                <w:rFonts w:hint="eastAsia" w:ascii="宋体" w:hAnsi="宋体" w:eastAsia="宋体" w:cs="宋体"/>
                <w:b/>
                <w:bCs/>
                <w:color w:val="FF0000"/>
                <w:sz w:val="21"/>
                <w:szCs w:val="21"/>
              </w:rPr>
              <w:t>▲</w:t>
            </w: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FF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31.★满足深圳市关于校级平台的对接的数据标准要求，应能上下对接，与市/区相关平台进行数据交换。</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0" w:hRule="atLeast"/>
          <w:jc w:val="center"/>
        </w:trPr>
        <w:tc>
          <w:tcPr>
            <w:tcW w:w="887" w:type="dxa"/>
            <w:vMerge w:val="restar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AI教考练系统</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FF0000"/>
                <w:kern w:val="0"/>
                <w:sz w:val="20"/>
                <w:szCs w:val="20"/>
                <w:u w:val="none"/>
                <w:lang w:val="en-US" w:eastAsia="zh-CN" w:bidi="ar"/>
              </w:rPr>
              <w:t>1.▲具有AI课堂助手，支持AI练习及AI教学模式；（提供“AI课堂助手”功能相关的软件著作权证书扫描件以及中国版权保护中心（https://register.ccopyright.com.cn/query.html）计算机软件著作权登记公告检索截图）。</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color w:val="FF0000"/>
                <w:sz w:val="21"/>
                <w:szCs w:val="21"/>
                <w:lang w:val="en-US" w:eastAsia="zh-CN"/>
              </w:rPr>
              <w:t>3</w:t>
            </w:r>
            <w:r>
              <w:rPr>
                <w:rFonts w:hint="eastAsia" w:ascii="宋体" w:hAnsi="宋体" w:eastAsia="宋体" w:cs="宋体"/>
                <w:b/>
                <w:bCs/>
                <w:color w:val="FF0000"/>
                <w:sz w:val="21"/>
                <w:szCs w:val="21"/>
              </w:rPr>
              <w:t>▲</w:t>
            </w: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2.AI练习模式：</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2.1)学生可以选择物化生实验题目；</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2.2)练习前可以查看仪器清单；</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2.3)具有实验原理视频，学生可以回顾观看；</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2.4)可以对学生的实验操作进行点评。</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i w:val="0"/>
                <w:iCs w:val="0"/>
                <w:color w:val="FF0000"/>
                <w:kern w:val="0"/>
                <w:sz w:val="20"/>
                <w:szCs w:val="20"/>
                <w:u w:val="none"/>
                <w:lang w:val="en-US" w:eastAsia="zh-CN" w:bidi="ar"/>
              </w:rPr>
              <w:t>3.▲AI测评行为分析统计：学生可以选择物化生实验考题，测评过程不显示任何步骤提示，可以填写实验报告。实验操作结束后点击提交，系统自动根据学生的操作行为进行分析生成测评成绩单，每一项得分点的得分和失分情况统计，可以查看实验操作回放。（提供“AI辅助实验”功能相关的软件著作权证书扫描件以及中国版权保护中心（https://register.ccopyright.com.cn/query.html）计算机软件著作权登记公告检索截图）</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color w:val="FF0000"/>
                <w:sz w:val="21"/>
                <w:szCs w:val="21"/>
                <w:lang w:val="en-US" w:eastAsia="zh-CN"/>
              </w:rPr>
              <w:t>4</w:t>
            </w:r>
            <w:r>
              <w:rPr>
                <w:rFonts w:hint="eastAsia" w:ascii="宋体" w:hAnsi="宋体" w:eastAsia="宋体" w:cs="宋体"/>
                <w:b/>
                <w:bCs/>
                <w:color w:val="FF0000"/>
                <w:sz w:val="21"/>
                <w:szCs w:val="21"/>
              </w:rPr>
              <w:t>▲</w:t>
            </w: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FF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4.支持教学过程中AI实现实时评分，可以根据实验题的评分点对学生操作步骤进行点评。</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5.支持实时显示AI赋分过程。</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6.支持导出AI赋分结果。</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i w:val="0"/>
                <w:iCs w:val="0"/>
                <w:color w:val="FF0000"/>
                <w:kern w:val="0"/>
                <w:sz w:val="20"/>
                <w:szCs w:val="20"/>
                <w:u w:val="none"/>
                <w:lang w:val="en-US" w:eastAsia="zh-CN" w:bidi="ar"/>
              </w:rPr>
              <w:t>7.▲可根据实验题目评分标准，通过AI对物体进行智能判别与分析，并通过AI辅助学生实验操作过程，对其完成情况进行全自动评价（提供“AI辅助实验”功能相关的软件著作权证书扫描件以及中国版权保护中心（https://register.ccopyright.com.cn/query.html）计算机软件著作权登记公告检索截图）。</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color w:val="FF0000"/>
                <w:sz w:val="21"/>
                <w:szCs w:val="21"/>
                <w:lang w:val="en-US" w:eastAsia="zh-CN"/>
              </w:rPr>
              <w:t>5</w:t>
            </w:r>
            <w:r>
              <w:rPr>
                <w:rFonts w:hint="eastAsia" w:ascii="宋体" w:hAnsi="宋体" w:eastAsia="宋体" w:cs="宋体"/>
                <w:b/>
                <w:bCs/>
                <w:color w:val="FF0000"/>
                <w:sz w:val="21"/>
                <w:szCs w:val="21"/>
              </w:rPr>
              <w:t>▲</w:t>
            </w: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FF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21"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i w:val="0"/>
                <w:iCs w:val="0"/>
                <w:color w:val="FF0000"/>
                <w:kern w:val="0"/>
                <w:sz w:val="20"/>
                <w:szCs w:val="20"/>
                <w:u w:val="none"/>
                <w:lang w:val="en-US" w:eastAsia="zh-CN" w:bidi="ar"/>
              </w:rPr>
              <w:t>8.▲系统页面上具有一个实时直播画面和AI画板，识别出仪器后系统能够自动在画板上将仪器以标准物理符号的方式重新绘制出来。进行物理电学实验时，系统能够自动在AI画板上将电流表、电压表、物理电源、开关、小灯泡、滑动变阻器等符号绘制出来，并体现出导线连接关系（投标时提供第三方检验检测机构出具并加盖（或带有）CMA标志的检验检测报告扫描件，原件备查。注：对应参数（检验检测项）在检验检测报告中进行标注。上述检验检测报告在全国认证认可信息公共服务平台（认e云）（http://cx.cnca.cn/）的信息查询记录截图）。（对应演示第4项）</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color w:val="FF0000"/>
                <w:sz w:val="21"/>
                <w:szCs w:val="21"/>
                <w:lang w:val="en-US" w:eastAsia="zh-CN"/>
              </w:rPr>
              <w:t>6</w:t>
            </w:r>
            <w:r>
              <w:rPr>
                <w:rFonts w:hint="eastAsia" w:ascii="宋体" w:hAnsi="宋体" w:eastAsia="宋体" w:cs="宋体"/>
                <w:b/>
                <w:bCs/>
                <w:color w:val="FF0000"/>
                <w:sz w:val="21"/>
                <w:szCs w:val="21"/>
              </w:rPr>
              <w:t>▲</w:t>
            </w: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FF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校级平台服务器</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1.CPU：配置国产化CPU，主频≥2.4GHz，≥24核24线程；单核缓存≥ 8MB。</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2.内存：≥32GB 。</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3.硬盘：容量≥8TB，满足能存储一年内整个理科实验考试周期所产生的所有视频数据，并支持系统在一年之内进行回溯。</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4.网卡：≥2个千兆网络接口。</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5.接口：具有行业通用视频接口，兼容通用视频格式。</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6.硬盘槽≥8个，兼容2.5寸和3.5寸的热插拔。</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7.RAID，支持RAID类型：RAID 0、RAID 1、RAID 5、RAID 6、 RAID 10。</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39" w:type="dxa"/>
            <w:vMerge w:val="restar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国产操作系统</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1.系统内核 Linux Kernel 4.19 及以上；</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2.操作系统产品可运行在 x86 (32-bit)、x86_64 (64-bit)、MIPS、ARM 等架构的处理器上，满足高可用性、高可靠性以及可扩展性的应用需求；</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3.系统具有良好的应用支持能力，具有良好的数据库软件兼容性，兼容国内外主流的数据库软件产品</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4.系统具有良好的应用支持能力，具有良好的中间件兼容性，兼容国内外主流的中间件软件产品，包括：东方通、中创、金蝶、Apache 等；</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5.系统支持域管控增强组件，可替代 windows AD 域功能，支持统一账户管理、统一身份认证、统一策略下发等；</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6.系统支持同源异构，支持龙芯、鲲鹏、兆芯、海光、飞腾等国产主流芯片处理器、在不同硬件平台上提供版本一致的内核、系统服务、开发和运行环境；</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7.系统支持 Glibc2.28、GCC8.0 及以上，JDK11、 QT5.11、GTK3.24 及以上；</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8.支持高可用集群软件产品。</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AI算力终端</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1.具有超强算力，支持H.265（兼容H.264）硬件解码，视频解码能力≥256TOPS（INT8）、≥128TFLOPS（FP16）。</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采用1U标准机架式服务器，内置≥8个mini算力模组（采用通用SODIMM接口，易于拆卸和维护）；每个算力模组应具有视频解码及分析能力，采用国产算力芯片；每个算力模组的算力芯片核心数≥8核，主频≥2.3G，RAM≥16G，ROM≥64G，INT8算力≥32TOPS、FP16算力≥16TFLOPS；</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3.主控节点：要求高性能国产64位处理器，核心数≥8核，主频≥2.4G。</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4.规格接口：</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a)≥1路HMDI接口，最高可以显示4K@30Hz；</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b)≥2路USB接口，可以外接鼠标键盘；</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c)≥2路GE千兆RJ45接口，≥2路万兆SFP接口（不含光模块）；</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5.电源管理：具有高速散热风扇设计，可以7*24小时工作。</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6.配置的算力设备最大半精度（FP16）浮点运算总性能≥128 TFLOPS，最大整数精度（INT8）浮点运算总性能≥256 TOPS，以满足实验室进行AI实时教学的需求。</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039"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移动硬盘</w:t>
            </w:r>
          </w:p>
        </w:tc>
        <w:tc>
          <w:tcPr>
            <w:tcW w:w="5801" w:type="dxa"/>
            <w:gridSpan w:val="2"/>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≥2TB固态硬盘，支持 USB2.0/3.0接口，防震，超薄。</w:t>
            </w:r>
          </w:p>
        </w:tc>
        <w:tc>
          <w:tcPr>
            <w:tcW w:w="843"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039"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汇聚交换机</w:t>
            </w:r>
          </w:p>
        </w:tc>
        <w:tc>
          <w:tcPr>
            <w:tcW w:w="5801" w:type="dxa"/>
            <w:gridSpan w:val="2"/>
            <w:shd w:val="clear" w:color="auto" w:fill="auto"/>
            <w:noWrap/>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千兆/万兆自适应交换机。</w:t>
            </w:r>
          </w:p>
        </w:tc>
        <w:tc>
          <w:tcPr>
            <w:tcW w:w="843" w:type="dxa"/>
            <w:shd w:val="clear" w:color="auto" w:fill="auto"/>
            <w:noWrap/>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noWrap/>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7727" w:type="dxa"/>
            <w:gridSpan w:val="4"/>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二、物理考场</w:t>
            </w:r>
          </w:p>
        </w:tc>
        <w:tc>
          <w:tcPr>
            <w:tcW w:w="843"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实验信息采集终端</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1.一体化支架：</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1.1)使用过程中应稳定维持固定拍摄角度，不可自由伸缩和旋转；</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1.2)支架底座具备固定功能；</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1.3)支架线材没有完全外露；</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1.4)可用于标准实验桌，支持折叠收纳；</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1.5)高度集成化，底座、可折叠支架杆、摄像头一体化，不可拆卸；</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i w:val="0"/>
                <w:iCs w:val="0"/>
                <w:color w:val="FF0000"/>
                <w:kern w:val="0"/>
                <w:sz w:val="20"/>
                <w:szCs w:val="20"/>
                <w:u w:val="none"/>
                <w:lang w:val="en-US" w:eastAsia="zh-CN" w:bidi="ar"/>
              </w:rPr>
              <w:t>1.6)▲具有三路视频采集，具有俯视角、正视角、侧视角。其中侧视角可以通过转动折叠杆，满足左侧视或右侧视；折叠杆体可向下收纳至平板托架后，收纳完成后，杆体顶端距离底座不超过23CM，每路摄像头均≥466万像素,可以实现1080P@30、1080P@30、2304*1296@25、2560*1440@25、2880*1620@25分辨率。（投标时提供第三方检验检测机构出具并加盖（或带有）CMA标志的检验检测报告扫描件，原件备查。注：对应参数（检验检测项）在检验检测报告中进行标注。上述检验检测报告在全国认证认可信息公共服务平台（认e云）（http://cx.cnca.cn/）的信息查询记录截图）（对应演示第1项）</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color w:val="FF0000"/>
                <w:sz w:val="21"/>
                <w:szCs w:val="21"/>
                <w:lang w:val="en-US" w:eastAsia="zh-CN"/>
              </w:rPr>
              <w:t>7</w:t>
            </w:r>
            <w:r>
              <w:rPr>
                <w:rFonts w:hint="eastAsia" w:ascii="宋体" w:hAnsi="宋体" w:eastAsia="宋体" w:cs="宋体"/>
                <w:b/>
                <w:bCs/>
                <w:color w:val="FF0000"/>
                <w:sz w:val="21"/>
                <w:szCs w:val="21"/>
              </w:rPr>
              <w:t>▲</w:t>
            </w: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FF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i w:val="0"/>
                <w:iCs w:val="0"/>
                <w:color w:val="FF0000"/>
                <w:kern w:val="0"/>
                <w:sz w:val="20"/>
                <w:szCs w:val="20"/>
                <w:u w:val="none"/>
                <w:lang w:val="en-US" w:eastAsia="zh-CN" w:bidi="ar"/>
              </w:rPr>
              <w:t>1.7)▲具有屏幕托架，具有可调节扣具，扣具支持螺丝锁紧，可以稳固地锁紧触控平板。托架具有防滑胶垫，可稳固放置触控平板且避免刮花；（投标时提供第三方检验检测机构出具并加盖（或带有）CMA标志的检验检测报告扫描件，原件备查。注：对应参数（检验检测项）在检验检测报告中进行标注。上述检验检测报告在全国认证认可信息公共服务平台（认e云）（http://cx.cnca.cn/）的信息查询记录截图）（对应演示第2项）</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color w:val="FF0000"/>
                <w:sz w:val="21"/>
                <w:szCs w:val="21"/>
                <w:lang w:val="en-US" w:eastAsia="zh-CN"/>
              </w:rPr>
              <w:t>8</w:t>
            </w:r>
            <w:r>
              <w:rPr>
                <w:rFonts w:hint="eastAsia" w:ascii="宋体" w:hAnsi="宋体" w:eastAsia="宋体" w:cs="宋体"/>
                <w:b/>
                <w:bCs/>
                <w:color w:val="FF0000"/>
                <w:sz w:val="21"/>
                <w:szCs w:val="21"/>
              </w:rPr>
              <w:t>▲</w:t>
            </w: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FF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i w:val="0"/>
                <w:iCs w:val="0"/>
                <w:color w:val="FF0000"/>
                <w:kern w:val="0"/>
                <w:sz w:val="20"/>
                <w:szCs w:val="20"/>
                <w:u w:val="none"/>
                <w:lang w:val="en-US" w:eastAsia="zh-CN" w:bidi="ar"/>
              </w:rPr>
              <w:t>1.8）▲可实现正视角画面拍摄，此视角的摄像机支持在垂直桌面的方向进行上下滑动，可调整垂直高度，上下滑动时整机设备的总高度不变，可调范围≥20cm，支持在可调范围内任意位置悬停。在最低处时，镜头中心点距离桌面≤22cm。在最高处时，镜头中心点距离桌面≥40cm。（投标时提供第三方检验检测机构出具并加盖（或带有）CMA标志的检验检测报告扫描件，原件备查。注：对应参数（检验检测项）在检验检测报告中进行标注。上述检验检测报告在全国认证认可信息公共服务平台（认e云）（http://cx.cnca.cn/）的信息查询记录截图）（对应演示第3项）</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color w:val="FF0000"/>
                <w:sz w:val="21"/>
                <w:szCs w:val="21"/>
                <w:lang w:val="en-US" w:eastAsia="zh-CN"/>
              </w:rPr>
              <w:t>9</w:t>
            </w:r>
            <w:r>
              <w:rPr>
                <w:rFonts w:hint="eastAsia" w:ascii="宋体" w:hAnsi="宋体" w:eastAsia="宋体" w:cs="宋体"/>
                <w:b/>
                <w:bCs/>
                <w:color w:val="FF0000"/>
                <w:sz w:val="21"/>
                <w:szCs w:val="21"/>
              </w:rPr>
              <w:t>▲</w:t>
            </w: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FF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1.9)实验信息采集终端一共具有5个摄像机，其中3个是俯视角、正视角、侧视角视频采集摄像头，另外2个是触控平板的人脸前置识别摄像头、后置摄像头；</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2.视频采集摄像头：</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2.1)自动白平衡；</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2.2)支持多码流传输,俯视角、正视角、侧视角摄像头均可输出标准RTSP主码流和副码流,可采用不同的IP地址；</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2.3)俯视角摄像机可拍摄1.2m*0.6m的标准实验桌；正视角、侧视角可拍摄核心操作区内操作和刻度细节，提供核心操作垫标识；</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2.4)帧率不低于25fps，支持3D数字降噪，各摄像头视频同步偏差不高于80ms；支持H.265/H.264/MJPEG视频压缩编码，自动曝光，支持宽动态，宽动态范围不低于90dB；</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2.5)不低于1/2.7’CMOS，像素≥466万</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2.6)镜头：俯拍镜头：2.8mm~3.24mm(±5%)焦距</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3.触控平板：</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3.1)显示屏幕：IPS屏或OLED屏，≥10英寸，分辨率≥2000*1200，支持触摸输入；具有人脸前置识别摄像头、后置摄像头；具有扬声器≥4个；</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3.2)具有护眼设计；</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3.3)处理器：ARM架构，≥8核，至少4个单核最高主频≥2.4GHz</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3.4)内存：≥4G。</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3.5)存储：≥64GB。可插卡扩展至≥128GB。</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3.6)终端操作系统：内置开机自启动的国产操作系统。</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4.电源接口：</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4.1)支持两种供电模式：可以DC持续供电、“POE”供电。</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4.2)支持POE供电管理，可以满足单网口及单网线进行整机供电。</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5.多功能type-C口：</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5.1)具有≥1个多功能Type-C口，可以实现充电、USB数据传输、网络传输；</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 支持通过多功能Type-C口为外部设备充电</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 支持通过多功能Type-C口输出USB电子目镜画面或者U盘数据或者鼠标键盘信号</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 支持通过多功能Type-C口输出≥100M有线网络信号。</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6.其他接口：</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6.1)具有≥1 路RJ45 POE 网口，最大输入功率达到24W.</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6.2)具有≥1路USB2.0接口，可以接入电子目镜、鼠标、U盘等外设</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6.3)具有拓展接口，便于后期拓展摄像机。</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7.网络模块：</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7.1)支持有线联网，不低于100M网卡；</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7.2)内置交换机网络通讯组件</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学生实验操作台（终端）</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【基本参数】</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1.测评模式：支持开机自启动，在使用过程中不可操作退出；页面操作流程需满足深圳市教育局发布《关于开展2023年初中物理、化学和生物学实验操作考核的通知》的考务流程。</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2.实验数据接入：支持接入电子目镜或数码显微镜画面等实验数据。</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3.学生自主抓拍：支持学生自主抓拍保存摄像头或电子目镜数据画面。</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4.自学模式：支持学生自主登录，选择实验进行操作；支持AI对学生的实验操作过程做实时评价，学生可通过查看实验操作的步骤提示和得分点完成对应操作。</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5.摄像头异常提醒：录制过程中如检测到摄像头拍摄范围偏离预期或被遮挡，在本机上有明显提示，并上报实验考务平台，避免考试期间发生重考事故。</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6.AI算法高精确度：实验信息采集终端搭配AI算法运行时，应能准确识别到考试或教学时使用的实验器材名称和操作步骤，</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7.人工智能实时评分：教学模式下，学生操作完毕后，系统反馈人工智能评分结果及错误反馈，并上传至教师实验教学平台，评分准确率应在95%以上。</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8.软件架构：采用C/S架构，与考场监考端通讯地址绑定使用，修改绑定监考端通讯地址后既自动接收其他考场的信息；</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9.跨网通信：学生终端只与考场监考端通信，不与市级平台、校级平台进行通信，实现网络隔离，可以在完全不连接外网或者完全不连接学校网络的情况下，通过监考端转发信息实现视频录制；</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10.开机自动启动考试软件，且不可以随意退出，需输入密码才可退出软件；支持显示启动器加载进度条，实时显示加载状态；</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11.IP配置：支持通过DHCP修改自动获取IP，支持手动修改固定IP；</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12.多类视频接入：支持接入USB摄像机、网络摄像机，可支持1080P；</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13.外接设备设置：支持接入数码显微镜、电子目镜；</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14.配置方式：在自动获取IP的状态下，仅需配置监考端IP和本机座位号即可开启考试；</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15.快速备换：当有设备发生故障时，备用考生设备仅需改动座位号即可快速替换使用，其他配置无需改动；</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16.状态上报：不间断向上级平台上报自身运行状态，包括：IP，磁盘使用率，版本号，座位号，版本号等；</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17.模式切换：拥有考试、教学模式，用户可在不同模式之间自由切换，但是以监考端的统一指令为最高优先级指令；</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【考试模式】</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1、快速入座：考生入座核验信息前，可以全屏显示座位号，便于考生进入考场后快速定位考试座位号</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2、支持触屏操作，考生需核对考生信息无误，并检查摄像头状态后，才可开始考试；</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3、考生信息核对：考试前，学生需核对包括考场名称、开考时间、结束时间、考生姓名、考生编号、座位编号信息无误后才可进行考试；</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4、检测摄像头：考试前，学生需核对摄像头角度、清晰度无误后，才可进行考试；</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5、摄像机管理：支持多类摄像机接入，支持接入网络摄像机，可以配置主摄和副摄的主副码流地址；</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答题卡截图：提供软件答题卡供考生作答，考生可以申请提前交卷，系统会核验考生填写的答题卡是否已经保存。确认情况后，考生方可提前交卷。交卷后，系统自动抓屏保存答题卡截图，格式满足《深圳市教育局关于做好 2024 年初中学业水平生物学实验操作考试工作的通知》的相关要求；</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支持通过触屏操作，自动控制设备内部录播系统进行录制。考生通过触屏操作核对信息无误后，检查摄像头状态，即可开始考试；考试开始时候录播系统自动启动录制；考试结束时，录播系统自动停止录制并保存文件；</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8、考试过程中实时显示日期、剩余时间、考试科目、姓名和考试题目；</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9、显微镜截图：生物考试时，考生终端屏幕可以显示显微镜画面，以便于生物考试评分。</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10、考卷数据校验：考生可以申请提前交卷，系统会核验考生填写的实验结果和实验报告是否已经保存并提交。只有在确认提交情况后，方可交卷。</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i w:val="0"/>
                <w:iCs w:val="0"/>
                <w:color w:val="FF0000"/>
                <w:kern w:val="0"/>
                <w:sz w:val="20"/>
                <w:szCs w:val="20"/>
                <w:u w:val="none"/>
                <w:lang w:val="en-US" w:eastAsia="zh-CN" w:bidi="ar"/>
              </w:rPr>
              <w:t>11、▲答题卡编辑：提供软件答题卡供考生作答，考生可以在屏幕上进行编辑作答，交卷后，系统自动保存答题卡，格式满足《深圳市教育局关于做好 2024 年初中学业水平生物学实验操作考试工作的通知》的相关要求；（提供“在线编辑”功能相关的软件著作权证书复印件以及中国版权保护中心（https://register.ccopyright.com.cn/query.html）计算机软件著作权登记公告检索截图）；</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color w:val="FF0000"/>
                <w:sz w:val="21"/>
                <w:szCs w:val="21"/>
                <w:lang w:val="en-US" w:eastAsia="zh-CN"/>
              </w:rPr>
              <w:t>10</w:t>
            </w:r>
            <w:r>
              <w:rPr>
                <w:rFonts w:hint="eastAsia" w:ascii="宋体" w:hAnsi="宋体" w:eastAsia="宋体" w:cs="宋体"/>
                <w:b/>
                <w:bCs/>
                <w:color w:val="FF0000"/>
                <w:sz w:val="21"/>
                <w:szCs w:val="21"/>
              </w:rPr>
              <w:t>▲</w:t>
            </w: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FF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【教学模式】</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1、教学示范：</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a.将任意一套“学生终端”转为“老师终端”，老师终端的两路视频画面可以清晰、低延迟地传输给其他学生终端和监考电脑；</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b.每一个学生都可以在自己的学生终端上观看老师终端的操作画面；</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c.在老师终端上可以控制视频的录制或停止，此录制状态会同步到监考电脑上，视频停止录制后，可以到监考电脑端进行视频文件命名和保存；</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2、课堂练习：</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i w:val="0"/>
                <w:iCs w:val="0"/>
                <w:color w:val="FF0000"/>
                <w:kern w:val="0"/>
                <w:sz w:val="20"/>
                <w:szCs w:val="20"/>
                <w:u w:val="none"/>
                <w:lang w:val="en-US" w:eastAsia="zh-CN" w:bidi="ar"/>
              </w:rPr>
              <w:t>a.▲在考试和互动教学的过程中，实时显示2个摄像头的画面，每个摄像头画面可提供双流（高清主流+标清辅流）模式，双击画面即可播放高清主流，确保画面清晰且无明显延迟；（提供功能实际运行截图及“双流视频”功能相关的软件著作权证书扫描件以及中国版权保护中心（https://register.ccopyright.com.cn/query.html）计算机软件著作权登记公告检索截图）；</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color w:val="FF0000"/>
                <w:sz w:val="21"/>
                <w:szCs w:val="21"/>
                <w:lang w:val="en-US" w:eastAsia="zh-CN"/>
              </w:rPr>
              <w:t>11</w:t>
            </w:r>
            <w:r>
              <w:rPr>
                <w:rFonts w:hint="eastAsia" w:ascii="宋体" w:hAnsi="宋体" w:eastAsia="宋体" w:cs="宋体"/>
                <w:b/>
                <w:bCs/>
                <w:color w:val="FF0000"/>
                <w:sz w:val="21"/>
                <w:szCs w:val="21"/>
              </w:rPr>
              <w:t>▲</w:t>
            </w: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FF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b.课堂练习模式下，学生终端会提示当前录制状态，以方便学生知晓老师是否已开启录制。</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i w:val="0"/>
                <w:iCs w:val="0"/>
                <w:color w:val="FF0000"/>
                <w:kern w:val="0"/>
                <w:sz w:val="20"/>
                <w:szCs w:val="20"/>
                <w:u w:val="none"/>
                <w:lang w:val="en-US" w:eastAsia="zh-CN" w:bidi="ar"/>
              </w:rPr>
              <w:t>c.▲实训实操测评：学生可选择题目进行实操练习，系统可对学生操作进行智能测评，帮助学生掌握操作情况。（投标时提供功能实际运行截图及“实训实操测评”功能相关的软件著作权证书扫描件以及中国版权保护中心（https://register.ccopyright.com.cn/query.html）计算机软件著作权登记公告检索截图）。</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color w:val="FF0000"/>
                <w:sz w:val="21"/>
                <w:szCs w:val="21"/>
                <w:lang w:val="en-US" w:eastAsia="zh-CN"/>
              </w:rPr>
              <w:t>12</w:t>
            </w:r>
            <w:r>
              <w:rPr>
                <w:rFonts w:hint="eastAsia" w:ascii="宋体" w:hAnsi="宋体" w:eastAsia="宋体" w:cs="宋体"/>
                <w:b/>
                <w:bCs/>
                <w:color w:val="FF0000"/>
                <w:sz w:val="21"/>
                <w:szCs w:val="21"/>
              </w:rPr>
              <w:t>▲</w:t>
            </w: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FF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考场监考管理主机</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1.存储管理：可在软件上查看剩余存储空间，支持考试数据转移和备份。</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2.流媒体管理：可存储考场24位考生视频流，不低于 48 路 1080P 实时视频流同时存储。</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3.内存：16GB或以上。</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4.控制器：不低于6核心，工作频率不低于2.5GHz。</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5.存储空间：≥1TB。</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6.具有不少于1路自适应 100/1000M RJ45 网口;；</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7.产品正面具有≥1路USB 接口，背面具有≥2 路 USB 接口；</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8.配套1个≥21寸以上液晶显示器</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实验教学测评监考软件</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用于管理当前实验室的所有终端设备，负责处理校级管理平台和学生终端之间数据交换服务，具有考试模式和教学模式。</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1.采用C/S客户端设计，不需要使用浏览器登录。</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2.应可以同时监看考场内考生视频采集情况，可支持同时监看24/12/6名考生的两个操作画面，最高可同时显示48路学生操作画面，观看延时不高于0.5s；</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3.负责处理数据中心和学生套件之间数据交换服务（下发学生信息、下发实验操作指令、上传实验视频、现场抽签等）；</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4.支持调节监看窗口的数量，可选择只看主画面或只看副画面，也可以选择同时观看主画面、副画面；</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5.设备管控：可以统一管理考试系统设备，可以远程关闭考生终端，可在监考端查看学生端的软件版本和在线状态，支持远程升级、关机、清理磁盘空间等批量操作；</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6.可对故障设备进行管理，支持更换实验信息采集终端套件。更换套件时无需在本系统上做任何配置，只需在考生套件端修改座位号即可，系统后台全自动配对；</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7.考试状态：支持监考界面显示每个座位考生的考试状态，包括确认无误、提前交卷、考生报错、取消考试等，每个状态可以显示为不同色块，便于监考老师快速定位异常。</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8.视频上传管理：可设定同时上传至校级服务器的视频数量并限制上传带宽，以减少资源占用，确保考试顺利进行。</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9.可以在教室电脑上取消某个考生的本场考试，并决定是否安排补考（执行该操作时必须输入监考组长的账号和密码）。若选择安排补考，则该生会进入补考名单，在网页端可查；</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10.倒计时：系统显示当前考试的名称和考场信息，同时显示考试结束倒计时，当进入考试准备过程中，可以显示下一场考试开始倒计时。</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11.考情统计：可以统计并显示当前批次考试评分提交情况（现考现评模式下）、显微镜截图提交情况（生物考试）、电子试卷填写提交。</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12.考试控制：当考试办法为灵活定点或随到随考时，监考老师可以根据考场情况控制考试的开启与结束。</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13.延长考试：当考试设置了定时任务时，到达预设的考试时间后，系统将提示用户是否延长考试，延长考试后，考生可以继续作答。  </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14.考试视频可以在本地视频备份存储功能，并能对存储的视频完整性进行校验及批量统一管理；</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15.记录实验操作过程并形成视频文件,支持传输至上级平台；</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16.录制的视频文件格式满足H.264格式，可以在大部分播放器中直接播放；</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17.支持全局统计每个批次考生各类数据的上传情况，包括视频数据、显微镜截图数据、实验报告等，对于未上传数据的异常处理，支持从学生端补传至监考端。</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i w:val="0"/>
                <w:iCs w:val="0"/>
                <w:color w:val="FF0000"/>
                <w:kern w:val="0"/>
                <w:sz w:val="20"/>
                <w:szCs w:val="20"/>
                <w:u w:val="none"/>
                <w:lang w:val="en-US" w:eastAsia="zh-CN" w:bidi="ar"/>
              </w:rPr>
              <w:t>18.▲教学模式：支持对学生端进行智能控制，点击进入教学模式后可进行示范教学和课堂练习，选择模式后将智能控制所有学生端自动进入对应模式；(投标时提供功能实际运行截图及“智能设备控制”功能相关的软件著作权证书扫描件以及中国版权保护中心（https://register.ccopyright.com.cn/query.html）计算机软件著作权登记公告检索截图）；</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color w:val="FF0000"/>
                <w:sz w:val="21"/>
                <w:szCs w:val="21"/>
                <w:lang w:val="en-US" w:eastAsia="zh-CN"/>
              </w:rPr>
              <w:t>13</w:t>
            </w:r>
            <w:r>
              <w:rPr>
                <w:rFonts w:hint="eastAsia" w:ascii="宋体" w:hAnsi="宋体" w:eastAsia="宋体" w:cs="宋体"/>
                <w:b/>
                <w:bCs/>
                <w:color w:val="FF0000"/>
                <w:sz w:val="21"/>
                <w:szCs w:val="21"/>
              </w:rPr>
              <w:t>▲</w:t>
            </w: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FF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i w:val="0"/>
                <w:iCs w:val="0"/>
                <w:color w:val="FF0000"/>
                <w:kern w:val="0"/>
                <w:sz w:val="20"/>
                <w:szCs w:val="20"/>
                <w:u w:val="none"/>
                <w:lang w:val="en-US" w:eastAsia="zh-CN" w:bidi="ar"/>
              </w:rPr>
              <w:t>19.▲示范教学：可以在软件中开启并控制学生端进入示范教学模式，老师能够使用教学终端进行操作演示，演示画面同步直播至每一台实验信息采集终端软件中；(提供功能实际运行截图及“互动示教”功能相关的软件著作权证书扫描件以及中国版权保护中心（https://register.ccopyright.com.cn/query.html）计算机软件著作权登记公告检索截图）；</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color w:val="FF0000"/>
                <w:sz w:val="21"/>
                <w:szCs w:val="21"/>
                <w:lang w:val="en-US" w:eastAsia="zh-CN"/>
              </w:rPr>
              <w:t>14</w:t>
            </w:r>
            <w:r>
              <w:rPr>
                <w:rFonts w:hint="eastAsia" w:ascii="宋体" w:hAnsi="宋体" w:eastAsia="宋体" w:cs="宋体"/>
                <w:b/>
                <w:bCs/>
                <w:color w:val="FF0000"/>
                <w:sz w:val="21"/>
                <w:szCs w:val="21"/>
              </w:rPr>
              <w:t>▲</w:t>
            </w: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FF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i w:val="0"/>
                <w:iCs w:val="0"/>
                <w:color w:val="FF0000"/>
                <w:kern w:val="0"/>
                <w:sz w:val="20"/>
                <w:szCs w:val="20"/>
                <w:u w:val="none"/>
                <w:lang w:val="en-US" w:eastAsia="zh-CN" w:bidi="ar"/>
              </w:rPr>
              <w:t>20.▲课堂练习：进入后可以直接进行学生端录制，可自定义录制时间，录制完成后能够编辑本次练习的名称，保存为实验教学资源，并可进行点播回看；(投标时提供功能实际运行截图及“实验资源库”功能相关的软件著作权证书扫描件以及中国版权保护中心（https://register.ccopyright.com.cn/query.html）计算机软件著作权登记公告检索截图）；</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color w:val="FF0000"/>
                <w:sz w:val="21"/>
                <w:szCs w:val="21"/>
                <w:lang w:val="en-US" w:eastAsia="zh-CN"/>
              </w:rPr>
              <w:t>15</w:t>
            </w:r>
            <w:r>
              <w:rPr>
                <w:rFonts w:hint="eastAsia" w:ascii="宋体" w:hAnsi="宋体" w:eastAsia="宋体" w:cs="宋体"/>
                <w:b/>
                <w:bCs/>
                <w:color w:val="FF0000"/>
                <w:sz w:val="21"/>
                <w:szCs w:val="21"/>
              </w:rPr>
              <w:t>▲</w:t>
            </w: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FF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i w:val="0"/>
                <w:iCs w:val="0"/>
                <w:color w:val="FF0000"/>
                <w:kern w:val="0"/>
                <w:sz w:val="20"/>
                <w:szCs w:val="20"/>
                <w:u w:val="none"/>
                <w:lang w:val="en-US" w:eastAsia="zh-CN" w:bidi="ar"/>
              </w:rPr>
              <w:t>21.▲人工媒资审核管理：当考生在考位上人脸登录失败后，可以在监考界面进行人工比对审核，通过后考生可以继续考试；在考试结束后，监考老师可以审核查看视频媒体资源的上传进度，并可手动管理上传进度。（提供“媒资审核管理”功能相关的软件著作权证书扫描件以及中国版权保护中心（https://register.ccopyright.com.cn/query.html）计算机软件著作权登记公告检索截图）；</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color w:val="FF0000"/>
                <w:sz w:val="21"/>
                <w:szCs w:val="21"/>
                <w:lang w:val="en-US" w:eastAsia="zh-CN"/>
              </w:rPr>
              <w:t>16</w:t>
            </w:r>
            <w:r>
              <w:rPr>
                <w:rFonts w:hint="eastAsia" w:ascii="宋体" w:hAnsi="宋体" w:eastAsia="宋体" w:cs="宋体"/>
                <w:b/>
                <w:bCs/>
                <w:color w:val="FF0000"/>
                <w:sz w:val="21"/>
                <w:szCs w:val="21"/>
              </w:rPr>
              <w:t>▲</w:t>
            </w: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FF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考场交换机</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1.交换容量≥336Gbps，包转发率≥80Mpps；</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2.≥24个10/100/1000Base-T以太网端口，≥2个千兆SFP；</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3.支持ARP表项≥4K；</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4.支持RIP、RIPng、OSPF、OSPFv3路由协议；</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5.支持DHCPv6 Snooping，DAI，SAVI等安全特性；</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6、支持以太网环网保护协议ERPS，故障倒换时间＜50ms；</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路由器</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1.支持WiFi6协议。</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2.外置无线天线，不少于4根。</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3.速率不低于1800Mbps。</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039"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桌垫</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PVC材质，放置或粘贴在实验桌上，用于引导学生在核心区域操作，完成整个实验。</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巡考摄像机</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1.≥400万像素，分辨率可选2560*1440,1920*1080。</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2.支持poe供电网络。</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3.监控高清摄像机镜头焦距≥2.8mm。</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4.支持广角或超广角。</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5.≥100M 以太网端口。</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039"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不间断电源</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≥6KVA(5400W)输入220,输出220V,塔式安装</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039"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机柜</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≥18U机柜，立柱2.0mm镀锌，整体厚度1.2mm冷轧板</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作弊防控系统</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1.具备数传作弊接收设备数据清除功能</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2.采用侦测引导阻断方式，支持平台运行集中控制管理.针对不同区域可实现远程开启与关闭</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3.RJ45数据接口,支持宽带10M/100M</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jc w:val="center"/>
        </w:trPr>
        <w:tc>
          <w:tcPr>
            <w:tcW w:w="887"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039"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辅材、综合布线、安装调试</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六类非屏蔽网线，六类非屏蔽水晶头，六类非屏蔽网络模块，单口面板，国标二三插，86底盒，2米网络跳线，RVV3*1.5电源线，24*14mmPVC线槽，φ20PVC线管，线卡，直通，钢钉，胶粒，电工胶布等，网络电源布线，线路测试等，线路切割，钢槽等</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7727" w:type="dxa"/>
            <w:gridSpan w:val="4"/>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三、生物考场</w:t>
            </w:r>
          </w:p>
        </w:tc>
        <w:tc>
          <w:tcPr>
            <w:tcW w:w="843"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实验信息采集终端</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1.一体化支架：</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1.1)使用过程中应稳定维持固定拍摄角度，不可自由伸缩和旋转；</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1.2)支架底座具备固定功能；</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1.3)支架线材没有完全外露；</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1.4)可用于标准实验桌，支持折叠收纳；</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1.5)高度集成化，底座、可折叠支架杆、摄像头一体化，不可拆卸；</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具有三路视频采集，具有俯视角、正视角、侧视角。其中侧视角可以通过转动折叠杆，满足左侧视或右侧视；折叠杆体可向下收纳至平板托架后，收纳完成后，杆体顶端距离底座不超过23CM，每路摄像头均≥466万像素,可以实现1080P@30、1080P@30、2304*1296@25、2560*1440@25、2880*1620@25分辨率。</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1.7)具有屏幕托架，具有可调节扣具，扣具支持螺丝锁紧，可以稳固地锁紧触控平板。托架具有防滑胶垫，可稳固放置触控平板且避免刮花；</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可实现正视角画面拍摄，此视角的摄像机支持在垂直桌面的方向进行上下滑动，可调整垂直高度，上下滑动时整机设备的总高度不变，可调范围≥20cm，支持在可调范围内任意位置悬停。在最低处时，镜头中心点距离桌面≤22cm。在最高处时，镜头中心点距离桌面≥40cm。</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1.9)实验信息采集终端一共具有5个摄像机，其中3个是俯视角、正视角、侧视角视频采集摄像头，另外2个是触控平板的人脸前置识别摄像头、后置摄像头；</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2.视频采集摄像头：</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2.1)自动白平衡；</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2.2)支持多码流传输,俯视角、正视角、侧视角摄像头均可输出标准RTSP主码流和副码流,可采用不同的IP地址；</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2.3)俯视角摄像机可拍摄1.2m*0.6m的标准实验桌；正视角、侧视角可拍摄核心操作区内操作和刻度细节，提供核心操作垫标识；</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2.4)帧率不低于25fps，支持3D数字降噪，各摄像头视频同步偏差不高于80ms；支持H.265/H.264/MJPEG视频压缩编码，自动曝光，支持宽动态，宽动态范围不低于90dB；</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2.5)不低于1/2.7’CMOS，像素≥466万</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2.6)镜头：俯拍镜头：2.8mm~3.24mm(±5%)焦距</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3.触控平板：</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3.1)显示屏幕：IPS屏或OLED屏，≥10英寸，分辨率≥2000*1200，支持触摸输入；具有人脸前置识别摄像头、后置摄像头；具有扬声器≥4个；</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3.2)具有护眼设计；</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3.3)处理器：ARM架构，≥8核，至少4个单核最高主频≥2.4GHz</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3.4)内存：≥4G。</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3.5)存储：≥64GB。可插卡扩展至≥128GB。</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3.6)终端操作系统：内置开机自启动的国产操作系统。</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4.电源接口：</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4.1)支持两种供电模式：可以DC持续供电、“POE”供电。</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4.2)支持POE供电管理，可以满足单网口及单网线进行整机供电。</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5.多功能type-C口：</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5.1)具有≥1个多功能Type-C口，可以实现充电、USB数据传输、网络传输；</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 支持通过多功能Type-C口为外部设备充电</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 支持通过多功能Type-C口输出USB电子目镜画面或者U盘数据或者鼠标键盘信号</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 支持通过多功能Type-C口输出≥100M有线网络信号。</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6.其他接口：</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6.1)具有≥1 路RJ45 POE 网口，最大输入功率达到24W.</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6.2)具有≥1路USB2.0接口，可以接入电子目镜、鼠标、U盘等外设</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6.3)具有拓展接口，便于后期拓展摄像机。</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7.网络模块：</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7.1)支持有线联网，不低于100M网卡；</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7.2)内置交换机网络通讯组件</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学生实验操作台（终端）</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【基本参数】</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1.测评模式：支持开机自启动，在使用过程中不可操作退出；页面操作流程需满足深圳市教育局发布《关于开展2023年初中物理、化学和生物学实验操作考核的通知》的考务流程。</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2.实验数据接入：支持接入电子目镜或数码显微镜画面等实验数据。</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3.学生自主抓拍：支持学生自主抓拍保存摄像头或电子目镜数据画面。</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4.自学模式：支持学生自主登录，选择实验进行操作；支持AI对学生的实验操作过程做实时评价，学生可通过查看实验操作的步骤提示和得分点完成对应操作。</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5.摄像头异常提醒：录制过程中如检测到摄像头拍摄范围偏离预期或被遮挡，在本机上有明显提示，并上报实验考务平台，避免考试期间发生重考事故。</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6.AI算法高精确度：实验信息采集终端搭配AI算法运行时，应能准确识别到考试或教学时使用的实验器材名称和操作步骤，</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7.人工智能实时评分：教学模式下，学生操作完毕后，系统反馈人工智能评分结果及错误反馈，并上传至教师实验教学平台，评分准确率应在95%以上。</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8.软件架构：采用C/S架构，与考场监考端通讯地址绑定使用，修改绑定监考端通讯地址后既自动接收其他考场的信息；</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9.跨网通信：学生终端只与考场监考端通信，不与市级平台、校级平台进行通信，实现网络隔离，可以在完全不连接外网或者完全不连接学校网络的情况下，通过监考端转发信息实现视频录制；</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10.开机自动启动考试软件，且不可以随意退出，需输入密码才可退出软件；支持显示启动器加载进度条，实时显示加载状态；</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11.IP配置：支持通过DHCP修改自动获取IP，支持手动修改固定IP；</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12.多类视频接入：支持接入USB摄像机、网络摄像机，可支持1080P；</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13.外接设备设置：支持接入数码显微镜、电子目镜；</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14.配置方式：在自动获取IP的状态下，仅需配置监考端IP和本机座位号即可开启考试；</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15.快速备换：当有设备发生故障时，备用考生设备仅需改动座位号即可快速替换使用，其他配置无需改动；</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16.状态上报：不间断向上级平台上报自身运行状态，包括：IP，磁盘使用率，版本号，座位号，版本号等；</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17.模式切换：拥有考试、教学模式，用户可在不同模式之间自由切换，但是以监考端的统一指令为最高优先级指令；</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【考试模式】</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1、快速入座：考生入座核验信息前，可以全屏显示座位号，便于考生进入考场后快速定位考试座位号</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2、支持触屏操作，考生需核对考生信息无误，并检查摄像头状态后，才可开始考试；</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3、考生信息核对：考试前，学生需核对包括考场名称、开考时间、结束时间、考生姓名、考生编号、座位编号信息无误后才可进行考试；</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4、检测摄像头：考试前，学生需核对摄像头角度、清晰度无误后，才可进行考试；</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5、摄像机管理：支持多类摄像机接入，支持接入网络摄像机，可以配置主摄和副摄的主副码流地址；</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答题卡截图：提供软件答题卡供考生作答，考生可以申请提前交卷，系统会核验考生填写的答题卡是否已经保存。确认情况后，考生方可提前交卷。交卷后，系统自动抓屏保存答题卡截图，格式满足《深圳市教育局关于做好 2024 年初中学业水平生物学实验操作考试工作的通知》的相关要求；</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支持通过触屏操作，自动控制设备内部录播系统进行录制。考生通过触屏操作核对信息无误后，检查摄像头状态，即可开始考试；考试开始时候录播系统自动启动录制；考试结束时，录播系统自动停止录制并保存文件；</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8、考试过程中实时显示日期、剩余时间、考试科目、姓名和考试题目；</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9、显微镜截图：生物考试时，考生终端屏幕可以显示显微镜画面，以便于生物考试评分。</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10、考卷数据校验：考生可以申请提前交卷，系统会核验考生填写的实验结果和实验报告是否已经保存并提交。只有在确认提交情况后，方可交卷。</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11、答题卡编辑：提供软件答题卡供考生作答，考生可以在屏幕上进行编辑作答，交卷后，系统自动保存答题卡，格式满足《深圳市教育局关于做好 2024 年初中学业水平生物学实验操作考试工作的通知》的相关要求；</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【教学模式】</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1、教学示范：</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a.将任意一套“学生终端”转为“老师终端”，老师终端的两路视频画面可以清晰、低延迟地传输给其他学生终端和监考电脑；</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b.每一个学生都可以在自己的学生终端上观看老师终端的操作画面；</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c.在老师终端上可以控制视频的录制或停止，此录制状态会同步到监考电脑上，视频停止录制后，可以到监考电脑端进行视频文件命名和保存；</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2、课堂练习：</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a.在考试和互动教学的过程中，实时显示2个摄像头的画面，每个摄像头画面可提供双流（高清主流+标清辅流）模式，双击画面即可播放高清主流，确保画面清晰且无明显延迟；</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b.课堂练习模式下，学生终端会提示当前录制状态，以方便学生知晓老师是否已开启录制。</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c.实训实操测评：学生可选择题目进行实操练习，系统可对学生操作进行智能测评，帮助学生掌握操作情况。</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电子目镜</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1"/>
                <w:szCs w:val="21"/>
                <w:u w:val="none"/>
                <w:lang w:val="en-US" w:eastAsia="zh-CN" w:bidi="ar"/>
              </w:rPr>
              <w:t>1.铝合金外壳材质，表面阳极化处理；</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1"/>
                <w:szCs w:val="21"/>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1"/>
                <w:szCs w:val="21"/>
                <w:u w:val="none"/>
                <w:lang w:val="en-US" w:eastAsia="zh-CN" w:bidi="ar"/>
              </w:rPr>
              <w:t>2.像素：不低于1/3.2”传感器，像素≥800万；</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1"/>
                <w:szCs w:val="21"/>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i w:val="0"/>
                <w:iCs w:val="0"/>
                <w:color w:val="FF0000"/>
                <w:kern w:val="0"/>
                <w:sz w:val="20"/>
                <w:szCs w:val="20"/>
                <w:u w:val="none"/>
                <w:lang w:val="en-US" w:eastAsia="zh-CN" w:bidi="ar"/>
              </w:rPr>
              <w:t>3.▲分辨率：最高支持≥3264*2448分辨率，向下兼容1920*1080@30帧，电子目镜所输出的画面与肉眼通过光学目镜观察类似，边缘是黑色，中间的可观测区域是圆形。（投标时提供第三方检验检测机构出具并加盖（或带有）CMA标志的检验检测报告扫描件，原件备查。注：对应参数（检验检测项）在检验检测报告中进行标注。上述检验检测报告在全国认证认可信息公共服务平台（认e云）（http://cx.cnca.cn/）的信息查询记录截图）（对应演示第5项）；</w:t>
            </w:r>
          </w:p>
        </w:tc>
        <w:tc>
          <w:tcPr>
            <w:tcW w:w="843" w:type="dxa"/>
            <w:shd w:val="clear" w:color="auto" w:fill="auto"/>
            <w:vAlign w:val="center"/>
          </w:tcPr>
          <w:p>
            <w:pPr>
              <w:keepNext w:val="0"/>
              <w:keepLines w:val="0"/>
              <w:widowControl/>
              <w:suppressLineNumbers w:val="0"/>
              <w:jc w:val="center"/>
              <w:textAlignment w:val="top"/>
              <w:rPr>
                <w:rFonts w:hint="eastAsia" w:ascii="宋体" w:hAnsi="宋体" w:eastAsia="宋体" w:cs="宋体"/>
                <w:b/>
                <w:bCs/>
                <w:i w:val="0"/>
                <w:iCs w:val="0"/>
                <w:color w:val="FF0000"/>
                <w:kern w:val="0"/>
                <w:sz w:val="20"/>
                <w:szCs w:val="20"/>
                <w:u w:val="none"/>
                <w:lang w:val="en-US" w:eastAsia="zh-CN" w:bidi="ar"/>
              </w:rPr>
            </w:pPr>
            <w:r>
              <w:rPr>
                <w:rFonts w:hint="eastAsia" w:ascii="宋体" w:hAnsi="宋体" w:eastAsia="宋体" w:cs="宋体"/>
                <w:b/>
                <w:bCs/>
                <w:color w:val="FF0000"/>
                <w:sz w:val="21"/>
                <w:szCs w:val="21"/>
                <w:lang w:val="en-US" w:eastAsia="zh-CN"/>
              </w:rPr>
              <w:t>17</w:t>
            </w:r>
            <w:r>
              <w:rPr>
                <w:rFonts w:hint="eastAsia" w:ascii="宋体" w:hAnsi="宋体" w:eastAsia="宋体" w:cs="宋体"/>
                <w:b/>
                <w:bCs/>
                <w:color w:val="FF0000"/>
                <w:sz w:val="21"/>
                <w:szCs w:val="21"/>
              </w:rPr>
              <w:t>▲</w:t>
            </w: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FF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1"/>
                <w:szCs w:val="21"/>
                <w:u w:val="none"/>
                <w:lang w:val="en-US" w:eastAsia="zh-CN" w:bidi="ar"/>
              </w:rPr>
              <w:t>4.传输协议：支持YUV、MJPEG等图像格式；</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1"/>
                <w:szCs w:val="21"/>
                <w:u w:val="none"/>
                <w:lang w:val="en-US" w:eastAsia="zh-CN" w:bidi="ar"/>
              </w:rPr>
              <w:t>5.支持自动曝光、自动白平衡；</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1"/>
                <w:szCs w:val="21"/>
                <w:u w:val="none"/>
                <w:lang w:val="en-US" w:eastAsia="zh-CN" w:bidi="ar"/>
              </w:rPr>
              <w:t>6.传输接口：通用型USB2.0</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1"/>
                <w:szCs w:val="21"/>
                <w:u w:val="none"/>
                <w:lang w:val="en-US" w:eastAsia="zh-CN" w:bidi="ar"/>
              </w:rPr>
              <w:t>7.线缆：采用专业防屏蔽线缆连接，有效避免输出画面干扰。</w:t>
            </w:r>
          </w:p>
        </w:tc>
        <w:tc>
          <w:tcPr>
            <w:tcW w:w="843" w:type="dxa"/>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65" w:type="dxa"/>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考场监考管理主机</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1.存储管理：可在软件上查看剩余存储空间，支持考试数据转移和备份。</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2.流媒体管理：可存储考场24位考生视频流，不低于 48 路 1080P 实时视频流同时存储。</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3.内存：16GB或以上。</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4.控制器：不低于6核心，工作频率不低于2.5GHz。</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5.存储空间：≥1TB。</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6.具有不少于1路自适应 100/1000M RJ45 网口;；</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7.产品正面具有≥1路USB 接口，背面具有≥2 路 USB 接口；</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8.配套1个≥21寸以上液晶显示器</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实验教学测评监考软件</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用于管理当前实验室的所有终端设备，负责处理校级管理平台和学生终端之间数据交换服务，具有考试模式和教学模式。</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1.采用C/S客户端设计，不需要使用浏览器登录。</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2.应可以同时监看考场内考生视频采集情况，可支持同时监看24/12/6名考生的两个操作画面，最高可同时显示48路学生操作画面，观看延时不高于0.5s；</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3.负责处理数据中心和学生套件之间数据交换服务（下发学生信息、下发实验操作指令、上传实验视频、现场抽签等）；</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4.支持调节监看窗口的数量，可选择只看主画面或只看副画面，也可以选择同时观看主画面、副画面；</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5.设备管控：可以统一管理考试系统设备，可以远程关闭考生终端，可在监考端查看学生端的软件版本和在线状态，支持远程升级、关机、清理磁盘空间等批量操作；</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6.可对故障设备进行管理，支持更换实验信息采集终端套件。更换套件时无需在本系统上做任何配置，只需在考生套件端修改座位号即可，系统后台全自动配对；</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7.考试状态：支持监考界面显示每个座位考生的考试状态，包括确认无误、提前交卷、考生报错、取消考试等，每个状态可以显示为不同色块，便于监考老师快速定位异常。</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8.视频上传管理：可设定同时上传至校级服务器的视频数量并限制上传带宽，以减少资源占用，确保考试顺利进行。</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9.可以在教室电脑上取消某个考生的本场考试，并决定是否安排补考（执行该操作时必须输入监考组长的账号和密码）。若选择安排补考，则该生会进入补考名单，在网页端可查；</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10.倒计时：系统显示当前考试的名称和考场信息，同时显示考试结束倒计时，当进入考试准备过程中，可以显示下一场考试开始倒计时。</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11.考情统计：可以统计并显示当前批次考试评分提交情况（现考现评模式下）、显微镜截图提交情况（生物考试）、电子试卷填写提交。</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12.考试控制：当考试办法为灵活定点或随到随考时，监考老师可以根据考场情况控制考试的开启与结束。</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13.延长考试：当考试设置了定时任务时，到达预设的考试时间后，系统将提示用户是否延长考试，延长考试后，考生可以继续作答。  </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14.考试视频可以在本地视频备份存储功能，并能对存储的视频完整性进行校验及批量统一管理；</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15.记录实验操作过程并形成视频文件,支持传输至上级平台；</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16.录制的视频文件格式满足H.264格式，可以在大部分播放器中直接播放；</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17.支持全局统计每个批次考生各类数据的上传情况，包括视频数据、显微镜截图数据、实验报告等，对于未上传数据的异常处理，支持从学生端补传至监考端。</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18.教学模式：支持对学生端进行智能控制，点击进入教学模式后可进行示范教学和课堂练习，选择模式后将智能控制所有学生端自动进入对应模式；</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19.示范教学：可以在软件中开启并控制学生端进入示范教学模式，老师能够使用教学终端进行操作演示，演示画面同步直播至每一台实验信息采集终端软件中；</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20.课堂练习：进入后可以直接进行学生端录制，可自定义录制时间，录制完成后能够编辑本次练习的名称，保存为实验教学资源，并可进行点播回看；</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21.人工媒资审核管理：当考生在考位上人脸登录失败后，可以在监考界面进行人工比对审核，通过后考生可以继续考试；在考试结束后，监考老师可以审核查看视频媒体资源的上传进度，并可手动管理上传进度。</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考场交换机</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1.交换容量≥336Gbps，包转发率≥80Mpps；</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2.≥24个10/100/1000Base-T以太网端口，≥2个千兆SFP；</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3.支持ARP表项≥4K；</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4.支持RIP、RIPng、OSPF、OSPFv3路由协议；</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5.支持DHCPv6 Snooping，DAI，SAVI等安全特性；</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6、支持以太网环网保护协议ERPS，故障倒换时间＜50ms；</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路由器</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1.支持WiFi6协议。</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2.外置无线天线，不少于4根。</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3.速率不低于1800Mbps。</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1039"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桌垫</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PVC材质，放置或粘贴在实验桌上，用于引导学生在核心区域操作，完成整个实验。</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巡考摄像机</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1.≥400万像素，分辨率可选2560*1440,1920*1080。</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2.支持poe供电网络。</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3.监控高清摄像机镜头焦距≥2.8mm。</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4.支持广角或超广角。</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5.≥100M 以太网端口。</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1039"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不间断电源</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≥6KVA(5400W)输入220,输出220V,塔式安装</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039"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机柜</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≥18U机柜，立柱2.0mm镀锌，整体厚度1.2mm冷轧板</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作弊防控系统</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1.具备数传作弊接收设备数据清除功能</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2.采用侦测引导阻断方式，支持平台运行集中控制管理.针对不同区域可实现远程开启与关闭</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3.RJ45数据接口,支持宽带10M/100M</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jc w:val="center"/>
        </w:trPr>
        <w:tc>
          <w:tcPr>
            <w:tcW w:w="887"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1039"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辅材、综合布线、安装调试</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六类非屏蔽网线，六类非屏蔽水晶头，六类非屏蔽网络模块，单口面板，国标二三插，86底盒，2米网络跳线，RVV3*1.5电源线，24*14mmPVC线槽，φ20PVC线管，线卡，直通，钢钉，胶粒，电工胶布等，网络电源布线，线路测试等，线路切割，钢槽等</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7727" w:type="dxa"/>
            <w:gridSpan w:val="4"/>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四、抽签候考设备</w:t>
            </w:r>
          </w:p>
        </w:tc>
        <w:tc>
          <w:tcPr>
            <w:tcW w:w="843"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抽签软件</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1、支持按照深圳市要求的抽签编排方式抽签</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2、支持根据实际考试安排选择考点人员抽签或考场人员抽签</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3、支持预览、打印抽签结果等功能</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7727" w:type="dxa"/>
            <w:gridSpan w:val="4"/>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五、生物实验室配置方案</w:t>
            </w:r>
          </w:p>
        </w:tc>
        <w:tc>
          <w:tcPr>
            <w:tcW w:w="843"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智能系统控制平台</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本设备采用极简外观，美观大方，内部采用工业控制设计，功能强大。整机经过耐压、过载、温升及温湿度环境试验。</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1、整体尺寸≤420*910*178mm。</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2、智能控制平台柜体采用不小于1.2mm厚度的钣金制成，表面经酸洗磷化，高温喷涂处理；</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3、智能控制平台柜体为三段式设计，柜体表面仅一个急停按钮，位于表层中间段。</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平台柜体上端为电气设备安装层，内敷设电气设备，外部设置侧开钣金柜门。柜体下部为控制层，内设未来实验室系统，外部为下翻90度的钣金柜门，内置凹槽可放置课本、粉笔、书写笔等教学工具，柜门厚度不小于20mm。</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柜体电气设备安装层内置PLC控制器及功能扩展模块，PLC专用电源、PLC保护模块、急停控制系统、工作指示灯、网络模块、故障检测系统、分组控制系统（悬臂控制、电源控制、照明控制、给排水控制、风机控制）。</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6、内置精密温湿度传感装置，实时监控房间内的温度和湿度。</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未来实验室系统</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1、规格：10.2英寸，分辨率1024*600，屏幕显示尺寸不小于220*132mm。</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可集中对实验室进行控制，并可执行各分项控制；（1）通风控制：预设分档调节和触摸数字无极变频控制，具有频率数字显示功能，可精确控制通风风量；（2）给排水控制：集中控制供水总阀，手动或自动分组控制排水；（3）照明控制：可以实现单组控制，可集中控制；（4）电源控制：分组控制学生AC220V电源；（5）摇臂控制：可以实现单组控制，可集中控制，具有防夹功能和管线未断开检测功能。（6）学生电源控制：控制任意单组或集中控制学生电源的开与关。控制学生电源的交、直流电压切换及电压值调节。给与学生端最大能调节的电压值，学生端仅能在此给与的电压值内调整电压。</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学生端分组控制系统</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本系统为单个学生端的控制核心，可以对学生端模块进行控制。监测实时数据实时反馈至未来实验室系统。</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1、控制器类型：采用工业级PLC控制器，兼容FX2N；</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2、信号输入端子接口：9路输入，NPN低电平有效，kf250-3.5mm弹簧式端子；</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3、功能输出端子接口：8路输出，142V直角-5.08mm 5P接线端子；</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4、高压端子接口：带盖栏栅式8.25mmPCB接线端子；</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下载器：1路MD8下载器，支持FX编程口协议；6、执行各分项控制：（1）排水控制：自动或手动控制排水；（2）照明控制：接受教师端控制实现集中或分组控制；（3）电源控制：控制学生端AC220V电源及试验电源；（4）摇臂控制：接受教师端控制实现摇臂上升、停止、下降；（5）安全防护功能：具备防夹功能和管线连接检测，确保使用安全；（6）状态检测：检测给排水、排风、电源、悬臂、灯光的实时状态，监测数据实时反馈至未来实验室系统。</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移动控制平台</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1、移动控制平台支持APP和网页在线登录操作两种控制方式。能实现电源、照明、给排水、摇臂、排风系统的控制。</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2、网页在线登录控制支持安卓、Windows、IOS、Linux等多种操作系统。</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3、无互联网连接的情况下，可以采用內建局域网形式实现一定范围内的无线远程控制。</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4、移动控制平台操作界面和未来实验室系统操作界面布局和功能完全一样，方便教师操作。</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5、温湿度显示：连接控制柜检测环境中实时的温度、湿度并以数值的形式显示。</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控制任意单组或集中控制220V电源及学生电源的开与关。控制学生电源的交、直流电压切换及电压值调节。给与学生端最大能调节的电压值，学生端仅能在此给与的电压值内调整电压。控制学生电源的锁定，锁定后学生端学生电源无法私自操作。</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实验室照明系统</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1、智能化控制，接受控制面板和移动控制终端控制。</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2、亮度可调，具备一键循环式调节多种亮度。</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3、灯座采用与主体侧部结构一体挤压成型的合金型材（非拼接)，轻便坚固利于散热；</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4、照明光源分布于可升降集成系统两侧，单侧内置多条LED灯条。</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1039"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实验室护眼灯罩</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材质：PC；长度1200mm，两条一组，每套2组，防炫护眼灯罩。</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1039"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照明线路</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模块化设计，每组模块间采用活接式连接，方便安装、检修。采用2.5mm2电线进行系统布线。</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功能模块</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1、采用电源插座、网口接口超双位设计，可满足教学过程中额外的拓展需求。</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2、功能模块包含：220V电源模块，网络功能模块（不包含网络布线）；</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3、220v电源接受控制系统控制，控制系统可分组控制220V电源的通、断。学生低压电源与学生端AC220供电独立分开操作，互不关联，互不影响。</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4、220V电源带有过载保护，当电源负载达到限定值3000W 时，能自动断电。</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5、插座数量，每组电源网络系统包括4组AC220V五孔电源插座，交流、直流各两组输出插座。</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低压电源</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1、低电源输出：可以设置交、直流切换，电压调节。</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2、低压电源控制：低压电源由控制端控制开启或关闭，使用时控制端可单个控制或集中控制学生低压电源的开启或关闭，以达到节能效果。</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3、低压电源显示：采用2.3英寸三色液晶屏显示电源交直流电压、电流及其他显示信息。</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4、低压电源输出参数：贴片元件生产技术，微电脑控制，电源输出精度高。交流电源电压为0V--24V/2A，分辩率为1V。直流电源调节范围为1.5V～24V，分辨率0.1V,额定电流2.5A。</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5、低压电源锁定：接收主控系统发送的锁定信号，在锁定指示显示后，电源接收教师输送的设定电源电压，教师锁定时,学生自己无法操作。</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6、低压过载：交直流电源具有过载保护智能检测功能，闪“过载”提示。</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水槽柜</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1、整体规格：长600*宽470*高820mm，分柜体和水槽、底座三部分组成。</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2、柜体底座采用ABS注塑成型，水槽采用PP塑料一次模具成型，确保柜体结构稳固；</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柜体前后带有磁吸检修门，方便日后维修，前沿带有围边挡水，带有防溢水孔，水槽预留安装水嘴孔，洗眼器孔，按压洗手液孔，柜体内设有隐藏式抽屉方便放置洗涤用品，水封式水塞可防止废水回流和堵塞。</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三联水嘴：水嘴主体采用黄铜制造，直管、臂管和鹅颈弯管均采用304不锈钢制成，表面经亚光环氧树脂耐酸碱粉末涂料热固处理，耐腐蚀、耐热，防紫外线辐射。陶瓷阀芯，90°旋转，使用寿命开关要求达到50万次，静态最大耐压10 bar。</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自动排水系统</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1、当水位达到中限位传感器时开始自动排水，排空后自动停止排水；</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2、同时设置高水位传感器作为警戒水位，当达到高水位传感器后系统自动关闭进水总阀。</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3、所有排水由智能化控制系统集中控制，操作面板设计排水接口，接口与独立水槽使用优质PVC 管 (有防酸碱耐腐蚀功能) 连接，接口采用自动锁紧插拔式连接方式 (拔掉时没有水滴溢出) ，用时接上，不用时可收起。</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排水系统水泵</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1、运行电压直流24V，为保护学生安全，不接受交流和大于36V电源供电；</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2、全铜高品质电机，振动小，噪音低，内置热保护装置；</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3、最大流量7升/分钟。</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给水控制系统</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1、教师端设置给水控制总阀门，接受控制面板和移动控制端控制。</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2、给水控制系统参与自动排水反馈控制，水位达到警戒水位后自动关停给水阀门。</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3、给水控制系统参与自动排水反馈控制，给水系统检测到某分组排水系统控制线未与终端控制盒连接，给水控制总阀门不能开启，控制系统给出未连接控制线的编号提示。</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学生功能板处设置给水接口，接口与独立水槽台使用优质硅胶软管（具有防酸、防碱、耐腐蚀功能）连接，驳接口均采用自动锁紧插拔式连接方式（插拔时没有水溢出）且驳接口主要元件和阀材质为玻璃纤维填充聚丙烯，用时接上，不用时可收起。</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废水收集装置</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1、废水收集装置容积不小于20L；</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2、废水收集装置具有进水口和排水口，进、排水口采用全密封设计，废水收集装置侧翻或倒置不会有废液流出。</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3、废水收集装置设置高、中多个非液体接触式外置水位传感器进行液位检测。</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4、废水收集装置内置废水过滤装置，过滤装置材质通体为304不锈钢，防酸碱、防锈。</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摇臂控制系统</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1、接受控制系统控制，可以实现单组控制，可集中控制，可控制悬臂停止在任意位置；</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2、具有防夹功能和管线未断开检测功能。悬臂升、降过程中受到阻力阻挡后，悬臂自动回缩至原位；</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3、带有管线未断开检测功能，当水管、线管处于连接状态下，悬臂不会被升起。</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系统舱体构架</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采用模块化舱体式框架结构；外壳左右采用铝合金模具挤压型材，舱体外壳左右中腰部镶装饰条，整体结构采用铝合金与钣金组焊件相结合的结构，轻便、耐用；铝合金表面经过酸洗磷化后进行高温喷涂，美观大方。</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2、主体框架采用304不锈钢组焊件，不锈钢壁厚不小于3mm，坚固耐用；</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3、侧部采用非拼接一体挤压成型合金型材，结构牢固，内置LED模组，散热效果良好；</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4、主体构架上端及底面采用厚度不小于 1.0mm 的钣金制成，坚固耐用，多色可选，简洁美观。</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5、单个单元整体尺寸：长度不小于1200mm、宽度不大于630mm、高度不大于185mm。</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6、单个主体构架仅设置一支悬臂。</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转轴护罩</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1、悬臂转轴部位外壳采用阻燃ABS材质；</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2、一体成型的半球形护罩，壁厚不小于1.5mm。</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3、护罩设计有流线型结构，增加护罩结构强度，外观时尚。</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悬臂动力机构</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1、采用小体积、超静音、大推力、长行程电动推杆（推杆最大推力：2000N 行程 250mm）。</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2、具备自锁功能，防止突然断电造成意外情况。</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系统悬臂行程机构</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1、机构由回转轴承、回转连杆、回转支撑、丝杆、螺栓、螺母等组成；</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2、机构轴承部采用外球面轴承，起到调心的作用，机构运行更安全顺畅。</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摇臂</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1、悬臂采用挤压铝材，圆柱空腔结构，外直径65mm.</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2、悬臂长度700mm，壁厚3mm，外表电极氧化处理耐腐蚀。</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学生控制终端</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1、学生控制终端采用耐火ABS材质，</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2、学生控制终端采用圆润长方体设计，外形美观、坚固耐用；整体尺寸长度295mm，高度195mm，厚度95mm。</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3、控制盒操作面板无螺丝外漏；4、学生控制终端可围绕悬臂进行360度旋转。</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舱体末端封板</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1、尺寸：600*630*180mm；</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2、通体洁白，模具一体成型，外型美观大方。</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3、封板材质：采用具备良好阻燃性的ABS塑料，模具注塑成型。</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w:t>
            </w:r>
          </w:p>
        </w:tc>
        <w:tc>
          <w:tcPr>
            <w:tcW w:w="1039"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系统安装辅件</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采用固定吊装方式，防止左右晃动，可进行调节。主要辅件有：定制U型架、U型槽钢、直角座、龙骨架连接件、吊装挂件、安装连接板等。</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学生实验桌</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1、桌子整体规格：≥1200㎜（L）×600㎜（W）×780㎜（H）</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新型塑铝结构：学生位镂空式，侧脚采用三段式高强度铝合金结构，立柱采用倾斜“Z”式内嵌入上下铸铝脚，上铝铸件造型采用斜加固撑包箍立柱造型，台面背部档水板，左右挡水板，台面下部设有专用书包斗，中间设挂凳卡，两个书包斗中间电源盒，符合人体工程学设计，外形美观，产品稳固。</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桌腿：由上中下三段组成，上、下支座和立柱连接成倾斜“Z”字造型。立柱采用规格≥612×107㎜椭圆铝合金型材，壁厚为1.5㎜，侧脚上横脚规格≥570×54×40㎜，侧脚下脚规格≥555×65×85㎜，立柱内嵌入上下铸铝脚5mm，并用高强度内六角螺丝连接，上铝铸件斜撑包箍立柱加固造型，材料高强度铝合金模具压铸一次成型。</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左、右脚拼装连接：前、后梁采用1850×40㎜、中梁采用1160×42㎜，壁厚为1.2㎜铝合金型材，左右侧脚下梁采采用≥60×30×2㎜椭圆spcc碳钢无缝钢管，管材两端截面与5mm钢制连接片焊接成型，并用高强度内六角不锈钢螺丝连接链接到左右脚，便于组装及拆卸，外观流线形设计，简洁美观，易碰撞处全部采用倒圆角，产品款式整体设计美观、合理、安全、牢固、耐用，所有金属表面经环氧树脂粉末喷涂高温固化处理。承重性能强和耐酸碱、耐腐蚀</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5、桌脚底部镶入71×57×8㎜硅胶脚垫防止与地面摩擦，预留专用孔位可与地面固定，有效延长设备寿命。</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6、台面前挡水板：背板挡水板采用1150×15×92㎜厚度为1.0㎜铝合金型材，左右挡水板为ABS工程塑料模具一次性注塑成型，规格：304×14×94㎜与背挡水板形成卡扣式相连接。</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一体化台面：采用新型、环保，≥20mm厚一体实芯黑色胚体实验室工业陶瓷台面，台面尺寸为≥600×1200×20㎜，台面表面为耐腐蚀专业釉面，釉面和黑色胚体（非后期染色处理）经高温烧结而成，釉面与胚体结合后不脱落、不脱层。</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学生凳</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1、规格：Φ300*（450-500mm）；</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2、凳脚材质：4个凳脚采用16×36×1.2mm 的无缝钢管模具一次成型。全圆满焊接完成，结构牢固，经高温粉体烤漆处理，长时间使用也不会产生表面烤漆剥落现象。 螺旋升降式，升降距离为0-50mm，最高离地距离为500mm。</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3、凳面材质：采用聚丙烯共聚级注塑，厚度6mm。表面细纹咬花，防滑不发光。凳面底部镶嵌4枚螺纹，采用不锈钢螺丝与托盘固定。</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4、脚垫材质：采用PP加耐磨纤维质塑料，实心倒勾式一体射出成型 。凳面与凳脚留有一定的空间便于凳子挂在挂凳扣上，方便教室的打扫。</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教师演示台</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1、规格：≥2400㎜（L）×700㎜（W）×850㎜（H）</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2、结构：演示台设有储物柜，中间为演示台,设置电源主控系统、多媒体设备（主机、显示器、中控、功放交换机）的位置预留。</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台面：一体化台面，采用≥25㎜厚（不得加边）高强度金属树脂理化板，防腐蚀、耐酸碱、防静电、防火、耐磨、耐烟酌、抗污染的实芯理化板，结构加工坚固致密、机械精打磨圆滑细致，造型美观，具有优异的稳定、持久、耐水和易清洗维护等特性。</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4、桌身：整体采用≧1.0mm 厚优质冷轧钢板，全部钢制件纳米陶瓷镀膜防锈处理。</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5、滑道：抽屉全部采用优质三节承重式滚珠滑道开合十万次不变形。</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6、铰链：采用优质铰链，开合十万次不变形。</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7、脚垫：采用柜体内置可调ABS脚垫，保证桌面平整，防水防潮，延长设备使用寿命。</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教师椅</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1、面料：采用透气网布制成，座面用高回弹海绵制成，椅座上部分采用新料塑料架制成，结实耐用。</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2、座面海绵：高回弹海绵，久座不变形，长久保持座感的舒适。3、五星脚：标准电镀，承压500KG以上。</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给排水布管</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1、包含电磁阀、活接球阀、弯头、吊卡、吊座、三通、变径等；</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2、给水主管选用φ32mmPP-R给水管，支管采用φ25mmPP-R给水管，模块化设计，每组模块间采用活接式连接，方便安装、检修。</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3、排水管选用加厚φ75mmPVC-U国标管（具有防酸、防碱、耐腐蚀功能），模块化设计，每组模块间采用活接式连接，方便安装、检修。</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4、给水管路加压测试：耐压测试时，在 1Mpa 水压状态下，连续工作4h 后，水管表面无明显滴、跑、漏现象。</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实验室安装调试</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1、吊顶安装可升降集成系统不用破坏原有地面，模块化结构设计，采用吊装安装方式。</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2、系统结构安装调试。</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3、系统控制安装调试。</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4、室内通风系统安装调试。</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5、给排水系统安装调试。</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6、供电系统安装调试。</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7、照明系统安装调试。</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7727" w:type="dxa"/>
            <w:gridSpan w:val="4"/>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六、物理实验室配置方案</w:t>
            </w:r>
          </w:p>
        </w:tc>
        <w:tc>
          <w:tcPr>
            <w:tcW w:w="843"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67</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智能系统控制平台</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本设备采用极简外观，美观大方，内部采用工业控制设计，功能强大。整机经过耐压、过载、温升及温湿度环境试验。</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1、整体尺寸≤420*910*178mm。</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2、智能控制平台柜体采用不小于1.2mm厚度的钣金制成，表面经酸洗磷化，高温喷涂处理；</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3、智能控制平台柜体为三段式设计，柜体表面仅一个急停按钮，位于表层中间段。</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平台柜体上端为电气设备安装层，内敷设电气设备，外部设置侧开钣金柜门。柜体下部为控制层，内设未来实验室系统，外部为下翻90度的钣金柜门，内置凹槽可放置课本、粉笔、书写笔等教学工具，柜门厚度不小于20mm。</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柜体电气设备安装层内置PLC控制器及功能扩展模块，PLC专用电源、PLC保护模块、急停控制系统、工作指示灯、网络模块、故障检测系统、分组控制系统（悬臂控制、电源控制、照明控制、给排水控制、风机控制）。</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6、内置精密温湿度传感装置，实时监控房间内的温度和湿度。</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未来实验室系统</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1、规格：10.2英寸，分辨率1024*600，屏幕显示尺寸不小于220*132mm。</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可集中对实验室进行控制，并可执行各分项控制；（1）通风控制：预设分档调节和触摸数字无极变频控制，具有频率数字显示功能，可精确控制通风风量；（2）给排水控制：集中控制供水总阀，手动或自动分组控制排水；（3）照明控制：可以实现单组控制，可集中控制；（4）电源控制：分组控制学生AC220V电源；（5）摇臂控制：可以实现单组控制，可集中控制，具有防夹功能和管线未断开检测功能。（6）学生电源控制：控制任意单组或集中控制学生电源的开与关。控制学生电源的交、直流电压切换及电压值调节。给与学生端最大能调节的电压值，学生端仅能在此给与的电压值内调整电压。</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学生端分组控制系统</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本系统为单个学生端的控制核心，可以对学生端模块进行控制。监测实时数据实时反馈至未来实验室系统。</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1、控制器类型：采用工业级PLC控制器，兼容FX2N；</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2、信号输入端子接口：9路输入，NPN低电平有效，kf250-3.5mm弹簧式端子；</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3、功能输出端子接口：8路输出，142V直角-5.08mm 5P接线端子；4、高压端子接口：带盖栏栅式8.25mmPCB接线端子；</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5、下载器：1路MD8下载器，支持FX编程口协议；</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执行各分项控制：（1）排水控制：自动或手动控制排水；（2）照明控制：接受教师端控制实现集中或分组控制；（3）电源控制：控制学生端AC220V电源及试验电源；（4）摇臂控制：接受教师端控制实现摇臂上升、停止、下降；（5）安全防护功能：具备防夹功能和管线连接检测，确保使用安全；（6）状态检测：检测给排水、排风、电源、悬臂、灯光的实时状态，监测数据实时反馈至未来实验室系统。</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移动控制平台</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1、移动控制平台支持APP和网页在线登录操作两种控制方式。能实现电源、照明、给排水、摇臂、排风系统的控制。</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2、网页在线登录控制支持安卓、Windows、IOS、Linux等多种操作系统。</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3、无互联网连接的情况下，可以采用內建局域网形式实现一定范围内的无线远程控制。</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4、移动控制平台操作界面和未来实验室系统操作界面布局和功能完全一样，方便教师操作。5、温湿度显示：连接控制柜检测环境中实时的温度、湿度并以数值的形式显示。</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控制任意单组或集中控制220V电源及学生电源的开与关。控制学生电源的交、直流电压切换及电压值调节。给与学生端最大能调节的电压值，学生端仅能在此给与的电压值内调整电压。控制学生电源的锁定，锁定后学生端学生电源无法私自操作。</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71</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实验室照明系统</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1、智能化控制，接受控制面板和移动控制终端控制。</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2、亮度可调，具备一键循环式调节多种亮度。</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3、灯座采用与主体侧部结构一体挤压成型的合金型材（非拼接)，轻便坚固利于散热；</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4、照明光源分布于可升降集成系统两侧，单侧内置多条LED灯条。</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w:t>
            </w:r>
          </w:p>
        </w:tc>
        <w:tc>
          <w:tcPr>
            <w:tcW w:w="1039"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实验室护眼灯罩</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材质：PC；长度1200mm，两条一组，每套2组，防炫护眼灯罩。</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w:t>
            </w:r>
          </w:p>
        </w:tc>
        <w:tc>
          <w:tcPr>
            <w:tcW w:w="1039"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照明线路</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模块化设计，每组模块间采用活接式连接，方便安装、检修。采用2.5mm2电线进行系统布线。</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74</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功能模块</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1、采用电源插座、网口接口超双位设计，可满足教学过程中额外的拓展需求。</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2、功能模块包含：220V电源模块，网络功能模块（不包含网络布线）；</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3、220v电源接受控制系统控制，控制系统可分组控制220V电源的通、断。学生低压电源与学生端AC220供电独立分开操作，互不关联，互不影响。</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4、220V电源带有过载保护，当电源负载达到限定值3000W 时，能自动断电。</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5、插座数量，每组电源网络系统包括4组AC220V五孔电源插座，交流、直流各两组输出插座。</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低压电源</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1、低电源输出：可以设置交、直流切换，电压调节。</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2、低压电源控制：低压电源由控制端控制开启或关闭，使用时控制端可单个控制或集中控制学生低压电源的开启或关闭，以达到节能效果。</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3、低压电源显示：采用2.3英寸三色液晶屏显示电源交直流电压、电流及其他显示信息。</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4、低压电源输出参数：贴片元件生产技术，微电脑控制，电源输出精度高。交流电源电压为0V--24V/2A，分辩率为1V。直流电源调节范围为1.5V～24V，分辨率0.1V,额定电流2.5A。</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5、低压电源锁定：接收主控系统发送的锁定信号，在锁定指示显示后，电源接收教师输送的设定电源电压，教师锁定时,学生自己无法操作。</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6、低压过载：交直流电源具有过载保护智能检测功能，闪“过载”提示。</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76</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摇臂控制系统</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1、接受控制系统控制，可以实现单组控制，可集中控制，可控制悬臂停止在任意位置；</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2、具有防夹功能和管线未断开检测功能。悬臂升、降过程中受到阻力阻挡后，悬臂自动回缩至原位；</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3、带有管线未断开检测功能，当水管、线管处于连接状态下，悬臂不会被升起。</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系统舱体构架</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采用模块化舱体式框架结构；外壳左右采用铝合金模具挤压型材，舱体外壳左右中腰部镶装饰条，整体结构采用铝合金与钣金组焊件相结合的结构，轻便、耐用；铝合金表面经过酸洗磷化后进行高温喷涂，美观大方。</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2、主体框架采用304不锈钢组焊件，不锈钢壁厚不小于3mm，坚固耐用；</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3、侧部采用非拼接一体挤压成型合金型材，结构牢固，内置LED模组，散热效果良好；</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4、主体构架上端及底面采用厚度不小于 1.0mm 的钣金制成，坚固耐用，多色可选，简洁美观。</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5、单个单元整体尺寸：长度不小于1200mm、宽度不大于630mm、高度不大于185mm。</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6、单个主体构架仅设置一支悬臂。</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78</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转轴护罩</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1、悬臂转轴部位外壳采用阻燃ABS材质；</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2、一体成型的半球形护罩，壁厚不小于1.5mm。</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3、护罩设计有流线型结构，增加护罩结构强度，外观时尚。</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79</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悬臂动力机构</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1、采用小体积、超静音、大推力、长行程电动推杆（推杆最大推力：2000N 行程 250mm）。</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2、具备自锁功能，防止突然断电造成意外情况。</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系统悬臂行程机构</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1、机构由回转轴承、回转连杆、回转支撑、丝杆、螺栓、螺母等组成；</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2、机构轴承部采用外球面轴承，起到调心的作用，机构运行更安全顺畅。</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81</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摇臂</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1、悬臂采用挤压铝材，圆柱空腔结构，外直径65mm；</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2、悬臂长度700mm，壁厚3mm，外表电极氧化处理耐腐蚀。</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学生控制终端</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1、学生控制终端采用耐火ABS材质；</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2、学生控制终端采用圆润长方体设计，外形美观、坚固耐用；整体尺寸长度295mm，高度195mm，厚度95mm。</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3、控制盒操作面板无螺丝外漏；</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4、学生控制终端可围绕悬臂进行360度旋转。</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83</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舱体末端封板</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1、尺寸：600*630*180mm；2、通体洁白，模具一体成型，外型美观大方。</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3、封板材质：采用具备良好阻燃性的ABS塑料，模具注塑成型。</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84</w:t>
            </w:r>
          </w:p>
        </w:tc>
        <w:tc>
          <w:tcPr>
            <w:tcW w:w="1039"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系统安装辅件</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采用固定吊装方式，防止左右晃动，可进行调节。主要辅件有：定制U型架、U型槽钢、直角座、龙骨架连接件、吊装挂件、安装连接板等。</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学生实验桌</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1、桌子整体规格：≥1200㎜（L）×600㎜（W）×780㎜（H）</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新型塑铝结构：学生位镂空式，侧脚采用三段式高强度铝合金结构，立柱采用倾斜“Z”式内嵌入上下铸铝脚，上铝铸件造型采用斜加固撑包箍立柱造型，台面背部档水板，左右挡水板，台面下部设有专用书包斗，中间设挂凳卡，两个书包斗中间电源盒，符合人体工程学设计，外形美观，产品稳固。</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桌腿：由上中下三段组成，上、下支座和立柱连接成倾斜“Z”字造型。立柱采用规格≥612×107㎜椭圆铝合金型材，壁厚为1.5㎜，侧脚上横脚规格≥570×54×40㎜，侧脚下脚规格≥555×65×85㎜，立柱内嵌入上下铸铝脚5mm，并用高强度内六角螺丝连接，上铝铸件斜撑包箍立柱加固造型，材料高强度铝合金模具压铸一次成型。</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左、右脚拼装连接：前、后梁采用1850×40㎜、中梁采用1160×42㎜，壁厚为1.2㎜铝合金型材，左右侧脚下梁采采用≥60×30×2㎜椭圆spcc碳钢无缝钢管，管材两端截面与5mm钢制连接片焊接成型，并用高强度内六角不锈钢螺丝连接链接到左右脚，便于组装及拆卸，外观流线形设计，简洁美观，易碰撞处全部采用倒圆角，产品款式整体设计美观、合理、安全、牢固、耐用，所有金属表面经环氧树脂粉末喷涂高温固化处理。承重性能强和耐酸碱、耐腐蚀</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5、桌脚底部镶入71×57×8㎜硅胶脚垫防止与地面摩擦，预留专用孔位可与地面固定，有效延长设备寿命。</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6、台面前挡水板：背板挡水板采用1150×15×92㎜厚度为1.0㎜铝合金型材，左右挡水板为ABS工程塑料模具一次性注塑成型，规格：304×14×94㎜与背挡水板形成卡扣式相连接。</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一体化台面：采用新型、环保，≥20mm厚一体实芯黑色胚体实验室工业陶瓷台面，台面尺寸为≥600×1200×20㎜，台面表面为耐腐蚀专业釉面，釉面和黑色胚体（非后期染色处理）经高温烧结而成，釉面与胚体结合后不脱落、不脱层。</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86</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学生凳</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1、规格：Φ300*（450-500mm）；</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2、凳脚材质：4个凳脚采用16×36×1.2mm 的无缝钢管模具一次成型。全圆满焊接完成，结构牢固，经高温粉体烤漆处理，长时间使用也不会产生表面烤漆剥落现象。 螺旋升降式，升降距离为0-50mm，最高离地距离为500mm。</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3、凳面材质：采用聚丙烯共聚级注塑，厚度6mm。表面细纹咬花，防滑不发光。凳面底部镶嵌4枚螺纹，采用不锈钢螺丝与托盘固定。</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4、脚垫材质：采用PP加耐磨纤维质塑料，实心倒勾式一体射出成型 。凳面与凳脚留有一定的空间便于凳子挂在挂凳扣上，方便教室的打扫。</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87</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教师演示台</w:t>
            </w: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1、规格：≥2400㎜（L）×700㎜（W）×850㎜（H）</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2、结构：演示台设有储物柜，中间为演示台,设置电源主控系统、多媒体设备（主机、显示器、中控、功放交换机）的位置预留。</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台面：一体化台面，采用≥25㎜厚（不得加边）高强度金属树脂理化板，防腐蚀、耐酸碱、防静电、防火、耐磨、耐烟酌、抗污染的实芯理化板，结构加工坚固致密、机械精打磨圆滑细致，造型美观，具有优异的稳定、持久、耐水和易清洗维护等特性。</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4、桌身：整体采用≧1.0mm 厚优质冷轧钢板，全部钢制件纳米陶瓷镀膜防锈处理。</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5、滑道：抽屉全部采用优质三节承重式滚珠滑道开合十万次不变形。</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6、铰链：采用优质铰链，开合十万次不变形。</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7、脚垫：采用柜体内置可调ABS脚垫，保证桌面平整，防水防潮，延长设备使用寿命。</w:t>
            </w:r>
          </w:p>
        </w:tc>
        <w:tc>
          <w:tcPr>
            <w:tcW w:w="843"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jc w:val="center"/>
        </w:trPr>
        <w:tc>
          <w:tcPr>
            <w:tcW w:w="887"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88</w:t>
            </w:r>
          </w:p>
        </w:tc>
        <w:tc>
          <w:tcPr>
            <w:tcW w:w="1039"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教师椅</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1、面料：采用透气网布制成，座面用高回弹海绵制成，椅座上部分采用新料塑料架制成，结实耐用。2、座面海绵：高回弹海绵，久座不变形，长久保持座感的舒适。3、五星脚：标准电镀，承压500KG以上。</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88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89</w:t>
            </w:r>
          </w:p>
        </w:tc>
        <w:tc>
          <w:tcPr>
            <w:tcW w:w="1039"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实验室安装调试</w:t>
            </w: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1、吊顶安装可升降集成系统不用破坏原有地面，模块化结构设计，采用吊装安装方式。</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2、系统结构安装调试。</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3、系统控制安装调试。</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4、室内通风系统安装调试。</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5、给排水系统安装调试。</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6、供电系统安装调试。</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887"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1039" w:type="dxa"/>
            <w:vMerge w:val="continue"/>
            <w:shd w:val="clear" w:color="auto" w:fill="auto"/>
            <w:vAlign w:val="center"/>
          </w:tcPr>
          <w:p>
            <w:pPr>
              <w:jc w:val="center"/>
              <w:rPr>
                <w:rFonts w:hint="eastAsia" w:ascii="宋体" w:hAnsi="宋体" w:eastAsia="宋体" w:cs="宋体"/>
                <w:i w:val="0"/>
                <w:iCs w:val="0"/>
                <w:color w:val="000000"/>
                <w:sz w:val="20"/>
                <w:szCs w:val="20"/>
                <w:u w:val="none"/>
              </w:rPr>
            </w:pPr>
          </w:p>
        </w:tc>
        <w:tc>
          <w:tcPr>
            <w:tcW w:w="5801" w:type="dxa"/>
            <w:gridSpan w:val="2"/>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7、照明系统安装调试。</w:t>
            </w:r>
          </w:p>
        </w:tc>
        <w:tc>
          <w:tcPr>
            <w:tcW w:w="843"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76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bl>
    <w:p>
      <w:pPr>
        <w:ind w:firstLine="482" w:firstLineChars="200"/>
        <w:rPr>
          <w:rFonts w:hint="eastAsia" w:ascii="宋体" w:hAnsi="宋体" w:eastAsia="宋体" w:cs="宋体"/>
          <w:b/>
          <w:sz w:val="24"/>
          <w:szCs w:val="24"/>
        </w:rPr>
      </w:pPr>
    </w:p>
    <w:p>
      <w:pPr>
        <w:ind w:firstLine="482" w:firstLineChars="200"/>
        <w:rPr>
          <w:rFonts w:hint="eastAsia" w:ascii="宋体" w:hAnsi="宋体" w:eastAsia="宋体" w:cs="宋体"/>
          <w:b/>
          <w:sz w:val="24"/>
          <w:szCs w:val="24"/>
        </w:rPr>
      </w:pPr>
    </w:p>
    <w:p>
      <w:pPr>
        <w:spacing w:before="120" w:beforeLines="50" w:after="120" w:afterLines="50"/>
        <w:jc w:val="both"/>
        <w:outlineLvl w:val="2"/>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（四）商务要求</w:t>
      </w:r>
    </w:p>
    <w:p>
      <w:pPr>
        <w:ind w:firstLine="480" w:firstLineChars="200"/>
        <w:rPr>
          <w:rFonts w:hint="eastAsia" w:ascii="宋体" w:hAnsi="宋体" w:eastAsia="宋体" w:cs="宋体"/>
          <w:color w:val="FF0000"/>
          <w:sz w:val="24"/>
          <w:szCs w:val="24"/>
        </w:rPr>
      </w:pPr>
      <w:r>
        <w:rPr>
          <w:rFonts w:hint="eastAsia" w:ascii="宋体" w:hAnsi="宋体" w:eastAsia="宋体" w:cs="宋体"/>
          <w:color w:val="FF0000"/>
          <w:sz w:val="24"/>
          <w:szCs w:val="24"/>
        </w:rPr>
        <w:t>说明</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lang w:val="en-US" w:eastAsia="zh-CN"/>
        </w:rPr>
        <w:t>如有</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：1、评分时，如对一项招标商务要求（以划分框为准）中的内容存在两处（或以上）负偏离的，在评分时只作一项负偏离扣分。</w:t>
      </w:r>
    </w:p>
    <w:p>
      <w:pPr>
        <w:ind w:firstLine="480" w:firstLineChars="200"/>
        <w:rPr>
          <w:rFonts w:hint="eastAsia" w:ascii="宋体" w:hAnsi="宋体" w:eastAsia="宋体" w:cs="宋体"/>
          <w:color w:val="FF0000"/>
          <w:sz w:val="24"/>
          <w:szCs w:val="24"/>
        </w:rPr>
      </w:pPr>
      <w:r>
        <w:rPr>
          <w:rFonts w:hint="eastAsia" w:ascii="宋体" w:hAnsi="宋体" w:eastAsia="宋体" w:cs="宋体"/>
          <w:color w:val="FF0000"/>
          <w:sz w:val="24"/>
          <w:szCs w:val="24"/>
        </w:rPr>
        <w:t>2、带“★”指标项为实质性条款，不作为评分准则中的评分内容。如出现负偏离，将被视为未实质性满足招标文件要求作投标无效处理；带“▲”指标项为重要参数，负偏离时依相关评分准则内容作重点扣分处理。</w:t>
      </w:r>
    </w:p>
    <w:tbl>
      <w:tblPr>
        <w:tblStyle w:val="19"/>
        <w:tblW w:w="88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1620"/>
        <w:gridCol w:w="5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60" w:type="dxa"/>
            <w:vAlign w:val="center"/>
          </w:tcPr>
          <w:p>
            <w:pPr>
              <w:jc w:val="center"/>
              <w:rPr>
                <w:b/>
              </w:rPr>
            </w:pPr>
            <w:r>
              <w:rPr>
                <w:rFonts w:hint="eastAsia"/>
                <w:b/>
              </w:rPr>
              <w:t>序号</w:t>
            </w:r>
          </w:p>
        </w:tc>
        <w:tc>
          <w:tcPr>
            <w:tcW w:w="1620" w:type="dxa"/>
            <w:vAlign w:val="center"/>
          </w:tcPr>
          <w:p>
            <w:pPr>
              <w:jc w:val="center"/>
              <w:rPr>
                <w:b/>
              </w:rPr>
            </w:pPr>
            <w:r>
              <w:rPr>
                <w:rFonts w:hint="eastAsia"/>
                <w:b/>
              </w:rPr>
              <w:t>目录</w:t>
            </w:r>
          </w:p>
        </w:tc>
        <w:tc>
          <w:tcPr>
            <w:tcW w:w="5940" w:type="dxa"/>
            <w:vAlign w:val="center"/>
          </w:tcPr>
          <w:p>
            <w:pPr>
              <w:jc w:val="center"/>
              <w:rPr>
                <w:b/>
              </w:rPr>
            </w:pPr>
            <w:r>
              <w:rPr>
                <w:rFonts w:hint="eastAsia"/>
                <w:b/>
              </w:rPr>
              <w:t>招标商务需求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820" w:type="dxa"/>
            <w:gridSpan w:val="3"/>
          </w:tcPr>
          <w:p>
            <w:pPr>
              <w:rPr>
                <w:b/>
              </w:rPr>
            </w:pPr>
            <w:r>
              <w:rPr>
                <w:rFonts w:hint="eastAsia"/>
                <w:b/>
              </w:rPr>
              <w:t>（一）免费保修期内售后服务要求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260" w:type="dxa"/>
            <w:vAlign w:val="center"/>
          </w:tcPr>
          <w:p>
            <w:pPr>
              <w:jc w:val="center"/>
              <w:rPr>
                <w:bCs/>
              </w:rPr>
            </w:pPr>
            <w:r>
              <w:rPr>
                <w:rFonts w:hint="eastAsia"/>
                <w:bCs/>
              </w:rPr>
              <w:t>1</w:t>
            </w:r>
          </w:p>
        </w:tc>
        <w:tc>
          <w:tcPr>
            <w:tcW w:w="1620" w:type="dxa"/>
          </w:tcPr>
          <w:p>
            <w:r>
              <w:rPr>
                <w:rFonts w:hint="eastAsia"/>
              </w:rPr>
              <w:t>维修响应及故障解决时间</w:t>
            </w:r>
          </w:p>
        </w:tc>
        <w:tc>
          <w:tcPr>
            <w:tcW w:w="5940" w:type="dxa"/>
          </w:tcPr>
          <w:p>
            <w:pPr>
              <w:rPr>
                <w:b/>
              </w:rPr>
            </w:pPr>
            <w:r>
              <w:rPr>
                <w:rFonts w:hint="eastAsia"/>
                <w:bCs/>
                <w:szCs w:val="21"/>
              </w:rPr>
              <w:t>在保修期内，一旦发生质量问题，投标人保证在接到通知24小时内赶到现场进行修理或更换。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260" w:type="dxa"/>
            <w:vAlign w:val="center"/>
          </w:tcPr>
          <w:p>
            <w:pPr>
              <w:jc w:val="center"/>
              <w:rPr>
                <w:szCs w:val="21"/>
              </w:rPr>
            </w:pPr>
            <w:r>
              <w:rPr>
                <w:rFonts w:hint="eastAsia"/>
                <w:szCs w:val="21"/>
              </w:rPr>
              <w:t>2</w:t>
            </w:r>
          </w:p>
        </w:tc>
        <w:tc>
          <w:tcPr>
            <w:tcW w:w="1620" w:type="dxa"/>
          </w:tcPr>
          <w:p>
            <w:pPr>
              <w:rPr>
                <w:szCs w:val="21"/>
              </w:rPr>
            </w:pPr>
            <w:r>
              <w:rPr>
                <w:rFonts w:hint="eastAsia"/>
                <w:szCs w:val="21"/>
              </w:rPr>
              <w:t>关于免费保修期</w:t>
            </w:r>
          </w:p>
        </w:tc>
        <w:tc>
          <w:tcPr>
            <w:tcW w:w="5940" w:type="dxa"/>
          </w:tcPr>
          <w:p>
            <w:pPr>
              <w:rPr>
                <w:b/>
                <w:szCs w:val="21"/>
              </w:rPr>
            </w:pPr>
            <w:r>
              <w:rPr>
                <w:rFonts w:hint="eastAsia"/>
                <w:bCs/>
                <w:szCs w:val="21"/>
              </w:rPr>
              <w:t>★货物免费保修期</w:t>
            </w:r>
            <w:r>
              <w:rPr>
                <w:rFonts w:hint="eastAsia"/>
                <w:bCs/>
                <w:color w:val="FF0000"/>
                <w:szCs w:val="21"/>
                <w:u w:val="single"/>
              </w:rPr>
              <w:t xml:space="preserve"> 3 </w:t>
            </w:r>
            <w:r>
              <w:rPr>
                <w:rFonts w:hint="eastAsia"/>
                <w:bCs/>
                <w:color w:val="FF0000"/>
                <w:szCs w:val="21"/>
              </w:rPr>
              <w:t>年，</w:t>
            </w:r>
            <w:r>
              <w:rPr>
                <w:rFonts w:hint="eastAsia"/>
                <w:bCs/>
                <w:szCs w:val="21"/>
              </w:rPr>
              <w:t>时间自最终验收合格并交付使用之日起计算。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1260" w:type="dxa"/>
            <w:vAlign w:val="center"/>
          </w:tcPr>
          <w:p>
            <w:pPr>
              <w:jc w:val="center"/>
              <w:rPr>
                <w:b/>
              </w:rPr>
            </w:pPr>
            <w:r>
              <w:rPr>
                <w:rFonts w:hint="eastAsia"/>
                <w:b/>
              </w:rPr>
              <w:t>3</w:t>
            </w:r>
          </w:p>
        </w:tc>
        <w:tc>
          <w:tcPr>
            <w:tcW w:w="1620" w:type="dxa"/>
            <w:vAlign w:val="center"/>
          </w:tcPr>
          <w:p>
            <w:pPr>
              <w:rPr>
                <w:b/>
              </w:rPr>
            </w:pPr>
            <w:r>
              <w:rPr>
                <w:rFonts w:hint="eastAsia"/>
              </w:rPr>
              <w:t>其他</w:t>
            </w:r>
          </w:p>
        </w:tc>
        <w:tc>
          <w:tcPr>
            <w:tcW w:w="5940" w:type="dxa"/>
            <w:vAlign w:val="center"/>
          </w:tcPr>
          <w:p>
            <w:pPr>
              <w:rPr>
                <w:b/>
              </w:rPr>
            </w:pPr>
            <w:r>
              <w:rPr>
                <w:rFonts w:hint="eastAsia"/>
                <w:bCs/>
                <w:szCs w:val="21"/>
              </w:rPr>
              <w:t>投标人应按其投标文件中的承诺，进行其他售后服务工作。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820" w:type="dxa"/>
            <w:gridSpan w:val="3"/>
          </w:tcPr>
          <w:p>
            <w:pPr>
              <w:rPr>
                <w:b/>
              </w:rPr>
            </w:pPr>
            <w:r>
              <w:rPr>
                <w:rFonts w:hint="eastAsia"/>
                <w:b/>
              </w:rPr>
              <w:t>（二）其他商务要求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260" w:type="dxa"/>
            <w:vMerge w:val="restart"/>
            <w:vAlign w:val="center"/>
          </w:tcPr>
          <w:p>
            <w:pPr>
              <w:jc w:val="center"/>
              <w:rPr>
                <w:bCs/>
              </w:rPr>
            </w:pPr>
            <w:r>
              <w:rPr>
                <w:rFonts w:hint="eastAsia"/>
                <w:bCs/>
              </w:rPr>
              <w:t>1</w:t>
            </w:r>
          </w:p>
        </w:tc>
        <w:tc>
          <w:tcPr>
            <w:tcW w:w="1620" w:type="dxa"/>
            <w:vMerge w:val="restart"/>
            <w:vAlign w:val="center"/>
          </w:tcPr>
          <w:p>
            <w:r>
              <w:rPr>
                <w:rFonts w:hint="eastAsia"/>
              </w:rPr>
              <w:t>关于交货</w:t>
            </w:r>
          </w:p>
        </w:tc>
        <w:tc>
          <w:tcPr>
            <w:tcW w:w="5940" w:type="dxa"/>
          </w:tcPr>
          <w:p>
            <w:pPr>
              <w:rPr>
                <w:bCs/>
                <w:szCs w:val="21"/>
              </w:rPr>
            </w:pPr>
            <w:r>
              <w:rPr>
                <w:rFonts w:hint="eastAsia"/>
                <w:bCs/>
                <w:szCs w:val="21"/>
              </w:rPr>
              <w:t>1.1交货地点：采购人指定地点。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1260" w:type="dxa"/>
            <w:vMerge w:val="continue"/>
            <w:vAlign w:val="center"/>
          </w:tcPr>
          <w:p>
            <w:pPr>
              <w:jc w:val="center"/>
              <w:rPr>
                <w:bCs/>
              </w:rPr>
            </w:pPr>
          </w:p>
        </w:tc>
        <w:tc>
          <w:tcPr>
            <w:tcW w:w="1620" w:type="dxa"/>
            <w:vMerge w:val="continue"/>
            <w:vAlign w:val="center"/>
          </w:tcPr>
          <w:p>
            <w:pPr>
              <w:jc w:val="center"/>
            </w:pPr>
          </w:p>
        </w:tc>
        <w:tc>
          <w:tcPr>
            <w:tcW w:w="5940" w:type="dxa"/>
          </w:tcPr>
          <w:p>
            <w:pPr>
              <w:rPr>
                <w:bCs/>
                <w:szCs w:val="21"/>
              </w:rPr>
            </w:pPr>
            <w:r>
              <w:rPr>
                <w:rFonts w:hint="eastAsia"/>
                <w:bCs/>
                <w:szCs w:val="21"/>
              </w:rPr>
              <w:t>1.2投标人必须承担的设备运输、安装调试、验收检测和提供设备操作说明书、图纸等其他类似的义务。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1260" w:type="dxa"/>
            <w:vMerge w:val="continue"/>
            <w:vAlign w:val="center"/>
          </w:tcPr>
          <w:p>
            <w:pPr>
              <w:jc w:val="center"/>
              <w:rPr>
                <w:bCs/>
              </w:rPr>
            </w:pPr>
          </w:p>
        </w:tc>
        <w:tc>
          <w:tcPr>
            <w:tcW w:w="1620" w:type="dxa"/>
            <w:vMerge w:val="continue"/>
            <w:vAlign w:val="center"/>
          </w:tcPr>
          <w:p>
            <w:pPr>
              <w:jc w:val="center"/>
            </w:pPr>
          </w:p>
        </w:tc>
        <w:tc>
          <w:tcPr>
            <w:tcW w:w="5940" w:type="dxa"/>
          </w:tcPr>
          <w:p>
            <w:pPr>
              <w:rPr>
                <w:bCs/>
                <w:szCs w:val="21"/>
              </w:rPr>
            </w:pPr>
            <w:r>
              <w:rPr>
                <w:rFonts w:hint="eastAsia"/>
                <w:bCs/>
                <w:szCs w:val="21"/>
              </w:rPr>
              <w:t>★1.3签订合同后</w:t>
            </w:r>
            <w:r>
              <w:rPr>
                <w:rFonts w:hint="eastAsia"/>
                <w:bCs/>
                <w:szCs w:val="21"/>
                <w:u w:val="single"/>
              </w:rPr>
              <w:t xml:space="preserve"> </w:t>
            </w:r>
            <w:r>
              <w:rPr>
                <w:rFonts w:hint="eastAsia"/>
                <w:bCs/>
                <w:color w:val="FF0000"/>
                <w:szCs w:val="21"/>
                <w:u w:val="single"/>
              </w:rPr>
              <w:t xml:space="preserve">30 </w:t>
            </w:r>
            <w:r>
              <w:rPr>
                <w:rFonts w:hint="eastAsia"/>
                <w:bCs/>
                <w:color w:val="FF0000"/>
                <w:szCs w:val="21"/>
              </w:rPr>
              <w:t>天（日历日）</w:t>
            </w:r>
            <w:r>
              <w:rPr>
                <w:rFonts w:hint="eastAsia"/>
                <w:bCs/>
                <w:szCs w:val="21"/>
              </w:rPr>
              <w:t>内交货。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60" w:type="dxa"/>
            <w:vMerge w:val="restart"/>
            <w:vAlign w:val="center"/>
          </w:tcPr>
          <w:p>
            <w:pPr>
              <w:jc w:val="center"/>
              <w:rPr>
                <w:bCs/>
              </w:rPr>
            </w:pPr>
            <w:r>
              <w:rPr>
                <w:rFonts w:hint="eastAsia"/>
                <w:bCs/>
              </w:rPr>
              <w:t>2</w:t>
            </w:r>
          </w:p>
        </w:tc>
        <w:tc>
          <w:tcPr>
            <w:tcW w:w="1620" w:type="dxa"/>
            <w:vMerge w:val="restart"/>
            <w:vAlign w:val="center"/>
          </w:tcPr>
          <w:p>
            <w:r>
              <w:rPr>
                <w:rFonts w:hint="eastAsia"/>
              </w:rPr>
              <w:t>安装调试及验收</w:t>
            </w:r>
          </w:p>
        </w:tc>
        <w:tc>
          <w:tcPr>
            <w:tcW w:w="5940" w:type="dxa"/>
          </w:tcPr>
          <w:p>
            <w:pPr>
              <w:spacing w:line="340" w:lineRule="exact"/>
              <w:rPr>
                <w:bCs/>
                <w:szCs w:val="21"/>
              </w:rPr>
            </w:pPr>
            <w:r>
              <w:rPr>
                <w:rFonts w:hint="eastAsia"/>
                <w:bCs/>
                <w:szCs w:val="21"/>
              </w:rPr>
              <w:t>2</w:t>
            </w:r>
            <w:r>
              <w:rPr>
                <w:bCs/>
                <w:szCs w:val="21"/>
              </w:rPr>
              <w:t>.1</w:t>
            </w:r>
            <w:r>
              <w:rPr>
                <w:rFonts w:hint="eastAsia"/>
                <w:bCs/>
                <w:szCs w:val="21"/>
              </w:rPr>
              <w:t>投标人应派有经验的技术人员到现场进行安装、调试，直到设备正常使用。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60" w:type="dxa"/>
            <w:vMerge w:val="continue"/>
            <w:vAlign w:val="center"/>
          </w:tcPr>
          <w:p>
            <w:pPr>
              <w:jc w:val="center"/>
              <w:rPr>
                <w:b/>
              </w:rPr>
            </w:pPr>
          </w:p>
        </w:tc>
        <w:tc>
          <w:tcPr>
            <w:tcW w:w="1620" w:type="dxa"/>
            <w:vMerge w:val="continue"/>
          </w:tcPr>
          <w:p>
            <w:pPr>
              <w:rPr>
                <w:b/>
              </w:rPr>
            </w:pPr>
          </w:p>
        </w:tc>
        <w:tc>
          <w:tcPr>
            <w:tcW w:w="5940" w:type="dxa"/>
          </w:tcPr>
          <w:p>
            <w:pPr>
              <w:spacing w:line="340" w:lineRule="exact"/>
              <w:rPr>
                <w:bCs/>
                <w:szCs w:val="21"/>
              </w:rPr>
            </w:pPr>
            <w:r>
              <w:rPr>
                <w:rFonts w:hint="eastAsia"/>
                <w:bCs/>
                <w:szCs w:val="21"/>
              </w:rPr>
              <w:t>2</w:t>
            </w:r>
            <w:r>
              <w:rPr>
                <w:bCs/>
                <w:szCs w:val="21"/>
              </w:rPr>
              <w:t>.2</w:t>
            </w:r>
            <w:r>
              <w:rPr>
                <w:rFonts w:hint="eastAsia"/>
                <w:bCs/>
                <w:szCs w:val="21"/>
              </w:rPr>
              <w:t>由采购人按合同和招标、投标文件约定的要求和标准及中华人民共和国现行的验收规范和评定标准进行交货验收。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60" w:type="dxa"/>
            <w:vMerge w:val="continue"/>
            <w:vAlign w:val="center"/>
          </w:tcPr>
          <w:p>
            <w:pPr>
              <w:jc w:val="center"/>
              <w:rPr>
                <w:b/>
              </w:rPr>
            </w:pPr>
          </w:p>
        </w:tc>
        <w:tc>
          <w:tcPr>
            <w:tcW w:w="1620" w:type="dxa"/>
            <w:vMerge w:val="continue"/>
          </w:tcPr>
          <w:p>
            <w:pPr>
              <w:rPr>
                <w:b/>
              </w:rPr>
            </w:pPr>
          </w:p>
        </w:tc>
        <w:tc>
          <w:tcPr>
            <w:tcW w:w="5940" w:type="dxa"/>
          </w:tcPr>
          <w:p>
            <w:pPr>
              <w:spacing w:line="340" w:lineRule="exact"/>
              <w:rPr>
                <w:bCs/>
                <w:szCs w:val="21"/>
              </w:rPr>
            </w:pPr>
            <w:r>
              <w:rPr>
                <w:rFonts w:hint="eastAsia"/>
                <w:bCs/>
                <w:szCs w:val="21"/>
              </w:rPr>
              <w:t>2.</w:t>
            </w:r>
            <w:r>
              <w:rPr>
                <w:bCs/>
                <w:szCs w:val="21"/>
              </w:rPr>
              <w:t xml:space="preserve">3 </w:t>
            </w:r>
            <w:r>
              <w:rPr>
                <w:rFonts w:hint="eastAsia"/>
                <w:bCs/>
                <w:szCs w:val="21"/>
              </w:rPr>
              <w:t>投标人货物经过双方检验认可后，签署验收报告，产品保修期自验收合格之日起算，由投标人提供产品保修文件。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60" w:type="dxa"/>
            <w:vMerge w:val="continue"/>
            <w:vAlign w:val="center"/>
          </w:tcPr>
          <w:p>
            <w:pPr>
              <w:jc w:val="center"/>
              <w:rPr>
                <w:b/>
              </w:rPr>
            </w:pPr>
          </w:p>
        </w:tc>
        <w:tc>
          <w:tcPr>
            <w:tcW w:w="1620" w:type="dxa"/>
            <w:vMerge w:val="continue"/>
          </w:tcPr>
          <w:p>
            <w:pPr>
              <w:rPr>
                <w:b/>
              </w:rPr>
            </w:pPr>
          </w:p>
        </w:tc>
        <w:tc>
          <w:tcPr>
            <w:tcW w:w="5940" w:type="dxa"/>
          </w:tcPr>
          <w:p>
            <w:pPr>
              <w:spacing w:line="340" w:lineRule="exact"/>
              <w:rPr>
                <w:bCs/>
                <w:szCs w:val="21"/>
              </w:rPr>
            </w:pPr>
            <w:r>
              <w:rPr>
                <w:rFonts w:hint="eastAsia"/>
                <w:bCs/>
                <w:szCs w:val="21"/>
              </w:rPr>
              <w:t>2.</w:t>
            </w:r>
            <w:r>
              <w:rPr>
                <w:bCs/>
                <w:szCs w:val="21"/>
              </w:rPr>
              <w:t>4</w:t>
            </w:r>
            <w:r>
              <w:rPr>
                <w:rFonts w:hint="eastAsia"/>
                <w:bCs/>
                <w:szCs w:val="21"/>
              </w:rPr>
              <w:t>当满足以下条件时，采购人才向中标人签发货物验收报告：</w:t>
            </w:r>
          </w:p>
          <w:p>
            <w:pPr>
              <w:rPr>
                <w:bCs/>
                <w:szCs w:val="21"/>
              </w:rPr>
            </w:pPr>
            <w:r>
              <w:rPr>
                <w:rFonts w:hint="eastAsia"/>
                <w:bCs/>
                <w:szCs w:val="21"/>
              </w:rPr>
              <w:t>（1）设备全新,外观无伤痕变形或明显修饰痕迹。</w:t>
            </w:r>
          </w:p>
          <w:p>
            <w:pPr>
              <w:rPr>
                <w:bCs/>
                <w:szCs w:val="21"/>
              </w:rPr>
            </w:pPr>
            <w:r>
              <w:rPr>
                <w:rFonts w:hint="eastAsia"/>
                <w:bCs/>
                <w:szCs w:val="21"/>
              </w:rPr>
              <w:t>（2）如有国标，必须符合有关规定；如无国标，则按照行业标准；如无国标及行业标准，则按双方约定执行。投标文件提供的技术数据经实测证实是真实的。检验及质量保证期内达到的性能指标与要求一致，达到或优于相应标准。</w:t>
            </w:r>
          </w:p>
          <w:p>
            <w:pPr>
              <w:rPr>
                <w:bCs/>
                <w:szCs w:val="21"/>
              </w:rPr>
            </w:pPr>
            <w:r>
              <w:rPr>
                <w:rFonts w:hint="eastAsia"/>
                <w:bCs/>
                <w:szCs w:val="21"/>
              </w:rPr>
              <w:t>（3）技术文件资料、备件等已按规定数量移交完毕。</w:t>
            </w:r>
          </w:p>
          <w:p>
            <w:pPr>
              <w:rPr>
                <w:bCs/>
                <w:szCs w:val="21"/>
              </w:rPr>
            </w:pPr>
            <w:r>
              <w:rPr>
                <w:rFonts w:hint="eastAsia"/>
                <w:bCs/>
                <w:szCs w:val="21"/>
              </w:rPr>
              <w:t>（4）按照招标书要求及投标文件提供的技术要求验收必须合格。</w:t>
            </w:r>
          </w:p>
          <w:p>
            <w:pPr>
              <w:spacing w:line="340" w:lineRule="exact"/>
              <w:rPr>
                <w:bCs/>
                <w:szCs w:val="21"/>
              </w:rPr>
            </w:pPr>
            <w:r>
              <w:rPr>
                <w:rFonts w:hint="eastAsia"/>
                <w:bCs/>
                <w:szCs w:val="21"/>
              </w:rPr>
              <w:t>（5）投标人提供的各种文件载明的内容必须真实，其技术数据采购人有权要求投标人无偿提供采购人认可的第三方按照双方同意的试验方法进行检测。检测结果必须证明投标人提供的技术数据是真实的，否则视为不合格。</w:t>
            </w:r>
          </w:p>
          <w:p>
            <w:pPr>
              <w:spacing w:line="340" w:lineRule="exact"/>
              <w:rPr>
                <w:bCs/>
                <w:szCs w:val="21"/>
              </w:rPr>
            </w:pPr>
            <w:r>
              <w:rPr>
                <w:rFonts w:hint="eastAsia"/>
                <w:bCs/>
                <w:szCs w:val="21"/>
              </w:rPr>
              <w:t>（6）货物具备产品合格证。</w:t>
            </w:r>
          </w:p>
          <w:p>
            <w:pPr>
              <w:spacing w:line="340" w:lineRule="exact"/>
              <w:rPr>
                <w:bCs/>
                <w:szCs w:val="21"/>
              </w:rPr>
            </w:pPr>
            <w:r>
              <w:rPr>
                <w:rFonts w:hint="eastAsia"/>
                <w:bCs/>
                <w:szCs w:val="21"/>
              </w:rPr>
              <w:t>（7）在货物安装调试合格后，所有技术指标达到技术规范书要求，经验收合格后，双方共同签署验收报告。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60" w:type="dxa"/>
            <w:vMerge w:val="restart"/>
            <w:vAlign w:val="center"/>
          </w:tcPr>
          <w:p>
            <w:pPr>
              <w:jc w:val="center"/>
              <w:rPr>
                <w:bCs/>
              </w:rPr>
            </w:pPr>
            <w:r>
              <w:rPr>
                <w:rFonts w:hint="eastAsia"/>
                <w:bCs/>
              </w:rPr>
              <w:t>3</w:t>
            </w:r>
          </w:p>
        </w:tc>
        <w:tc>
          <w:tcPr>
            <w:tcW w:w="1620" w:type="dxa"/>
            <w:vMerge w:val="restart"/>
            <w:vAlign w:val="center"/>
          </w:tcPr>
          <w:p>
            <w:pPr>
              <w:jc w:val="center"/>
            </w:pPr>
            <w:r>
              <w:rPr>
                <w:rFonts w:hint="eastAsia"/>
              </w:rPr>
              <w:t>关于违约</w:t>
            </w:r>
          </w:p>
        </w:tc>
        <w:tc>
          <w:tcPr>
            <w:tcW w:w="5940" w:type="dxa"/>
          </w:tcPr>
          <w:p>
            <w:r>
              <w:rPr>
                <w:rFonts w:hint="eastAsia"/>
              </w:rPr>
              <w:t>3.1中标人不能交货的，需偿付不能交货部分货款的</w:t>
            </w:r>
            <w:r>
              <w:rPr>
                <w:rFonts w:hint="eastAsia"/>
                <w:u w:val="single"/>
              </w:rPr>
              <w:t xml:space="preserve"> 5 </w:t>
            </w:r>
            <w:r>
              <w:rPr>
                <w:rFonts w:hint="eastAsia"/>
              </w:rPr>
              <w:t>%的违约金并按主管部门相关规定处理。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60" w:type="dxa"/>
            <w:vMerge w:val="continue"/>
            <w:vAlign w:val="center"/>
          </w:tcPr>
          <w:p>
            <w:pPr>
              <w:jc w:val="center"/>
              <w:rPr>
                <w:bCs/>
              </w:rPr>
            </w:pPr>
          </w:p>
        </w:tc>
        <w:tc>
          <w:tcPr>
            <w:tcW w:w="1620" w:type="dxa"/>
            <w:vMerge w:val="continue"/>
            <w:vAlign w:val="center"/>
          </w:tcPr>
          <w:p>
            <w:pPr>
              <w:jc w:val="center"/>
            </w:pPr>
          </w:p>
        </w:tc>
        <w:tc>
          <w:tcPr>
            <w:tcW w:w="5940" w:type="dxa"/>
          </w:tcPr>
          <w:p>
            <w:r>
              <w:rPr>
                <w:rFonts w:hint="eastAsia"/>
              </w:rPr>
              <w:t>3.2中标人逾期交货的，将被没收履约保证金并按主管部门相关规定处理。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60" w:type="dxa"/>
            <w:vMerge w:val="continue"/>
            <w:vAlign w:val="center"/>
          </w:tcPr>
          <w:p>
            <w:pPr>
              <w:jc w:val="center"/>
              <w:rPr>
                <w:bCs/>
              </w:rPr>
            </w:pPr>
          </w:p>
        </w:tc>
        <w:tc>
          <w:tcPr>
            <w:tcW w:w="1620" w:type="dxa"/>
            <w:vMerge w:val="continue"/>
            <w:vAlign w:val="center"/>
          </w:tcPr>
          <w:p>
            <w:pPr>
              <w:jc w:val="center"/>
            </w:pPr>
          </w:p>
        </w:tc>
        <w:tc>
          <w:tcPr>
            <w:tcW w:w="5940" w:type="dxa"/>
          </w:tcPr>
          <w:p>
            <w:r>
              <w:rPr>
                <w:rFonts w:hint="eastAsia"/>
              </w:rPr>
              <w:t>3.3中标人所交付产品、工程或服务不符合其投标承诺的，或在投标阶段为了中标而盲目虚假承诺、低价恶性竞争，在履约阶段则通过偷工减料、以次充好而获取利润的，将被没收履约保证金，并被履约评价工作实施机构评为履约等级“差”并按主管部门相关规定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60" w:type="dxa"/>
            <w:vAlign w:val="center"/>
          </w:tcPr>
          <w:p>
            <w:pPr>
              <w:jc w:val="center"/>
              <w:rPr>
                <w:bCs/>
              </w:rPr>
            </w:pPr>
            <w:r>
              <w:rPr>
                <w:rFonts w:hint="eastAsia"/>
                <w:bCs/>
              </w:rPr>
              <w:t>4</w:t>
            </w:r>
          </w:p>
        </w:tc>
        <w:tc>
          <w:tcPr>
            <w:tcW w:w="1620" w:type="dxa"/>
            <w:vAlign w:val="center"/>
          </w:tcPr>
          <w:p>
            <w:pPr>
              <w:jc w:val="center"/>
              <w:rPr>
                <w:highlight w:val="red"/>
              </w:rPr>
            </w:pPr>
            <w:r>
              <w:rPr>
                <w:rFonts w:hint="eastAsia"/>
              </w:rPr>
              <w:t>付款方式</w:t>
            </w:r>
          </w:p>
        </w:tc>
        <w:tc>
          <w:tcPr>
            <w:tcW w:w="5940" w:type="dxa"/>
          </w:tcPr>
          <w:p>
            <w:pPr>
              <w:rPr>
                <w:szCs w:val="21"/>
                <w:highlight w:val="red"/>
              </w:rPr>
            </w:pPr>
            <w:r>
              <w:rPr>
                <w:rFonts w:hint="eastAsia" w:ascii="宋体" w:hAnsi="宋体"/>
                <w:szCs w:val="21"/>
              </w:rPr>
              <w:t>4.1合同签订后，甲方向乙方支付合同总额30% 预付款；在乙方货物到场且安装调试完并经甲方验收合格后,甲方向乙方支付合同总额70%尾款。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60" w:type="dxa"/>
            <w:vAlign w:val="center"/>
          </w:tcPr>
          <w:p>
            <w:pPr>
              <w:jc w:val="center"/>
              <w:rPr>
                <w:bCs/>
              </w:rPr>
            </w:pPr>
            <w:r>
              <w:rPr>
                <w:rFonts w:hint="eastAsia"/>
                <w:bCs/>
              </w:rPr>
              <w:t>5</w:t>
            </w:r>
          </w:p>
        </w:tc>
        <w:tc>
          <w:tcPr>
            <w:tcW w:w="1620" w:type="dxa"/>
            <w:vAlign w:val="center"/>
          </w:tcPr>
          <w:p>
            <w:pPr>
              <w:jc w:val="center"/>
            </w:pPr>
            <w:r>
              <w:rPr>
                <w:rFonts w:hint="eastAsia"/>
              </w:rPr>
              <w:t>报价要求</w:t>
            </w:r>
          </w:p>
        </w:tc>
        <w:tc>
          <w:tcPr>
            <w:tcW w:w="5940" w:type="dxa"/>
          </w:tcPr>
          <w:p>
            <w:pPr>
              <w:ind w:firstLine="480" w:firstLineChars="200"/>
              <w:rPr>
                <w:szCs w:val="21"/>
              </w:rPr>
            </w:pPr>
            <w:r>
              <w:rPr>
                <w:rFonts w:hint="eastAsia"/>
                <w:szCs w:val="21"/>
              </w:rPr>
              <w:t>投标总价必须是完成该项目的一切费用总和，包括设备费、运输费、装卸费、保险费、技术培训费、设备安装费、调试费、售后服务费、国家规定的各项税费等全部费用。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60" w:type="dxa"/>
            <w:vMerge w:val="restart"/>
            <w:vAlign w:val="center"/>
          </w:tcPr>
          <w:p>
            <w:pPr>
              <w:jc w:val="center"/>
              <w:rPr>
                <w:bCs/>
              </w:rPr>
            </w:pPr>
            <w:r>
              <w:rPr>
                <w:rFonts w:hint="eastAsia"/>
                <w:bCs/>
              </w:rPr>
              <w:t>6</w:t>
            </w:r>
          </w:p>
        </w:tc>
        <w:tc>
          <w:tcPr>
            <w:tcW w:w="1620" w:type="dxa"/>
            <w:vMerge w:val="restart"/>
            <w:vAlign w:val="center"/>
          </w:tcPr>
          <w:p>
            <w:pPr>
              <w:jc w:val="center"/>
            </w:pPr>
            <w:r>
              <w:rPr>
                <w:rFonts w:hint="eastAsia"/>
              </w:rPr>
              <w:t>其它要求</w:t>
            </w:r>
          </w:p>
        </w:tc>
        <w:tc>
          <w:tcPr>
            <w:tcW w:w="5940" w:type="dxa"/>
          </w:tcPr>
          <w:p>
            <w:pPr>
              <w:rPr>
                <w:szCs w:val="21"/>
              </w:rPr>
            </w:pPr>
            <w:r>
              <w:rPr>
                <w:rFonts w:hint="eastAsia" w:ascii="宋体" w:hAnsi="宋体" w:cs="宋体"/>
                <w:bCs/>
                <w:sz w:val="22"/>
              </w:rPr>
              <w:t>6.1必须保障校级平台与市、区平台对接，平台数据接口按要求开放。必须通过市、区考点验收，视频考试系统需与市招考办互联互通。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260" w:type="dxa"/>
            <w:vMerge w:val="continue"/>
            <w:vAlign w:val="center"/>
          </w:tcPr>
          <w:p>
            <w:pPr>
              <w:jc w:val="center"/>
              <w:rPr>
                <w:bCs/>
              </w:rPr>
            </w:pPr>
          </w:p>
        </w:tc>
        <w:tc>
          <w:tcPr>
            <w:tcW w:w="1620" w:type="dxa"/>
            <w:vMerge w:val="continue"/>
            <w:vAlign w:val="center"/>
          </w:tcPr>
          <w:p>
            <w:pPr>
              <w:jc w:val="center"/>
            </w:pPr>
          </w:p>
        </w:tc>
        <w:tc>
          <w:tcPr>
            <w:tcW w:w="5940" w:type="dxa"/>
          </w:tcPr>
          <w:p>
            <w:pPr>
              <w:rPr>
                <w:rFonts w:ascii="宋体" w:hAnsi="宋体" w:cs="宋体"/>
                <w:bCs/>
                <w:sz w:val="22"/>
              </w:rPr>
            </w:pPr>
            <w:r>
              <w:rPr>
                <w:rFonts w:hint="eastAsia"/>
                <w:szCs w:val="20"/>
              </w:rPr>
              <w:t>6.2考试现场保障服务:三年服务期内,每年提供模拟考、正式考两次考试保障服务,安排技术人员完成设备使用前调试，现场提供技术支持与保障。</w:t>
            </w:r>
          </w:p>
        </w:tc>
      </w:tr>
    </w:tbl>
    <w:p>
      <w:pPr>
        <w:ind w:firstLine="482" w:firstLineChars="20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（五）样品展示</w:t>
      </w:r>
    </w:p>
    <w:p>
      <w:pPr>
        <w:ind w:firstLine="482" w:firstLineChars="200"/>
        <w:rPr>
          <w:rFonts w:hint="eastAsia" w:ascii="宋体" w:hAnsi="宋体" w:eastAsia="宋体" w:cs="宋体"/>
          <w:color w:val="0000FF"/>
          <w:sz w:val="24"/>
          <w:szCs w:val="24"/>
        </w:rPr>
      </w:pPr>
      <w:r>
        <w:rPr>
          <w:rFonts w:hint="eastAsia" w:ascii="宋体" w:hAnsi="宋体" w:eastAsia="宋体" w:cs="宋体"/>
          <w:b/>
          <w:sz w:val="24"/>
          <w:szCs w:val="24"/>
        </w:rPr>
        <w:t>演示供应商签到时间：</w:t>
      </w:r>
      <w:r>
        <w:rPr>
          <w:rFonts w:hint="eastAsia" w:ascii="宋体" w:hAnsi="宋体" w:eastAsia="宋体" w:cs="宋体"/>
          <w:sz w:val="24"/>
          <w:szCs w:val="24"/>
        </w:rPr>
        <w:t>投标（谈判）供应商授权委托人</w:t>
      </w:r>
      <w:r>
        <w:rPr>
          <w:rFonts w:hint="eastAsia" w:ascii="宋体" w:hAnsi="宋体" w:eastAsia="宋体" w:cs="宋体"/>
          <w:color w:val="0000FF"/>
          <w:sz w:val="24"/>
          <w:szCs w:val="24"/>
        </w:rPr>
        <w:t>需在本项目</w:t>
      </w:r>
      <w:r>
        <w:rPr>
          <w:rFonts w:hint="eastAsia" w:ascii="宋体" w:hAnsi="宋体" w:eastAsia="宋体" w:cs="宋体"/>
          <w:color w:val="0000FF"/>
          <w:sz w:val="24"/>
          <w:szCs w:val="24"/>
          <w:lang w:val="en-US" w:eastAsia="zh-CN"/>
        </w:rPr>
        <w:t>截标时间后1小时内</w:t>
      </w:r>
      <w:r>
        <w:rPr>
          <w:rFonts w:hint="eastAsia" w:ascii="宋体" w:hAnsi="宋体" w:eastAsia="宋体" w:cs="宋体"/>
          <w:color w:val="0000FF"/>
          <w:sz w:val="24"/>
          <w:szCs w:val="24"/>
        </w:rPr>
        <w:t>（北京时间）</w:t>
      </w:r>
      <w:r>
        <w:rPr>
          <w:rFonts w:hint="eastAsia" w:ascii="宋体" w:hAnsi="宋体" w:eastAsia="宋体" w:cs="宋体"/>
          <w:color w:val="0000FF"/>
          <w:sz w:val="24"/>
          <w:szCs w:val="24"/>
          <w:lang w:val="en-US" w:eastAsia="zh-CN"/>
        </w:rPr>
        <w:t>进行签到</w:t>
      </w:r>
      <w:r>
        <w:rPr>
          <w:rFonts w:hint="eastAsia" w:ascii="宋体" w:hAnsi="宋体" w:eastAsia="宋体" w:cs="宋体"/>
          <w:color w:val="0000FF"/>
          <w:sz w:val="24"/>
          <w:szCs w:val="24"/>
        </w:rPr>
        <w:t>。</w:t>
      </w:r>
    </w:p>
    <w:p>
      <w:pPr>
        <w:ind w:firstLine="482" w:firstLineChars="200"/>
        <w:rPr>
          <w:rFonts w:hint="eastAsia" w:ascii="宋体" w:hAnsi="宋体" w:eastAsia="宋体" w:cs="宋体"/>
          <w:b/>
          <w:sz w:val="24"/>
          <w:szCs w:val="24"/>
        </w:rPr>
      </w:pPr>
    </w:p>
    <w:p>
      <w:pPr>
        <w:ind w:firstLine="482" w:firstLineChars="200"/>
        <w:rPr>
          <w:rFonts w:hint="eastAsia" w:ascii="宋体" w:hAnsi="宋体" w:eastAsia="宋体" w:cs="宋体"/>
          <w:sz w:val="24"/>
          <w:szCs w:val="24"/>
        </w:rPr>
      </w:pPr>
      <w:r>
        <w:rPr>
          <w:rFonts w:hint="eastAsia" w:ascii="宋体" w:hAnsi="宋体" w:eastAsia="宋体" w:cs="宋体"/>
          <w:b/>
          <w:sz w:val="24"/>
          <w:szCs w:val="24"/>
        </w:rPr>
        <w:t>签到地点：</w:t>
      </w:r>
      <w:r>
        <w:rPr>
          <w:rFonts w:hint="eastAsia" w:ascii="宋体" w:hAnsi="宋体" w:eastAsia="宋体" w:cs="宋体"/>
          <w:color w:val="FF0000"/>
          <w:sz w:val="24"/>
          <w:szCs w:val="24"/>
          <w:u w:val="single"/>
          <w:lang w:val="en-US" w:eastAsia="zh-CN"/>
        </w:rPr>
        <w:t xml:space="preserve">深圳市合创建设工程顾问有限公司电子评标室 </w:t>
      </w:r>
      <w:r>
        <w:rPr>
          <w:rFonts w:hint="eastAsia" w:ascii="宋体" w:hAnsi="宋体" w:eastAsia="宋体" w:cs="宋体"/>
          <w:sz w:val="24"/>
          <w:szCs w:val="24"/>
        </w:rPr>
        <w:t>，按现场工作人员指引填写《现场演示签到表》。</w:t>
      </w:r>
    </w:p>
    <w:p>
      <w:pPr>
        <w:ind w:firstLine="482" w:firstLineChars="200"/>
        <w:rPr>
          <w:rFonts w:hint="eastAsia" w:ascii="宋体" w:hAnsi="宋体" w:eastAsia="宋体" w:cs="宋体"/>
          <w:b/>
          <w:sz w:val="24"/>
          <w:szCs w:val="24"/>
        </w:rPr>
      </w:pPr>
      <w:r>
        <w:rPr>
          <w:rFonts w:hint="eastAsia" w:ascii="宋体" w:hAnsi="宋体" w:eastAsia="宋体" w:cs="宋体"/>
          <w:b/>
          <w:sz w:val="24"/>
          <w:szCs w:val="24"/>
        </w:rPr>
        <w:t>演示设备：</w:t>
      </w:r>
    </w:p>
    <w:p>
      <w:pPr>
        <w:ind w:firstLine="482" w:firstLineChars="200"/>
        <w:rPr>
          <w:rFonts w:hint="eastAsia" w:ascii="宋体" w:hAnsi="宋体" w:eastAsia="宋体" w:cs="宋体"/>
          <w:sz w:val="24"/>
          <w:szCs w:val="24"/>
        </w:rPr>
      </w:pPr>
      <w:r>
        <w:rPr>
          <w:rFonts w:hint="eastAsia" w:ascii="宋体" w:hAnsi="宋体" w:eastAsia="宋体" w:cs="宋体"/>
          <w:b/>
          <w:sz w:val="24"/>
          <w:szCs w:val="24"/>
        </w:rPr>
        <w:t>（1）</w:t>
      </w:r>
      <w:r>
        <w:rPr>
          <w:rFonts w:hint="eastAsia" w:ascii="宋体" w:hAnsi="宋体" w:eastAsia="宋体" w:cs="宋体"/>
          <w:color w:val="FF0000"/>
          <w:sz w:val="24"/>
          <w:szCs w:val="24"/>
          <w:u w:val="single"/>
          <w:lang w:val="en-US" w:eastAsia="zh-CN"/>
        </w:rPr>
        <w:t>深圳市合创建设工程顾问有限公司电子评标室</w:t>
      </w:r>
      <w:r>
        <w:rPr>
          <w:rFonts w:hint="eastAsia" w:ascii="宋体" w:hAnsi="宋体" w:eastAsia="宋体" w:cs="宋体"/>
          <w:sz w:val="24"/>
          <w:szCs w:val="24"/>
        </w:rPr>
        <w:t>仅提供演示场地、电源接口和投影仪（含普通 VGA 数据线）。</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（2）演示电脑和电源线、U 盘等存储设备、投影转换接头等能完成方案讲解的便携设备（具体以自身实际需要为准）由投标（谈判）供应商授权委托人自行携带，因设备无法演示的由供应商自行负责，由于场地有限，建议不携带过大设备。</w:t>
      </w:r>
    </w:p>
    <w:p>
      <w:pPr>
        <w:ind w:firstLine="482" w:firstLineChars="200"/>
        <w:rPr>
          <w:rFonts w:hint="eastAsia" w:ascii="宋体" w:hAnsi="宋体" w:eastAsia="宋体" w:cs="宋体"/>
          <w:sz w:val="24"/>
          <w:szCs w:val="24"/>
        </w:rPr>
      </w:pPr>
      <w:r>
        <w:rPr>
          <w:rFonts w:hint="eastAsia" w:ascii="宋体" w:hAnsi="宋体" w:eastAsia="宋体" w:cs="宋体"/>
          <w:b/>
          <w:sz w:val="24"/>
          <w:szCs w:val="24"/>
        </w:rPr>
        <w:t>演示时间、人员要求：</w:t>
      </w:r>
      <w:r>
        <w:rPr>
          <w:rFonts w:hint="eastAsia" w:ascii="宋体" w:hAnsi="宋体" w:eastAsia="宋体" w:cs="宋体"/>
          <w:sz w:val="24"/>
          <w:szCs w:val="24"/>
        </w:rPr>
        <w:t>每个投标（谈判）供应商现场演示时间不超过</w:t>
      </w:r>
      <w:r>
        <w:rPr>
          <w:rFonts w:hint="eastAsia" w:ascii="宋体" w:hAnsi="宋体" w:eastAsia="宋体" w:cs="宋体"/>
          <w:color w:val="0000FF"/>
          <w:sz w:val="24"/>
          <w:szCs w:val="24"/>
          <w:lang w:val="en-US" w:eastAsia="zh-CN"/>
        </w:rPr>
        <w:t>10</w:t>
      </w:r>
      <w:r>
        <w:rPr>
          <w:rFonts w:hint="eastAsia" w:ascii="宋体" w:hAnsi="宋体" w:eastAsia="宋体" w:cs="宋体"/>
          <w:sz w:val="24"/>
          <w:szCs w:val="24"/>
        </w:rPr>
        <w:t>分钟（期间评委可能会进行提问，并有权酌情延长时间）。现场演示人员不得超过</w:t>
      </w:r>
      <w:r>
        <w:rPr>
          <w:rFonts w:hint="eastAsia" w:ascii="宋体" w:hAnsi="宋体" w:eastAsia="宋体" w:cs="宋体"/>
          <w:color w:val="0000FF"/>
          <w:sz w:val="24"/>
          <w:szCs w:val="24"/>
        </w:rPr>
        <w:t>2</w:t>
      </w:r>
      <w:r>
        <w:rPr>
          <w:rFonts w:hint="eastAsia" w:ascii="宋体" w:hAnsi="宋体" w:eastAsia="宋体" w:cs="宋体"/>
          <w:sz w:val="24"/>
          <w:szCs w:val="24"/>
        </w:rPr>
        <w:t>人。</w:t>
      </w:r>
    </w:p>
    <w:p>
      <w:pPr>
        <w:ind w:firstLine="482" w:firstLineChars="200"/>
        <w:rPr>
          <w:rFonts w:hint="eastAsia" w:ascii="宋体" w:hAnsi="宋体" w:eastAsia="宋体" w:cs="宋体"/>
          <w:b/>
          <w:sz w:val="24"/>
          <w:szCs w:val="24"/>
        </w:rPr>
      </w:pPr>
      <w:r>
        <w:rPr>
          <w:rFonts w:hint="eastAsia" w:ascii="宋体" w:hAnsi="宋体" w:eastAsia="宋体" w:cs="宋体"/>
          <w:b/>
          <w:sz w:val="24"/>
          <w:szCs w:val="24"/>
        </w:rPr>
        <w:t>（二）具体程序：</w:t>
      </w:r>
    </w:p>
    <w:p>
      <w:pPr>
        <w:ind w:firstLine="480" w:firstLineChars="200"/>
        <w:rPr>
          <w:rFonts w:hint="eastAsia" w:ascii="宋体" w:hAnsi="宋体" w:eastAsia="宋体" w:cs="宋体"/>
          <w:color w:val="FF0000"/>
          <w:sz w:val="24"/>
          <w:szCs w:val="24"/>
        </w:rPr>
      </w:pPr>
      <w:r>
        <w:rPr>
          <w:rFonts w:hint="eastAsia" w:ascii="宋体" w:hAnsi="宋体" w:eastAsia="宋体" w:cs="宋体"/>
          <w:color w:val="FF0000"/>
          <w:sz w:val="24"/>
          <w:szCs w:val="24"/>
        </w:rPr>
        <w:t>1、投标供应商授权委托人需在现场演示签到截止时间前，提供法定代表人（负责人）授权委托书（加盖公章）、授权委托人身份证（港澳台居民可提供来往通行证；非中国国籍管辖范围人员，可提供公安部门认可的身份证明材料，下同）原件，</w:t>
      </w:r>
      <w:r>
        <w:rPr>
          <w:rFonts w:hint="eastAsia" w:ascii="宋体" w:hAnsi="宋体" w:eastAsia="宋体" w:cs="宋体"/>
          <w:b/>
          <w:color w:val="FF0000"/>
          <w:sz w:val="24"/>
          <w:szCs w:val="24"/>
          <w:highlight w:val="yellow"/>
        </w:rPr>
        <w:t>以及演示光盘</w:t>
      </w:r>
      <w:r>
        <w:rPr>
          <w:rFonts w:hint="eastAsia" w:ascii="宋体" w:hAnsi="宋体" w:eastAsia="宋体" w:cs="宋体"/>
          <w:color w:val="FF0000"/>
          <w:sz w:val="24"/>
          <w:szCs w:val="24"/>
        </w:rPr>
        <w:t>到指定签到地点按现场工作人员指引填写《现场演示签到表》。</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特别注意事项：（1）资料提供不齐全的，不予签到；（2）招标公告规定的截止时间后，不再受理签到；（3）未进行签到的人员，不能参与现场演示；</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2、签到截止时间后正式进行现场演示。现场演示正式开始前将进行身份核对；核对内容为现场演示人员提供的“法定代表人（负责人）授权委托书（加盖公章）、授权委托人身份证原件”。资料不齐全的人员，不得参与现场演示。</w:t>
      </w:r>
    </w:p>
    <w:p>
      <w:pPr>
        <w:ind w:firstLine="482" w:firstLineChars="200"/>
        <w:rPr>
          <w:rFonts w:hint="eastAsia" w:ascii="宋体" w:hAnsi="宋体" w:eastAsia="宋体" w:cs="宋体"/>
          <w:b/>
          <w:sz w:val="24"/>
          <w:szCs w:val="24"/>
        </w:rPr>
      </w:pPr>
      <w:r>
        <w:rPr>
          <w:rFonts w:hint="eastAsia" w:ascii="宋体" w:hAnsi="宋体" w:eastAsia="宋体" w:cs="宋体"/>
          <w:b/>
          <w:sz w:val="24"/>
          <w:szCs w:val="24"/>
        </w:rPr>
        <w:t>（三）其它现场</w:t>
      </w:r>
      <w:r>
        <w:rPr>
          <w:rFonts w:hint="eastAsia" w:ascii="宋体" w:hAnsi="宋体" w:eastAsia="宋体" w:cs="宋体"/>
          <w:b/>
          <w:sz w:val="24"/>
          <w:szCs w:val="24"/>
          <w:lang w:val="en-US" w:eastAsia="zh-CN"/>
        </w:rPr>
        <w:t>样品展示</w:t>
      </w:r>
      <w:r>
        <w:rPr>
          <w:rFonts w:hint="eastAsia" w:ascii="宋体" w:hAnsi="宋体" w:eastAsia="宋体" w:cs="宋体"/>
          <w:b/>
          <w:sz w:val="24"/>
          <w:szCs w:val="24"/>
        </w:rPr>
        <w:t>规则：</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A.参加本次现场演示的各投标（谈判）供应商，均认为本次现场演示的程序和环境能够满足现场演示基本条件，并对本现场演示方案要求内的各项规定不做事后异议，且能够严格遵守相关规定。</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B.现场演示在评审中进行。现场演示原则上按签到顺序依次进行（经评委同意，可以酌情进行调整）。一个供应商一次性现场演示完毕。一个供应商在进行现场演示时，其他供应商不得进入现场。现场演示期间，评委可视情况对讲解人员进行提问。</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C.投标人对本次现场演示条件的不确定性疑虑应在开始前做书面表达，若所有疑虑不能完全消除，并认为现场演示结果仍会产生误判，则可以退出现场演示。</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D.由于现场演示时间有限，投标人同意承担其现场演示结果不确定性的风险，即同意专家以方案讲解情况的判定结论。</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E.本次现场演示的结果，仅对本项目评审委员会（谈判小组）负责，无义务向其余各方出具方案讲解结果。</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F.风险及费用说明：各项费用由供应商自理、风险自负。</w:t>
      </w:r>
    </w:p>
    <w:p>
      <w:pPr>
        <w:ind w:firstLine="482" w:firstLineChars="200"/>
        <w:rPr>
          <w:rFonts w:hint="eastAsia" w:ascii="宋体" w:hAnsi="宋体" w:eastAsia="宋体" w:cs="宋体"/>
          <w:b/>
          <w:sz w:val="24"/>
          <w:szCs w:val="24"/>
        </w:rPr>
      </w:pPr>
      <w:r>
        <w:rPr>
          <w:rFonts w:hint="eastAsia" w:ascii="宋体" w:hAnsi="宋体" w:eastAsia="宋体" w:cs="宋体"/>
          <w:b/>
          <w:sz w:val="24"/>
          <w:szCs w:val="24"/>
        </w:rPr>
        <w:t>（四）现场</w:t>
      </w:r>
      <w:r>
        <w:rPr>
          <w:rFonts w:hint="eastAsia" w:ascii="宋体" w:hAnsi="宋体" w:eastAsia="宋体" w:cs="宋体"/>
          <w:b/>
          <w:sz w:val="24"/>
          <w:szCs w:val="24"/>
          <w:lang w:val="en-US" w:eastAsia="zh-CN"/>
        </w:rPr>
        <w:t>样品展示</w:t>
      </w:r>
      <w:r>
        <w:rPr>
          <w:rFonts w:hint="eastAsia" w:ascii="宋体" w:hAnsi="宋体" w:eastAsia="宋体" w:cs="宋体"/>
          <w:b/>
          <w:sz w:val="24"/>
          <w:szCs w:val="24"/>
        </w:rPr>
        <w:t>内容及要求表</w:t>
      </w:r>
      <w:r>
        <w:rPr>
          <w:rFonts w:hint="eastAsia" w:ascii="宋体" w:hAnsi="宋体" w:eastAsia="宋体" w:cs="宋体"/>
          <w:b/>
          <w:sz w:val="24"/>
          <w:szCs w:val="24"/>
          <w:lang w:eastAsia="zh-CN"/>
        </w:rPr>
        <w:t>（</w:t>
      </w:r>
      <w:r>
        <w:rPr>
          <w:rFonts w:hint="eastAsia" w:ascii="宋体" w:hAnsi="宋体" w:eastAsia="宋体" w:cs="宋体"/>
          <w:b/>
          <w:bCs/>
          <w:i w:val="0"/>
          <w:iCs w:val="0"/>
          <w:color w:val="FF0000"/>
          <w:sz w:val="24"/>
          <w:szCs w:val="24"/>
          <w:u w:val="none"/>
          <w:lang w:val="en-US" w:eastAsia="zh-CN"/>
        </w:rPr>
        <w:t>产品原型演示</w:t>
      </w:r>
      <w:r>
        <w:rPr>
          <w:rFonts w:hint="eastAsia" w:ascii="宋体" w:hAnsi="宋体" w:eastAsia="宋体" w:cs="宋体"/>
          <w:b/>
          <w:sz w:val="24"/>
          <w:szCs w:val="24"/>
          <w:lang w:eastAsia="zh-CN"/>
        </w:rPr>
        <w:t>）</w:t>
      </w:r>
      <w:r>
        <w:rPr>
          <w:rFonts w:hint="eastAsia" w:ascii="宋体" w:hAnsi="宋体" w:eastAsia="宋体" w:cs="宋体"/>
          <w:b/>
          <w:sz w:val="24"/>
          <w:szCs w:val="24"/>
        </w:rPr>
        <w:t>：</w:t>
      </w: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57"/>
        <w:gridCol w:w="857"/>
        <w:gridCol w:w="5933"/>
        <w:gridCol w:w="8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FF0000"/>
                <w:sz w:val="24"/>
                <w:szCs w:val="24"/>
                <w:u w:val="none"/>
                <w:lang w:val="en-US" w:eastAsia="zh-CN"/>
              </w:rPr>
            </w:pPr>
            <w:r>
              <w:rPr>
                <w:rFonts w:hint="eastAsia" w:ascii="宋体" w:hAnsi="宋体" w:eastAsia="宋体" w:cs="宋体"/>
                <w:b/>
                <w:bCs/>
                <w:i w:val="0"/>
                <w:iCs w:val="0"/>
                <w:color w:val="FF0000"/>
                <w:sz w:val="24"/>
                <w:szCs w:val="24"/>
                <w:u w:val="none"/>
                <w:lang w:val="en-US" w:eastAsia="zh-CN"/>
              </w:rPr>
              <w:t>产品原型演示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FF0000"/>
                <w:sz w:val="24"/>
                <w:szCs w:val="24"/>
                <w:u w:val="none"/>
              </w:rPr>
            </w:pPr>
            <w:r>
              <w:rPr>
                <w:rFonts w:hint="eastAsia" w:ascii="宋体" w:hAnsi="宋体" w:eastAsia="宋体" w:cs="宋体"/>
                <w:b/>
                <w:bCs/>
                <w:i w:val="0"/>
                <w:iCs w:val="0"/>
                <w:color w:val="FF0000"/>
                <w:kern w:val="0"/>
                <w:sz w:val="24"/>
                <w:szCs w:val="24"/>
                <w:u w:val="none"/>
                <w:lang w:val="en-US" w:eastAsia="zh-CN" w:bidi="ar"/>
              </w:rPr>
              <w:t>演示要求：投标人提供演示的产品需与该产品对应的检测报告中的产品图片一致，否则视为无效演示。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FF0000"/>
                <w:sz w:val="24"/>
                <w:szCs w:val="24"/>
                <w:u w:val="none"/>
              </w:rPr>
            </w:pPr>
            <w:r>
              <w:rPr>
                <w:rFonts w:hint="eastAsia" w:ascii="宋体" w:hAnsi="宋体" w:eastAsia="宋体" w:cs="宋体"/>
                <w:b/>
                <w:bCs/>
                <w:i w:val="0"/>
                <w:iCs w:val="0"/>
                <w:color w:val="FF0000"/>
                <w:kern w:val="0"/>
                <w:sz w:val="24"/>
                <w:szCs w:val="24"/>
                <w:u w:val="none"/>
                <w:lang w:val="en-US" w:eastAsia="zh-CN" w:bidi="ar"/>
              </w:rPr>
              <w:t>序号</w:t>
            </w:r>
          </w:p>
        </w:tc>
        <w:tc>
          <w:tcPr>
            <w:tcW w:w="5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FF0000"/>
                <w:sz w:val="24"/>
                <w:szCs w:val="24"/>
                <w:u w:val="none"/>
              </w:rPr>
            </w:pPr>
            <w:r>
              <w:rPr>
                <w:rFonts w:hint="eastAsia" w:ascii="宋体" w:hAnsi="宋体" w:eastAsia="宋体" w:cs="宋体"/>
                <w:b/>
                <w:bCs/>
                <w:i w:val="0"/>
                <w:iCs w:val="0"/>
                <w:color w:val="FF0000"/>
                <w:kern w:val="0"/>
                <w:sz w:val="24"/>
                <w:szCs w:val="24"/>
                <w:u w:val="none"/>
                <w:lang w:val="en-US" w:eastAsia="zh-CN" w:bidi="ar"/>
              </w:rPr>
              <w:t>演示产品</w:t>
            </w:r>
          </w:p>
        </w:tc>
        <w:tc>
          <w:tcPr>
            <w:tcW w:w="348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FF0000"/>
                <w:sz w:val="24"/>
                <w:szCs w:val="24"/>
                <w:u w:val="none"/>
              </w:rPr>
            </w:pPr>
            <w:r>
              <w:rPr>
                <w:rFonts w:hint="eastAsia" w:ascii="宋体" w:hAnsi="宋体" w:eastAsia="宋体" w:cs="宋体"/>
                <w:b/>
                <w:bCs/>
                <w:i w:val="0"/>
                <w:iCs w:val="0"/>
                <w:color w:val="FF0000"/>
                <w:kern w:val="0"/>
                <w:sz w:val="24"/>
                <w:szCs w:val="24"/>
                <w:u w:val="none"/>
                <w:lang w:val="en-US" w:eastAsia="zh-CN" w:bidi="ar"/>
              </w:rPr>
              <w:t>演示内容</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FF0000"/>
                <w:sz w:val="24"/>
                <w:szCs w:val="24"/>
                <w:u w:val="none"/>
              </w:rPr>
            </w:pPr>
            <w:r>
              <w:rPr>
                <w:rFonts w:hint="eastAsia" w:ascii="宋体" w:hAnsi="宋体" w:eastAsia="宋体" w:cs="宋体"/>
                <w:b/>
                <w:bCs/>
                <w:i w:val="0"/>
                <w:iCs w:val="0"/>
                <w:color w:val="FF0000"/>
                <w:kern w:val="0"/>
                <w:sz w:val="24"/>
                <w:szCs w:val="24"/>
                <w:u w:val="none"/>
                <w:lang w:val="en-US" w:eastAsia="zh-CN" w:bidi="ar"/>
              </w:rPr>
              <w:t>对应技术参数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5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第一项</w:t>
            </w:r>
          </w:p>
        </w:tc>
        <w:tc>
          <w:tcPr>
            <w:tcW w:w="50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实验信息采集终端</w:t>
            </w:r>
          </w:p>
        </w:tc>
        <w:tc>
          <w:tcPr>
            <w:tcW w:w="348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FF0000"/>
                <w:kern w:val="0"/>
                <w:sz w:val="20"/>
                <w:szCs w:val="20"/>
                <w:u w:val="none"/>
                <w:lang w:val="en-US" w:eastAsia="zh-CN" w:bidi="ar"/>
              </w:rPr>
            </w:pPr>
            <w:r>
              <w:rPr>
                <w:rFonts w:hint="eastAsia" w:ascii="宋体" w:hAnsi="宋体" w:eastAsia="宋体" w:cs="宋体"/>
                <w:i w:val="0"/>
                <w:iCs w:val="0"/>
                <w:color w:val="FF0000"/>
                <w:kern w:val="0"/>
                <w:sz w:val="20"/>
                <w:szCs w:val="20"/>
                <w:u w:val="none"/>
                <w:lang w:val="en-US" w:eastAsia="zh-CN" w:bidi="ar"/>
              </w:rPr>
              <w:t>第1步:核验“实验信息采集终端”无外露线材，且具有三路视频采集摄像机(不含触控平板上的摄像机)，分别为俯视角、正视角、侧视角。第2步:可以在触控平板屏幕中同时显示出上述3个视角的直播画面。其中的侧视角可以实现左侧拍，也可以实现右侧拍。</w:t>
            </w:r>
          </w:p>
          <w:p>
            <w:pPr>
              <w:keepNext w:val="0"/>
              <w:keepLines w:val="0"/>
              <w:widowControl/>
              <w:suppressLineNumbers w:val="0"/>
              <w:jc w:val="left"/>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第3步:演示整机收纳效果，整机完全收纳后，“实验信息采集终端”整机的最高点(既设备距离桌面垂直距离最远的点)与桌面垂直距离不超过23cm。</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“实验信息采集终端”第1.6项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第二项</w:t>
            </w:r>
          </w:p>
        </w:tc>
        <w:tc>
          <w:tcPr>
            <w:tcW w:w="50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FF0000"/>
                <w:sz w:val="20"/>
                <w:szCs w:val="20"/>
                <w:u w:val="none"/>
              </w:rPr>
            </w:pPr>
          </w:p>
        </w:tc>
        <w:tc>
          <w:tcPr>
            <w:tcW w:w="348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FF0000"/>
                <w:kern w:val="0"/>
                <w:sz w:val="20"/>
                <w:szCs w:val="20"/>
                <w:u w:val="none"/>
                <w:lang w:val="en-US" w:eastAsia="zh-CN" w:bidi="ar"/>
              </w:rPr>
            </w:pPr>
            <w:r>
              <w:rPr>
                <w:rFonts w:hint="eastAsia" w:ascii="宋体" w:hAnsi="宋体" w:eastAsia="宋体" w:cs="宋体"/>
                <w:i w:val="0"/>
                <w:iCs w:val="0"/>
                <w:color w:val="FF0000"/>
                <w:kern w:val="0"/>
                <w:sz w:val="20"/>
                <w:szCs w:val="20"/>
                <w:u w:val="none"/>
                <w:lang w:val="en-US" w:eastAsia="zh-CN" w:bidi="ar"/>
              </w:rPr>
              <w:t>第1步：核验触控平板屏幕托架，具有可调节扣具，扣具支持螺丝锁紧。</w:t>
            </w:r>
          </w:p>
          <w:p>
            <w:pPr>
              <w:keepNext w:val="0"/>
              <w:keepLines w:val="0"/>
              <w:widowControl/>
              <w:suppressLineNumbers w:val="0"/>
              <w:jc w:val="left"/>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第2步：解锁并拿出触控平板，核验触控平板和托架上没有粘合胶，再将触控平板锁紧至托架上，锁紧后将整机拿起并完全翻转，平板不跌落。</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“实验信息采集终端”第1.7项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5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第三项</w:t>
            </w:r>
          </w:p>
        </w:tc>
        <w:tc>
          <w:tcPr>
            <w:tcW w:w="50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FF0000"/>
                <w:sz w:val="20"/>
                <w:szCs w:val="20"/>
                <w:u w:val="none"/>
              </w:rPr>
            </w:pPr>
          </w:p>
        </w:tc>
        <w:tc>
          <w:tcPr>
            <w:tcW w:w="348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FF0000"/>
                <w:kern w:val="0"/>
                <w:sz w:val="20"/>
                <w:szCs w:val="20"/>
                <w:u w:val="none"/>
                <w:lang w:val="en-US" w:eastAsia="zh-CN" w:bidi="ar"/>
              </w:rPr>
            </w:pPr>
            <w:r>
              <w:rPr>
                <w:rFonts w:hint="eastAsia" w:ascii="宋体" w:hAnsi="宋体" w:eastAsia="宋体" w:cs="宋体"/>
                <w:i w:val="0"/>
                <w:iCs w:val="0"/>
                <w:color w:val="FF0000"/>
                <w:kern w:val="0"/>
                <w:sz w:val="20"/>
                <w:szCs w:val="20"/>
                <w:u w:val="none"/>
                <w:lang w:val="en-US" w:eastAsia="zh-CN" w:bidi="ar"/>
              </w:rPr>
              <w:t>第1步:核验正视角摄像头和造型和结构，应为“不可自由伸缩和旋转”的结构;正视角摄像头不通过伸缩和旋转即可根据调整距离桌面的垂直高度。</w:t>
            </w:r>
          </w:p>
          <w:p>
            <w:pPr>
              <w:keepNext w:val="0"/>
              <w:keepLines w:val="0"/>
              <w:widowControl/>
              <w:suppressLineNumbers w:val="0"/>
              <w:jc w:val="left"/>
              <w:textAlignment w:val="center"/>
              <w:rPr>
                <w:rFonts w:hint="eastAsia" w:ascii="宋体" w:hAnsi="宋体" w:eastAsia="宋体" w:cs="宋体"/>
                <w:i w:val="0"/>
                <w:iCs w:val="0"/>
                <w:color w:val="FF0000"/>
                <w:kern w:val="0"/>
                <w:sz w:val="20"/>
                <w:szCs w:val="20"/>
                <w:u w:val="none"/>
                <w:lang w:val="en-US" w:eastAsia="zh-CN" w:bidi="ar"/>
              </w:rPr>
            </w:pPr>
            <w:r>
              <w:rPr>
                <w:rFonts w:hint="eastAsia" w:ascii="宋体" w:hAnsi="宋体" w:eastAsia="宋体" w:cs="宋体"/>
                <w:i w:val="0"/>
                <w:iCs w:val="0"/>
                <w:color w:val="FF0000"/>
                <w:kern w:val="0"/>
                <w:sz w:val="20"/>
                <w:szCs w:val="20"/>
                <w:u w:val="none"/>
                <w:lang w:val="en-US" w:eastAsia="zh-CN" w:bidi="ar"/>
              </w:rPr>
              <w:t>第2步:不用借助手扶或卡扣，可垂直升降并在任意位置息停。</w:t>
            </w:r>
          </w:p>
          <w:p>
            <w:pPr>
              <w:keepNext w:val="0"/>
              <w:keepLines w:val="0"/>
              <w:widowControl/>
              <w:suppressLineNumbers w:val="0"/>
              <w:jc w:val="left"/>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第3步:将摄像机降到最低处，再升到最高处，最低处和最高处相距20cm。且无论在最低处或者最高处，“实验信息采集终端”整机的最高点(既设备距离桌面垂直距离最远的点)与桌面距离均不变。</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“实验信息采集终端”第1.8项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0" w:hRule="atLeast"/>
        </w:trPr>
        <w:tc>
          <w:tcPr>
            <w:tcW w:w="5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第四项</w:t>
            </w:r>
          </w:p>
        </w:tc>
        <w:tc>
          <w:tcPr>
            <w:tcW w:w="5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AI教考练系统</w:t>
            </w:r>
          </w:p>
        </w:tc>
        <w:tc>
          <w:tcPr>
            <w:tcW w:w="348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FF0000"/>
                <w:kern w:val="0"/>
                <w:sz w:val="20"/>
                <w:szCs w:val="20"/>
                <w:u w:val="none"/>
                <w:lang w:val="en-US" w:eastAsia="zh-CN" w:bidi="ar"/>
              </w:rPr>
            </w:pPr>
            <w:r>
              <w:rPr>
                <w:rFonts w:hint="eastAsia" w:ascii="宋体" w:hAnsi="宋体" w:eastAsia="宋体" w:cs="宋体"/>
                <w:i w:val="0"/>
                <w:iCs w:val="0"/>
                <w:color w:val="FF0000"/>
                <w:kern w:val="0"/>
                <w:sz w:val="20"/>
                <w:szCs w:val="20"/>
                <w:u w:val="none"/>
                <w:lang w:val="en-US" w:eastAsia="zh-CN" w:bidi="ar"/>
              </w:rPr>
              <w:t>第1步：现场演示一个物理电学实验，投标人自备电流表、电压表、物理电源、开关、小灯泡、滑动变阻器各1套，系统可以识别出上述仪器。</w:t>
            </w:r>
          </w:p>
          <w:p>
            <w:pPr>
              <w:keepNext w:val="0"/>
              <w:keepLines w:val="0"/>
              <w:widowControl/>
              <w:suppressLineNumbers w:val="0"/>
              <w:jc w:val="left"/>
              <w:textAlignment w:val="center"/>
              <w:rPr>
                <w:rFonts w:hint="eastAsia" w:ascii="宋体" w:hAnsi="宋体" w:eastAsia="宋体" w:cs="宋体"/>
                <w:i w:val="0"/>
                <w:iCs w:val="0"/>
                <w:color w:val="FF0000"/>
                <w:kern w:val="0"/>
                <w:sz w:val="20"/>
                <w:szCs w:val="20"/>
                <w:u w:val="none"/>
                <w:lang w:val="en-US" w:eastAsia="zh-CN" w:bidi="ar"/>
              </w:rPr>
            </w:pPr>
            <w:r>
              <w:rPr>
                <w:rFonts w:hint="eastAsia" w:ascii="宋体" w:hAnsi="宋体" w:eastAsia="宋体" w:cs="宋体"/>
                <w:i w:val="0"/>
                <w:iCs w:val="0"/>
                <w:color w:val="FF0000"/>
                <w:kern w:val="0"/>
                <w:sz w:val="20"/>
                <w:szCs w:val="20"/>
                <w:u w:val="none"/>
                <w:lang w:val="en-US" w:eastAsia="zh-CN" w:bidi="ar"/>
              </w:rPr>
              <w:t>第2步：系统页面上具有一个实时直播画面和一个空白的AI画板，识别出仪器后系统能够自动在画板上将仪器以标准物理符号的方式重新绘制出来。</w:t>
            </w:r>
          </w:p>
          <w:p>
            <w:pPr>
              <w:keepNext w:val="0"/>
              <w:keepLines w:val="0"/>
              <w:widowControl/>
              <w:suppressLineNumbers w:val="0"/>
              <w:jc w:val="left"/>
              <w:textAlignment w:val="center"/>
              <w:rPr>
                <w:rFonts w:hint="eastAsia" w:ascii="宋体" w:hAnsi="宋体" w:eastAsia="宋体" w:cs="宋体"/>
                <w:i w:val="0"/>
                <w:iCs w:val="0"/>
                <w:color w:val="FF0000"/>
                <w:kern w:val="0"/>
                <w:sz w:val="20"/>
                <w:szCs w:val="20"/>
                <w:u w:val="none"/>
                <w:lang w:val="en-US" w:eastAsia="zh-CN" w:bidi="ar"/>
              </w:rPr>
            </w:pPr>
            <w:r>
              <w:rPr>
                <w:rFonts w:hint="eastAsia" w:ascii="宋体" w:hAnsi="宋体" w:eastAsia="宋体" w:cs="宋体"/>
                <w:i w:val="0"/>
                <w:iCs w:val="0"/>
                <w:color w:val="FF0000"/>
                <w:kern w:val="0"/>
                <w:sz w:val="20"/>
                <w:szCs w:val="20"/>
                <w:u w:val="none"/>
                <w:lang w:val="en-US" w:eastAsia="zh-CN" w:bidi="ar"/>
              </w:rPr>
              <w:t>第3步：用导线连接电流表和小灯泡，系统能够自动在AI画板上绘制一条线路将电流表和小灯泡连接起来。</w:t>
            </w:r>
          </w:p>
          <w:p>
            <w:pPr>
              <w:keepNext w:val="0"/>
              <w:keepLines w:val="0"/>
              <w:widowControl/>
              <w:suppressLineNumbers w:val="0"/>
              <w:jc w:val="left"/>
              <w:textAlignment w:val="center"/>
              <w:rPr>
                <w:rFonts w:hint="eastAsia" w:ascii="宋体" w:hAnsi="宋体" w:eastAsia="宋体" w:cs="宋体"/>
                <w:i w:val="0"/>
                <w:iCs w:val="0"/>
                <w:color w:val="FF0000"/>
                <w:kern w:val="0"/>
                <w:sz w:val="20"/>
                <w:szCs w:val="20"/>
                <w:u w:val="none"/>
                <w:lang w:val="en-US" w:eastAsia="zh-CN" w:bidi="ar"/>
              </w:rPr>
            </w:pPr>
            <w:r>
              <w:rPr>
                <w:rFonts w:hint="eastAsia" w:ascii="宋体" w:hAnsi="宋体" w:eastAsia="宋体" w:cs="宋体"/>
                <w:i w:val="0"/>
                <w:iCs w:val="0"/>
                <w:color w:val="FF0000"/>
                <w:kern w:val="0"/>
                <w:sz w:val="20"/>
                <w:szCs w:val="20"/>
                <w:u w:val="none"/>
                <w:lang w:val="en-US" w:eastAsia="zh-CN" w:bidi="ar"/>
              </w:rPr>
              <w:t>第4步：用导线将剩余的物理电源、开关、小灯泡、滑动变阻器也连接起来，系统能够自动在画板上将导线绘制出来，并体现出连接关系（演示人员在现场每接一根线，都需要向专家在AI画板中指出）。</w:t>
            </w:r>
          </w:p>
          <w:p>
            <w:pPr>
              <w:keepNext w:val="0"/>
              <w:keepLines w:val="0"/>
              <w:widowControl/>
              <w:suppressLineNumbers w:val="0"/>
              <w:jc w:val="left"/>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第5步：整理仪器，每收走一个仪器，该仪器所对应的标准物理符号便在AI画板中消失。</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“AI教考练系统”第8项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5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第五项</w:t>
            </w:r>
          </w:p>
        </w:tc>
        <w:tc>
          <w:tcPr>
            <w:tcW w:w="5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电子目镜</w:t>
            </w:r>
          </w:p>
        </w:tc>
        <w:tc>
          <w:tcPr>
            <w:tcW w:w="348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FF0000"/>
                <w:kern w:val="0"/>
                <w:sz w:val="20"/>
                <w:szCs w:val="20"/>
                <w:u w:val="none"/>
                <w:lang w:val="en-US" w:eastAsia="zh-CN" w:bidi="ar"/>
              </w:rPr>
            </w:pPr>
            <w:r>
              <w:rPr>
                <w:rFonts w:hint="eastAsia" w:ascii="宋体" w:hAnsi="宋体" w:eastAsia="宋体" w:cs="宋体"/>
                <w:i w:val="0"/>
                <w:iCs w:val="0"/>
                <w:color w:val="FF0000"/>
                <w:kern w:val="0"/>
                <w:sz w:val="20"/>
                <w:szCs w:val="20"/>
                <w:u w:val="none"/>
                <w:lang w:val="en-US" w:eastAsia="zh-CN" w:bidi="ar"/>
              </w:rPr>
              <w:t>第1步：现场通过正版potplayer软件，展示电子目镜输出的画面为≥3264*2448分辨率.</w:t>
            </w:r>
          </w:p>
          <w:p>
            <w:pPr>
              <w:keepNext w:val="0"/>
              <w:keepLines w:val="0"/>
              <w:widowControl/>
              <w:suppressLineNumbers w:val="0"/>
              <w:jc w:val="left"/>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第2步：投标人自备显微镜和人血涂片标本，用所投电子目镜观察人血涂片标本，调至人血细胞图像清晰后，展示电子目镜输出的画面为16:9的画幅，画面的边缘是黑色，画面的中间是圆形的可观测区域，可清晰的观测到区域中的人血细胞。</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“电子目镜”第3项</w:t>
            </w:r>
          </w:p>
        </w:tc>
      </w:tr>
    </w:tbl>
    <w:p>
      <w:pPr>
        <w:pStyle w:val="6"/>
        <w:rPr>
          <w:rFonts w:hint="eastAsia" w:ascii="宋体" w:hAnsi="宋体" w:eastAsia="宋体" w:cs="宋体"/>
          <w:b/>
          <w:sz w:val="24"/>
          <w:szCs w:val="24"/>
          <w:highlight w:val="none"/>
        </w:rPr>
      </w:pPr>
    </w:p>
    <w:p>
      <w:pPr>
        <w:pStyle w:val="6"/>
        <w:rPr>
          <w:rFonts w:hint="eastAsia" w:ascii="宋体" w:hAnsi="宋体" w:eastAsia="宋体" w:cs="宋体"/>
          <w:b/>
          <w:bCs/>
          <w:kern w:val="2"/>
          <w:sz w:val="24"/>
          <w:szCs w:val="24"/>
          <w:highlight w:val="none"/>
          <w:lang w:val="en-US" w:eastAsia="zh-CN" w:bidi="ar-SA"/>
        </w:rPr>
      </w:pPr>
      <w:r>
        <w:rPr>
          <w:rFonts w:hint="eastAsia" w:ascii="宋体" w:hAnsi="宋体" w:eastAsia="宋体" w:cs="宋体"/>
          <w:b/>
          <w:sz w:val="24"/>
          <w:szCs w:val="24"/>
          <w:highlight w:val="none"/>
        </w:rPr>
        <w:t>注意：</w:t>
      </w:r>
      <w:r>
        <w:rPr>
          <w:rFonts w:hint="eastAsia" w:ascii="宋体" w:hAnsi="宋体" w:eastAsia="宋体" w:cs="宋体"/>
          <w:sz w:val="24"/>
          <w:szCs w:val="24"/>
          <w:highlight w:val="none"/>
          <w:u w:val="single"/>
        </w:rPr>
        <w:t>各投标供应商须在签到时递交演示光盘，供应商进行演示的 ppt、视频或其他展示相关资料需刻录于光盘，光盘用包装标注“项目名称、项目编号、投标供应商名称”，光盘将进行项目归档，不予退还。</w:t>
      </w:r>
    </w:p>
    <w:p>
      <w:pPr>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eastAsia" w:ascii="宋体" w:hAnsi="宋体"/>
          <w:b/>
          <w:bCs/>
          <w:sz w:val="24"/>
          <w:szCs w:val="24"/>
        </w:rPr>
      </w:pP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b/>
          <w:bCs/>
          <w:sz w:val="28"/>
          <w:szCs w:val="28"/>
        </w:rPr>
      </w:pPr>
      <w:r>
        <w:rPr>
          <w:rFonts w:hint="eastAsia" w:ascii="宋体" w:hAnsi="宋体"/>
          <w:b/>
          <w:bCs/>
          <w:sz w:val="28"/>
          <w:szCs w:val="28"/>
        </w:rPr>
        <w:br w:type="page"/>
      </w:r>
    </w:p>
    <w:p>
      <w:pPr>
        <w:spacing w:before="260" w:after="260"/>
        <w:jc w:val="center"/>
        <w:outlineLvl w:val="1"/>
        <w:rPr>
          <w:rFonts w:ascii="宋体" w:hAnsi="宋体"/>
          <w:b/>
          <w:bCs/>
          <w:sz w:val="28"/>
          <w:szCs w:val="28"/>
        </w:rPr>
      </w:pPr>
      <w:r>
        <w:rPr>
          <w:rFonts w:hint="eastAsia" w:ascii="宋体" w:hAnsi="宋体"/>
          <w:b/>
          <w:bCs/>
          <w:sz w:val="28"/>
          <w:szCs w:val="28"/>
        </w:rPr>
        <w:t>第</w:t>
      </w:r>
      <w:r>
        <w:rPr>
          <w:rFonts w:hint="eastAsia" w:ascii="宋体" w:hAnsi="宋体" w:eastAsia="宋体"/>
          <w:b/>
          <w:bCs/>
          <w:sz w:val="28"/>
          <w:szCs w:val="28"/>
          <w:lang w:val="en-US" w:eastAsia="zh-CN"/>
        </w:rPr>
        <w:t>四</w:t>
      </w:r>
      <w:r>
        <w:rPr>
          <w:rFonts w:hint="eastAsia" w:ascii="宋体" w:hAnsi="宋体"/>
          <w:b/>
          <w:bCs/>
          <w:sz w:val="28"/>
          <w:szCs w:val="28"/>
        </w:rPr>
        <w:t>章  投标文件格式、附件</w:t>
      </w:r>
    </w:p>
    <w:p>
      <w:pPr>
        <w:rPr>
          <w:rFonts w:ascii="宋体" w:hAnsi="宋体" w:eastAsia="宋体" w:cs="宋体"/>
          <w:b/>
          <w:bCs/>
          <w:color w:val="000000" w:themeColor="text1"/>
          <w:sz w:val="28"/>
          <w14:textFill>
            <w14:solidFill>
              <w14:schemeClr w14:val="tx1"/>
            </w14:solidFill>
          </w14:textFill>
        </w:rPr>
      </w:pPr>
      <w:r>
        <w:rPr>
          <w:rFonts w:hint="eastAsia" w:ascii="宋体" w:hAnsi="宋体" w:eastAsia="宋体" w:cs="宋体"/>
          <w:b/>
          <w:bCs/>
          <w:color w:val="000000" w:themeColor="text1"/>
          <w:sz w:val="28"/>
          <w14:textFill>
            <w14:solidFill>
              <w14:schemeClr w14:val="tx1"/>
            </w14:solidFill>
          </w14:textFill>
        </w:rPr>
        <w:t>特别提醒：</w:t>
      </w:r>
    </w:p>
    <w:p>
      <w:pPr>
        <w:ind w:firstLine="472" w:firstLineChars="196"/>
        <w:rPr>
          <w:rFonts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根据《中华人民共和国政府采购法》及《深圳经济特区政府采购条例》有关规定，为增强各投标人诚信守法、公平竞争意识，规范各投标人投标行为，有效遏制投标人在政府采购活动中的串标围标、造假等不诚信行为，促进我区政府采购市场诚信体系建设，确保我区政府采购工作公开、公平和公正，招标机构将依法依规对如下投标信息予以公示，望各投标人给予配合，履行好自身的权益和义务。</w:t>
      </w:r>
    </w:p>
    <w:p>
      <w:pPr>
        <w:ind w:firstLine="470" w:firstLineChars="196"/>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公示的内容：如投标函、政府采购投标及履约承诺函、分项报价清单、偏离表、中小企业声明函、招标文件要求的其它内容或投标人认为需要补充的商务和技术资料等（具体以资格性审查表、符合性审查表、评标信息及“投标文件正文”中涉及的内容为准）。</w:t>
      </w:r>
    </w:p>
    <w:p>
      <w:pPr>
        <w:ind w:firstLine="470" w:firstLineChars="196"/>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公示时间：公示时间为中标结果公布环节。当发布中标结果时，同时向社会公布参加该政府采购项目的投标人（包括中标和未中标投标人）的投标文件。对公开招标失败项目的投标文件不予公开；对未使用最新加密规则或携带病毒等原因导致投标无效的投标文件不予公开。</w:t>
      </w:r>
    </w:p>
    <w:p>
      <w:pPr>
        <w:ind w:firstLine="470" w:firstLineChars="196"/>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投标文件正文将对外公开，投标文件附件不公开。投标人在使用投标书编制软件编制投标文件时，信息公开部分必须编制于“投标书目录”，非信息公开部分编制于“投标书附件”，如下图所示：</w:t>
      </w:r>
    </w:p>
    <w:p>
      <w:pPr>
        <w:jc w:val="center"/>
        <w:rPr>
          <w:rFonts w:ascii="宋体" w:hAnsi="宋体" w:eastAsia="宋体" w:cs="宋体"/>
          <w:b/>
          <w:bCs/>
          <w:color w:val="000000" w:themeColor="text1"/>
          <w:sz w:val="28"/>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drawing>
          <wp:inline distT="0" distB="0" distL="0" distR="0">
            <wp:extent cx="5278755" cy="4126230"/>
            <wp:effectExtent l="0" t="0" r="17145" b="7620"/>
            <wp:docPr id="1" name="_x0000_i1025"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x0000_i1025" descr="图形用户界面, 应用程序&#10;&#10;描述已自动生成"/>
                    <pic:cNvPicPr>
                      <a:picLocks noChangeAspect="1"/>
                    </pic:cNvPicPr>
                  </pic:nvPicPr>
                  <pic:blipFill>
                    <a:blip r:embed="rId5"/>
                    <a:stretch>
                      <a:fillRect/>
                    </a:stretch>
                  </pic:blipFill>
                  <pic:spPr>
                    <a:xfrm>
                      <a:off x="0" y="0"/>
                      <a:ext cx="5278755" cy="4126230"/>
                    </a:xfrm>
                    <a:prstGeom prst="rect">
                      <a:avLst/>
                    </a:prstGeom>
                    <a:noFill/>
                    <a:ln>
                      <a:noFill/>
                    </a:ln>
                  </pic:spPr>
                </pic:pic>
              </a:graphicData>
            </a:graphic>
          </wp:inline>
        </w:drawing>
      </w:r>
    </w:p>
    <w:p>
      <w:pPr>
        <w:tabs>
          <w:tab w:val="left" w:pos="1470"/>
        </w:tabs>
        <w:snapToGrid w:val="0"/>
        <w:ind w:firstLine="480" w:firstLineChars="20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文件信息公开部分以本项目招标文件《投标书目录》内容为准。投标文件信息不公开部分主要包括：法定代表人证明书（附身份证有效期内的正反面扫描件）、法定代表人授权书（附身份证有效期内的正反面扫描件）。</w:t>
      </w:r>
    </w:p>
    <w:p>
      <w:pPr>
        <w:tabs>
          <w:tab w:val="left" w:pos="1470"/>
        </w:tabs>
        <w:snapToGrid w:val="0"/>
        <w:ind w:firstLine="480" w:firstLineChars="200"/>
        <w:rPr>
          <w:rFonts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招标机构公布投标文件正文（信息公开部分）时为计算机截取信息公布，如投标人未按招标文件要求将需要公示的内容编制于“投标书目录”内，将作投标无效处理；如投标人将非信息公开部分内容编制于“投标书目录”内，不会作无效投标处理，但一切后果由投标人自行承担。</w:t>
      </w:r>
    </w:p>
    <w:p>
      <w:pPr>
        <w:tabs>
          <w:tab w:val="left" w:pos="1470"/>
        </w:tabs>
        <w:snapToGrid w:val="0"/>
        <w:ind w:firstLine="482" w:firstLineChars="200"/>
        <w:rPr>
          <w:rFonts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投标人对公示信息的质疑，按现规定和做法执行。望各投标人珍惜本次投标机会，诚实、守信、依法、依规投标。</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投标文件正文（信息公开部分）</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1.投标人资格证明材料（格式自拟）</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2.投标函（详见格式附件）</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3.政府采购投标及履约承诺函（详见格式附件）</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4.分项报价清单（详见格式附件）</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5.中小企业声明函及残疾人福利性单位声明函（或省级以上监狱管理局、戒毒管理局（含新疆生产建设兵团）出具的属于监狱企业的证明文件）（</w:t>
      </w:r>
      <w:r>
        <w:rPr>
          <w:rFonts w:hint="eastAsia" w:ascii="宋体" w:hAnsi="宋体" w:eastAsia="宋体" w:cs="宋体"/>
          <w:color w:val="000000" w:themeColor="text1"/>
          <w:szCs w:val="21"/>
          <w:lang w:val="en-US" w:eastAsia="zh-CN"/>
          <w14:textFill>
            <w14:solidFill>
              <w14:schemeClr w14:val="tx1"/>
            </w14:solidFill>
          </w14:textFill>
        </w:rPr>
        <w:t>可</w:t>
      </w:r>
      <w:r>
        <w:rPr>
          <w:rFonts w:hint="eastAsia" w:ascii="宋体" w:hAnsi="宋体" w:eastAsia="宋体" w:cs="宋体"/>
          <w:color w:val="000000" w:themeColor="text1"/>
          <w:szCs w:val="21"/>
          <w14:textFill>
            <w14:solidFill>
              <w14:schemeClr w14:val="tx1"/>
            </w14:solidFill>
          </w14:textFill>
        </w:rPr>
        <w:t>选）（详见格式附件）</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6</w:t>
      </w:r>
      <w:r>
        <w:rPr>
          <w:rFonts w:hint="eastAsia" w:ascii="宋体" w:hAnsi="宋体" w:eastAsia="宋体" w:cs="宋体"/>
          <w:color w:val="000000" w:themeColor="text1"/>
          <w:szCs w:val="21"/>
          <w14:textFill>
            <w14:solidFill>
              <w14:schemeClr w14:val="tx1"/>
            </w14:solidFill>
          </w14:textFill>
        </w:rPr>
        <w:t>.产品证书（格式自拟）</w:t>
      </w:r>
    </w:p>
    <w:p>
      <w:pPr>
        <w:numPr>
          <w:ilvl w:val="255"/>
          <w:numId w:val="0"/>
        </w:numPr>
        <w:ind w:left="360"/>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7.</w:t>
      </w:r>
      <w:r>
        <w:rPr>
          <w:rFonts w:hint="eastAsia" w:ascii="宋体" w:hAnsi="宋体" w:eastAsia="宋体" w:cs="宋体"/>
          <w:color w:val="000000" w:themeColor="text1"/>
          <w:szCs w:val="21"/>
          <w14:textFill>
            <w14:solidFill>
              <w14:schemeClr w14:val="tx1"/>
            </w14:solidFill>
          </w14:textFill>
        </w:rPr>
        <w:t>投标人荣誉情况（格式自拟）</w:t>
      </w:r>
    </w:p>
    <w:p>
      <w:pPr>
        <w:numPr>
          <w:ilvl w:val="255"/>
          <w:numId w:val="0"/>
        </w:numPr>
        <w:ind w:left="360"/>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8.投标人自主知识产权产品（创新、设计）情况</w:t>
      </w:r>
      <w:r>
        <w:rPr>
          <w:rFonts w:hint="eastAsia" w:ascii="宋体" w:hAnsi="宋体" w:eastAsia="宋体" w:cs="宋体"/>
          <w:color w:val="000000" w:themeColor="text1"/>
          <w:szCs w:val="21"/>
          <w14:textFill>
            <w14:solidFill>
              <w14:schemeClr w14:val="tx1"/>
            </w14:solidFill>
          </w14:textFill>
        </w:rPr>
        <w:t>（格式自拟）</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9</w:t>
      </w:r>
      <w:r>
        <w:rPr>
          <w:rFonts w:hint="eastAsia" w:ascii="宋体" w:hAnsi="宋体" w:eastAsia="宋体" w:cs="宋体"/>
          <w:color w:val="000000" w:themeColor="text1"/>
          <w:szCs w:val="21"/>
          <w14:textFill>
            <w14:solidFill>
              <w14:schemeClr w14:val="tx1"/>
            </w14:solidFill>
          </w14:textFill>
        </w:rPr>
        <w:t>.政府采购违法行为风险知悉确认书（详见格式附件）</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投标文件附件（信息不公开部分）</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1.法定代表人证明书（详见格式附件）</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2.投标文件签署授权委托书（详见格式附件）</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3.投标人情况介绍（详见格式附件）</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4.实质性条款响应情况表（详见格式附件）</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5.技术规格偏离情况（格式自拟）</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6.</w:t>
      </w:r>
      <w:r>
        <w:rPr>
          <w:rFonts w:hint="eastAsia" w:ascii="宋体" w:hAnsi="宋体" w:eastAsia="宋体" w:cs="宋体"/>
          <w:color w:val="000000" w:themeColor="text1"/>
          <w:szCs w:val="21"/>
          <w:lang w:val="en-US" w:eastAsia="zh-CN"/>
          <w14:textFill>
            <w14:solidFill>
              <w14:schemeClr w14:val="tx1"/>
            </w14:solidFill>
          </w14:textFill>
        </w:rPr>
        <w:t>商务</w:t>
      </w:r>
      <w:r>
        <w:rPr>
          <w:rFonts w:hint="eastAsia" w:ascii="宋体" w:hAnsi="宋体" w:eastAsia="宋体" w:cs="宋体"/>
          <w:color w:val="000000" w:themeColor="text1"/>
          <w:szCs w:val="21"/>
          <w14:textFill>
            <w14:solidFill>
              <w14:schemeClr w14:val="tx1"/>
            </w14:solidFill>
          </w14:textFill>
        </w:rPr>
        <w:t>条款偏离情况（格式自拟）</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7.实施团队人员情况（格式自拟）</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8.质量及安全保障能力（格式自拟）</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9.现场演示</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10.</w:t>
      </w:r>
      <w:r>
        <w:rPr>
          <w:rFonts w:hint="eastAsia" w:ascii="宋体" w:hAnsi="宋体" w:eastAsia="宋体" w:cs="宋体"/>
          <w:color w:val="000000" w:themeColor="text1"/>
          <w:szCs w:val="21"/>
          <w:lang w:eastAsia="zh-CN"/>
          <w14:textFill>
            <w14:solidFill>
              <w14:schemeClr w14:val="tx1"/>
            </w14:solidFill>
          </w14:textFill>
        </w:rPr>
        <w:t>诚信情况</w:t>
      </w:r>
      <w:r>
        <w:rPr>
          <w:rFonts w:hint="eastAsia" w:ascii="宋体" w:hAnsi="宋体" w:eastAsia="宋体" w:cs="宋体"/>
          <w:color w:val="000000" w:themeColor="text1"/>
          <w:szCs w:val="21"/>
          <w14:textFill>
            <w14:solidFill>
              <w14:schemeClr w14:val="tx1"/>
            </w14:solidFill>
          </w14:textFill>
        </w:rPr>
        <w:t>（无需提供）</w:t>
      </w:r>
    </w:p>
    <w:p>
      <w:pPr>
        <w:numPr>
          <w:ilvl w:val="255"/>
          <w:numId w:val="0"/>
        </w:numPr>
        <w:ind w:left="36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w:t>
      </w:r>
      <w:r>
        <w:rPr>
          <w:rFonts w:hint="eastAsia" w:ascii="宋体" w:hAnsi="宋体" w:eastAsia="宋体" w:cs="宋体"/>
          <w:color w:val="000000" w:themeColor="text1"/>
          <w:szCs w:val="21"/>
          <w:lang w:val="en-US" w:eastAsia="zh-CN"/>
          <w14:textFill>
            <w14:solidFill>
              <w14:schemeClr w14:val="tx1"/>
            </w14:solidFill>
          </w14:textFill>
        </w:rPr>
        <w:t>1</w:t>
      </w:r>
      <w:r>
        <w:rPr>
          <w:rFonts w:hint="eastAsia" w:ascii="宋体" w:hAnsi="宋体" w:eastAsia="宋体" w:cs="宋体"/>
          <w:color w:val="000000" w:themeColor="text1"/>
          <w:szCs w:val="21"/>
          <w14:textFill>
            <w14:solidFill>
              <w14:schemeClr w14:val="tx1"/>
            </w14:solidFill>
          </w14:textFill>
        </w:rPr>
        <w:t>.招标代理服务费承诺书（详见格式附件）</w:t>
      </w:r>
    </w:p>
    <w:p>
      <w:pPr>
        <w:numPr>
          <w:ilvl w:val="255"/>
          <w:numId w:val="0"/>
        </w:numPr>
        <w:ind w:left="360"/>
        <w:rPr>
          <w:sz w:val="28"/>
          <w:szCs w:val="28"/>
        </w:rPr>
      </w:pPr>
      <w:r>
        <w:rPr>
          <w:rFonts w:hint="eastAsia" w:ascii="宋体" w:hAnsi="宋体" w:eastAsia="宋体" w:cs="宋体"/>
          <w:color w:val="000000" w:themeColor="text1"/>
          <w:szCs w:val="21"/>
          <w14:textFill>
            <w14:solidFill>
              <w14:schemeClr w14:val="tx1"/>
            </w14:solidFill>
          </w14:textFill>
        </w:rPr>
        <w:t>1</w:t>
      </w:r>
      <w:r>
        <w:rPr>
          <w:rFonts w:hint="eastAsia" w:ascii="宋体" w:hAnsi="宋体" w:eastAsia="宋体" w:cs="宋体"/>
          <w:color w:val="000000" w:themeColor="text1"/>
          <w:szCs w:val="21"/>
          <w:lang w:val="en-US" w:eastAsia="zh-CN"/>
          <w14:textFill>
            <w14:solidFill>
              <w14:schemeClr w14:val="tx1"/>
            </w14:solidFill>
          </w14:textFill>
        </w:rPr>
        <w:t>2</w:t>
      </w:r>
      <w:r>
        <w:rPr>
          <w:rFonts w:hint="eastAsia" w:ascii="宋体" w:hAnsi="宋体" w:eastAsia="宋体" w:cs="宋体"/>
          <w:color w:val="000000" w:themeColor="text1"/>
          <w:szCs w:val="21"/>
          <w14:textFill>
            <w14:solidFill>
              <w14:schemeClr w14:val="tx1"/>
            </w14:solidFill>
          </w14:textFill>
        </w:rPr>
        <w:t>.投标人认为需要加以说明的其他内容（格式自拟）</w:t>
      </w:r>
    </w:p>
    <w:p>
      <w:pPr>
        <w:rPr>
          <w:rFonts w:ascii="宋体" w:hAnsi="宋体"/>
        </w:rPr>
      </w:pPr>
    </w:p>
    <w:p>
      <w:pPr>
        <w:rPr>
          <w:rFonts w:ascii="宋体" w:hAnsi="宋体"/>
        </w:rPr>
      </w:pPr>
    </w:p>
    <w:p>
      <w:pPr>
        <w:outlineLvl w:val="1"/>
        <w:rPr>
          <w:rFonts w:ascii="宋体" w:hAnsi="宋体"/>
          <w:b/>
          <w:sz w:val="28"/>
          <w:szCs w:val="28"/>
        </w:rPr>
      </w:pPr>
      <w:r>
        <w:rPr>
          <w:rFonts w:hint="eastAsia" w:ascii="宋体" w:hAnsi="宋体"/>
          <w:b/>
          <w:sz w:val="28"/>
          <w:szCs w:val="28"/>
        </w:rPr>
        <w:br w:type="page"/>
      </w:r>
      <w:r>
        <w:rPr>
          <w:rFonts w:hint="eastAsia" w:ascii="宋体" w:hAnsi="宋体"/>
          <w:b/>
          <w:sz w:val="28"/>
          <w:szCs w:val="28"/>
        </w:rPr>
        <w:t>投标文件正文（信息公开部分）</w:t>
      </w:r>
    </w:p>
    <w:p>
      <w:pPr>
        <w:spacing w:before="260" w:after="260"/>
        <w:jc w:val="center"/>
        <w:outlineLvl w:val="2"/>
        <w:rPr>
          <w:rFonts w:ascii="宋体" w:hAnsi="宋体" w:cs="宋体"/>
          <w:b/>
          <w:sz w:val="28"/>
          <w:szCs w:val="28"/>
        </w:rPr>
      </w:pPr>
      <w:r>
        <w:rPr>
          <w:rFonts w:hint="eastAsia" w:ascii="宋体" w:hAnsi="宋体" w:cs="宋体"/>
          <w:b/>
          <w:sz w:val="28"/>
          <w:szCs w:val="28"/>
        </w:rPr>
        <w:t>一、投标人资格证明材料</w:t>
      </w:r>
    </w:p>
    <w:p>
      <w:pPr>
        <w:spacing w:after="120" w:afterLines="50"/>
        <w:ind w:firstLine="480" w:firstLineChars="200"/>
        <w:rPr>
          <w:szCs w:val="21"/>
        </w:rPr>
      </w:pPr>
      <w:r>
        <w:rPr>
          <w:rFonts w:hint="eastAsia"/>
          <w:szCs w:val="21"/>
        </w:rPr>
        <w:t>特别提示：投标人须按本招标文件第一章招标公告“申请人的资格要求”提供相关的资质证明扫描件（原件备查），未提供或提供不完整、不符合要求，投标文件将不能通过资格性审查。若投标人提供不清晰的扫描件，评标委员会有权将其投标文件作未通过资格性审查处理。</w:t>
      </w:r>
    </w:p>
    <w:p>
      <w:pPr>
        <w:spacing w:after="120" w:afterLines="50"/>
        <w:rPr>
          <w:rFonts w:hint="eastAsia" w:ascii="宋体" w:hAnsi="宋体" w:eastAsia="宋体" w:cs="宋体"/>
          <w:b/>
          <w:bCs/>
          <w:szCs w:val="21"/>
          <w:lang w:val="en-US" w:eastAsia="zh-CN"/>
        </w:rPr>
      </w:pPr>
      <w:r>
        <w:rPr>
          <w:rFonts w:hint="eastAsia" w:ascii="宋体" w:hAnsi="宋体" w:eastAsia="宋体" w:cs="宋体"/>
          <w:b/>
          <w:bCs/>
          <w:szCs w:val="21"/>
          <w:lang w:val="en-US" w:eastAsia="zh-CN"/>
        </w:rPr>
        <w:t>1.营业执照扫描件</w:t>
      </w:r>
    </w:p>
    <w:p>
      <w:pPr>
        <w:spacing w:after="120" w:afterLines="50"/>
        <w:rPr>
          <w:rFonts w:hint="eastAsia" w:ascii="宋体" w:hAnsi="宋体" w:eastAsia="宋体" w:cs="宋体"/>
          <w:b/>
          <w:bCs/>
          <w:szCs w:val="21"/>
          <w:lang w:val="en-US" w:eastAsia="zh-CN"/>
        </w:rPr>
      </w:pPr>
      <w:r>
        <w:rPr>
          <w:rFonts w:hint="eastAsia" w:ascii="宋体" w:hAnsi="宋体" w:eastAsia="宋体" w:cs="宋体"/>
          <w:b/>
          <w:bCs/>
          <w:szCs w:val="21"/>
          <w:lang w:val="en-US" w:eastAsia="zh-CN"/>
        </w:rPr>
        <w:t>2.其他资格要求证明文件</w:t>
      </w:r>
    </w:p>
    <w:p>
      <w:pPr>
        <w:rPr>
          <w:rFonts w:hint="eastAsia" w:ascii="宋体" w:hAnsi="宋体" w:cs="宋体"/>
          <w:b/>
          <w:sz w:val="28"/>
          <w:szCs w:val="28"/>
        </w:rPr>
      </w:pPr>
      <w:r>
        <w:rPr>
          <w:rFonts w:hint="eastAsia" w:ascii="宋体" w:hAnsi="宋体" w:cs="宋体"/>
          <w:b/>
          <w:sz w:val="28"/>
          <w:szCs w:val="28"/>
        </w:rPr>
        <w:br w:type="page"/>
      </w:r>
    </w:p>
    <w:p>
      <w:pPr>
        <w:spacing w:before="260" w:after="260"/>
        <w:jc w:val="center"/>
        <w:outlineLvl w:val="2"/>
        <w:rPr>
          <w:rFonts w:ascii="宋体" w:hAnsi="宋体" w:cs="宋体"/>
          <w:b/>
          <w:sz w:val="28"/>
          <w:szCs w:val="28"/>
        </w:rPr>
      </w:pPr>
      <w:r>
        <w:rPr>
          <w:rFonts w:hint="eastAsia" w:ascii="宋体" w:hAnsi="宋体" w:cs="宋体"/>
          <w:b/>
          <w:sz w:val="28"/>
          <w:szCs w:val="28"/>
        </w:rPr>
        <w:t>二、投标函</w:t>
      </w:r>
    </w:p>
    <w:p>
      <w:pPr>
        <w:spacing w:line="360" w:lineRule="auto"/>
        <w:rPr>
          <w:rFonts w:ascii="宋体" w:hAnsi="宋体"/>
          <w:szCs w:val="21"/>
        </w:rPr>
      </w:pPr>
      <w:r>
        <w:rPr>
          <w:rFonts w:hint="eastAsia" w:ascii="宋体" w:hAnsi="宋体"/>
          <w:szCs w:val="21"/>
        </w:rPr>
        <w:t>致：</w:t>
      </w:r>
      <w:r>
        <w:rPr>
          <w:rFonts w:hint="eastAsia" w:ascii="宋体" w:hAnsi="宋体"/>
          <w:szCs w:val="21"/>
          <w:u w:val="single"/>
        </w:rPr>
        <w:t xml:space="preserve">  深圳市合创建设工程顾问有限公司  </w:t>
      </w:r>
    </w:p>
    <w:p>
      <w:pPr>
        <w:spacing w:after="120" w:afterLines="50"/>
        <w:ind w:firstLine="480" w:firstLineChars="200"/>
        <w:rPr>
          <w:rFonts w:hint="eastAsia" w:ascii="宋体" w:hAnsi="宋体" w:eastAsia="宋体" w:cs="宋体"/>
          <w:szCs w:val="21"/>
        </w:rPr>
      </w:pPr>
      <w:r>
        <w:rPr>
          <w:rFonts w:hint="eastAsia" w:ascii="宋体" w:hAnsi="宋体" w:eastAsia="宋体" w:cs="宋体"/>
          <w:szCs w:val="21"/>
        </w:rPr>
        <w:t>1、根据已收到贵方的</w:t>
      </w:r>
      <w:r>
        <w:rPr>
          <w:rFonts w:hint="eastAsia" w:ascii="宋体" w:hAnsi="宋体" w:eastAsia="宋体" w:cs="宋体"/>
          <w:szCs w:val="21"/>
          <w:lang w:eastAsia="zh-CN"/>
        </w:rPr>
        <w:t>项目编号</w:t>
      </w:r>
      <w:r>
        <w:rPr>
          <w:rFonts w:hint="eastAsia" w:ascii="宋体" w:hAnsi="宋体" w:eastAsia="宋体" w:cs="宋体"/>
          <w:szCs w:val="21"/>
        </w:rPr>
        <w:t>为</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NSDL2024000050 </w:t>
      </w:r>
      <w:r>
        <w:rPr>
          <w:rFonts w:hint="eastAsia" w:ascii="宋体" w:hAnsi="宋体" w:eastAsia="宋体" w:cs="宋体"/>
          <w:szCs w:val="21"/>
          <w:u w:val="single"/>
        </w:rPr>
        <w:t xml:space="preserve"> </w:t>
      </w:r>
      <w:r>
        <w:rPr>
          <w:rFonts w:hint="eastAsia" w:ascii="宋体" w:hAnsi="宋体" w:eastAsia="宋体" w:cs="宋体"/>
          <w:szCs w:val="21"/>
        </w:rPr>
        <w:t>的</w:t>
      </w:r>
      <w:r>
        <w:rPr>
          <w:rFonts w:hint="eastAsia" w:ascii="宋体" w:hAnsi="宋体" w:eastAsia="宋体" w:cs="宋体"/>
          <w:szCs w:val="21"/>
          <w:u w:val="single"/>
          <w:lang w:eastAsia="zh-CN"/>
        </w:rPr>
        <w:t xml:space="preserve">白石洲学校南山区初中阶段理科实验教学与测评改革软硬件建设  </w:t>
      </w:r>
      <w:r>
        <w:rPr>
          <w:rFonts w:hint="eastAsia" w:ascii="宋体" w:hAnsi="宋体" w:eastAsia="宋体" w:cs="宋体"/>
          <w:szCs w:val="21"/>
          <w:u w:val="single"/>
        </w:rPr>
        <w:t xml:space="preserve"> </w:t>
      </w:r>
      <w:r>
        <w:rPr>
          <w:rFonts w:hint="eastAsia" w:ascii="宋体" w:hAnsi="宋体" w:eastAsia="宋体" w:cs="宋体"/>
          <w:szCs w:val="21"/>
        </w:rPr>
        <w:t>项目的招标文件，遵照《深圳经济特区政府采购条例》和《深圳网上政府采购管理暂行办法》等有关规定，我单位经研究上述招标文件的专用条款及通用条款后，我方愿以投标书编制软件中《开标一览表》中填写的投标报价并按招标文件要求承包上述项目并修补其任何缺陷。</w:t>
      </w:r>
    </w:p>
    <w:p>
      <w:pPr>
        <w:spacing w:after="120" w:afterLines="50"/>
        <w:ind w:firstLine="480" w:firstLineChars="200"/>
        <w:rPr>
          <w:rFonts w:hint="eastAsia" w:ascii="宋体" w:hAnsi="宋体" w:eastAsia="宋体" w:cs="宋体"/>
          <w:szCs w:val="21"/>
        </w:rPr>
      </w:pPr>
      <w:r>
        <w:rPr>
          <w:rFonts w:hint="eastAsia" w:ascii="宋体" w:hAnsi="宋体" w:eastAsia="宋体" w:cs="宋体"/>
          <w:szCs w:val="21"/>
        </w:rPr>
        <w:t>2、我方已认真核实了投标文件的全部资料，所有资料均为真实资料。我方对投标文件中全部投标资料的真实性负责，如被证实我方的投标文件中存在虚假资料的，则视为我方隐瞒真实情况、提供虚假资料，我方愿意接受主管部门作出的行政处罚。</w:t>
      </w:r>
    </w:p>
    <w:p>
      <w:pPr>
        <w:spacing w:after="120" w:afterLines="50"/>
        <w:ind w:firstLine="480" w:firstLineChars="200"/>
        <w:rPr>
          <w:rFonts w:hint="eastAsia" w:ascii="宋体" w:hAnsi="宋体" w:eastAsia="宋体" w:cs="宋体"/>
          <w:szCs w:val="21"/>
        </w:rPr>
      </w:pPr>
      <w:r>
        <w:rPr>
          <w:rFonts w:hint="eastAsia" w:ascii="宋体" w:hAnsi="宋体" w:eastAsia="宋体" w:cs="宋体"/>
          <w:szCs w:val="21"/>
        </w:rPr>
        <w:t>3、如果我方中标，我方将按照规定提交合同金额的</w:t>
      </w:r>
      <w:r>
        <w:rPr>
          <w:rFonts w:hint="eastAsia" w:ascii="宋体" w:hAnsi="宋体" w:eastAsia="宋体" w:cs="宋体"/>
          <w:szCs w:val="21"/>
          <w:u w:val="single"/>
        </w:rPr>
        <w:t xml:space="preserve">  /  </w:t>
      </w:r>
      <w:r>
        <w:rPr>
          <w:rFonts w:hint="eastAsia" w:ascii="宋体" w:hAnsi="宋体" w:eastAsia="宋体" w:cs="宋体"/>
          <w:szCs w:val="21"/>
        </w:rPr>
        <w:t>％作为履约担保。</w:t>
      </w:r>
    </w:p>
    <w:p>
      <w:pPr>
        <w:spacing w:after="120" w:afterLines="50"/>
        <w:ind w:firstLine="470" w:firstLineChars="196"/>
        <w:rPr>
          <w:rFonts w:hint="eastAsia" w:ascii="宋体" w:hAnsi="宋体" w:eastAsia="宋体" w:cs="宋体"/>
          <w:szCs w:val="21"/>
        </w:rPr>
      </w:pPr>
      <w:r>
        <w:rPr>
          <w:rFonts w:hint="eastAsia" w:ascii="宋体" w:hAnsi="宋体" w:eastAsia="宋体" w:cs="宋体"/>
          <w:szCs w:val="21"/>
        </w:rPr>
        <w:t>4、我方同意所递交的投标文件在“对通用条款的补充内容”中的投标有效期内有效，在此期间内我方的投标有可能中标，我方将受此约束。</w:t>
      </w:r>
    </w:p>
    <w:p>
      <w:pPr>
        <w:spacing w:after="120" w:afterLines="50"/>
        <w:ind w:firstLine="470" w:firstLineChars="196"/>
        <w:rPr>
          <w:rFonts w:hint="eastAsia" w:ascii="宋体" w:hAnsi="宋体" w:eastAsia="宋体" w:cs="宋体"/>
          <w:szCs w:val="21"/>
        </w:rPr>
      </w:pPr>
      <w:r>
        <w:rPr>
          <w:rFonts w:hint="eastAsia" w:ascii="宋体" w:hAnsi="宋体" w:eastAsia="宋体" w:cs="宋体"/>
          <w:szCs w:val="21"/>
        </w:rPr>
        <w:t>5、除非另外达成协议并生效，贵方的中标通知书和本投标文件将构成约束我们双方的合同。</w:t>
      </w:r>
    </w:p>
    <w:p>
      <w:pPr>
        <w:spacing w:after="120" w:afterLines="50"/>
        <w:ind w:firstLine="470" w:firstLineChars="196"/>
        <w:rPr>
          <w:rFonts w:hint="eastAsia" w:ascii="宋体" w:hAnsi="宋体" w:eastAsia="宋体" w:cs="宋体"/>
          <w:szCs w:val="21"/>
        </w:rPr>
      </w:pPr>
      <w:r>
        <w:rPr>
          <w:rFonts w:hint="eastAsia" w:ascii="宋体" w:hAnsi="宋体" w:eastAsia="宋体" w:cs="宋体"/>
          <w:szCs w:val="21"/>
        </w:rPr>
        <w:t>6、我方理解贵方将不受必须接受你们所收到的最低标价或其它任何投标文件的约束。</w:t>
      </w:r>
    </w:p>
    <w:p>
      <w:pPr>
        <w:ind w:left="617" w:leftChars="257"/>
        <w:rPr>
          <w:rFonts w:hint="eastAsia" w:ascii="宋体" w:hAnsi="宋体" w:eastAsia="宋体" w:cs="宋体"/>
          <w:szCs w:val="21"/>
          <w:u w:val="single"/>
        </w:rPr>
      </w:pPr>
      <w:r>
        <w:rPr>
          <w:rFonts w:hint="eastAsia" w:ascii="宋体" w:hAnsi="宋体" w:eastAsia="宋体" w:cs="宋体"/>
          <w:szCs w:val="21"/>
        </w:rPr>
        <w:t>投标人：</w:t>
      </w:r>
      <w:r>
        <w:rPr>
          <w:rFonts w:hint="eastAsia" w:ascii="宋体" w:hAnsi="宋体" w:eastAsia="宋体" w:cs="宋体"/>
          <w:szCs w:val="21"/>
          <w:u w:val="single"/>
        </w:rPr>
        <w:t xml:space="preserve">                   </w:t>
      </w:r>
      <w:r>
        <w:rPr>
          <w:rFonts w:hint="eastAsia" w:ascii="宋体" w:hAnsi="宋体" w:eastAsia="宋体" w:cs="宋体"/>
          <w:szCs w:val="21"/>
        </w:rPr>
        <w:t xml:space="preserve">    单位地址：</w:t>
      </w:r>
      <w:r>
        <w:rPr>
          <w:rFonts w:hint="eastAsia" w:ascii="宋体" w:hAnsi="宋体" w:eastAsia="宋体" w:cs="宋体"/>
          <w:szCs w:val="21"/>
          <w:u w:val="single"/>
        </w:rPr>
        <w:t xml:space="preserve">               </w:t>
      </w:r>
    </w:p>
    <w:p>
      <w:pPr>
        <w:ind w:left="617" w:leftChars="257"/>
        <w:rPr>
          <w:rFonts w:hint="eastAsia" w:ascii="宋体" w:hAnsi="宋体" w:eastAsia="宋体" w:cs="宋体"/>
          <w:szCs w:val="21"/>
          <w:u w:val="single"/>
        </w:rPr>
      </w:pPr>
      <w:r>
        <w:rPr>
          <w:rFonts w:hint="eastAsia" w:ascii="宋体" w:hAnsi="宋体" w:eastAsia="宋体" w:cs="宋体"/>
          <w:szCs w:val="21"/>
        </w:rPr>
        <w:t>法定代表人或其委托代理人：</w:t>
      </w:r>
      <w:r>
        <w:rPr>
          <w:rFonts w:hint="eastAsia" w:ascii="宋体" w:hAnsi="宋体" w:eastAsia="宋体" w:cs="宋体"/>
          <w:szCs w:val="21"/>
          <w:u w:val="single"/>
        </w:rPr>
        <w:t xml:space="preserve">                   </w:t>
      </w:r>
    </w:p>
    <w:p>
      <w:pPr>
        <w:ind w:left="617" w:leftChars="257"/>
        <w:rPr>
          <w:rFonts w:hint="eastAsia" w:ascii="宋体" w:hAnsi="宋体" w:eastAsia="宋体" w:cs="宋体"/>
          <w:szCs w:val="21"/>
        </w:rPr>
      </w:pPr>
      <w:r>
        <w:rPr>
          <w:rFonts w:hint="eastAsia" w:ascii="宋体" w:hAnsi="宋体" w:eastAsia="宋体" w:cs="宋体"/>
          <w:szCs w:val="21"/>
        </w:rPr>
        <w:t>邮政编码：</w:t>
      </w:r>
      <w:r>
        <w:rPr>
          <w:rFonts w:hint="eastAsia" w:ascii="宋体" w:hAnsi="宋体" w:eastAsia="宋体" w:cs="宋体"/>
          <w:szCs w:val="21"/>
          <w:u w:val="single"/>
        </w:rPr>
        <w:t xml:space="preserve">          </w:t>
      </w:r>
      <w:r>
        <w:rPr>
          <w:rFonts w:hint="eastAsia" w:ascii="宋体" w:hAnsi="宋体" w:eastAsia="宋体" w:cs="宋体"/>
          <w:szCs w:val="21"/>
        </w:rPr>
        <w:t xml:space="preserve">  </w:t>
      </w:r>
    </w:p>
    <w:p>
      <w:pPr>
        <w:ind w:left="617" w:leftChars="257"/>
        <w:rPr>
          <w:rFonts w:hint="eastAsia" w:ascii="宋体" w:hAnsi="宋体" w:eastAsia="宋体" w:cs="宋体"/>
          <w:szCs w:val="21"/>
          <w:u w:val="single"/>
        </w:rPr>
      </w:pPr>
      <w:r>
        <w:rPr>
          <w:rFonts w:hint="eastAsia" w:ascii="宋体" w:hAnsi="宋体" w:eastAsia="宋体" w:cs="宋体"/>
          <w:szCs w:val="21"/>
          <w:lang w:val="en-US" w:eastAsia="zh-CN"/>
        </w:rPr>
        <w:t>移动</w:t>
      </w:r>
      <w:r>
        <w:rPr>
          <w:rFonts w:hint="eastAsia" w:ascii="宋体" w:hAnsi="宋体" w:eastAsia="宋体" w:cs="宋体"/>
          <w:szCs w:val="21"/>
        </w:rPr>
        <w:t>电话：</w:t>
      </w:r>
      <w:r>
        <w:rPr>
          <w:rFonts w:hint="eastAsia" w:ascii="宋体" w:hAnsi="宋体" w:eastAsia="宋体" w:cs="宋体"/>
          <w:szCs w:val="21"/>
          <w:u w:val="single"/>
        </w:rPr>
        <w:t xml:space="preserve">          </w:t>
      </w:r>
    </w:p>
    <w:p>
      <w:pPr>
        <w:ind w:left="617" w:leftChars="257"/>
        <w:rPr>
          <w:rFonts w:hint="eastAsia" w:ascii="宋体" w:hAnsi="宋体" w:eastAsia="宋体" w:cs="宋体"/>
          <w:szCs w:val="21"/>
          <w:lang w:val="en-US" w:eastAsia="zh-CN"/>
        </w:rPr>
      </w:pPr>
      <w:r>
        <w:rPr>
          <w:rFonts w:hint="eastAsia" w:ascii="宋体" w:hAnsi="宋体" w:eastAsia="宋体" w:cs="宋体"/>
          <w:szCs w:val="21"/>
          <w:lang w:val="en-US" w:eastAsia="zh-CN"/>
        </w:rPr>
        <w:t>固定电话：</w:t>
      </w:r>
      <w:r>
        <w:rPr>
          <w:rFonts w:hint="eastAsia" w:ascii="宋体" w:hAnsi="宋体" w:eastAsia="宋体" w:cs="宋体"/>
          <w:szCs w:val="21"/>
          <w:u w:val="single"/>
        </w:rPr>
        <w:t xml:space="preserve">          </w:t>
      </w:r>
    </w:p>
    <w:p>
      <w:pPr>
        <w:ind w:left="617" w:leftChars="257"/>
        <w:rPr>
          <w:rFonts w:hint="eastAsia" w:ascii="宋体" w:hAnsi="宋体" w:eastAsia="宋体" w:cs="宋体"/>
          <w:szCs w:val="21"/>
        </w:rPr>
      </w:pPr>
      <w:r>
        <w:rPr>
          <w:rFonts w:hint="eastAsia" w:ascii="宋体" w:hAnsi="宋体" w:eastAsia="宋体" w:cs="宋体"/>
          <w:szCs w:val="21"/>
        </w:rPr>
        <w:t>传真：</w:t>
      </w:r>
      <w:r>
        <w:rPr>
          <w:rFonts w:hint="eastAsia" w:ascii="宋体" w:hAnsi="宋体" w:eastAsia="宋体" w:cs="宋体"/>
          <w:szCs w:val="21"/>
          <w:u w:val="single"/>
        </w:rPr>
        <w:t xml:space="preserve">            </w:t>
      </w:r>
      <w:r>
        <w:rPr>
          <w:rFonts w:hint="eastAsia" w:ascii="宋体" w:hAnsi="宋体" w:eastAsia="宋体" w:cs="宋体"/>
          <w:szCs w:val="21"/>
        </w:rPr>
        <w:t xml:space="preserve"> </w:t>
      </w:r>
    </w:p>
    <w:p>
      <w:pPr>
        <w:ind w:left="617" w:leftChars="257"/>
        <w:rPr>
          <w:rFonts w:hint="eastAsia" w:ascii="宋体" w:hAnsi="宋体" w:eastAsia="宋体" w:cs="宋体"/>
          <w:szCs w:val="21"/>
          <w:u w:val="single"/>
        </w:rPr>
      </w:pPr>
      <w:r>
        <w:rPr>
          <w:rFonts w:hint="eastAsia" w:ascii="宋体" w:hAnsi="宋体" w:eastAsia="宋体" w:cs="宋体"/>
          <w:szCs w:val="21"/>
        </w:rPr>
        <w:t>邮箱：</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pPr>
        <w:ind w:left="617" w:leftChars="257"/>
        <w:rPr>
          <w:rFonts w:hint="eastAsia" w:ascii="宋体" w:hAnsi="宋体" w:eastAsia="宋体" w:cs="宋体"/>
          <w:szCs w:val="21"/>
        </w:rPr>
      </w:pPr>
      <w:r>
        <w:rPr>
          <w:rFonts w:hint="eastAsia" w:ascii="宋体" w:hAnsi="宋体" w:eastAsia="宋体" w:cs="宋体"/>
          <w:szCs w:val="21"/>
        </w:rPr>
        <w:t>开户银行名称：</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rPr>
        <w:tab/>
      </w:r>
      <w:r>
        <w:rPr>
          <w:rFonts w:hint="eastAsia" w:ascii="宋体" w:hAnsi="宋体" w:eastAsia="宋体" w:cs="宋体"/>
          <w:szCs w:val="21"/>
        </w:rPr>
        <w:t>开户银行帐号：</w:t>
      </w:r>
      <w:r>
        <w:rPr>
          <w:rFonts w:hint="eastAsia" w:ascii="宋体" w:hAnsi="宋体" w:eastAsia="宋体" w:cs="宋体"/>
          <w:szCs w:val="21"/>
          <w:u w:val="single"/>
        </w:rPr>
        <w:tab/>
      </w:r>
      <w:r>
        <w:rPr>
          <w:rFonts w:hint="eastAsia" w:ascii="宋体" w:hAnsi="宋体" w:eastAsia="宋体" w:cs="宋体"/>
          <w:szCs w:val="21"/>
          <w:u w:val="single"/>
        </w:rPr>
        <w:tab/>
      </w:r>
    </w:p>
    <w:p>
      <w:pPr>
        <w:ind w:left="617" w:leftChars="257"/>
        <w:rPr>
          <w:rFonts w:hint="eastAsia" w:ascii="宋体" w:hAnsi="宋体" w:eastAsia="宋体" w:cs="宋体"/>
          <w:szCs w:val="21"/>
        </w:rPr>
      </w:pPr>
      <w:r>
        <w:rPr>
          <w:rFonts w:hint="eastAsia" w:ascii="宋体" w:hAnsi="宋体" w:eastAsia="宋体" w:cs="宋体"/>
          <w:szCs w:val="21"/>
        </w:rPr>
        <w:t>开户银行地址：</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rPr>
        <w:tab/>
      </w:r>
      <w:r>
        <w:rPr>
          <w:rFonts w:hint="eastAsia" w:ascii="宋体" w:hAnsi="宋体" w:eastAsia="宋体" w:cs="宋体"/>
          <w:szCs w:val="21"/>
        </w:rPr>
        <w:t>开户银行电话：</w:t>
      </w:r>
      <w:r>
        <w:rPr>
          <w:rFonts w:hint="eastAsia" w:ascii="宋体" w:hAnsi="宋体" w:eastAsia="宋体" w:cs="宋体"/>
          <w:szCs w:val="21"/>
          <w:u w:val="single"/>
        </w:rPr>
        <w:tab/>
      </w:r>
      <w:r>
        <w:rPr>
          <w:rFonts w:hint="eastAsia" w:ascii="宋体" w:hAnsi="宋体" w:eastAsia="宋体" w:cs="宋体"/>
          <w:szCs w:val="21"/>
          <w:u w:val="single"/>
        </w:rPr>
        <w:tab/>
      </w:r>
    </w:p>
    <w:p>
      <w:pPr>
        <w:ind w:firstLine="616" w:firstLineChars="257"/>
        <w:rPr>
          <w:rFonts w:hint="eastAsia" w:ascii="宋体" w:hAnsi="宋体" w:eastAsia="宋体" w:cs="宋体"/>
        </w:rPr>
      </w:pPr>
      <w:r>
        <w:rPr>
          <w:rFonts w:hint="eastAsia" w:ascii="宋体" w:hAnsi="宋体" w:eastAsia="宋体" w:cs="宋体"/>
          <w:szCs w:val="21"/>
        </w:rPr>
        <w:t>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r>
        <w:rPr>
          <w:rFonts w:hint="eastAsia" w:ascii="宋体" w:hAnsi="宋体" w:eastAsia="宋体" w:cs="宋体"/>
        </w:rPr>
        <w:t xml:space="preserve">                                </w:t>
      </w:r>
    </w:p>
    <w:p>
      <w:pPr>
        <w:rPr>
          <w:rFonts w:ascii="黑体" w:hAnsi="宋体" w:eastAsia="黑体"/>
        </w:rPr>
      </w:pPr>
    </w:p>
    <w:p>
      <w:pPr>
        <w:rPr>
          <w:rFonts w:ascii="黑体" w:hAnsi="宋体" w:eastAsia="黑体"/>
        </w:rPr>
      </w:pPr>
    </w:p>
    <w:p>
      <w:pPr>
        <w:rPr>
          <w:rFonts w:ascii="黑体" w:hAnsi="宋体" w:eastAsia="黑体"/>
        </w:rPr>
      </w:pPr>
    </w:p>
    <w:p>
      <w:pPr>
        <w:rPr>
          <w:rFonts w:ascii="黑体" w:hAnsi="宋体" w:eastAsia="黑体"/>
        </w:rPr>
      </w:pPr>
    </w:p>
    <w:p>
      <w:pPr>
        <w:rPr>
          <w:rFonts w:ascii="黑体" w:hAnsi="宋体" w:eastAsia="黑体"/>
        </w:rPr>
      </w:pPr>
    </w:p>
    <w:p>
      <w:pPr>
        <w:rPr>
          <w:rFonts w:ascii="黑体" w:hAnsi="宋体" w:eastAsia="黑体"/>
        </w:rPr>
      </w:pPr>
    </w:p>
    <w:p>
      <w:pPr>
        <w:rPr>
          <w:rFonts w:ascii="宋体" w:hAnsi="宋体" w:cs="宋体"/>
          <w:b/>
          <w:sz w:val="28"/>
          <w:szCs w:val="28"/>
        </w:rPr>
      </w:pPr>
      <w:r>
        <w:rPr>
          <w:rFonts w:hint="eastAsia" w:ascii="宋体" w:hAnsi="宋体" w:cs="宋体"/>
          <w:b/>
          <w:sz w:val="28"/>
          <w:szCs w:val="28"/>
        </w:rPr>
        <w:br w:type="page"/>
      </w:r>
    </w:p>
    <w:p>
      <w:pPr>
        <w:spacing w:before="260" w:after="260"/>
        <w:jc w:val="center"/>
        <w:outlineLvl w:val="2"/>
        <w:rPr>
          <w:rFonts w:ascii="宋体" w:hAnsi="宋体" w:cs="宋体"/>
          <w:b/>
          <w:sz w:val="28"/>
          <w:szCs w:val="28"/>
        </w:rPr>
      </w:pPr>
      <w:r>
        <w:rPr>
          <w:rFonts w:hint="eastAsia" w:ascii="宋体" w:hAnsi="宋体" w:cs="宋体"/>
          <w:b/>
          <w:sz w:val="28"/>
          <w:szCs w:val="28"/>
        </w:rPr>
        <w:t>三、政府采购投标及履约承诺函</w:t>
      </w:r>
    </w:p>
    <w:p>
      <w:pPr>
        <w:spacing w:line="360" w:lineRule="auto"/>
        <w:ind w:firstLine="480" w:firstLineChars="200"/>
        <w:rPr>
          <w:rFonts w:ascii="宋体" w:hAnsi="宋体"/>
          <w:szCs w:val="21"/>
        </w:rPr>
      </w:pPr>
      <w:r>
        <w:rPr>
          <w:rFonts w:hint="eastAsia" w:ascii="宋体" w:hAnsi="宋体"/>
          <w:szCs w:val="21"/>
        </w:rPr>
        <w:t>致：</w:t>
      </w:r>
      <w:r>
        <w:rPr>
          <w:rFonts w:hint="eastAsia" w:ascii="宋体" w:hAnsi="宋体"/>
          <w:szCs w:val="21"/>
          <w:u w:val="single"/>
        </w:rPr>
        <w:t>深圳市合创建设工程顾问有限公司</w:t>
      </w:r>
    </w:p>
    <w:p>
      <w:pPr>
        <w:spacing w:line="360" w:lineRule="auto"/>
        <w:ind w:firstLine="480" w:firstLineChars="200"/>
        <w:rPr>
          <w:rFonts w:ascii="宋体" w:hAnsi="宋体"/>
          <w:szCs w:val="21"/>
        </w:rPr>
      </w:pPr>
      <w:r>
        <w:rPr>
          <w:rFonts w:hint="eastAsia" w:ascii="宋体" w:hAnsi="宋体"/>
          <w:szCs w:val="21"/>
        </w:rPr>
        <w:t>我公司承诺：</w:t>
      </w:r>
    </w:p>
    <w:p>
      <w:pPr>
        <w:spacing w:line="360" w:lineRule="auto"/>
        <w:ind w:firstLine="480" w:firstLineChars="200"/>
        <w:rPr>
          <w:rFonts w:ascii="宋体" w:hAnsi="宋体"/>
          <w:szCs w:val="21"/>
        </w:rPr>
      </w:pPr>
      <w:r>
        <w:rPr>
          <w:rFonts w:hint="eastAsia" w:ascii="宋体" w:hAnsi="宋体"/>
          <w:szCs w:val="21"/>
        </w:rPr>
        <w:t>1.我公司本招标项目所提供的货物或服务未侵犯知识产权。</w:t>
      </w:r>
    </w:p>
    <w:p>
      <w:pPr>
        <w:spacing w:line="360" w:lineRule="auto"/>
        <w:ind w:firstLine="480" w:firstLineChars="200"/>
        <w:rPr>
          <w:rFonts w:ascii="宋体" w:hAnsi="宋体"/>
          <w:szCs w:val="21"/>
        </w:rPr>
      </w:pPr>
      <w:r>
        <w:rPr>
          <w:rFonts w:hint="eastAsia" w:ascii="宋体" w:hAnsi="宋体"/>
          <w:szCs w:val="21"/>
        </w:rPr>
        <w:t>2.我公司参与本项目投标前三年内，在经营活动中没有重大违法记录。</w:t>
      </w:r>
    </w:p>
    <w:p>
      <w:pPr>
        <w:spacing w:line="360" w:lineRule="auto"/>
        <w:ind w:firstLine="480" w:firstLineChars="200"/>
        <w:rPr>
          <w:rFonts w:ascii="宋体" w:hAnsi="宋体"/>
          <w:szCs w:val="21"/>
        </w:rPr>
      </w:pPr>
      <w:r>
        <w:rPr>
          <w:rFonts w:hint="eastAsia" w:ascii="宋体" w:hAnsi="宋体"/>
          <w:szCs w:val="21"/>
        </w:rPr>
        <w:t>3.我公司参与本项目政府采购活动时不存在被有关部门禁止参与政府采购活动且在有效期内的情况。</w:t>
      </w:r>
    </w:p>
    <w:p>
      <w:pPr>
        <w:spacing w:line="360" w:lineRule="auto"/>
        <w:ind w:firstLine="480" w:firstLineChars="200"/>
        <w:rPr>
          <w:rFonts w:ascii="宋体" w:hAnsi="宋体"/>
          <w:szCs w:val="21"/>
        </w:rPr>
      </w:pPr>
      <w:r>
        <w:rPr>
          <w:rFonts w:hint="eastAsia" w:ascii="宋体" w:hAnsi="宋体"/>
          <w:szCs w:val="21"/>
        </w:rPr>
        <w:t>4.我公司具备《中华人民共和国政府采购法》第二十二条第一款的条件。</w:t>
      </w:r>
    </w:p>
    <w:p>
      <w:pPr>
        <w:spacing w:line="360" w:lineRule="auto"/>
        <w:ind w:firstLine="480" w:firstLineChars="200"/>
        <w:rPr>
          <w:rFonts w:ascii="宋体" w:hAnsi="宋体"/>
          <w:szCs w:val="21"/>
        </w:rPr>
      </w:pPr>
      <w:r>
        <w:rPr>
          <w:rFonts w:hint="eastAsia" w:ascii="宋体" w:hAnsi="宋体"/>
          <w:szCs w:val="21"/>
        </w:rPr>
        <w:t>5.我公司未被列入失信被执行人、重大税收违法案件当事人名单、政府采购严重违法失信行为记录名单。</w:t>
      </w:r>
    </w:p>
    <w:p>
      <w:pPr>
        <w:spacing w:line="360" w:lineRule="auto"/>
        <w:ind w:firstLine="480" w:firstLineChars="200"/>
        <w:rPr>
          <w:rFonts w:ascii="宋体" w:hAnsi="宋体"/>
          <w:szCs w:val="21"/>
        </w:rPr>
      </w:pPr>
      <w:r>
        <w:rPr>
          <w:rFonts w:hint="eastAsia" w:ascii="宋体" w:hAnsi="宋体"/>
          <w:szCs w:val="21"/>
        </w:rPr>
        <w:t>6.我公司参与该项目投标，严格遵循公平竞争的原则，不恶意串通，不妨碍其他投标人的竞争行为，不损害采购人或者其他投标人的合法权益。我公司已清楚，如违反上述要求，将作投标无效处理。</w:t>
      </w:r>
    </w:p>
    <w:p>
      <w:pPr>
        <w:spacing w:line="360" w:lineRule="auto"/>
        <w:ind w:firstLine="480" w:firstLineChars="200"/>
        <w:rPr>
          <w:rFonts w:ascii="宋体" w:hAnsi="宋体"/>
          <w:szCs w:val="21"/>
        </w:rPr>
      </w:pPr>
      <w:r>
        <w:rPr>
          <w:rFonts w:hint="eastAsia" w:ascii="宋体" w:hAnsi="宋体"/>
          <w:szCs w:val="21"/>
        </w:rPr>
        <w:t>7.我公司如果中标，做到守信，不偷工减料，依照本项目招标文件需求内容、签署的采购合同及本公司在投标中所作的一切承诺履约。</w:t>
      </w:r>
    </w:p>
    <w:p>
      <w:pPr>
        <w:spacing w:line="360" w:lineRule="auto"/>
        <w:ind w:firstLine="480" w:firstLineChars="200"/>
        <w:rPr>
          <w:rFonts w:ascii="宋体" w:hAnsi="宋体"/>
          <w:szCs w:val="21"/>
        </w:rPr>
      </w:pPr>
      <w:r>
        <w:rPr>
          <w:rFonts w:hint="eastAsia" w:ascii="宋体" w:hAnsi="宋体"/>
          <w:szCs w:val="21"/>
        </w:rPr>
        <w:t>8.我公司承诺本项目的报价不低于我公司的成本价，否则，我公司清楚将面临投标无效的风险；我公司承诺不恶意低价谋取中标；我公司对本项目的报价负责，中标后将严格按照本项目招标文件需求、签署的采购合同及我公司在投标中所作的全部承诺履行。我公司清楚，若我公司以“报价太低而无法履约”为理由放弃本项目中标资格时，愿意接受主管部门的处理处罚。若我公司中标本项目，我公司的报价明显低于其他投标人的报价时，我公司清楚，本项目将成为重点监管、重点验收项目，我公司将按时保质保量完成，并全力配合有关监管、验收工作；若我公司未按上述要求履约，我公司愿意接受主管部门的处理处罚。</w:t>
      </w:r>
    </w:p>
    <w:p>
      <w:pPr>
        <w:spacing w:line="360" w:lineRule="auto"/>
        <w:ind w:firstLine="480" w:firstLineChars="200"/>
        <w:rPr>
          <w:rFonts w:ascii="宋体" w:hAnsi="宋体"/>
          <w:szCs w:val="21"/>
        </w:rPr>
      </w:pPr>
      <w:r>
        <w:rPr>
          <w:rFonts w:hint="eastAsia" w:ascii="宋体" w:hAnsi="宋体"/>
          <w:szCs w:val="21"/>
        </w:rPr>
        <w:t>9.我公司已认真核实了投标文件的全部内容，所有资料均为真实资料。我公司对投标文件中全部投标资料的真实性负责，如被证实我公司的投标文件中存在虚假资料的，则视为我公司隐瞒真实情况、提供虚假资料，我公司愿意接受主管部门作出的行政处罚。</w:t>
      </w:r>
    </w:p>
    <w:p>
      <w:pPr>
        <w:spacing w:line="360" w:lineRule="auto"/>
        <w:ind w:firstLine="480" w:firstLineChars="200"/>
        <w:rPr>
          <w:rFonts w:ascii="宋体" w:hAnsi="宋体"/>
          <w:szCs w:val="21"/>
        </w:rPr>
      </w:pPr>
      <w:r>
        <w:rPr>
          <w:rFonts w:hint="eastAsia" w:ascii="宋体" w:hAnsi="宋体"/>
          <w:szCs w:val="21"/>
        </w:rPr>
        <w:t>10.我公司承诺不非法转包、分包。</w:t>
      </w:r>
    </w:p>
    <w:p>
      <w:pPr>
        <w:spacing w:line="360" w:lineRule="auto"/>
        <w:ind w:firstLine="480" w:firstLineChars="200"/>
        <w:rPr>
          <w:rFonts w:ascii="宋体" w:hAnsi="宋体"/>
          <w:szCs w:val="21"/>
        </w:rPr>
      </w:pPr>
      <w:r>
        <w:rPr>
          <w:rFonts w:hint="eastAsia" w:ascii="宋体" w:hAnsi="宋体"/>
          <w:szCs w:val="21"/>
        </w:rPr>
        <w:t>11.单位负责人为同一人或者存在直接控股、管理关系的不同供应商，不得同时参加本项目的投标。</w:t>
      </w:r>
    </w:p>
    <w:p>
      <w:pPr>
        <w:spacing w:line="360" w:lineRule="auto"/>
        <w:ind w:firstLine="480" w:firstLineChars="200"/>
        <w:rPr>
          <w:rFonts w:ascii="宋体" w:hAnsi="宋体"/>
          <w:szCs w:val="21"/>
        </w:rPr>
      </w:pPr>
      <w:r>
        <w:rPr>
          <w:rFonts w:hint="eastAsia" w:ascii="宋体" w:hAnsi="宋体"/>
          <w:szCs w:val="21"/>
        </w:rPr>
        <w:t>12.除单一来源采购项目外，为采购项目提供整体设计、规范编制或者项目管理、监理、检测等服务的供应商，不得再参加该采购项目的其他采购活动。</w:t>
      </w:r>
    </w:p>
    <w:p>
      <w:pPr>
        <w:spacing w:line="360" w:lineRule="auto"/>
        <w:ind w:firstLine="480" w:firstLineChars="200"/>
        <w:rPr>
          <w:rFonts w:ascii="宋体" w:hAnsi="宋体"/>
          <w:szCs w:val="21"/>
        </w:rPr>
      </w:pPr>
      <w:r>
        <w:rPr>
          <w:rFonts w:hint="eastAsia" w:ascii="宋体" w:hAnsi="宋体"/>
          <w:szCs w:val="21"/>
        </w:rPr>
        <w:t>以上承诺，如有违反，愿依照国家相关法律处理，并承担由此给采购人带来的损失。</w:t>
      </w:r>
    </w:p>
    <w:p>
      <w:pPr>
        <w:spacing w:before="60" w:beforeLines="25" w:after="60" w:afterLines="25" w:line="360" w:lineRule="auto"/>
        <w:ind w:left="960" w:leftChars="400" w:right="840"/>
      </w:pPr>
      <w:r>
        <w:rPr>
          <w:rFonts w:hint="eastAsia" w:ascii="宋体" w:hAnsi="宋体"/>
          <w:szCs w:val="21"/>
        </w:rPr>
        <w:t xml:space="preserve">财务负责人/企业负责人的联系方式（可选填）：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szCs w:val="21"/>
        </w:rPr>
        <w:t>投标人：</w:t>
      </w:r>
      <w:r>
        <w:rPr>
          <w:rFonts w:hint="eastAsia"/>
          <w:szCs w:val="21"/>
          <w:u w:val="single"/>
        </w:rPr>
        <w:t xml:space="preserve">              </w:t>
      </w:r>
    </w:p>
    <w:p>
      <w:pPr>
        <w:spacing w:line="360" w:lineRule="auto"/>
        <w:ind w:firstLine="645"/>
        <w:rPr>
          <w:rFonts w:ascii="宋体" w:hAnsi="宋体"/>
          <w:szCs w:val="21"/>
        </w:rPr>
      </w:pPr>
      <w:r>
        <w:rPr>
          <w:rFonts w:hint="eastAsia" w:ascii="宋体" w:hAnsi="宋体"/>
          <w:szCs w:val="21"/>
        </w:rPr>
        <w:t xml:space="preserve">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spacing w:line="360" w:lineRule="auto"/>
        <w:ind w:firstLine="645"/>
        <w:rPr>
          <w:rFonts w:ascii="宋体" w:hAnsi="宋体"/>
          <w:szCs w:val="21"/>
        </w:rPr>
      </w:pPr>
    </w:p>
    <w:p>
      <w:pPr>
        <w:keepNext w:val="0"/>
        <w:keepLines w:val="0"/>
        <w:pageBreakBefore w:val="0"/>
        <w:widowControl/>
        <w:kinsoku/>
        <w:wordWrap w:val="0"/>
        <w:overflowPunct/>
        <w:topLinePunct w:val="0"/>
        <w:autoSpaceDE/>
        <w:autoSpaceDN/>
        <w:bidi w:val="0"/>
        <w:adjustRightInd/>
        <w:snapToGrid/>
        <w:textAlignment w:val="auto"/>
        <w:rPr>
          <w:rFonts w:ascii="宋体" w:hAnsi="宋体"/>
          <w:szCs w:val="21"/>
        </w:rPr>
      </w:pPr>
      <w:r>
        <w:rPr>
          <w:rFonts w:hint="eastAsia" w:ascii="宋体" w:hAnsi="宋体"/>
          <w:szCs w:val="21"/>
        </w:rPr>
        <w:t>备注：为缓解中小企业融资难题，我市推出政府采购订单融资改革举措。订单融资具体流程及试点金融机构订单融资服务承诺可参阅深圳市政府采购监管网（zfcg.sz.gov.cn）信息公开栏目或深圳</w:t>
      </w:r>
      <w:r>
        <w:rPr>
          <w:rFonts w:hint="eastAsia" w:ascii="宋体" w:hAnsi="宋体" w:eastAsia="宋体"/>
          <w:szCs w:val="21"/>
          <w:lang w:val="en-US" w:eastAsia="zh-CN"/>
        </w:rPr>
        <w:t>公共资源交易</w:t>
      </w:r>
      <w:r>
        <w:rPr>
          <w:rFonts w:hint="eastAsia" w:ascii="宋体" w:hAnsi="宋体"/>
          <w:szCs w:val="21"/>
        </w:rPr>
        <w:t>网（</w:t>
      </w:r>
      <w:r>
        <w:rPr>
          <w:rFonts w:hint="eastAsia" w:ascii="宋体" w:hAnsi="宋体" w:eastAsia="宋体"/>
          <w:szCs w:val="21"/>
          <w:lang w:val="en-US" w:eastAsia="zh-CN"/>
        </w:rPr>
        <w:t>https://szggzy.com/</w:t>
      </w:r>
      <w:r>
        <w:rPr>
          <w:rFonts w:hint="eastAsia" w:ascii="宋体" w:hAnsi="宋体"/>
          <w:szCs w:val="21"/>
        </w:rPr>
        <w:t>）政府采购订单融资栏目。</w:t>
      </w:r>
    </w:p>
    <w:p>
      <w:pPr>
        <w:ind w:firstLine="645"/>
        <w:rPr>
          <w:rFonts w:ascii="宋体" w:hAnsi="宋体"/>
          <w:szCs w:val="21"/>
        </w:rPr>
      </w:pPr>
    </w:p>
    <w:p>
      <w:pPr>
        <w:rPr>
          <w:rFonts w:ascii="宋体"/>
          <w:b/>
          <w:szCs w:val="21"/>
        </w:rPr>
      </w:pPr>
      <w:r>
        <w:rPr>
          <w:b/>
          <w:kern w:val="2"/>
        </w:rPr>
        <w:t>注意事项：投标人必须严格按照上述内容提供承诺函，否则视为没有实质性满足招标文件要求。</w:t>
      </w:r>
    </w:p>
    <w:p>
      <w:pPr>
        <w:rPr>
          <w:rFonts w:hint="eastAsia" w:ascii="宋体" w:hAnsi="宋体" w:cs="宋体"/>
          <w:b/>
          <w:sz w:val="28"/>
          <w:szCs w:val="28"/>
        </w:rPr>
      </w:pPr>
      <w:r>
        <w:rPr>
          <w:rFonts w:hint="eastAsia" w:ascii="宋体" w:hAnsi="宋体" w:cs="宋体"/>
          <w:b/>
          <w:sz w:val="28"/>
          <w:szCs w:val="28"/>
        </w:rPr>
        <w:br w:type="page"/>
      </w:r>
    </w:p>
    <w:p>
      <w:pPr>
        <w:spacing w:before="260" w:after="260"/>
        <w:jc w:val="center"/>
        <w:outlineLvl w:val="2"/>
        <w:rPr>
          <w:rFonts w:ascii="宋体" w:hAnsi="宋体" w:cs="宋体"/>
          <w:b/>
          <w:sz w:val="28"/>
          <w:szCs w:val="28"/>
        </w:rPr>
      </w:pPr>
      <w:r>
        <w:rPr>
          <w:rFonts w:hint="eastAsia" w:ascii="宋体" w:hAnsi="宋体" w:cs="宋体"/>
          <w:b/>
          <w:sz w:val="28"/>
          <w:szCs w:val="28"/>
        </w:rPr>
        <w:t>四、分项报价清单</w:t>
      </w:r>
    </w:p>
    <w:p>
      <w:pPr>
        <w:jc w:val="center"/>
        <w:rPr>
          <w:b/>
          <w:bCs/>
        </w:rPr>
      </w:pPr>
      <w:r>
        <w:rPr>
          <w:rFonts w:hint="eastAsia" w:eastAsia="宋体"/>
          <w:b/>
          <w:bCs/>
        </w:rPr>
        <w:t>（一）</w:t>
      </w:r>
      <w:r>
        <w:rPr>
          <w:rFonts w:hint="eastAsia"/>
          <w:b/>
          <w:bCs/>
        </w:rPr>
        <w:t>项目报价表</w:t>
      </w:r>
    </w:p>
    <w:p/>
    <w:tbl>
      <w:tblPr>
        <w:tblStyle w:val="19"/>
        <w:tblW w:w="8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080"/>
        <w:gridCol w:w="1440"/>
        <w:gridCol w:w="900"/>
        <w:gridCol w:w="876"/>
        <w:gridCol w:w="564"/>
        <w:gridCol w:w="900"/>
        <w:gridCol w:w="90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Pr>
          <w:p>
            <w:pPr>
              <w:jc w:val="center"/>
              <w:rPr>
                <w:szCs w:val="21"/>
              </w:rPr>
            </w:pPr>
            <w:r>
              <w:rPr>
                <w:rFonts w:hint="eastAsia"/>
                <w:szCs w:val="21"/>
              </w:rPr>
              <w:t>序号</w:t>
            </w:r>
          </w:p>
        </w:tc>
        <w:tc>
          <w:tcPr>
            <w:tcW w:w="1080" w:type="dxa"/>
            <w:vAlign w:val="center"/>
          </w:tcPr>
          <w:p>
            <w:pPr>
              <w:jc w:val="center"/>
              <w:rPr>
                <w:szCs w:val="21"/>
              </w:rPr>
            </w:pPr>
            <w:r>
              <w:rPr>
                <w:rFonts w:hint="eastAsia"/>
                <w:szCs w:val="21"/>
              </w:rPr>
              <w:t>货物名称</w:t>
            </w:r>
          </w:p>
        </w:tc>
        <w:tc>
          <w:tcPr>
            <w:tcW w:w="1440" w:type="dxa"/>
            <w:vAlign w:val="center"/>
          </w:tcPr>
          <w:p>
            <w:pPr>
              <w:jc w:val="center"/>
              <w:rPr>
                <w:szCs w:val="21"/>
              </w:rPr>
            </w:pPr>
            <w:r>
              <w:rPr>
                <w:rFonts w:hint="eastAsia"/>
                <w:szCs w:val="21"/>
              </w:rPr>
              <w:t>规格/型号</w:t>
            </w:r>
          </w:p>
        </w:tc>
        <w:tc>
          <w:tcPr>
            <w:tcW w:w="900" w:type="dxa"/>
            <w:vAlign w:val="center"/>
          </w:tcPr>
          <w:p>
            <w:pPr>
              <w:jc w:val="center"/>
              <w:rPr>
                <w:b/>
                <w:szCs w:val="21"/>
              </w:rPr>
            </w:pPr>
            <w:r>
              <w:rPr>
                <w:rFonts w:hint="eastAsia"/>
                <w:b w:val="0"/>
                <w:bCs/>
                <w:szCs w:val="21"/>
              </w:rPr>
              <w:t>原产地</w:t>
            </w:r>
          </w:p>
        </w:tc>
        <w:tc>
          <w:tcPr>
            <w:tcW w:w="876" w:type="dxa"/>
            <w:vAlign w:val="center"/>
          </w:tcPr>
          <w:p>
            <w:pPr>
              <w:jc w:val="center"/>
              <w:rPr>
                <w:szCs w:val="21"/>
              </w:rPr>
            </w:pPr>
            <w:r>
              <w:rPr>
                <w:rFonts w:hint="eastAsia"/>
                <w:szCs w:val="21"/>
              </w:rPr>
              <w:t>制造商名称</w:t>
            </w:r>
          </w:p>
        </w:tc>
        <w:tc>
          <w:tcPr>
            <w:tcW w:w="564" w:type="dxa"/>
            <w:vAlign w:val="center"/>
          </w:tcPr>
          <w:p>
            <w:pPr>
              <w:jc w:val="center"/>
              <w:rPr>
                <w:szCs w:val="21"/>
              </w:rPr>
            </w:pPr>
            <w:r>
              <w:rPr>
                <w:rFonts w:hint="eastAsia"/>
                <w:szCs w:val="21"/>
              </w:rPr>
              <w:t>数量</w:t>
            </w:r>
          </w:p>
        </w:tc>
        <w:tc>
          <w:tcPr>
            <w:tcW w:w="900" w:type="dxa"/>
            <w:vAlign w:val="center"/>
          </w:tcPr>
          <w:p>
            <w:pPr>
              <w:jc w:val="center"/>
              <w:rPr>
                <w:szCs w:val="21"/>
              </w:rPr>
            </w:pPr>
            <w:r>
              <w:rPr>
                <w:rFonts w:hint="eastAsia"/>
                <w:szCs w:val="21"/>
              </w:rPr>
              <w:t>单位</w:t>
            </w:r>
          </w:p>
        </w:tc>
        <w:tc>
          <w:tcPr>
            <w:tcW w:w="900" w:type="dxa"/>
            <w:vAlign w:val="center"/>
          </w:tcPr>
          <w:p>
            <w:pPr>
              <w:jc w:val="center"/>
              <w:rPr>
                <w:szCs w:val="21"/>
              </w:rPr>
            </w:pPr>
            <w:r>
              <w:rPr>
                <w:rFonts w:hint="eastAsia"/>
                <w:szCs w:val="21"/>
              </w:rPr>
              <w:t>单价(元)</w:t>
            </w:r>
          </w:p>
        </w:tc>
        <w:tc>
          <w:tcPr>
            <w:tcW w:w="900" w:type="dxa"/>
            <w:vAlign w:val="center"/>
          </w:tcPr>
          <w:p>
            <w:pPr>
              <w:jc w:val="center"/>
              <w:rPr>
                <w:szCs w:val="21"/>
              </w:rPr>
            </w:pPr>
            <w:r>
              <w:rPr>
                <w:rFonts w:hint="eastAsia"/>
                <w:szCs w:val="21"/>
              </w:rPr>
              <w:t>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Pr>
          <w:p/>
        </w:tc>
        <w:tc>
          <w:tcPr>
            <w:tcW w:w="1080" w:type="dxa"/>
          </w:tcPr>
          <w:p/>
        </w:tc>
        <w:tc>
          <w:tcPr>
            <w:tcW w:w="1440" w:type="dxa"/>
          </w:tcPr>
          <w:p/>
        </w:tc>
        <w:tc>
          <w:tcPr>
            <w:tcW w:w="900" w:type="dxa"/>
          </w:tcPr>
          <w:p/>
        </w:tc>
        <w:tc>
          <w:tcPr>
            <w:tcW w:w="876" w:type="dxa"/>
          </w:tcPr>
          <w:p/>
        </w:tc>
        <w:tc>
          <w:tcPr>
            <w:tcW w:w="564" w:type="dxa"/>
          </w:tcPr>
          <w:p/>
        </w:tc>
        <w:tc>
          <w:tcPr>
            <w:tcW w:w="900" w:type="dxa"/>
          </w:tcPr>
          <w:p/>
        </w:tc>
        <w:tc>
          <w:tcPr>
            <w:tcW w:w="900" w:type="dxa"/>
          </w:tcPr>
          <w:p/>
        </w:tc>
        <w:tc>
          <w:tcPr>
            <w:tcW w:w="900"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Pr>
          <w:p/>
        </w:tc>
        <w:tc>
          <w:tcPr>
            <w:tcW w:w="1080" w:type="dxa"/>
          </w:tcPr>
          <w:p/>
        </w:tc>
        <w:tc>
          <w:tcPr>
            <w:tcW w:w="1440" w:type="dxa"/>
          </w:tcPr>
          <w:p/>
        </w:tc>
        <w:tc>
          <w:tcPr>
            <w:tcW w:w="900" w:type="dxa"/>
          </w:tcPr>
          <w:p/>
        </w:tc>
        <w:tc>
          <w:tcPr>
            <w:tcW w:w="876" w:type="dxa"/>
          </w:tcPr>
          <w:p/>
        </w:tc>
        <w:tc>
          <w:tcPr>
            <w:tcW w:w="564" w:type="dxa"/>
          </w:tcPr>
          <w:p/>
        </w:tc>
        <w:tc>
          <w:tcPr>
            <w:tcW w:w="900" w:type="dxa"/>
          </w:tcPr>
          <w:p/>
        </w:tc>
        <w:tc>
          <w:tcPr>
            <w:tcW w:w="900" w:type="dxa"/>
          </w:tcPr>
          <w:p/>
        </w:tc>
        <w:tc>
          <w:tcPr>
            <w:tcW w:w="900"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Pr>
          <w:p/>
        </w:tc>
        <w:tc>
          <w:tcPr>
            <w:tcW w:w="1080" w:type="dxa"/>
          </w:tcPr>
          <w:p/>
        </w:tc>
        <w:tc>
          <w:tcPr>
            <w:tcW w:w="1440" w:type="dxa"/>
          </w:tcPr>
          <w:p/>
        </w:tc>
        <w:tc>
          <w:tcPr>
            <w:tcW w:w="900" w:type="dxa"/>
          </w:tcPr>
          <w:p/>
        </w:tc>
        <w:tc>
          <w:tcPr>
            <w:tcW w:w="876" w:type="dxa"/>
          </w:tcPr>
          <w:p/>
        </w:tc>
        <w:tc>
          <w:tcPr>
            <w:tcW w:w="564" w:type="dxa"/>
          </w:tcPr>
          <w:p/>
        </w:tc>
        <w:tc>
          <w:tcPr>
            <w:tcW w:w="900" w:type="dxa"/>
          </w:tcPr>
          <w:p/>
        </w:tc>
        <w:tc>
          <w:tcPr>
            <w:tcW w:w="900" w:type="dxa"/>
          </w:tcPr>
          <w:p/>
        </w:tc>
        <w:tc>
          <w:tcPr>
            <w:tcW w:w="900"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Pr>
          <w:p/>
        </w:tc>
        <w:tc>
          <w:tcPr>
            <w:tcW w:w="1080" w:type="dxa"/>
          </w:tcPr>
          <w:p/>
        </w:tc>
        <w:tc>
          <w:tcPr>
            <w:tcW w:w="1440" w:type="dxa"/>
          </w:tcPr>
          <w:p/>
        </w:tc>
        <w:tc>
          <w:tcPr>
            <w:tcW w:w="900" w:type="dxa"/>
          </w:tcPr>
          <w:p/>
        </w:tc>
        <w:tc>
          <w:tcPr>
            <w:tcW w:w="876" w:type="dxa"/>
          </w:tcPr>
          <w:p/>
        </w:tc>
        <w:tc>
          <w:tcPr>
            <w:tcW w:w="564" w:type="dxa"/>
          </w:tcPr>
          <w:p/>
        </w:tc>
        <w:tc>
          <w:tcPr>
            <w:tcW w:w="900" w:type="dxa"/>
          </w:tcPr>
          <w:p/>
        </w:tc>
        <w:tc>
          <w:tcPr>
            <w:tcW w:w="900" w:type="dxa"/>
          </w:tcPr>
          <w:p/>
        </w:tc>
        <w:tc>
          <w:tcPr>
            <w:tcW w:w="900"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Pr>
          <w:p/>
        </w:tc>
        <w:tc>
          <w:tcPr>
            <w:tcW w:w="1080" w:type="dxa"/>
          </w:tcPr>
          <w:p/>
        </w:tc>
        <w:tc>
          <w:tcPr>
            <w:tcW w:w="1440" w:type="dxa"/>
          </w:tcPr>
          <w:p/>
        </w:tc>
        <w:tc>
          <w:tcPr>
            <w:tcW w:w="900" w:type="dxa"/>
          </w:tcPr>
          <w:p/>
        </w:tc>
        <w:tc>
          <w:tcPr>
            <w:tcW w:w="876" w:type="dxa"/>
          </w:tcPr>
          <w:p/>
        </w:tc>
        <w:tc>
          <w:tcPr>
            <w:tcW w:w="564" w:type="dxa"/>
          </w:tcPr>
          <w:p/>
        </w:tc>
        <w:tc>
          <w:tcPr>
            <w:tcW w:w="900" w:type="dxa"/>
          </w:tcPr>
          <w:p/>
        </w:tc>
        <w:tc>
          <w:tcPr>
            <w:tcW w:w="900" w:type="dxa"/>
          </w:tcPr>
          <w:p/>
        </w:tc>
        <w:tc>
          <w:tcPr>
            <w:tcW w:w="900"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tcPr>
          <w:p/>
        </w:tc>
        <w:tc>
          <w:tcPr>
            <w:tcW w:w="1080" w:type="dxa"/>
          </w:tcPr>
          <w:p/>
        </w:tc>
        <w:tc>
          <w:tcPr>
            <w:tcW w:w="1440" w:type="dxa"/>
          </w:tcPr>
          <w:p/>
        </w:tc>
        <w:tc>
          <w:tcPr>
            <w:tcW w:w="900" w:type="dxa"/>
          </w:tcPr>
          <w:p/>
        </w:tc>
        <w:tc>
          <w:tcPr>
            <w:tcW w:w="876" w:type="dxa"/>
          </w:tcPr>
          <w:p/>
        </w:tc>
        <w:tc>
          <w:tcPr>
            <w:tcW w:w="564" w:type="dxa"/>
          </w:tcPr>
          <w:p/>
        </w:tc>
        <w:tc>
          <w:tcPr>
            <w:tcW w:w="900" w:type="dxa"/>
          </w:tcPr>
          <w:p/>
        </w:tc>
        <w:tc>
          <w:tcPr>
            <w:tcW w:w="900" w:type="dxa"/>
          </w:tcPr>
          <w:p/>
        </w:tc>
        <w:tc>
          <w:tcPr>
            <w:tcW w:w="900" w:type="dxa"/>
          </w:tcPr>
          <w:p/>
        </w:tc>
      </w:tr>
    </w:tbl>
    <w:p>
      <w:pPr>
        <w:rPr>
          <w:rFonts w:ascii="宋体" w:hAnsi="宋体"/>
          <w:szCs w:val="21"/>
        </w:rPr>
      </w:pPr>
    </w:p>
    <w:p>
      <w:pPr>
        <w:keepNext w:val="0"/>
        <w:keepLines w:val="0"/>
        <w:pageBreakBefore w:val="0"/>
        <w:widowControl/>
        <w:kinsoku/>
        <w:wordWrap w:val="0"/>
        <w:overflowPunct/>
        <w:topLinePunct w:val="0"/>
        <w:autoSpaceDE/>
        <w:autoSpaceDN/>
        <w:bidi w:val="0"/>
        <w:adjustRightInd/>
        <w:snapToGrid/>
        <w:textAlignment w:val="auto"/>
        <w:rPr>
          <w:rFonts w:ascii="宋体" w:hAnsi="宋体"/>
          <w:b/>
        </w:rPr>
      </w:pPr>
      <w:r>
        <w:rPr>
          <w:rFonts w:hint="eastAsia" w:ascii="宋体" w:hAnsi="宋体"/>
          <w:b/>
        </w:rPr>
        <w:t>注：1. 请根据</w:t>
      </w:r>
      <w:r>
        <w:rPr>
          <w:rFonts w:hint="eastAsia" w:ascii="宋体" w:hAnsi="宋体" w:eastAsia="宋体"/>
          <w:b/>
          <w:lang w:eastAsia="zh-CN"/>
        </w:rPr>
        <w:t>“</w:t>
      </w:r>
      <w:r>
        <w:rPr>
          <w:rFonts w:hint="eastAsia" w:ascii="宋体" w:hAnsi="宋体"/>
          <w:b/>
        </w:rPr>
        <w:t>第</w:t>
      </w:r>
      <w:r>
        <w:rPr>
          <w:rFonts w:hint="eastAsia" w:ascii="宋体" w:hAnsi="宋体" w:eastAsia="宋体"/>
          <w:b/>
          <w:lang w:val="en-US" w:eastAsia="zh-CN"/>
        </w:rPr>
        <w:t>三</w:t>
      </w:r>
      <w:r>
        <w:rPr>
          <w:rFonts w:hint="eastAsia" w:ascii="宋体" w:hAnsi="宋体"/>
          <w:b/>
        </w:rPr>
        <w:t xml:space="preserve">章 </w:t>
      </w:r>
      <w:r>
        <w:rPr>
          <w:rFonts w:hint="eastAsia" w:ascii="宋体" w:hAnsi="宋体" w:eastAsia="宋体"/>
          <w:b/>
          <w:lang w:val="en-US" w:eastAsia="zh-CN"/>
        </w:rPr>
        <w:t>用户需求书</w:t>
      </w:r>
      <w:r>
        <w:rPr>
          <w:rFonts w:hint="eastAsia" w:ascii="宋体" w:hAnsi="宋体"/>
          <w:b/>
        </w:rPr>
        <w:t xml:space="preserve"> </w:t>
      </w:r>
      <w:r>
        <w:rPr>
          <w:rFonts w:hint="default" w:ascii="宋体" w:hAnsi="宋体" w:eastAsia="宋体"/>
          <w:b/>
          <w:lang w:val="en-US" w:eastAsia="zh-CN"/>
        </w:rPr>
        <w:t>（二）(</w:t>
      </w:r>
      <w:r>
        <w:rPr>
          <w:rFonts w:hint="eastAsia" w:ascii="宋体" w:hAnsi="宋体" w:eastAsia="宋体"/>
          <w:b/>
          <w:lang w:val="en-US" w:eastAsia="zh-CN"/>
        </w:rPr>
        <w:t>货物需求明细</w:t>
      </w:r>
      <w:r>
        <w:rPr>
          <w:rFonts w:hint="default" w:ascii="宋体" w:hAnsi="宋体" w:eastAsia="宋体"/>
          <w:b/>
          <w:lang w:val="en-US" w:eastAsia="zh-CN"/>
        </w:rPr>
        <w:t>）</w:t>
      </w:r>
      <w:r>
        <w:rPr>
          <w:rFonts w:hint="eastAsia" w:ascii="宋体" w:hAnsi="宋体"/>
          <w:b/>
        </w:rPr>
        <w:t>填写；本表格式不得修改。</w:t>
      </w:r>
    </w:p>
    <w:p>
      <w:pPr>
        <w:rPr>
          <w:rFonts w:ascii="宋体" w:hAnsi="宋体"/>
          <w:b/>
        </w:rPr>
      </w:pPr>
      <w:r>
        <w:rPr>
          <w:rFonts w:ascii="宋体" w:hAnsi="宋体"/>
          <w:b/>
        </w:rPr>
        <w:t xml:space="preserve">    2</w:t>
      </w:r>
      <w:r>
        <w:rPr>
          <w:rFonts w:hint="eastAsia" w:ascii="宋体" w:hAnsi="宋体"/>
          <w:b/>
        </w:rPr>
        <w:t>. 所有价格应按“招标文件”中规定的货币单位填写；投标总价应为以上各分项价格之和；投标总价和项目报价表中单个采购预算条目报价均不得超过对应的财政预算限额</w:t>
      </w:r>
      <w:r>
        <w:rPr>
          <w:rFonts w:hint="eastAsia" w:ascii="宋体" w:hAnsi="宋体" w:eastAsia="宋体"/>
          <w:b/>
          <w:lang w:eastAsia="zh-CN"/>
        </w:rPr>
        <w:t>（</w:t>
      </w:r>
      <w:r>
        <w:rPr>
          <w:rFonts w:hint="eastAsia" w:ascii="宋体" w:hAnsi="宋体" w:eastAsia="宋体"/>
          <w:b/>
          <w:lang w:val="en-US" w:eastAsia="zh-CN"/>
        </w:rPr>
        <w:t>如有</w:t>
      </w:r>
      <w:r>
        <w:rPr>
          <w:rFonts w:hint="eastAsia" w:ascii="宋体" w:hAnsi="宋体" w:eastAsia="宋体"/>
          <w:b/>
          <w:lang w:eastAsia="zh-CN"/>
        </w:rPr>
        <w:t>）</w:t>
      </w:r>
      <w:r>
        <w:rPr>
          <w:rFonts w:hint="eastAsia" w:ascii="宋体" w:hAnsi="宋体"/>
          <w:b/>
        </w:rPr>
        <w:t>，否则将导致无效投标。</w:t>
      </w:r>
    </w:p>
    <w:p>
      <w:pPr>
        <w:ind w:firstLine="480" w:firstLineChars="200"/>
        <w:rPr>
          <w:rFonts w:ascii="宋体" w:hAnsi="宋体"/>
          <w:b/>
        </w:rPr>
      </w:pPr>
      <w:r>
        <w:rPr>
          <w:rFonts w:hint="eastAsia" w:ascii="宋体" w:hAnsi="宋体"/>
          <w:b/>
        </w:rPr>
        <w:t>3.</w:t>
      </w:r>
      <w:r>
        <w:rPr>
          <w:rFonts w:ascii="宋体" w:hAnsi="宋体"/>
          <w:b/>
        </w:rPr>
        <w:t xml:space="preserve"> </w:t>
      </w:r>
      <w:r>
        <w:rPr>
          <w:rFonts w:hint="eastAsia" w:ascii="宋体" w:hAnsi="宋体"/>
          <w:b/>
        </w:rPr>
        <w:t>单价、合价和投标总价为包干价，即三者均应包含设备的价款、包装、运输、装卸、安装、调试、技术指导、培训、咨询、服务、保险、税费、检测、验收合格交付使用之前以及技术和售后服务等其他各项有关费用。</w:t>
      </w:r>
    </w:p>
    <w:p>
      <w:pPr>
        <w:ind w:firstLine="480" w:firstLineChars="200"/>
        <w:rPr>
          <w:rFonts w:ascii="宋体" w:hAnsi="宋体"/>
          <w:b/>
        </w:rPr>
      </w:pPr>
      <w:r>
        <w:rPr>
          <w:rFonts w:hint="eastAsia" w:ascii="宋体" w:hAnsi="宋体"/>
          <w:b/>
        </w:rPr>
        <w:t>4.</w:t>
      </w:r>
      <w:r>
        <w:rPr>
          <w:rFonts w:ascii="宋体" w:hAnsi="宋体"/>
          <w:b/>
        </w:rPr>
        <w:t xml:space="preserve"> </w:t>
      </w:r>
      <w:r>
        <w:rPr>
          <w:rFonts w:hint="eastAsia" w:ascii="宋体" w:hAnsi="宋体"/>
          <w:b/>
        </w:rPr>
        <w:t>开标一览表的投标总价应当与项目报价表的投标总价一致。</w:t>
      </w:r>
    </w:p>
    <w:p>
      <w:pPr>
        <w:ind w:firstLine="471" w:firstLineChars="196"/>
        <w:rPr>
          <w:rFonts w:ascii="宋体" w:hAnsi="宋体"/>
          <w:b/>
        </w:rPr>
      </w:pPr>
      <w:r>
        <w:rPr>
          <w:rFonts w:hint="eastAsia" w:ascii="宋体" w:hAnsi="宋体"/>
          <w:b/>
        </w:rPr>
        <w:t>5.</w:t>
      </w:r>
      <w:r>
        <w:rPr>
          <w:rFonts w:ascii="宋体" w:hAnsi="宋体"/>
          <w:b/>
        </w:rPr>
        <w:t xml:space="preserve"> </w:t>
      </w:r>
      <w:r>
        <w:rPr>
          <w:rFonts w:hint="eastAsia" w:ascii="宋体" w:hAnsi="宋体"/>
          <w:b/>
        </w:rPr>
        <w:t>“原产地”是指该产品的实际生产加工地，而非品牌总公司所在地。</w:t>
      </w:r>
    </w:p>
    <w:p>
      <w:pPr>
        <w:ind w:firstLine="471" w:firstLineChars="196"/>
        <w:rPr>
          <w:rFonts w:ascii="宋体" w:hAnsi="宋体"/>
          <w:b/>
        </w:rPr>
      </w:pPr>
      <w:r>
        <w:rPr>
          <w:rFonts w:hint="eastAsia" w:ascii="宋体" w:hAnsi="宋体"/>
          <w:b/>
        </w:rPr>
        <w:t>6.</w:t>
      </w:r>
      <w:r>
        <w:rPr>
          <w:rFonts w:hint="eastAsia"/>
        </w:rPr>
        <w:t xml:space="preserve"> </w:t>
      </w:r>
      <w:r>
        <w:rPr>
          <w:rFonts w:hint="eastAsia" w:ascii="宋体" w:hAnsi="宋体"/>
          <w:b/>
        </w:rPr>
        <w:t>详细填写所投货物的制造商名称；若如所投产品属于定制类的非量产货物或无具体型号的货物，可以不填写型号等信息，但应当标注投标产品为定制产品。</w:t>
      </w:r>
    </w:p>
    <w:p>
      <w:pPr>
        <w:ind w:firstLine="480" w:firstLineChars="200"/>
        <w:rPr>
          <w:rFonts w:ascii="宋体" w:hAnsi="宋体"/>
          <w:b/>
        </w:rPr>
      </w:pPr>
    </w:p>
    <w:p>
      <w:pPr>
        <w:ind w:firstLine="480" w:firstLineChars="200"/>
        <w:rPr>
          <w:rFonts w:ascii="宋体" w:hAnsi="宋体"/>
          <w:b/>
        </w:rPr>
      </w:pPr>
    </w:p>
    <w:p>
      <w:pPr>
        <w:ind w:firstLine="480" w:firstLineChars="200"/>
        <w:rPr>
          <w:rFonts w:ascii="宋体" w:hAnsi="宋体"/>
          <w:b/>
        </w:rPr>
      </w:pPr>
    </w:p>
    <w:p>
      <w:pPr>
        <w:jc w:val="center"/>
        <w:rPr>
          <w:rFonts w:eastAsia="宋体"/>
          <w:b/>
          <w:bCs/>
        </w:rPr>
      </w:pPr>
      <w:r>
        <w:rPr>
          <w:rFonts w:hint="eastAsia" w:eastAsia="宋体"/>
          <w:b/>
          <w:bCs/>
        </w:rPr>
        <w:t>（二）核心产品的品牌情况</w:t>
      </w:r>
    </w:p>
    <w:p>
      <w:pPr>
        <w:ind w:firstLine="480" w:firstLineChars="200"/>
        <w:rPr>
          <w:rFonts w:ascii="宋体" w:hAnsi="宋体"/>
          <w:b/>
        </w:rPr>
      </w:pPr>
    </w:p>
    <w:p>
      <w:pPr>
        <w:ind w:firstLine="480" w:firstLineChars="200"/>
        <w:rPr>
          <w:rFonts w:ascii="宋体" w:hAnsi="宋体"/>
          <w:b/>
        </w:rPr>
      </w:pPr>
      <w:r>
        <w:rPr>
          <w:rFonts w:hint="eastAsia"/>
          <w:b/>
        </w:rPr>
        <w:t>我公司所投核心产品的品牌为：</w:t>
      </w:r>
      <w:r>
        <w:rPr>
          <w:rFonts w:hint="eastAsia"/>
          <w:b/>
          <w:u w:val="single"/>
        </w:rPr>
        <w:t xml:space="preserve">               </w:t>
      </w:r>
      <w:r>
        <w:rPr>
          <w:rFonts w:hint="eastAsia"/>
          <w:b/>
        </w:rPr>
        <w:t>。</w:t>
      </w:r>
    </w:p>
    <w:p>
      <w:pPr>
        <w:ind w:firstLine="480" w:firstLineChars="200"/>
        <w:rPr>
          <w:rFonts w:ascii="宋体" w:hAnsi="宋体"/>
          <w:b/>
        </w:rPr>
      </w:pPr>
    </w:p>
    <w:p>
      <w:pPr>
        <w:ind w:firstLine="480" w:firstLineChars="200"/>
        <w:rPr>
          <w:rFonts w:ascii="宋体" w:hAnsi="宋体"/>
        </w:rPr>
      </w:pPr>
      <w:r>
        <w:rPr>
          <w:rFonts w:hint="eastAsia" w:ascii="宋体" w:hAnsi="宋体"/>
        </w:rPr>
        <w:t>备注：招标文件未列明核心产品的，无需填写该项。</w:t>
      </w:r>
    </w:p>
    <w:p>
      <w:pPr>
        <w:ind w:firstLine="480" w:firstLineChars="200"/>
        <w:rPr>
          <w:rFonts w:ascii="宋体" w:hAnsi="宋体"/>
          <w:b/>
        </w:rPr>
      </w:pPr>
    </w:p>
    <w:p>
      <w:pPr>
        <w:ind w:firstLine="480" w:firstLineChars="200"/>
        <w:rPr>
          <w:rFonts w:ascii="宋体" w:hAnsi="宋体"/>
          <w:b/>
        </w:rPr>
      </w:pPr>
    </w:p>
    <w:p>
      <w:pPr>
        <w:rPr>
          <w:b/>
        </w:rPr>
      </w:pPr>
    </w:p>
    <w:p>
      <w:pPr>
        <w:ind w:firstLine="480" w:firstLineChars="200"/>
        <w:rPr>
          <w:rFonts w:ascii="宋体" w:hAnsi="宋体"/>
          <w:szCs w:val="21"/>
        </w:rPr>
      </w:pPr>
      <w:r>
        <w:rPr>
          <w:rFonts w:hint="eastAsia" w:ascii="宋体" w:hAnsi="宋体"/>
          <w:b/>
          <w:bCs/>
        </w:rPr>
        <w:t>（三）《零配件、消耗品和延续保修合同报价明清单》</w:t>
      </w:r>
    </w:p>
    <w:p>
      <w:pPr>
        <w:ind w:firstLine="480" w:firstLineChars="200"/>
        <w:rPr>
          <w:rFonts w:hAnsi="宋体"/>
          <w:b/>
          <w:bCs/>
          <w:szCs w:val="21"/>
        </w:rPr>
      </w:pPr>
      <w:r>
        <w:rPr>
          <w:rFonts w:hint="eastAsia" w:hAnsi="宋体"/>
          <w:b/>
          <w:bCs/>
          <w:szCs w:val="21"/>
        </w:rPr>
        <w:t>注：格式参照《（一）项目报价表》表格，但须提供相应的品牌（没有品牌的，可提供制造商名称）、规格型号、原产地、单价等详细信息</w:t>
      </w:r>
    </w:p>
    <w:p>
      <w:pPr>
        <w:ind w:firstLine="480" w:firstLineChars="200"/>
        <w:rPr>
          <w:rFonts w:hAnsi="宋体"/>
          <w:b/>
          <w:bCs/>
        </w:rPr>
      </w:pPr>
    </w:p>
    <w:p>
      <w:pPr>
        <w:ind w:firstLine="480" w:firstLineChars="200"/>
        <w:rPr>
          <w:rFonts w:hAnsi="宋体"/>
          <w:b/>
          <w:bCs/>
        </w:rPr>
      </w:pPr>
    </w:p>
    <w:p>
      <w:pPr>
        <w:jc w:val="center"/>
        <w:rPr>
          <w:b/>
        </w:rPr>
      </w:pPr>
      <w:r>
        <w:rPr>
          <w:rFonts w:hint="eastAsia"/>
          <w:b/>
        </w:rPr>
        <w:t>（四）供应商认为需要涉及的其他内容报价清单</w:t>
      </w:r>
    </w:p>
    <w:p>
      <w:pPr>
        <w:ind w:firstLine="480" w:firstLineChars="200"/>
        <w:jc w:val="center"/>
        <w:rPr>
          <w:rFonts w:hAnsi="宋体"/>
          <w:b/>
          <w:bCs/>
        </w:rPr>
      </w:pPr>
    </w:p>
    <w:p>
      <w:pPr>
        <w:spacing w:before="260" w:after="260"/>
        <w:jc w:val="center"/>
        <w:outlineLvl w:val="2"/>
        <w:rPr>
          <w:rFonts w:hint="eastAsia" w:ascii="宋体" w:hAnsi="宋体" w:eastAsia="宋体" w:cs="宋体"/>
          <w:b/>
          <w:sz w:val="28"/>
          <w:szCs w:val="28"/>
        </w:rPr>
      </w:pPr>
      <w:r>
        <w:rPr>
          <w:rFonts w:hint="eastAsia" w:ascii="宋体" w:hAnsi="宋体" w:eastAsia="宋体" w:cs="宋体"/>
          <w:b/>
          <w:sz w:val="28"/>
          <w:szCs w:val="28"/>
        </w:rPr>
        <w:t>五、中小企业声明函及残疾人福利性单位声明函（或省级以上监狱管理局、戒毒管理局（含新疆生产建设兵团）出具的属于监狱企业的证明文件）（</w:t>
      </w:r>
      <w:r>
        <w:rPr>
          <w:rFonts w:hint="eastAsia" w:ascii="宋体" w:hAnsi="宋体" w:eastAsia="宋体" w:cs="宋体"/>
          <w:b/>
          <w:sz w:val="28"/>
          <w:szCs w:val="28"/>
          <w:lang w:val="en-US" w:eastAsia="zh-CN"/>
        </w:rPr>
        <w:t>可</w:t>
      </w:r>
      <w:r>
        <w:rPr>
          <w:rFonts w:hint="eastAsia" w:ascii="宋体" w:hAnsi="宋体" w:eastAsia="宋体" w:cs="宋体"/>
          <w:b/>
          <w:sz w:val="28"/>
          <w:szCs w:val="28"/>
        </w:rPr>
        <w:t>选）</w:t>
      </w:r>
    </w:p>
    <w:p>
      <w:pPr>
        <w:rPr>
          <w:rFonts w:hint="eastAsia" w:eastAsia="宋体"/>
          <w:b/>
          <w:bCs/>
          <w:lang w:val="en-US" w:eastAsia="zh-CN"/>
        </w:rPr>
      </w:pPr>
      <w:r>
        <w:rPr>
          <w:rFonts w:hint="eastAsia"/>
          <w:b/>
          <w:bCs/>
        </w:rPr>
        <w:t>（一）中小企业声明函、残疾人福利性单位声明函及监狱企业</w:t>
      </w:r>
      <w:r>
        <w:rPr>
          <w:rFonts w:hint="eastAsia" w:eastAsia="宋体"/>
          <w:b/>
          <w:bCs/>
          <w:lang w:val="en-US" w:eastAsia="zh-CN"/>
        </w:rPr>
        <w:t>证明</w:t>
      </w:r>
    </w:p>
    <w:p>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szCs w:val="21"/>
        </w:rPr>
      </w:pPr>
      <w:r>
        <w:rPr>
          <w:rFonts w:hint="eastAsia" w:ascii="宋体" w:hAnsi="宋体" w:eastAsia="宋体" w:cs="宋体"/>
          <w:b/>
          <w:bCs w:val="0"/>
          <w:szCs w:val="21"/>
        </w:rPr>
        <w:t>填写指引：</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szCs w:val="21"/>
        </w:rPr>
      </w:pPr>
      <w:r>
        <w:rPr>
          <w:rFonts w:hint="eastAsia" w:ascii="宋体" w:hAnsi="宋体" w:eastAsia="宋体" w:cs="宋体"/>
          <w:b/>
          <w:bCs w:val="0"/>
          <w:szCs w:val="21"/>
          <w:lang w:val="en-US" w:eastAsia="zh-CN"/>
        </w:rPr>
        <w:t>1、</w:t>
      </w:r>
      <w:r>
        <w:rPr>
          <w:rFonts w:hint="eastAsia" w:ascii="宋体" w:hAnsi="宋体" w:eastAsia="宋体" w:cs="宋体"/>
          <w:b/>
          <w:bCs w:val="0"/>
          <w:szCs w:val="21"/>
        </w:rPr>
        <w:t>该部分内容由投标人根据自身实际情况填写，不符合要求的投标人可以不填写或直接删除相应的声明函。投标人提供的声明函不属实的，属于提供虚假资料谋取中标，依照《中华人民共和国政府采购法》等国家有关规定追究相应责任。</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szCs w:val="21"/>
        </w:rPr>
      </w:pPr>
      <w:r>
        <w:rPr>
          <w:rFonts w:hint="eastAsia" w:ascii="宋体" w:hAnsi="宋体" w:eastAsia="宋体" w:cs="宋体"/>
          <w:b/>
          <w:bCs w:val="0"/>
          <w:szCs w:val="21"/>
        </w:rPr>
        <w:t>2、该部分内容填写需要参考的相关文件：(1)财政部《政府采购促进中小企业发展管理办法》（财库〔2020〕46号）；(2)《工业和信息化部、国家统计局、国家发展和改革委员会、财政部关于印发中小企业划型标准规定的通知》（工信部联企业〔2011〕300号，以下简称300号文）。</w:t>
      </w:r>
    </w:p>
    <w:p>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szCs w:val="21"/>
        </w:rPr>
      </w:pPr>
      <w:r>
        <w:rPr>
          <w:rFonts w:hint="eastAsia" w:ascii="宋体" w:hAnsi="宋体" w:eastAsia="宋体" w:cs="宋体"/>
          <w:b/>
          <w:bCs w:val="0"/>
          <w:szCs w:val="21"/>
        </w:rPr>
        <w:t>3、请依照提供的格式和内容填写声明函，不要随意变更格式；声明函不需要盖章或签字。</w:t>
      </w:r>
    </w:p>
    <w:p>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szCs w:val="21"/>
        </w:rPr>
      </w:pPr>
      <w:r>
        <w:rPr>
          <w:rFonts w:hint="eastAsia" w:ascii="宋体" w:hAnsi="宋体" w:eastAsia="宋体" w:cs="宋体"/>
          <w:b/>
          <w:bCs w:val="0"/>
          <w:szCs w:val="21"/>
        </w:rPr>
        <w:t>4、声明函具体填写要求：</w:t>
      </w:r>
    </w:p>
    <w:p>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szCs w:val="21"/>
        </w:rPr>
      </w:pPr>
      <w:r>
        <w:rPr>
          <w:rFonts w:hint="eastAsia" w:ascii="宋体" w:hAnsi="宋体" w:eastAsia="宋体" w:cs="宋体"/>
          <w:b/>
          <w:bCs w:val="0"/>
          <w:szCs w:val="21"/>
        </w:rPr>
        <w:t>（1）声明是中小企业须填写《中小企业声明函》的以下内容：</w:t>
      </w:r>
    </w:p>
    <w:p>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szCs w:val="21"/>
        </w:rPr>
      </w:pPr>
      <w:r>
        <w:rPr>
          <w:rFonts w:hint="eastAsia" w:ascii="宋体" w:hAnsi="宋体" w:eastAsia="宋体" w:cs="宋体"/>
          <w:b/>
          <w:bCs w:val="0"/>
          <w:szCs w:val="21"/>
        </w:rPr>
        <w:t>第一处，在“单位名称”下划线处如实填写采购人名称（</w:t>
      </w:r>
      <w:r>
        <w:rPr>
          <w:rFonts w:hint="eastAsia" w:ascii="宋体" w:hAnsi="宋体" w:eastAsia="宋体" w:cs="宋体"/>
          <w:b/>
          <w:bCs w:val="0"/>
          <w:szCs w:val="21"/>
          <w:lang w:val="en-US" w:eastAsia="zh-CN"/>
        </w:rPr>
        <w:t>即深圳市南山实验教育集团</w:t>
      </w:r>
      <w:r>
        <w:rPr>
          <w:rFonts w:hint="eastAsia" w:ascii="宋体" w:hAnsi="宋体" w:eastAsia="宋体" w:cs="宋体"/>
          <w:b/>
          <w:bCs w:val="0"/>
          <w:szCs w:val="21"/>
        </w:rPr>
        <w:t>）；</w:t>
      </w:r>
    </w:p>
    <w:p>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szCs w:val="21"/>
        </w:rPr>
      </w:pPr>
      <w:r>
        <w:rPr>
          <w:rFonts w:hint="eastAsia" w:ascii="宋体" w:hAnsi="宋体" w:eastAsia="宋体" w:cs="宋体"/>
          <w:b/>
          <w:bCs w:val="0"/>
          <w:szCs w:val="21"/>
        </w:rPr>
        <w:t>第二处，在“项目名称”下划线处如实填写采购项目名称；</w:t>
      </w:r>
    </w:p>
    <w:p>
      <w:pPr>
        <w:keepNext w:val="0"/>
        <w:keepLines w:val="0"/>
        <w:pageBreakBefore w:val="0"/>
        <w:widowControl/>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val="0"/>
          <w:szCs w:val="21"/>
        </w:rPr>
      </w:pPr>
      <w:r>
        <w:rPr>
          <w:rFonts w:hint="eastAsia" w:ascii="宋体" w:hAnsi="宋体" w:eastAsia="宋体" w:cs="宋体"/>
          <w:b/>
          <w:bCs w:val="0"/>
          <w:color w:val="FF0000"/>
          <w:szCs w:val="21"/>
          <w:highlight w:val="yellow"/>
          <w:lang w:eastAsia="zh-CN"/>
        </w:rPr>
        <w:t>第三处，在“标的名称”下划线处填写所采购货物（标的）的具体名称（以招标文件第一册“第一册 专用条款，招标文件第</w:t>
      </w:r>
      <w:r>
        <w:rPr>
          <w:rFonts w:hint="eastAsia" w:ascii="宋体" w:hAnsi="宋体" w:eastAsia="宋体" w:cs="宋体"/>
          <w:b/>
          <w:bCs w:val="0"/>
          <w:color w:val="FF0000"/>
          <w:szCs w:val="21"/>
          <w:highlight w:val="yellow"/>
          <w:lang w:val="en-US" w:eastAsia="zh-CN"/>
        </w:rPr>
        <w:t>三</w:t>
      </w:r>
      <w:r>
        <w:rPr>
          <w:rFonts w:hint="eastAsia" w:ascii="宋体" w:hAnsi="宋体" w:eastAsia="宋体" w:cs="宋体"/>
          <w:b/>
          <w:bCs w:val="0"/>
          <w:color w:val="FF0000"/>
          <w:szCs w:val="21"/>
          <w:highlight w:val="yellow"/>
          <w:lang w:eastAsia="zh-CN"/>
        </w:rPr>
        <w:t xml:space="preserve">章 </w:t>
      </w:r>
      <w:r>
        <w:rPr>
          <w:rFonts w:hint="eastAsia" w:ascii="宋体" w:hAnsi="宋体" w:eastAsia="宋体" w:cs="宋体"/>
          <w:b/>
          <w:bCs w:val="0"/>
          <w:color w:val="FF0000"/>
          <w:szCs w:val="21"/>
          <w:highlight w:val="yellow"/>
          <w:lang w:val="en-US" w:eastAsia="zh-CN"/>
        </w:rPr>
        <w:t>用户需求书</w:t>
      </w:r>
      <w:r>
        <w:rPr>
          <w:rFonts w:hint="eastAsia" w:ascii="宋体" w:hAnsi="宋体" w:eastAsia="宋体" w:cs="宋体"/>
          <w:b/>
          <w:bCs w:val="0"/>
          <w:color w:val="FF0000"/>
          <w:szCs w:val="21"/>
          <w:highlight w:val="yellow"/>
          <w:lang w:eastAsia="zh-CN"/>
        </w:rPr>
        <w:t>，（二）</w:t>
      </w:r>
      <w:r>
        <w:rPr>
          <w:rFonts w:hint="eastAsia" w:ascii="宋体" w:hAnsi="宋体" w:eastAsia="宋体" w:cs="宋体"/>
          <w:b/>
          <w:bCs w:val="0"/>
          <w:color w:val="FF0000"/>
          <w:szCs w:val="21"/>
          <w:highlight w:val="yellow"/>
          <w:lang w:val="en-US" w:eastAsia="zh-CN"/>
        </w:rPr>
        <w:t>货物需求明细</w:t>
      </w:r>
      <w:r>
        <w:rPr>
          <w:rFonts w:hint="eastAsia" w:ascii="宋体" w:hAnsi="宋体" w:eastAsia="宋体" w:cs="宋体"/>
          <w:b/>
          <w:bCs w:val="0"/>
          <w:color w:val="FF0000"/>
          <w:szCs w:val="21"/>
          <w:highlight w:val="yellow"/>
          <w:lang w:eastAsia="zh-CN"/>
        </w:rPr>
        <w:t>的“货物名称（标的名称）”一栏为准）；如果涉及多个货物（标的）由同一企业</w:t>
      </w:r>
      <w:r>
        <w:rPr>
          <w:rFonts w:hint="eastAsia" w:ascii="宋体" w:hAnsi="宋体" w:eastAsia="宋体" w:cs="宋体"/>
          <w:b/>
          <w:bCs w:val="0"/>
          <w:color w:val="FF0000"/>
          <w:szCs w:val="21"/>
          <w:highlight w:val="yellow"/>
          <w:lang w:val="en-US" w:eastAsia="zh-CN"/>
        </w:rPr>
        <w:t>制造</w:t>
      </w:r>
      <w:r>
        <w:rPr>
          <w:rFonts w:hint="eastAsia" w:ascii="宋体" w:hAnsi="宋体" w:eastAsia="宋体" w:cs="宋体"/>
          <w:b/>
          <w:bCs w:val="0"/>
          <w:color w:val="FF0000"/>
          <w:szCs w:val="21"/>
          <w:highlight w:val="yellow"/>
          <w:lang w:eastAsia="zh-CN"/>
        </w:rPr>
        <w:t>，“标的名称”下划线处可以如实填写多个货物（标的）；</w:t>
      </w:r>
    </w:p>
    <w:p>
      <w:pPr>
        <w:pStyle w:val="7"/>
        <w:rPr>
          <w:rFonts w:hint="eastAsia" w:ascii="宋体" w:hAnsi="宋体" w:eastAsia="宋体" w:cs="宋体"/>
          <w:b/>
          <w:bCs w:val="0"/>
          <w:szCs w:val="21"/>
        </w:rPr>
      </w:pPr>
      <w:r>
        <w:rPr>
          <w:rFonts w:hint="eastAsia" w:ascii="宋体" w:hAnsi="宋体" w:eastAsia="宋体" w:cs="宋体"/>
          <w:b/>
          <w:bCs w:val="0"/>
          <w:szCs w:val="21"/>
        </w:rPr>
        <w:t>第四处，在“招标文件中明确的所属行业”下划线处填写采购标的对应的中小企业划分标准所属行业</w:t>
      </w:r>
      <w:r>
        <w:rPr>
          <w:rFonts w:hint="eastAsia" w:ascii="宋体" w:hAnsi="宋体" w:eastAsia="宋体" w:cs="宋体"/>
          <w:b/>
          <w:bCs w:val="0"/>
          <w:szCs w:val="21"/>
          <w:lang w:eastAsia="zh-CN"/>
        </w:rPr>
        <w:t>”（</w:t>
      </w:r>
      <w:r>
        <w:rPr>
          <w:rFonts w:hint="eastAsia" w:ascii="宋体" w:hAnsi="宋体" w:eastAsia="宋体" w:cs="宋体"/>
          <w:b/>
          <w:bCs w:val="0"/>
          <w:szCs w:val="21"/>
          <w:lang w:val="en-US" w:eastAsia="zh-CN"/>
        </w:rPr>
        <w:t>本项目所属行业：</w:t>
      </w:r>
      <w:r>
        <w:rPr>
          <w:rFonts w:hint="eastAsia" w:ascii="宋体" w:hAnsi="宋体" w:eastAsia="宋体" w:cs="宋体"/>
          <w:b/>
          <w:color w:val="000000" w:themeColor="text1"/>
          <w:szCs w:val="21"/>
          <w:highlight w:val="none"/>
          <w14:textFill>
            <w14:solidFill>
              <w14:schemeClr w14:val="tx1"/>
            </w14:solidFill>
          </w14:textFill>
        </w:rPr>
        <w:t>本项目采购标的共有</w:t>
      </w:r>
      <w:r>
        <w:rPr>
          <w:rFonts w:hint="eastAsia" w:ascii="宋体" w:hAnsi="宋体" w:eastAsia="宋体" w:cs="宋体"/>
          <w:b/>
          <w:color w:val="000000" w:themeColor="text1"/>
          <w:szCs w:val="21"/>
          <w:highlight w:val="yellow"/>
          <w:u w:val="single"/>
          <w:lang w:val="en-US" w:eastAsia="zh-CN"/>
          <w14:textFill>
            <w14:solidFill>
              <w14:schemeClr w14:val="tx1"/>
            </w14:solidFill>
          </w14:textFill>
        </w:rPr>
        <w:t>89</w:t>
      </w:r>
      <w:r>
        <w:rPr>
          <w:rFonts w:hint="eastAsia" w:ascii="宋体" w:hAnsi="宋体" w:eastAsia="宋体" w:cs="宋体"/>
          <w:b/>
          <w:color w:val="000000" w:themeColor="text1"/>
          <w:szCs w:val="21"/>
          <w:highlight w:val="none"/>
          <w14:textFill>
            <w14:solidFill>
              <w14:schemeClr w14:val="tx1"/>
            </w14:solidFill>
          </w14:textFill>
        </w:rPr>
        <w:t>个，</w:t>
      </w:r>
      <w:r>
        <w:rPr>
          <w:rFonts w:hint="eastAsia" w:ascii="宋体" w:hAnsi="宋体" w:eastAsia="宋体" w:cs="宋体"/>
          <w:b/>
          <w:color w:val="000000" w:themeColor="text1"/>
          <w:szCs w:val="21"/>
          <w:highlight w:val="yellow"/>
          <w:u w:val="single"/>
          <w14:textFill>
            <w14:solidFill>
              <w14:schemeClr w14:val="tx1"/>
            </w14:solidFill>
          </w14:textFill>
        </w:rPr>
        <w:t>实验教学测评管理系统</w:t>
      </w:r>
      <w:r>
        <w:rPr>
          <w:rFonts w:hint="eastAsia" w:ascii="宋体" w:hAnsi="宋体" w:eastAsia="宋体" w:cs="宋体"/>
          <w:b/>
          <w:color w:val="000000" w:themeColor="text1"/>
          <w:szCs w:val="21"/>
          <w:highlight w:val="yellow"/>
          <w:u w:val="single"/>
          <w:lang w:eastAsia="zh-CN"/>
          <w14:textFill>
            <w14:solidFill>
              <w14:schemeClr w14:val="tx1"/>
            </w14:solidFill>
          </w14:textFill>
        </w:rPr>
        <w:t>、</w:t>
      </w:r>
      <w:r>
        <w:rPr>
          <w:rFonts w:hint="eastAsia" w:ascii="宋体" w:hAnsi="宋体" w:eastAsia="宋体" w:cs="宋体"/>
          <w:b/>
          <w:color w:val="000000" w:themeColor="text1"/>
          <w:szCs w:val="21"/>
          <w:highlight w:val="yellow"/>
          <w:u w:val="single"/>
          <w14:textFill>
            <w14:solidFill>
              <w14:schemeClr w14:val="tx1"/>
            </w14:solidFill>
          </w14:textFill>
        </w:rPr>
        <w:t>AI教考练系统</w:t>
      </w:r>
      <w:r>
        <w:rPr>
          <w:rFonts w:hint="eastAsia" w:ascii="宋体" w:hAnsi="宋体" w:eastAsia="宋体" w:cs="宋体"/>
          <w:b/>
          <w:color w:val="000000" w:themeColor="text1"/>
          <w:szCs w:val="21"/>
          <w:highlight w:val="yellow"/>
          <w:u w:val="single"/>
          <w:lang w:eastAsia="zh-CN"/>
          <w14:textFill>
            <w14:solidFill>
              <w14:schemeClr w14:val="tx1"/>
            </w14:solidFill>
          </w14:textFill>
        </w:rPr>
        <w:t>、</w:t>
      </w:r>
      <w:r>
        <w:rPr>
          <w:rFonts w:hint="eastAsia" w:ascii="宋体" w:hAnsi="宋体" w:eastAsia="宋体" w:cs="宋体"/>
          <w:b/>
          <w:color w:val="000000" w:themeColor="text1"/>
          <w:szCs w:val="21"/>
          <w:highlight w:val="yellow"/>
          <w:u w:val="single"/>
          <w14:textFill>
            <w14:solidFill>
              <w14:schemeClr w14:val="tx1"/>
            </w14:solidFill>
          </w14:textFill>
        </w:rPr>
        <w:t>国产操作系统</w:t>
      </w:r>
      <w:r>
        <w:rPr>
          <w:rFonts w:hint="eastAsia" w:ascii="宋体" w:hAnsi="宋体" w:eastAsia="宋体" w:cs="宋体"/>
          <w:b/>
          <w:color w:val="000000" w:themeColor="text1"/>
          <w:szCs w:val="21"/>
          <w:highlight w:val="yellow"/>
          <w:u w:val="single"/>
          <w:lang w:eastAsia="zh-CN"/>
          <w14:textFill>
            <w14:solidFill>
              <w14:schemeClr w14:val="tx1"/>
            </w14:solidFill>
          </w14:textFill>
        </w:rPr>
        <w:t>、</w:t>
      </w:r>
      <w:r>
        <w:rPr>
          <w:rFonts w:hint="eastAsia" w:ascii="宋体" w:hAnsi="宋体" w:eastAsia="宋体" w:cs="宋体"/>
          <w:b/>
          <w:color w:val="000000" w:themeColor="text1"/>
          <w:szCs w:val="21"/>
          <w:highlight w:val="yellow"/>
          <w:u w:val="single"/>
          <w14:textFill>
            <w14:solidFill>
              <w14:schemeClr w14:val="tx1"/>
            </w14:solidFill>
          </w14:textFill>
        </w:rPr>
        <w:t>学生实验操作台（终端）</w:t>
      </w:r>
      <w:r>
        <w:rPr>
          <w:rFonts w:hint="eastAsia" w:ascii="宋体" w:hAnsi="宋体" w:eastAsia="宋体" w:cs="宋体"/>
          <w:b/>
          <w:color w:val="000000" w:themeColor="text1"/>
          <w:szCs w:val="21"/>
          <w:highlight w:val="yellow"/>
          <w:u w:val="single"/>
          <w:lang w:eastAsia="zh-CN"/>
          <w14:textFill>
            <w14:solidFill>
              <w14:schemeClr w14:val="tx1"/>
            </w14:solidFill>
          </w14:textFill>
        </w:rPr>
        <w:t>、</w:t>
      </w:r>
      <w:r>
        <w:rPr>
          <w:rFonts w:hint="eastAsia" w:ascii="宋体" w:hAnsi="宋体" w:eastAsia="宋体" w:cs="宋体"/>
          <w:b/>
          <w:color w:val="000000" w:themeColor="text1"/>
          <w:szCs w:val="21"/>
          <w:highlight w:val="yellow"/>
          <w:u w:val="single"/>
          <w14:textFill>
            <w14:solidFill>
              <w14:schemeClr w14:val="tx1"/>
            </w14:solidFill>
          </w14:textFill>
        </w:rPr>
        <w:t>实验教学测评监考软件</w:t>
      </w:r>
      <w:r>
        <w:rPr>
          <w:rFonts w:hint="eastAsia" w:ascii="宋体" w:hAnsi="宋体" w:eastAsia="宋体" w:cs="宋体"/>
          <w:b/>
          <w:color w:val="000000" w:themeColor="text1"/>
          <w:szCs w:val="21"/>
          <w:highlight w:val="yellow"/>
          <w:u w:val="single"/>
          <w:lang w:eastAsia="zh-CN"/>
          <w14:textFill>
            <w14:solidFill>
              <w14:schemeClr w14:val="tx1"/>
            </w14:solidFill>
          </w14:textFill>
        </w:rPr>
        <w:t>、</w:t>
      </w:r>
      <w:r>
        <w:rPr>
          <w:rFonts w:hint="eastAsia" w:ascii="宋体" w:hAnsi="宋体" w:eastAsia="宋体" w:cs="宋体"/>
          <w:b/>
          <w:color w:val="000000" w:themeColor="text1"/>
          <w:szCs w:val="21"/>
          <w:highlight w:val="yellow"/>
          <w:u w:val="single"/>
          <w14:textFill>
            <w14:solidFill>
              <w14:schemeClr w14:val="tx1"/>
            </w14:solidFill>
          </w14:textFill>
        </w:rPr>
        <w:t>辅材、综合布线、安装调试</w:t>
      </w:r>
      <w:r>
        <w:rPr>
          <w:rFonts w:hint="eastAsia" w:ascii="宋体" w:hAnsi="宋体" w:eastAsia="宋体" w:cs="宋体"/>
          <w:b/>
          <w:color w:val="000000" w:themeColor="text1"/>
          <w:szCs w:val="21"/>
          <w:highlight w:val="yellow"/>
          <w:u w:val="single"/>
          <w:lang w:eastAsia="zh-CN"/>
          <w14:textFill>
            <w14:solidFill>
              <w14:schemeClr w14:val="tx1"/>
            </w14:solidFill>
          </w14:textFill>
        </w:rPr>
        <w:t>、</w:t>
      </w:r>
      <w:r>
        <w:rPr>
          <w:rFonts w:hint="eastAsia" w:ascii="宋体" w:hAnsi="宋体" w:eastAsia="宋体" w:cs="宋体"/>
          <w:b/>
          <w:color w:val="000000" w:themeColor="text1"/>
          <w:szCs w:val="21"/>
          <w:highlight w:val="yellow"/>
          <w:u w:val="single"/>
          <w14:textFill>
            <w14:solidFill>
              <w14:schemeClr w14:val="tx1"/>
            </w14:solidFill>
          </w14:textFill>
        </w:rPr>
        <w:t>抽签软件</w:t>
      </w:r>
      <w:r>
        <w:rPr>
          <w:rFonts w:hint="eastAsia" w:ascii="宋体" w:hAnsi="宋体" w:eastAsia="宋体" w:cs="宋体"/>
          <w:b/>
          <w:color w:val="000000" w:themeColor="text1"/>
          <w:szCs w:val="21"/>
          <w:highlight w:val="yellow"/>
          <w:u w:val="single"/>
          <w:lang w:eastAsia="zh-CN"/>
          <w14:textFill>
            <w14:solidFill>
              <w14:schemeClr w14:val="tx1"/>
            </w14:solidFill>
          </w14:textFill>
        </w:rPr>
        <w:t>、</w:t>
      </w:r>
      <w:r>
        <w:rPr>
          <w:rFonts w:hint="eastAsia" w:ascii="宋体" w:hAnsi="宋体" w:eastAsia="宋体" w:cs="宋体"/>
          <w:b/>
          <w:color w:val="000000" w:themeColor="text1"/>
          <w:szCs w:val="21"/>
          <w:highlight w:val="yellow"/>
          <w:u w:val="single"/>
          <w14:textFill>
            <w14:solidFill>
              <w14:schemeClr w14:val="tx1"/>
            </w14:solidFill>
          </w14:textFill>
        </w:rPr>
        <w:t>实验室安装调试</w:t>
      </w:r>
      <w:r>
        <w:rPr>
          <w:rFonts w:hint="eastAsia" w:ascii="宋体" w:hAnsi="宋体" w:eastAsia="宋体" w:cs="宋体"/>
          <w:b/>
          <w:color w:val="000000" w:themeColor="text1"/>
          <w:szCs w:val="21"/>
          <w:highlight w:val="none"/>
          <w14:textFill>
            <w14:solidFill>
              <w14:schemeClr w14:val="tx1"/>
            </w14:solidFill>
          </w14:textFill>
        </w:rPr>
        <w:t>对应的中小企业划分标准所属行业为</w:t>
      </w:r>
      <w:r>
        <w:rPr>
          <w:rFonts w:hint="eastAsia" w:ascii="宋体" w:hAnsi="宋体" w:eastAsia="宋体" w:cs="宋体"/>
          <w:b/>
          <w:color w:val="FF0000"/>
          <w:szCs w:val="21"/>
          <w:highlight w:val="none"/>
          <w:u w:val="single"/>
        </w:rPr>
        <w:t>软件和信息技术服务业</w:t>
      </w:r>
      <w:r>
        <w:rPr>
          <w:rFonts w:hint="eastAsia" w:ascii="宋体" w:hAnsi="宋体" w:eastAsia="宋体" w:cs="宋体"/>
          <w:b/>
          <w:color w:val="000000" w:themeColor="text1"/>
          <w:szCs w:val="21"/>
          <w:highlight w:val="none"/>
          <w14:textFill>
            <w14:solidFill>
              <w14:schemeClr w14:val="tx1"/>
            </w14:solidFill>
          </w14:textFill>
        </w:rPr>
        <w:t>，</w:t>
      </w:r>
      <w:r>
        <w:rPr>
          <w:rFonts w:hint="eastAsia" w:ascii="宋体" w:hAnsi="宋体" w:eastAsia="宋体" w:cs="宋体"/>
          <w:b/>
          <w:color w:val="000000" w:themeColor="text1"/>
          <w:szCs w:val="21"/>
          <w:highlight w:val="yellow"/>
          <w:u w:val="single"/>
          <w:lang w:val="en-US" w:eastAsia="zh-CN"/>
          <w14:textFill>
            <w14:solidFill>
              <w14:schemeClr w14:val="tx1"/>
            </w14:solidFill>
          </w14:textFill>
        </w:rPr>
        <w:t>校级平台服务器、AI算力终端、移动硬盘、汇聚交换机、实验信息采集终端、考场监考管理主机、考场交换机、路由器、桌垫、巡考摄像机、机柜、作弊防控系统、电子目镜、不间断电源、未来实验室系统、学生端分组控制系统、实验室照明系统、实验室护眼灯罩、功能模块、低压电源、水槽柜、自动排水系统、排水系统水泵、给水控制系统、废水收集装置、系统舱体构架、悬臂动力机构、系统悬臂行程机构、摇臂、学生控制终端、舱体末端封板、系统安装辅件、学生实验桌、学生凳、教师演示台、教师椅、给排水布管、智能系统控制平台、移动控制平台、照明线路、摇臂控制系统、转轴护罩</w:t>
      </w:r>
      <w:r>
        <w:rPr>
          <w:rFonts w:hint="eastAsia" w:ascii="宋体" w:hAnsi="宋体" w:eastAsia="宋体" w:cs="宋体"/>
          <w:b/>
          <w:color w:val="000000" w:themeColor="text1"/>
          <w:szCs w:val="21"/>
          <w:highlight w:val="none"/>
          <w14:textFill>
            <w14:solidFill>
              <w14:schemeClr w14:val="tx1"/>
            </w14:solidFill>
          </w14:textFill>
        </w:rPr>
        <w:t>对应的中小企业划分标准所属行业为</w:t>
      </w:r>
      <w:r>
        <w:rPr>
          <w:rFonts w:hint="eastAsia" w:ascii="宋体" w:hAnsi="宋体" w:eastAsia="宋体" w:cs="宋体"/>
          <w:b/>
          <w:color w:val="000000" w:themeColor="text1"/>
          <w:szCs w:val="21"/>
          <w:highlight w:val="none"/>
          <w:u w:val="single"/>
          <w14:textFill>
            <w14:solidFill>
              <w14:schemeClr w14:val="tx1"/>
            </w14:solidFill>
          </w14:textFill>
        </w:rPr>
        <w:t xml:space="preserve"> </w:t>
      </w:r>
      <w:r>
        <w:rPr>
          <w:rFonts w:hint="eastAsia" w:ascii="宋体" w:hAnsi="宋体" w:eastAsia="宋体" w:cs="宋体"/>
          <w:b/>
          <w:color w:val="FF0000"/>
          <w:szCs w:val="21"/>
          <w:highlight w:val="none"/>
          <w:u w:val="single"/>
        </w:rPr>
        <w:t>工业</w:t>
      </w:r>
      <w:r>
        <w:rPr>
          <w:rFonts w:hint="eastAsia" w:ascii="宋体" w:hAnsi="宋体" w:eastAsia="宋体" w:cs="宋体"/>
          <w:b/>
          <w:bCs w:val="0"/>
          <w:szCs w:val="21"/>
          <w:lang w:eastAsia="zh-CN"/>
        </w:rPr>
        <w:t>）</w:t>
      </w:r>
      <w:r>
        <w:rPr>
          <w:rFonts w:hint="eastAsia" w:ascii="宋体" w:hAnsi="宋体" w:eastAsia="宋体" w:cs="宋体"/>
          <w:b/>
          <w:bCs w:val="0"/>
          <w:szCs w:val="21"/>
        </w:rPr>
        <w:t>；</w:t>
      </w:r>
    </w:p>
    <w:p>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szCs w:val="21"/>
        </w:rPr>
      </w:pPr>
      <w:r>
        <w:rPr>
          <w:rFonts w:hint="eastAsia" w:ascii="宋体" w:hAnsi="宋体" w:eastAsia="宋体" w:cs="宋体"/>
          <w:b/>
          <w:bCs w:val="0"/>
          <w:szCs w:val="21"/>
        </w:rPr>
        <w:t>第五处，在“企业名称”下划线处如实填写</w:t>
      </w:r>
      <w:r>
        <w:rPr>
          <w:rFonts w:hint="eastAsia" w:ascii="宋体" w:hAnsi="宋体" w:eastAsia="宋体" w:cs="宋体"/>
          <w:b/>
          <w:bCs w:val="0"/>
          <w:szCs w:val="21"/>
          <w:lang w:val="en-US" w:eastAsia="zh-CN"/>
        </w:rPr>
        <w:t>投标人</w:t>
      </w:r>
      <w:r>
        <w:rPr>
          <w:rFonts w:hint="eastAsia" w:ascii="宋体" w:hAnsi="宋体" w:eastAsia="宋体" w:cs="宋体"/>
          <w:b/>
          <w:bCs w:val="0"/>
          <w:szCs w:val="21"/>
        </w:rPr>
        <w:t>名称；在“从业人员”、“营业收入”、“资产总额”下划线处如实填写从业人员、营业收入、资产总额；在“中型企业、小型企业、微型企业”下划线处如实依照300号文填写相应的企业类型；从业人员、营业收入、资产总额填报上一年度数据，无上一年度数据的新成立企业可以不填报。</w:t>
      </w:r>
    </w:p>
    <w:p>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szCs w:val="21"/>
        </w:rPr>
      </w:pPr>
      <w:r>
        <w:rPr>
          <w:rFonts w:hint="eastAsia" w:ascii="宋体" w:hAnsi="宋体" w:eastAsia="宋体" w:cs="宋体"/>
          <w:b/>
          <w:bCs w:val="0"/>
          <w:szCs w:val="21"/>
        </w:rPr>
        <w:t>（2）声明是残疾人福利性单位须填写《残疾人福利性单位声明函》的相关内容。</w:t>
      </w:r>
    </w:p>
    <w:p>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szCs w:val="21"/>
        </w:rPr>
      </w:pPr>
      <w:r>
        <w:rPr>
          <w:rFonts w:hint="eastAsia" w:ascii="宋体" w:hAnsi="宋体" w:eastAsia="宋体" w:cs="宋体"/>
          <w:b/>
          <w:bCs w:val="0"/>
          <w:szCs w:val="21"/>
        </w:rPr>
        <w:t>（3）声明是监狱企业须填写</w:t>
      </w:r>
      <w:r>
        <w:rPr>
          <w:rFonts w:hint="eastAsia" w:ascii="宋体" w:hAnsi="宋体" w:eastAsia="宋体" w:cs="宋体"/>
          <w:b/>
          <w:bCs w:val="0"/>
          <w:szCs w:val="21"/>
          <w:lang w:val="en-US" w:eastAsia="zh-CN"/>
        </w:rPr>
        <w:t>相关内容并提供省级以上监狱管理局、戒毒管理局（含新疆生产建设兵团）出具的监狱企业证明文件</w:t>
      </w:r>
      <w:r>
        <w:rPr>
          <w:rFonts w:hint="eastAsia" w:ascii="宋体" w:hAnsi="宋体" w:eastAsia="宋体" w:cs="宋体"/>
          <w:b/>
          <w:bCs w:val="0"/>
          <w:szCs w:val="21"/>
        </w:rPr>
        <w:t>。</w:t>
      </w:r>
    </w:p>
    <w:p>
      <w:pPr>
        <w:spacing w:line="416" w:lineRule="auto"/>
        <w:ind w:firstLine="480" w:firstLineChars="200"/>
        <w:jc w:val="center"/>
        <w:rPr>
          <w:b/>
          <w:bCs/>
        </w:rPr>
      </w:pPr>
      <w:r>
        <w:rPr>
          <w:rFonts w:hint="eastAsia"/>
          <w:b/>
          <w:bCs/>
        </w:rPr>
        <w:t>1、</w:t>
      </w:r>
      <w:r>
        <w:rPr>
          <w:b/>
          <w:bCs/>
        </w:rPr>
        <w:t>中小企业声明函（货物）</w:t>
      </w:r>
    </w:p>
    <w:p>
      <w:pPr>
        <w:spacing w:line="360" w:lineRule="auto"/>
        <w:ind w:firstLine="480" w:firstLineChars="200"/>
      </w:pPr>
      <w:r>
        <w:t xml:space="preserve"> 本公司（联合体）郑重声明，根据《政府采购促进中小企业发展管理办法》（</w:t>
      </w:r>
      <w:r>
        <w:rPr>
          <w:rFonts w:hint="eastAsia" w:ascii="宋体" w:hAnsi="宋体" w:eastAsia="宋体" w:cs="宋体"/>
        </w:rPr>
        <w:t>财库﹝2020﹞46 号</w:t>
      </w:r>
      <w:r>
        <w:t>）的规定，本公司（联合体）参加</w:t>
      </w:r>
      <w:r>
        <w:rPr>
          <w:u w:val="single"/>
        </w:rPr>
        <w:t>（单位名称）</w:t>
      </w:r>
      <w:r>
        <w:t>的</w:t>
      </w:r>
      <w:r>
        <w:rPr>
          <w:u w:val="single"/>
        </w:rPr>
        <w:t>（项目名称）</w:t>
      </w:r>
      <w:r>
        <w:t>采购活动，提供的货物全部由符合政策要求的</w:t>
      </w:r>
      <w:r>
        <w:rPr>
          <w:b/>
          <w:bCs/>
        </w:rPr>
        <w:t>中小企业制造</w:t>
      </w:r>
      <w:r>
        <w:t xml:space="preserve">。相关企业 </w:t>
      </w:r>
      <w:r>
        <w:rPr>
          <w:u w:val="single"/>
        </w:rPr>
        <w:t xml:space="preserve">（含联合体中的中小企业、签订分包意向协议的中小企业） </w:t>
      </w:r>
      <w:r>
        <w:t>的具体情况如下：</w:t>
      </w:r>
    </w:p>
    <w:p>
      <w:pPr>
        <w:spacing w:line="360" w:lineRule="auto"/>
        <w:ind w:firstLine="480" w:firstLineChars="200"/>
        <w:rPr>
          <w:rFonts w:hint="eastAsia" w:ascii="宋体" w:hAnsi="宋体" w:eastAsia="宋体" w:cs="宋体"/>
        </w:rPr>
      </w:pPr>
      <w:r>
        <w:rPr>
          <w:rFonts w:hint="eastAsia" w:ascii="宋体" w:hAnsi="宋体" w:eastAsia="宋体" w:cs="宋体"/>
        </w:rPr>
        <w:t>1.</w:t>
      </w:r>
      <w:r>
        <w:rPr>
          <w:rFonts w:hint="eastAsia" w:ascii="宋体" w:hAnsi="宋体" w:eastAsia="宋体" w:cs="宋体"/>
          <w:u w:val="single"/>
        </w:rPr>
        <w:t>（</w:t>
      </w:r>
      <w:r>
        <w:rPr>
          <w:rFonts w:hint="eastAsia" w:ascii="宋体" w:hAnsi="宋体" w:eastAsia="宋体" w:cs="宋体"/>
          <w:b/>
          <w:bCs/>
          <w:u w:val="single"/>
          <w:lang w:val="en-US" w:eastAsia="zh-CN"/>
        </w:rPr>
        <w:t>标的名称</w:t>
      </w:r>
      <w:r>
        <w:rPr>
          <w:rFonts w:hint="eastAsia" w:ascii="宋体" w:hAnsi="宋体" w:eastAsia="宋体" w:cs="宋体"/>
          <w:u w:val="single"/>
        </w:rPr>
        <w:t>）</w:t>
      </w:r>
      <w:r>
        <w:rPr>
          <w:rFonts w:hint="eastAsia" w:ascii="宋体" w:hAnsi="宋体" w:eastAsia="宋体" w:cs="宋体"/>
        </w:rPr>
        <w:t>，属于</w:t>
      </w:r>
      <w:r>
        <w:rPr>
          <w:rFonts w:hint="eastAsia" w:ascii="宋体" w:hAnsi="宋体" w:eastAsia="宋体" w:cs="宋体"/>
          <w:u w:val="single"/>
        </w:rPr>
        <w:t>（</w:t>
      </w:r>
      <w:r>
        <w:rPr>
          <w:rFonts w:hint="eastAsia" w:ascii="宋体" w:hAnsi="宋体" w:eastAsia="宋体" w:cs="宋体"/>
          <w:b/>
          <w:bCs/>
          <w:u w:val="single"/>
          <w:lang w:val="en-US" w:eastAsia="zh-CN"/>
        </w:rPr>
        <w:t>招标文件中明确的所属行业</w:t>
      </w:r>
      <w:r>
        <w:rPr>
          <w:rFonts w:hint="eastAsia" w:ascii="宋体" w:hAnsi="宋体" w:eastAsia="宋体" w:cs="宋体"/>
          <w:u w:val="single"/>
        </w:rPr>
        <w:t>）</w:t>
      </w:r>
      <w:r>
        <w:rPr>
          <w:rFonts w:hint="eastAsia" w:ascii="宋体" w:hAnsi="宋体" w:eastAsia="宋体" w:cs="宋体"/>
        </w:rPr>
        <w:t>行业；制造商为</w:t>
      </w:r>
      <w:r>
        <w:rPr>
          <w:rFonts w:hint="eastAsia" w:ascii="宋体" w:hAnsi="宋体" w:eastAsia="宋体" w:cs="宋体"/>
          <w:u w:val="single"/>
          <w:lang w:val="en-US" w:eastAsia="zh-CN"/>
        </w:rPr>
        <w:t xml:space="preserve">        </w:t>
      </w:r>
      <w:r>
        <w:rPr>
          <w:rFonts w:hint="eastAsia" w:ascii="宋体" w:hAnsi="宋体" w:eastAsia="宋体" w:cs="宋体"/>
          <w:u w:val="single"/>
        </w:rPr>
        <w:t>（企业名称）</w:t>
      </w:r>
      <w:r>
        <w:rPr>
          <w:rFonts w:hint="eastAsia" w:ascii="宋体" w:hAnsi="宋体" w:eastAsia="宋体" w:cs="宋体"/>
        </w:rPr>
        <w:t>，从业人员</w:t>
      </w:r>
      <w:r>
        <w:rPr>
          <w:rFonts w:hint="eastAsia" w:ascii="宋体" w:hAnsi="宋体" w:eastAsia="宋体" w:cs="宋体"/>
          <w:u w:val="single"/>
          <w:lang w:val="en-US" w:eastAsia="zh-CN"/>
        </w:rPr>
        <w:t xml:space="preserve">          </w:t>
      </w:r>
      <w:r>
        <w:rPr>
          <w:rFonts w:hint="eastAsia" w:ascii="宋体" w:hAnsi="宋体" w:eastAsia="宋体" w:cs="宋体"/>
        </w:rPr>
        <w:t>人，营业收入为</w:t>
      </w:r>
      <w:r>
        <w:rPr>
          <w:rFonts w:hint="eastAsia" w:ascii="宋体" w:hAnsi="宋体" w:eastAsia="宋体" w:cs="宋体"/>
          <w:u w:val="single"/>
          <w:lang w:val="en-US" w:eastAsia="zh-CN"/>
        </w:rPr>
        <w:t xml:space="preserve">     </w:t>
      </w:r>
      <w:r>
        <w:rPr>
          <w:rFonts w:hint="eastAsia" w:ascii="宋体" w:hAnsi="宋体" w:eastAsia="宋体" w:cs="宋体"/>
        </w:rPr>
        <w:t>万元，资产总额为</w:t>
      </w:r>
      <w:r>
        <w:rPr>
          <w:rFonts w:hint="eastAsia" w:ascii="宋体" w:hAnsi="宋体" w:eastAsia="宋体" w:cs="宋体"/>
          <w:u w:val="single"/>
          <w:lang w:val="en-US" w:eastAsia="zh-CN"/>
        </w:rPr>
        <w:t xml:space="preserve">        </w:t>
      </w:r>
      <w:r>
        <w:rPr>
          <w:rFonts w:hint="eastAsia" w:ascii="宋体" w:hAnsi="宋体" w:eastAsia="宋体" w:cs="宋体"/>
        </w:rPr>
        <w:t>万元，属于</w:t>
      </w:r>
      <w:r>
        <w:rPr>
          <w:rFonts w:hint="eastAsia" w:ascii="宋体" w:hAnsi="宋体" w:eastAsia="宋体" w:cs="宋体"/>
          <w:u w:val="single"/>
        </w:rPr>
        <w:t>（中型企业、小型企业、微型企业）</w:t>
      </w:r>
      <w:r>
        <w:rPr>
          <w:rFonts w:hint="eastAsia" w:ascii="宋体" w:hAnsi="宋体" w:eastAsia="宋体" w:cs="宋体"/>
        </w:rPr>
        <w:t>；</w:t>
      </w:r>
    </w:p>
    <w:p>
      <w:pPr>
        <w:spacing w:line="360" w:lineRule="auto"/>
        <w:ind w:firstLine="480" w:firstLineChars="200"/>
        <w:rPr>
          <w:rFonts w:hint="eastAsia" w:eastAsia="宋体"/>
          <w:lang w:val="en-US" w:eastAsia="zh-CN"/>
        </w:rPr>
      </w:pPr>
      <w:r>
        <w:rPr>
          <w:rFonts w:hint="eastAsia" w:ascii="宋体" w:hAnsi="宋体" w:eastAsia="宋体" w:cs="宋体"/>
          <w:lang w:val="en-US" w:eastAsia="zh-CN"/>
        </w:rPr>
        <w:t>2.</w:t>
      </w:r>
      <w:r>
        <w:rPr>
          <w:rFonts w:hint="eastAsia" w:ascii="宋体" w:hAnsi="宋体" w:eastAsia="宋体" w:cs="宋体"/>
          <w:u w:val="single"/>
        </w:rPr>
        <w:t>（</w:t>
      </w:r>
      <w:r>
        <w:rPr>
          <w:rFonts w:hint="eastAsia" w:ascii="宋体" w:hAnsi="宋体" w:eastAsia="宋体" w:cs="宋体"/>
          <w:b/>
          <w:bCs/>
          <w:u w:val="single"/>
          <w:lang w:val="en-US" w:eastAsia="zh-CN"/>
        </w:rPr>
        <w:t>标的名称</w:t>
      </w:r>
      <w:r>
        <w:rPr>
          <w:rFonts w:hint="eastAsia" w:ascii="宋体" w:hAnsi="宋体" w:eastAsia="宋体" w:cs="宋体"/>
          <w:u w:val="single"/>
        </w:rPr>
        <w:t>）</w:t>
      </w:r>
      <w:r>
        <w:rPr>
          <w:rFonts w:hint="eastAsia" w:ascii="宋体" w:hAnsi="宋体" w:eastAsia="宋体" w:cs="宋体"/>
        </w:rPr>
        <w:t>，属于</w:t>
      </w:r>
      <w:r>
        <w:rPr>
          <w:rFonts w:hint="eastAsia" w:ascii="宋体" w:hAnsi="宋体" w:eastAsia="宋体" w:cs="宋体"/>
          <w:u w:val="single"/>
        </w:rPr>
        <w:t>（</w:t>
      </w:r>
      <w:r>
        <w:rPr>
          <w:rFonts w:hint="eastAsia" w:ascii="宋体" w:hAnsi="宋体" w:eastAsia="宋体" w:cs="宋体"/>
          <w:b/>
          <w:bCs/>
          <w:u w:val="single"/>
          <w:lang w:val="en-US" w:eastAsia="zh-CN"/>
        </w:rPr>
        <w:t>招标文件中明确的所属行业</w:t>
      </w:r>
      <w:r>
        <w:rPr>
          <w:rFonts w:hint="eastAsia" w:ascii="宋体" w:hAnsi="宋体" w:eastAsia="宋体" w:cs="宋体"/>
          <w:u w:val="single"/>
        </w:rPr>
        <w:t>）</w:t>
      </w:r>
      <w:r>
        <w:rPr>
          <w:rFonts w:hint="eastAsia" w:ascii="宋体" w:hAnsi="宋体" w:eastAsia="宋体" w:cs="宋体"/>
        </w:rPr>
        <w:t>行业；制造商为</w:t>
      </w:r>
      <w:r>
        <w:rPr>
          <w:rFonts w:hint="eastAsia" w:ascii="宋体" w:hAnsi="宋体" w:eastAsia="宋体" w:cs="宋体"/>
          <w:u w:val="single"/>
          <w:lang w:val="en-US" w:eastAsia="zh-CN"/>
        </w:rPr>
        <w:t xml:space="preserve">        </w:t>
      </w:r>
      <w:r>
        <w:rPr>
          <w:rFonts w:hint="eastAsia" w:ascii="宋体" w:hAnsi="宋体" w:eastAsia="宋体" w:cs="宋体"/>
          <w:u w:val="single"/>
        </w:rPr>
        <w:t>（企业名称）</w:t>
      </w:r>
      <w:r>
        <w:rPr>
          <w:rFonts w:hint="eastAsia" w:ascii="宋体" w:hAnsi="宋体" w:eastAsia="宋体" w:cs="宋体"/>
        </w:rPr>
        <w:t>，从业人员</w:t>
      </w:r>
      <w:r>
        <w:rPr>
          <w:rFonts w:hint="eastAsia" w:ascii="宋体" w:hAnsi="宋体" w:eastAsia="宋体" w:cs="宋体"/>
          <w:u w:val="single"/>
          <w:lang w:val="en-US" w:eastAsia="zh-CN"/>
        </w:rPr>
        <w:t xml:space="preserve">          </w:t>
      </w:r>
      <w:r>
        <w:rPr>
          <w:rFonts w:hint="eastAsia" w:ascii="宋体" w:hAnsi="宋体" w:eastAsia="宋体" w:cs="宋体"/>
        </w:rPr>
        <w:t>人，营业收入为</w:t>
      </w:r>
      <w:r>
        <w:rPr>
          <w:rFonts w:hint="eastAsia" w:ascii="宋体" w:hAnsi="宋体" w:eastAsia="宋体" w:cs="宋体"/>
          <w:u w:val="single"/>
          <w:lang w:val="en-US" w:eastAsia="zh-CN"/>
        </w:rPr>
        <w:t xml:space="preserve">     </w:t>
      </w:r>
      <w:r>
        <w:rPr>
          <w:rFonts w:hint="eastAsia" w:ascii="宋体" w:hAnsi="宋体" w:eastAsia="宋体" w:cs="宋体"/>
        </w:rPr>
        <w:t>万元，资产总额为</w:t>
      </w:r>
      <w:r>
        <w:rPr>
          <w:rFonts w:hint="eastAsia" w:ascii="宋体" w:hAnsi="宋体" w:eastAsia="宋体" w:cs="宋体"/>
          <w:u w:val="single"/>
          <w:lang w:val="en-US" w:eastAsia="zh-CN"/>
        </w:rPr>
        <w:t xml:space="preserve">        </w:t>
      </w:r>
      <w:r>
        <w:rPr>
          <w:rFonts w:hint="eastAsia" w:ascii="宋体" w:hAnsi="宋体" w:eastAsia="宋体" w:cs="宋体"/>
        </w:rPr>
        <w:t>万元，属于</w:t>
      </w:r>
      <w:r>
        <w:rPr>
          <w:rFonts w:hint="eastAsia" w:ascii="宋体" w:hAnsi="宋体" w:eastAsia="宋体" w:cs="宋体"/>
          <w:u w:val="single"/>
        </w:rPr>
        <w:t>（中型企业、小型企业、微型企业）</w:t>
      </w:r>
      <w:r>
        <w:rPr>
          <w:rFonts w:hint="eastAsia" w:ascii="宋体" w:hAnsi="宋体" w:eastAsia="宋体" w:cs="宋体"/>
        </w:rPr>
        <w:t>；</w:t>
      </w:r>
    </w:p>
    <w:p>
      <w:pPr>
        <w:spacing w:line="360" w:lineRule="auto"/>
        <w:ind w:firstLine="480" w:firstLineChars="200"/>
        <w:rPr>
          <w:rFonts w:hint="default" w:eastAsia="宋体"/>
          <w:lang w:val="en-US" w:eastAsia="zh-CN"/>
        </w:rPr>
      </w:pPr>
      <w:r>
        <w:rPr>
          <w:rFonts w:hint="eastAsia" w:eastAsia="宋体"/>
          <w:lang w:val="en-US" w:eastAsia="zh-CN"/>
        </w:rPr>
        <w:t>......</w:t>
      </w:r>
    </w:p>
    <w:p>
      <w:pPr>
        <w:spacing w:line="360" w:lineRule="auto"/>
        <w:ind w:firstLine="480" w:firstLineChars="200"/>
      </w:pPr>
      <w:r>
        <w:t>以上企业，不属于大企业的分支机构，不存在控股股东为大企业的情形，也不存在与大企业的负责人为同一人的情形。</w:t>
      </w:r>
    </w:p>
    <w:p>
      <w:pPr>
        <w:spacing w:line="360" w:lineRule="auto"/>
        <w:ind w:firstLine="480" w:firstLineChars="200"/>
      </w:pPr>
      <w:r>
        <w:t>本企业对上述声明内容的真实性负责。如有虚假，将依法承担相应责任。</w:t>
      </w:r>
    </w:p>
    <w:p>
      <w:pPr>
        <w:spacing w:line="360" w:lineRule="auto"/>
        <w:ind w:firstLine="480" w:firstLineChars="200"/>
      </w:pPr>
      <w:r>
        <w:t>企业名称：</w:t>
      </w:r>
    </w:p>
    <w:p>
      <w:pPr>
        <w:spacing w:line="360" w:lineRule="auto"/>
        <w:ind w:firstLine="480" w:firstLineChars="200"/>
      </w:pPr>
      <w:r>
        <w:t>日 期：</w:t>
      </w:r>
    </w:p>
    <w:p>
      <w:pPr>
        <w:spacing w:after="120"/>
        <w:ind w:left="480" w:leftChars="200" w:firstLine="480" w:firstLineChars="200"/>
      </w:pPr>
    </w:p>
    <w:p>
      <w:pPr>
        <w:spacing w:line="400" w:lineRule="exact"/>
      </w:pPr>
      <w:r>
        <w:t>备注：从业人员、营业收入、资产总额填报上一年度数据，无上一年度数据的新成立企业可不填报。</w:t>
      </w:r>
    </w:p>
    <w:p>
      <w:pPr>
        <w:keepNext w:val="0"/>
        <w:keepLines w:val="0"/>
        <w:pageBreakBefore w:val="0"/>
        <w:widowControl/>
        <w:kinsoku/>
        <w:wordWrap/>
        <w:overflowPunct/>
        <w:topLinePunct w:val="0"/>
        <w:autoSpaceDE/>
        <w:autoSpaceDN/>
        <w:bidi w:val="0"/>
        <w:adjustRightInd/>
        <w:snapToGrid/>
        <w:spacing w:line="360" w:lineRule="auto"/>
        <w:textAlignment w:val="auto"/>
        <w:rPr>
          <w:b/>
          <w:sz w:val="32"/>
          <w:szCs w:val="32"/>
        </w:rPr>
      </w:pPr>
      <w:r>
        <w:rPr>
          <w:sz w:val="20"/>
        </w:rPr>
        <w:br w:type="page"/>
      </w:r>
    </w:p>
    <w:p>
      <w:pPr>
        <w:ind w:left="617" w:leftChars="257"/>
        <w:jc w:val="center"/>
        <w:rPr>
          <w:rFonts w:cs="宋体"/>
          <w:b/>
          <w:bCs/>
        </w:rPr>
      </w:pPr>
      <w:r>
        <w:rPr>
          <w:rFonts w:hint="eastAsia" w:cs="宋体"/>
          <w:b/>
          <w:bCs/>
        </w:rPr>
        <w:t>2、</w:t>
      </w:r>
      <w:r>
        <w:rPr>
          <w:rFonts w:cs="宋体"/>
          <w:b/>
          <w:bCs/>
        </w:rPr>
        <w:t>残疾人福利性单位声明函</w:t>
      </w:r>
    </w:p>
    <w:p>
      <w:pPr>
        <w:spacing w:line="360" w:lineRule="auto"/>
        <w:ind w:firstLine="480" w:firstLineChars="200"/>
      </w:pPr>
      <w: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pPr>
      <w:r>
        <w:t>本单位对上述声明的真实性负责。如有虚假，将依法承担相应责任。</w:t>
      </w:r>
    </w:p>
    <w:p>
      <w:pPr>
        <w:spacing w:line="360" w:lineRule="auto"/>
        <w:ind w:left="617" w:leftChars="257"/>
      </w:pPr>
    </w:p>
    <w:p>
      <w:pPr>
        <w:wordWrap w:val="0"/>
        <w:ind w:firstLine="480" w:firstLineChars="200"/>
        <w:jc w:val="right"/>
        <w:rPr>
          <w:rFonts w:hint="eastAsia" w:eastAsia="宋体"/>
          <w:szCs w:val="21"/>
          <w:lang w:eastAsia="zh-CN"/>
        </w:rPr>
      </w:pPr>
      <w:r>
        <w:rPr>
          <w:rFonts w:hint="eastAsia"/>
          <w:szCs w:val="21"/>
        </w:rPr>
        <w:t>单位名称：</w:t>
      </w:r>
      <w:r>
        <w:rPr>
          <w:rFonts w:hint="eastAsia" w:eastAsia="宋体"/>
          <w:szCs w:val="21"/>
          <w:lang w:eastAsia="zh-CN"/>
        </w:rPr>
        <w:t xml:space="preserve"> </w:t>
      </w:r>
    </w:p>
    <w:p>
      <w:pPr>
        <w:ind w:firstLine="480" w:firstLineChars="200"/>
        <w:jc w:val="right"/>
      </w:pPr>
      <w:r>
        <w:rPr>
          <w:rFonts w:hint="eastAsia"/>
          <w:szCs w:val="21"/>
        </w:rPr>
        <w:t>日期：</w:t>
      </w:r>
    </w:p>
    <w:p>
      <w:pPr>
        <w:spacing w:line="416" w:lineRule="auto"/>
        <w:ind w:firstLine="482"/>
        <w:jc w:val="center"/>
        <w:rPr>
          <w:rFonts w:hint="eastAsia"/>
          <w:b/>
          <w:bCs/>
        </w:rPr>
      </w:pPr>
    </w:p>
    <w:p>
      <w:pPr>
        <w:spacing w:line="416" w:lineRule="auto"/>
        <w:ind w:firstLine="482"/>
        <w:jc w:val="center"/>
        <w:rPr>
          <w:b/>
          <w:bCs/>
        </w:rPr>
      </w:pPr>
      <w:r>
        <w:rPr>
          <w:rFonts w:hint="eastAsia"/>
          <w:b/>
          <w:bCs/>
        </w:rPr>
        <w:t>3、省级以上监狱管理局、戒毒管理局（含新疆生产建设兵团）出具的属于监狱企业的证明文件</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szCs w:val="21"/>
        </w:rPr>
      </w:pPr>
      <w:r>
        <w:rPr>
          <w:rFonts w:hint="eastAsia"/>
          <w:szCs w:val="21"/>
        </w:rPr>
        <w:t>本单位郑重声明，根据《财政部司法部关于政府采购支持监狱企业发展有关问题的通知》（财库〔</w:t>
      </w:r>
      <w:r>
        <w:rPr>
          <w:szCs w:val="21"/>
        </w:rPr>
        <w:t>2014</w:t>
      </w:r>
      <w:r>
        <w:rPr>
          <w:rFonts w:hint="eastAsia"/>
          <w:szCs w:val="21"/>
        </w:rPr>
        <w:t>〕</w:t>
      </w:r>
      <w:r>
        <w:rPr>
          <w:szCs w:val="21"/>
        </w:rPr>
        <w:t>68</w:t>
      </w:r>
      <w:r>
        <w:rPr>
          <w:rFonts w:hint="eastAsia"/>
          <w:szCs w:val="21"/>
        </w:rPr>
        <w:t>号）的规定，本单位为符合条件的监狱企业，且本单位参加</w:t>
      </w:r>
      <w:r>
        <w:rPr>
          <w:szCs w:val="21"/>
        </w:rPr>
        <w:t>_</w:t>
      </w:r>
      <w:r>
        <w:rPr>
          <w:rFonts w:hint="eastAsia"/>
          <w:szCs w:val="21"/>
        </w:rPr>
        <w:t>（采购单位名称）</w:t>
      </w:r>
      <w:r>
        <w:rPr>
          <w:szCs w:val="21"/>
        </w:rPr>
        <w:t>_</w:t>
      </w:r>
      <w:r>
        <w:rPr>
          <w:rFonts w:hint="eastAsia"/>
          <w:szCs w:val="21"/>
        </w:rPr>
        <w:t>单位的（采购项目名称）项目采购活动，并提供</w:t>
      </w:r>
      <w:r>
        <w:rPr>
          <w:szCs w:val="21"/>
        </w:rPr>
        <w:t>:</w:t>
      </w:r>
      <w:r>
        <w:rPr>
          <w:rFonts w:hint="eastAsia" w:eastAsia="宋体"/>
          <w:szCs w:val="21"/>
          <w:lang w:eastAsia="zh-CN"/>
        </w:rPr>
        <w:t>□</w:t>
      </w:r>
      <w:r>
        <w:rPr>
          <w:rFonts w:hint="eastAsia"/>
          <w:szCs w:val="21"/>
        </w:rPr>
        <w:t>本单位制造的货物</w:t>
      </w:r>
      <w:r>
        <w:rPr>
          <w:szCs w:val="21"/>
        </w:rPr>
        <w:t>;</w:t>
      </w:r>
      <w:r>
        <w:rPr>
          <w:rFonts w:hint="eastAsia" w:eastAsia="宋体"/>
          <w:szCs w:val="21"/>
          <w:lang w:eastAsia="zh-CN"/>
        </w:rPr>
        <w:t>□</w:t>
      </w:r>
      <w:r>
        <w:rPr>
          <w:rFonts w:hint="eastAsia"/>
          <w:szCs w:val="21"/>
        </w:rPr>
        <w:t>由本单位承担的工程、提供服务</w:t>
      </w:r>
      <w:r>
        <w:rPr>
          <w:szCs w:val="21"/>
        </w:rPr>
        <w:t>;</w:t>
      </w:r>
      <w:r>
        <w:rPr>
          <w:rFonts w:hint="eastAsia" w:eastAsia="宋体"/>
          <w:szCs w:val="21"/>
          <w:lang w:eastAsia="zh-CN"/>
        </w:rPr>
        <w:t>□</w:t>
      </w:r>
      <w:r>
        <w:rPr>
          <w:rFonts w:hint="eastAsia"/>
          <w:szCs w:val="21"/>
        </w:rPr>
        <w:t>提供其他监狱企业制造的货物（承诺人在</w:t>
      </w:r>
      <w:r>
        <w:rPr>
          <w:rFonts w:hint="eastAsia" w:eastAsia="宋体"/>
          <w:szCs w:val="21"/>
          <w:lang w:eastAsia="zh-CN"/>
        </w:rPr>
        <w:t>□</w:t>
      </w:r>
      <w:r>
        <w:rPr>
          <w:rFonts w:hint="eastAsia"/>
          <w:szCs w:val="21"/>
        </w:rPr>
        <w:t>处打√）。本条所称货物是指单一产品采购项目中的货物，或者非单一产品采购项目中的核心产品（货物）。</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szCs w:val="21"/>
        </w:rPr>
      </w:pPr>
      <w:r>
        <w:rPr>
          <w:rFonts w:hint="eastAsia"/>
          <w:szCs w:val="21"/>
        </w:rPr>
        <w:t>本单位对上述声明的真实性负责。如有虚假，将依法承担相应责任。</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szCs w:val="21"/>
        </w:rPr>
      </w:pPr>
      <w:r>
        <w:rPr>
          <w:rFonts w:hint="eastAsia"/>
          <w:szCs w:val="21"/>
        </w:rPr>
        <w:t>附：省级以上监狱管理局、戒毒管理局（含新疆生产建设兵团）出具的监狱企业证明文件。</w:t>
      </w:r>
    </w:p>
    <w:p>
      <w:pPr>
        <w:wordWrap w:val="0"/>
        <w:ind w:firstLine="480" w:firstLineChars="200"/>
        <w:jc w:val="right"/>
        <w:rPr>
          <w:rFonts w:hint="eastAsia" w:eastAsia="宋体"/>
          <w:szCs w:val="21"/>
          <w:lang w:eastAsia="zh-CN"/>
        </w:rPr>
      </w:pPr>
      <w:r>
        <w:rPr>
          <w:rFonts w:hint="eastAsia"/>
          <w:szCs w:val="21"/>
        </w:rPr>
        <w:t>单位名称：</w:t>
      </w:r>
      <w:r>
        <w:rPr>
          <w:rFonts w:hint="eastAsia" w:eastAsia="宋体"/>
          <w:szCs w:val="21"/>
          <w:lang w:eastAsia="zh-CN"/>
        </w:rPr>
        <w:t xml:space="preserve"> </w:t>
      </w:r>
    </w:p>
    <w:p>
      <w:pPr>
        <w:wordWrap w:val="0"/>
        <w:ind w:firstLine="480" w:firstLineChars="200"/>
        <w:jc w:val="right"/>
        <w:rPr>
          <w:rFonts w:hint="eastAsia" w:eastAsia="宋体"/>
          <w:szCs w:val="21"/>
          <w:lang w:eastAsia="zh-CN"/>
        </w:rPr>
      </w:pPr>
      <w:r>
        <w:rPr>
          <w:rFonts w:hint="eastAsia"/>
          <w:szCs w:val="21"/>
        </w:rPr>
        <w:t>日期</w:t>
      </w:r>
      <w:r>
        <w:rPr>
          <w:rFonts w:hint="eastAsia"/>
          <w:szCs w:val="21"/>
          <w:lang w:eastAsia="zh-CN"/>
        </w:rPr>
        <w:t>：</w:t>
      </w:r>
    </w:p>
    <w:p>
      <w:pPr>
        <w:rPr>
          <w:b/>
          <w:sz w:val="32"/>
          <w:szCs w:val="32"/>
        </w:rPr>
      </w:pPr>
    </w:p>
    <w:p>
      <w:pPr>
        <w:rPr>
          <w:b/>
          <w:sz w:val="32"/>
          <w:szCs w:val="32"/>
        </w:rPr>
      </w:pPr>
      <w:r>
        <w:rPr>
          <w:b/>
          <w:sz w:val="32"/>
          <w:szCs w:val="32"/>
        </w:rPr>
        <w:br w:type="page"/>
      </w:r>
    </w:p>
    <w:p>
      <w:pPr>
        <w:jc w:val="center"/>
        <w:rPr>
          <w:sz w:val="28"/>
          <w:szCs w:val="28"/>
        </w:rPr>
      </w:pPr>
      <w:r>
        <w:rPr>
          <w:b/>
          <w:sz w:val="32"/>
          <w:szCs w:val="32"/>
        </w:rPr>
        <w:t>中小企业划型标准规定</w:t>
      </w:r>
    </w:p>
    <w:p>
      <w:pPr>
        <w:spacing w:line="360" w:lineRule="auto"/>
        <w:ind w:firstLine="480" w:firstLineChars="200"/>
        <w:rPr>
          <w:szCs w:val="21"/>
        </w:rPr>
      </w:pPr>
      <w:r>
        <w:rPr>
          <w:szCs w:val="21"/>
        </w:rPr>
        <w:t>一、根据《中华人民共和国中小企业促进法》和《国务院关于进一步促进中小企业发展的若干意见》(国发〔2009〕36号)，制定本规定。</w:t>
      </w:r>
    </w:p>
    <w:p>
      <w:pPr>
        <w:spacing w:line="360" w:lineRule="auto"/>
        <w:ind w:firstLine="480" w:firstLineChars="200"/>
        <w:rPr>
          <w:szCs w:val="21"/>
        </w:rPr>
      </w:pPr>
      <w:r>
        <w:rPr>
          <w:szCs w:val="21"/>
        </w:rPr>
        <w:t>二、中小企业划分为中型、小型、微型三种类型，具体标准根据企业从业人员、营业收入、资产总额等指标，结合行业特点制定。</w:t>
      </w:r>
    </w:p>
    <w:p>
      <w:pPr>
        <w:spacing w:line="360" w:lineRule="auto"/>
        <w:ind w:firstLine="480" w:firstLineChars="200"/>
        <w:rPr>
          <w:szCs w:val="21"/>
        </w:rPr>
      </w:pPr>
      <w:r>
        <w:rPr>
          <w:szCs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spacing w:line="360" w:lineRule="auto"/>
        <w:ind w:firstLine="480" w:firstLineChars="200"/>
        <w:rPr>
          <w:szCs w:val="21"/>
        </w:rPr>
      </w:pPr>
      <w:r>
        <w:rPr>
          <w:szCs w:val="21"/>
        </w:rPr>
        <w:t>四、各行业划型标准为：</w:t>
      </w:r>
    </w:p>
    <w:p>
      <w:pPr>
        <w:spacing w:line="360" w:lineRule="auto"/>
        <w:ind w:firstLine="480" w:firstLineChars="200"/>
        <w:rPr>
          <w:szCs w:val="21"/>
        </w:rPr>
      </w:pPr>
      <w:r>
        <w:rPr>
          <w:szCs w:val="21"/>
        </w:rPr>
        <w:t>（一）农、林、牧、渔业。营业收入20000万元以下的为中小微型企业。其中，营业收入500万元及以上的为中型企业，营业收入50万元及以上的为小型企业，营业收入50万元以下的为微型企业。</w:t>
      </w:r>
    </w:p>
    <w:p>
      <w:pPr>
        <w:spacing w:line="360" w:lineRule="auto"/>
        <w:ind w:firstLine="480" w:firstLineChars="200"/>
        <w:rPr>
          <w:szCs w:val="21"/>
        </w:rPr>
      </w:pPr>
      <w:r>
        <w:rPr>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spacing w:line="360" w:lineRule="auto"/>
        <w:ind w:firstLine="480" w:firstLineChars="200"/>
        <w:rPr>
          <w:szCs w:val="21"/>
        </w:rPr>
      </w:pPr>
      <w:r>
        <w:rPr>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spacing w:line="360" w:lineRule="auto"/>
        <w:ind w:firstLine="480" w:firstLineChars="200"/>
        <w:rPr>
          <w:szCs w:val="21"/>
        </w:rPr>
      </w:pPr>
      <w:r>
        <w:rPr>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spacing w:line="360" w:lineRule="auto"/>
        <w:ind w:firstLine="480" w:firstLineChars="200"/>
        <w:rPr>
          <w:szCs w:val="21"/>
        </w:rPr>
      </w:pPr>
      <w:r>
        <w:rPr>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spacing w:line="360" w:lineRule="auto"/>
        <w:ind w:firstLine="480" w:firstLineChars="200"/>
        <w:rPr>
          <w:szCs w:val="21"/>
        </w:rPr>
      </w:pPr>
      <w:r>
        <w:rPr>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spacing w:line="360" w:lineRule="auto"/>
        <w:ind w:firstLine="480" w:firstLineChars="200"/>
        <w:rPr>
          <w:szCs w:val="21"/>
        </w:rPr>
      </w:pPr>
      <w:r>
        <w:rPr>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spacing w:line="360" w:lineRule="auto"/>
        <w:ind w:firstLine="480" w:firstLineChars="200"/>
        <w:rPr>
          <w:szCs w:val="21"/>
        </w:rPr>
      </w:pPr>
      <w:r>
        <w:rPr>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spacing w:line="360" w:lineRule="auto"/>
        <w:ind w:firstLine="480" w:firstLineChars="200"/>
        <w:rPr>
          <w:szCs w:val="21"/>
        </w:rPr>
      </w:pPr>
      <w:r>
        <w:rPr>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360" w:lineRule="auto"/>
        <w:ind w:firstLine="480" w:firstLineChars="200"/>
        <w:rPr>
          <w:szCs w:val="21"/>
        </w:rPr>
      </w:pPr>
      <w:r>
        <w:rPr>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360" w:lineRule="auto"/>
        <w:ind w:firstLine="480" w:firstLineChars="200"/>
        <w:rPr>
          <w:szCs w:val="21"/>
        </w:rPr>
      </w:pPr>
      <w:r>
        <w:rPr>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spacing w:line="360" w:lineRule="auto"/>
        <w:ind w:firstLine="480" w:firstLineChars="200"/>
        <w:rPr>
          <w:szCs w:val="21"/>
        </w:rPr>
      </w:pPr>
      <w:r>
        <w:rPr>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spacing w:line="360" w:lineRule="auto"/>
        <w:ind w:firstLine="480" w:firstLineChars="200"/>
        <w:rPr>
          <w:szCs w:val="21"/>
        </w:rPr>
      </w:pPr>
      <w:r>
        <w:rPr>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spacing w:line="360" w:lineRule="auto"/>
        <w:ind w:firstLine="480" w:firstLineChars="200"/>
        <w:rPr>
          <w:szCs w:val="21"/>
        </w:rPr>
      </w:pPr>
      <w:r>
        <w:rPr>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spacing w:line="360" w:lineRule="auto"/>
        <w:ind w:firstLine="480" w:firstLineChars="200"/>
        <w:rPr>
          <w:szCs w:val="21"/>
        </w:rPr>
      </w:pPr>
      <w:r>
        <w:rPr>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spacing w:line="360" w:lineRule="auto"/>
        <w:ind w:firstLine="480" w:firstLineChars="200"/>
        <w:rPr>
          <w:szCs w:val="21"/>
        </w:rPr>
      </w:pPr>
      <w:r>
        <w:rPr>
          <w:szCs w:val="21"/>
        </w:rPr>
        <w:t>（十六）其他未列明行业。从业人员300人以下的为中小微型企业。其中，从业人员100人及以上的为中型企业；从业人员10人及以上的为小型企业；从业人员10人以下的为微型企业。</w:t>
      </w:r>
    </w:p>
    <w:p>
      <w:pPr>
        <w:spacing w:line="360" w:lineRule="auto"/>
        <w:ind w:firstLine="480" w:firstLineChars="200"/>
        <w:rPr>
          <w:szCs w:val="21"/>
        </w:rPr>
      </w:pPr>
      <w:r>
        <w:rPr>
          <w:szCs w:val="21"/>
        </w:rPr>
        <w:t>五、企业类型的划分以统计部门的统计数据为依据。</w:t>
      </w:r>
    </w:p>
    <w:p>
      <w:pPr>
        <w:spacing w:line="360" w:lineRule="auto"/>
        <w:ind w:firstLine="480" w:firstLineChars="200"/>
        <w:rPr>
          <w:szCs w:val="21"/>
        </w:rPr>
      </w:pPr>
      <w:r>
        <w:rPr>
          <w:szCs w:val="21"/>
        </w:rPr>
        <w:t>六、本规定适用于在中华人民共和国境内依法设立的各类所有制和各种组织形式的企业。个体工商户和本规定以外的行业，参照本规定进行划型。</w:t>
      </w:r>
    </w:p>
    <w:p>
      <w:pPr>
        <w:spacing w:line="360" w:lineRule="auto"/>
        <w:ind w:firstLine="480" w:firstLineChars="200"/>
        <w:rPr>
          <w:szCs w:val="21"/>
        </w:rPr>
      </w:pPr>
      <w:r>
        <w:rPr>
          <w:szCs w:val="21"/>
        </w:rPr>
        <w:t>七、本规定的中型企业标准上限即为大型企业标准的下限，国家统计部门据此制定大中小微型企业的统计分类。国务院有关部门据此进行相关数据分析，不得制定与本规定不一致的企业划型标准。</w:t>
      </w:r>
    </w:p>
    <w:p>
      <w:pPr>
        <w:spacing w:line="360" w:lineRule="auto"/>
        <w:ind w:firstLine="480" w:firstLineChars="200"/>
        <w:rPr>
          <w:szCs w:val="21"/>
        </w:rPr>
      </w:pPr>
      <w:r>
        <w:rPr>
          <w:szCs w:val="21"/>
        </w:rPr>
        <w:t>八、本规定由工业和信息化部、国家统计局会同有关部门根据《国民经济行业分类》修订情况和企业发展变化情况适时修订。</w:t>
      </w:r>
    </w:p>
    <w:p>
      <w:pPr>
        <w:spacing w:line="360" w:lineRule="auto"/>
        <w:ind w:firstLine="480" w:firstLineChars="200"/>
        <w:rPr>
          <w:szCs w:val="21"/>
        </w:rPr>
      </w:pPr>
      <w:r>
        <w:rPr>
          <w:szCs w:val="21"/>
        </w:rPr>
        <w:t>九、本规定由工业和信息化部、国家统计局会同有关部门负责解释。</w:t>
      </w:r>
    </w:p>
    <w:p>
      <w:pPr>
        <w:spacing w:line="360" w:lineRule="auto"/>
        <w:ind w:firstLine="480" w:firstLineChars="200"/>
        <w:rPr>
          <w:szCs w:val="21"/>
        </w:rPr>
      </w:pPr>
      <w:r>
        <w:rPr>
          <w:szCs w:val="21"/>
        </w:rPr>
        <w:t>十、本规定自发布之日起执行，原国家经贸委、原国家计委、财政部和国家统计局2003年颁布的《中小企业标准暂行规定》同时废止。</w:t>
      </w:r>
    </w:p>
    <w:p/>
    <w:p/>
    <w:p>
      <w:pPr>
        <w:rPr>
          <w:rFonts w:hint="eastAsia" w:cs="宋体"/>
          <w:b/>
          <w:bCs/>
        </w:rPr>
      </w:pPr>
      <w:r>
        <w:rPr>
          <w:rFonts w:hint="eastAsia" w:cs="宋体"/>
          <w:b/>
          <w:bCs/>
        </w:rPr>
        <w:br w:type="page"/>
      </w:r>
    </w:p>
    <w:p>
      <w:pPr>
        <w:numPr>
          <w:ilvl w:val="0"/>
          <w:numId w:val="2"/>
        </w:numPr>
        <w:spacing w:before="260" w:after="260"/>
        <w:jc w:val="center"/>
        <w:outlineLvl w:val="2"/>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产品证书</w:t>
      </w:r>
    </w:p>
    <w:p>
      <w:pPr>
        <w:jc w:val="center"/>
        <w:rPr>
          <w:rFonts w:hint="eastAsia"/>
          <w:b/>
          <w:bCs/>
          <w:lang w:val="en-US" w:eastAsia="zh-CN"/>
        </w:rPr>
      </w:pPr>
      <w:r>
        <w:rPr>
          <w:rFonts w:hint="eastAsia"/>
          <w:b/>
          <w:bCs/>
          <w:lang w:val="en-US" w:eastAsia="zh-CN"/>
        </w:rPr>
        <w:t>（格式自拟）</w:t>
      </w:r>
    </w:p>
    <w:p>
      <w:pPr>
        <w:jc w:val="center"/>
        <w:rPr>
          <w:rFonts w:hint="default"/>
          <w:b/>
          <w:bCs/>
          <w:lang w:val="en-US" w:eastAsia="zh-CN"/>
        </w:rPr>
      </w:pPr>
    </w:p>
    <w:p>
      <w:pPr>
        <w:spacing w:before="260" w:after="260"/>
        <w:jc w:val="center"/>
        <w:outlineLvl w:val="2"/>
        <w:rPr>
          <w:rFonts w:ascii="宋体" w:hAnsi="宋体" w:eastAsia="宋体" w:cs="宋体"/>
          <w:b/>
          <w:sz w:val="28"/>
          <w:szCs w:val="28"/>
        </w:rPr>
      </w:pPr>
      <w:r>
        <w:rPr>
          <w:rFonts w:hint="eastAsia" w:ascii="宋体" w:hAnsi="宋体" w:eastAsia="宋体" w:cs="宋体"/>
          <w:b/>
          <w:sz w:val="28"/>
          <w:szCs w:val="28"/>
          <w:lang w:val="en-US" w:eastAsia="zh-CN"/>
        </w:rPr>
        <w:t>七、</w:t>
      </w:r>
      <w:r>
        <w:rPr>
          <w:rFonts w:hint="eastAsia" w:ascii="宋体" w:hAnsi="宋体" w:eastAsia="宋体" w:cs="宋体"/>
          <w:b/>
          <w:sz w:val="28"/>
          <w:szCs w:val="28"/>
        </w:rPr>
        <w:t>投标人荣誉情况</w:t>
      </w:r>
    </w:p>
    <w:p>
      <w:pPr>
        <w:jc w:val="center"/>
        <w:rPr>
          <w:b/>
          <w:bCs/>
        </w:rPr>
      </w:pPr>
      <w:r>
        <w:rPr>
          <w:rFonts w:hint="eastAsia"/>
          <w:b/>
          <w:bCs/>
        </w:rPr>
        <w:t>（格式自拟）</w:t>
      </w:r>
    </w:p>
    <w:p>
      <w:pPr>
        <w:pStyle w:val="8"/>
        <w:rPr>
          <w:sz w:val="30"/>
          <w:szCs w:val="30"/>
        </w:rPr>
      </w:pPr>
    </w:p>
    <w:p>
      <w:pPr>
        <w:spacing w:before="260" w:after="260"/>
        <w:jc w:val="center"/>
        <w:outlineLvl w:val="2"/>
        <w:rPr>
          <w:rFonts w:ascii="宋体" w:hAnsi="宋体" w:eastAsia="宋体" w:cs="宋体"/>
          <w:b/>
          <w:sz w:val="28"/>
          <w:szCs w:val="28"/>
        </w:rPr>
      </w:pPr>
      <w:r>
        <w:rPr>
          <w:rFonts w:hint="eastAsia" w:ascii="宋体" w:hAnsi="宋体" w:eastAsia="宋体" w:cs="宋体"/>
          <w:b/>
          <w:sz w:val="28"/>
          <w:szCs w:val="28"/>
          <w:lang w:val="en-US" w:eastAsia="zh-CN"/>
        </w:rPr>
        <w:t>八</w:t>
      </w:r>
      <w:r>
        <w:rPr>
          <w:rFonts w:hint="eastAsia" w:ascii="宋体" w:hAnsi="宋体" w:eastAsia="宋体" w:cs="宋体"/>
          <w:b/>
          <w:sz w:val="28"/>
          <w:szCs w:val="28"/>
        </w:rPr>
        <w:t>、投标人自主知识产权产品（创新、设计）情况</w:t>
      </w:r>
    </w:p>
    <w:p>
      <w:pPr>
        <w:jc w:val="center"/>
        <w:rPr>
          <w:b/>
          <w:bCs/>
        </w:rPr>
      </w:pPr>
      <w:r>
        <w:rPr>
          <w:rFonts w:hint="eastAsia"/>
          <w:b/>
          <w:bCs/>
        </w:rPr>
        <w:t>（格式自拟）</w:t>
      </w:r>
    </w:p>
    <w:p>
      <w:pPr>
        <w:rPr>
          <w:sz w:val="30"/>
          <w:szCs w:val="30"/>
        </w:rPr>
      </w:pPr>
    </w:p>
    <w:p>
      <w:pPr>
        <w:pStyle w:val="8"/>
        <w:rPr>
          <w:sz w:val="30"/>
          <w:szCs w:val="30"/>
        </w:rPr>
      </w:pPr>
    </w:p>
    <w:p>
      <w:pPr>
        <w:rPr>
          <w:sz w:val="30"/>
          <w:szCs w:val="30"/>
        </w:rPr>
      </w:pPr>
    </w:p>
    <w:p>
      <w:pPr>
        <w:pStyle w:val="8"/>
        <w:rPr>
          <w:sz w:val="30"/>
          <w:szCs w:val="30"/>
        </w:rPr>
      </w:pPr>
    </w:p>
    <w:p>
      <w:pPr>
        <w:rPr>
          <w:sz w:val="30"/>
          <w:szCs w:val="30"/>
        </w:rPr>
      </w:pPr>
    </w:p>
    <w:p>
      <w:pPr>
        <w:pStyle w:val="8"/>
        <w:rPr>
          <w:sz w:val="30"/>
          <w:szCs w:val="30"/>
        </w:rPr>
      </w:pPr>
    </w:p>
    <w:p>
      <w:pPr>
        <w:rPr>
          <w:sz w:val="30"/>
          <w:szCs w:val="30"/>
        </w:rPr>
      </w:pPr>
    </w:p>
    <w:p>
      <w:pPr>
        <w:pStyle w:val="8"/>
        <w:rPr>
          <w:sz w:val="30"/>
          <w:szCs w:val="30"/>
        </w:rPr>
      </w:pPr>
    </w:p>
    <w:p>
      <w:pPr>
        <w:rPr>
          <w:sz w:val="30"/>
          <w:szCs w:val="30"/>
        </w:rPr>
      </w:pPr>
    </w:p>
    <w:p>
      <w:pPr>
        <w:pStyle w:val="8"/>
        <w:rPr>
          <w:sz w:val="30"/>
          <w:szCs w:val="30"/>
        </w:rPr>
      </w:pPr>
    </w:p>
    <w:p>
      <w:pPr>
        <w:rPr>
          <w:rFonts w:hint="eastAsia" w:ascii="黑体" w:hAnsi="宋体" w:eastAsia="黑体"/>
          <w:szCs w:val="20"/>
        </w:rPr>
      </w:pPr>
      <w:r>
        <w:rPr>
          <w:rFonts w:hint="eastAsia" w:ascii="黑体" w:hAnsi="宋体" w:eastAsia="黑体"/>
          <w:szCs w:val="20"/>
        </w:rPr>
        <w:br w:type="page"/>
      </w:r>
    </w:p>
    <w:p>
      <w:pPr>
        <w:spacing w:before="260" w:after="260"/>
        <w:jc w:val="center"/>
        <w:outlineLvl w:val="2"/>
        <w:rPr>
          <w:rFonts w:hint="eastAsia" w:ascii="宋体" w:hAnsi="宋体" w:eastAsia="宋体" w:cs="宋体"/>
          <w:b/>
          <w:sz w:val="28"/>
          <w:szCs w:val="28"/>
        </w:rPr>
      </w:pPr>
      <w:r>
        <w:rPr>
          <w:rFonts w:hint="eastAsia" w:ascii="宋体" w:hAnsi="宋体" w:eastAsia="宋体" w:cs="宋体"/>
          <w:b/>
          <w:sz w:val="28"/>
          <w:szCs w:val="28"/>
          <w:lang w:val="en-US" w:eastAsia="zh-CN"/>
        </w:rPr>
        <w:t>九</w:t>
      </w:r>
      <w:r>
        <w:rPr>
          <w:rFonts w:hint="eastAsia" w:ascii="宋体" w:hAnsi="宋体" w:eastAsia="宋体" w:cs="宋体"/>
          <w:b/>
          <w:sz w:val="28"/>
          <w:szCs w:val="28"/>
        </w:rPr>
        <w:t>、政府采购违法行为风险知悉确认书</w:t>
      </w:r>
    </w:p>
    <w:p>
      <w:pPr>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color w:val="000000"/>
        </w:rPr>
        <w:t xml:space="preserve">本公司在投标前已充分知悉以下情形为参与政府采购活动时的重大风险事项，并承诺已对下述风险提示事项重点排查，做到严谨、诚信、依法依规参与政府采购活动。 </w:t>
      </w:r>
    </w:p>
    <w:p>
      <w:pPr>
        <w:ind w:firstLine="482" w:firstLineChars="200"/>
        <w:rPr>
          <w:rFonts w:asciiTheme="minorEastAsia" w:hAnsiTheme="minorEastAsia" w:eastAsiaTheme="minorEastAsia" w:cstheme="minorEastAsia"/>
        </w:rPr>
      </w:pPr>
      <w:r>
        <w:rPr>
          <w:rFonts w:hint="eastAsia" w:asciiTheme="minorEastAsia" w:hAnsiTheme="minorEastAsia" w:eastAsiaTheme="minorEastAsia" w:cstheme="minorEastAsia"/>
          <w:b/>
          <w:bCs/>
          <w:color w:val="000000"/>
        </w:rPr>
        <w:t>一、本公司已充分知悉“隐瞒真实情况，提供虚假资料”的法定情形，相关情形包括但不限于</w:t>
      </w:r>
      <w:r>
        <w:rPr>
          <w:rFonts w:hint="eastAsia" w:asciiTheme="minorEastAsia" w:hAnsiTheme="minorEastAsia" w:eastAsiaTheme="minorEastAsia" w:cstheme="minorEastAsia"/>
          <w:color w:val="000000"/>
        </w:rPr>
        <w:t xml:space="preserve">： </w:t>
      </w:r>
    </w:p>
    <w:p>
      <w:pPr>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color w:val="000000"/>
        </w:rPr>
        <w:t xml:space="preserve">（一）通过转让或者租借等方式从其他单位获取资格或者资质证书投标的。 </w:t>
      </w:r>
    </w:p>
    <w:p>
      <w:pPr>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color w:val="000000"/>
        </w:rPr>
        <w:t xml:space="preserve">（二）由其他单位或者其他单位负责人在投标供应商编制的投标文件上加盖印章或者签字的。 </w:t>
      </w:r>
    </w:p>
    <w:p>
      <w:pPr>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color w:val="000000"/>
        </w:rPr>
        <w:t xml:space="preserve">（三）项目负责人或者主要技术人员不是本单位人员的。 </w:t>
      </w:r>
    </w:p>
    <w:p>
      <w:pPr>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color w:val="000000"/>
        </w:rPr>
        <w:t xml:space="preserve">（四）投标保证金不是从投标供应商基本账户转出的。 </w:t>
      </w:r>
    </w:p>
    <w:p>
      <w:pPr>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color w:val="000000"/>
        </w:rPr>
        <w:t xml:space="preserve">（五）其他隐瞒真实情况、提供虚假资料的行为。 </w:t>
      </w:r>
    </w:p>
    <w:p>
      <w:pPr>
        <w:ind w:firstLine="482" w:firstLineChars="200"/>
        <w:rPr>
          <w:rFonts w:asciiTheme="minorEastAsia" w:hAnsiTheme="minorEastAsia" w:eastAsiaTheme="minorEastAsia" w:cstheme="minorEastAsia"/>
        </w:rPr>
      </w:pPr>
      <w:r>
        <w:rPr>
          <w:rFonts w:hint="eastAsia" w:asciiTheme="minorEastAsia" w:hAnsiTheme="minorEastAsia" w:eastAsiaTheme="minorEastAsia" w:cstheme="minorEastAsia"/>
          <w:b/>
          <w:bCs/>
          <w:color w:val="000000"/>
        </w:rPr>
        <w:t xml:space="preserve">二、本公司已充分知悉“与其他采购参加人串通投标”的法定情形，相关情形包括但不限于： </w:t>
      </w:r>
    </w:p>
    <w:p>
      <w:pPr>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color w:val="000000"/>
        </w:rPr>
        <w:t>（一）投标供应商之间相互约定给予未中标的供应商利益补偿。</w:t>
      </w:r>
    </w:p>
    <w:p>
      <w:pPr>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color w:val="000000"/>
        </w:rPr>
        <w:t xml:space="preserve">（二）不同投标供应商的法定代表人、主要经营负责人、项目投标授权代表人、项目负责人、主要技术人员为同一人、属同一单位或者在同一单位缴纳社会保险。 </w:t>
      </w:r>
    </w:p>
    <w:p>
      <w:pPr>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color w:val="000000"/>
        </w:rPr>
        <w:t xml:space="preserve">（三）不同投标供应商的投标文件由同一单位或者同一人编制，或者由同一人分阶段参与编制的。 </w:t>
      </w:r>
    </w:p>
    <w:p>
      <w:pPr>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color w:val="000000"/>
        </w:rPr>
        <w:t>（四）不同投标供应商的投标文件或部分投标文件相互混装。</w:t>
      </w:r>
    </w:p>
    <w:p>
      <w:pPr>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color w:val="000000"/>
        </w:rPr>
        <w:t xml:space="preserve">（五）不同投标供应商的投标文件内容存在非正常一致。 </w:t>
      </w:r>
    </w:p>
    <w:p>
      <w:pPr>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color w:val="000000"/>
        </w:rPr>
        <w:t xml:space="preserve">（六）由同一单位工作人员为两家以上（含两家）供应商进行同一项投标活动的。 </w:t>
      </w:r>
    </w:p>
    <w:p>
      <w:pPr>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color w:val="000000"/>
        </w:rPr>
        <w:t xml:space="preserve">（七）不同投标人的投标报价呈规律性差异。 </w:t>
      </w:r>
    </w:p>
    <w:p>
      <w:pPr>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color w:val="000000"/>
        </w:rPr>
        <w:t>（八）不同投标人的投标保证金从同一单位或者个人的账户转出。</w:t>
      </w:r>
    </w:p>
    <w:p>
      <w:pPr>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color w:val="000000"/>
        </w:rPr>
        <w:t xml:space="preserve">（九）主管部门依照法律、法规认定的其他情形。 </w:t>
      </w:r>
    </w:p>
    <w:p>
      <w:pPr>
        <w:ind w:firstLine="482" w:firstLineChars="200"/>
        <w:rPr>
          <w:rFonts w:asciiTheme="minorEastAsia" w:hAnsiTheme="minorEastAsia" w:eastAsiaTheme="minorEastAsia" w:cstheme="minorEastAsia"/>
        </w:rPr>
      </w:pPr>
      <w:r>
        <w:rPr>
          <w:rFonts w:hint="eastAsia" w:asciiTheme="minorEastAsia" w:hAnsiTheme="minorEastAsia" w:eastAsiaTheme="minorEastAsia" w:cstheme="minorEastAsia"/>
          <w:b/>
          <w:bCs/>
          <w:color w:val="000000"/>
        </w:rPr>
        <w:t xml:space="preserve">三、本公司已充分知悉下列情形所对应的法律风险，并在投 标前已对相关风险事项进行排查。 </w:t>
      </w:r>
    </w:p>
    <w:p>
      <w:pPr>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color w:val="000000"/>
        </w:rPr>
        <w:t>（一）对于从其他主体获取的投标资料，供应商应审慎核查，确保投标资料的真实性。</w:t>
      </w:r>
      <w:r>
        <w:rPr>
          <w:rFonts w:hint="eastAsia" w:asciiTheme="minorEastAsia" w:hAnsiTheme="minorEastAsia" w:eastAsiaTheme="minorEastAsia" w:cstheme="minorEastAsia"/>
          <w:b/>
          <w:bCs/>
          <w:color w:val="000000"/>
        </w:rPr>
        <w:t xml:space="preserve">如主管部门查实投标文件中存在虚假资料的，无论相关资料是否由第三方或本公司员工提供，均不影响主管部门对供应商存在“隐瞒真实情况，提供虚假资料”违法行为的认定。 </w:t>
      </w:r>
    </w:p>
    <w:p>
      <w:pPr>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color w:val="000000"/>
        </w:rPr>
        <w:t xml:space="preserve">（二）对于涉及国家机关出具的公文、证件、证明材料等文件，一旦涉嫌虚假，经查实，主管部门将依法从严处理，并移送有关部门追究法律责任；涉嫌犯罪的，主管部门将一并移送司法机关追究法律责任。 </w:t>
      </w:r>
    </w:p>
    <w:p>
      <w:pPr>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color w:val="000000"/>
        </w:rPr>
        <w:t xml:space="preserve">（三）对于涉及安全生产、特种作业、抢险救灾、防疫等政府采购项目，供应商实施提供虚假资料、串通投标等违法行为的，主管部门将依法从严处理。 </w:t>
      </w:r>
    </w:p>
    <w:p>
      <w:pPr>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color w:val="000000"/>
        </w:rPr>
        <w:t xml:space="preserve">（四）供应商应严格规范项目授权代表、员工参与招标投标的行为，加强对投标文件的审核。项目授权代表、员工编制、上传投标文件等行为违反政府采购法律法规或招标文件要求的，投标供应商应当依法承担相应法律责任。 </w:t>
      </w:r>
    </w:p>
    <w:p>
      <w:pPr>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color w:val="000000"/>
        </w:rPr>
        <w:t xml:space="preserve">（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 </w:t>
      </w:r>
    </w:p>
    <w:p>
      <w:pPr>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color w:val="000000"/>
        </w:rPr>
        <w:t xml:space="preserve">（六）单位负责人为同一人或者存在直接控股、管理关系的不同供应商，不得参加同一合同项下的政府采购活动。相关情形如查实，依法作投标无效处理；涉嫌串通投标等违法行为的，主管部门将依法调查处理。 </w:t>
      </w:r>
    </w:p>
    <w:p>
      <w:pPr>
        <w:ind w:firstLine="482" w:firstLineChars="200"/>
        <w:rPr>
          <w:rFonts w:asciiTheme="minorEastAsia" w:hAnsiTheme="minorEastAsia" w:eastAsiaTheme="minorEastAsia" w:cstheme="minorEastAsia"/>
        </w:rPr>
      </w:pPr>
      <w:r>
        <w:rPr>
          <w:rFonts w:hint="eastAsia" w:asciiTheme="minorEastAsia" w:hAnsiTheme="minorEastAsia" w:eastAsiaTheme="minorEastAsia" w:cstheme="minorEastAsia"/>
          <w:b/>
          <w:bCs/>
          <w:color w:val="000000"/>
        </w:rPr>
        <w:t xml:space="preserve">四、本公司已充分知悉政府采购违法、违规行为的法律后果。 </w:t>
      </w:r>
    </w:p>
    <w:p>
      <w:pPr>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color w:val="000000"/>
        </w:rPr>
        <w:t xml:space="preserve">经查实，若投标供应商存在政府采购违法、违规行为，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 </w:t>
      </w:r>
    </w:p>
    <w:p>
      <w:pPr>
        <w:ind w:firstLine="482" w:firstLineChars="200"/>
        <w:rPr>
          <w:rFonts w:asciiTheme="minorEastAsia" w:hAnsiTheme="minorEastAsia" w:eastAsiaTheme="minorEastAsia" w:cstheme="minorEastAsia"/>
          <w:b/>
          <w:bCs/>
        </w:rPr>
      </w:pPr>
      <w:r>
        <w:rPr>
          <w:rFonts w:hint="eastAsia" w:asciiTheme="minorEastAsia" w:hAnsiTheme="minorEastAsia" w:eastAsiaTheme="minorEastAsia" w:cstheme="minorEastAsia"/>
          <w:b/>
          <w:bCs/>
          <w:color w:val="000000"/>
        </w:rPr>
        <w:t>以下文字请投标供应商抄写并确认：“本公司已仔细阅读《政府采购违法行为风险知悉确认书》，充分知悉违法行为的法律后果，并承诺将严谨、诚信、依法依规参与政府采购活动”。</w:t>
      </w:r>
    </w:p>
    <w:p>
      <w:pPr>
        <w:rPr>
          <w:rFonts w:asciiTheme="minorEastAsia" w:hAnsiTheme="minorEastAsia" w:eastAsiaTheme="minorEastAsia" w:cstheme="minorEastAsia"/>
          <w:color w:val="000000"/>
        </w:rPr>
      </w:pPr>
    </w:p>
    <w:p>
      <w:pPr>
        <w:pStyle w:val="8"/>
        <w:rPr>
          <w:rFonts w:asciiTheme="minorEastAsia" w:hAnsiTheme="minorEastAsia" w:eastAsiaTheme="minorEastAsia" w:cstheme="minorEastAsia"/>
          <w:color w:val="000000"/>
          <w:u w:val="single"/>
        </w:rPr>
      </w:pPr>
      <w:r>
        <w:rPr>
          <w:rFonts w:hint="eastAsia" w:asciiTheme="minorEastAsia" w:hAnsiTheme="minorEastAsia" w:eastAsiaTheme="minorEastAsia" w:cstheme="minorEastAsia"/>
          <w:color w:val="000000"/>
          <w:u w:val="single"/>
        </w:rPr>
        <w:t xml:space="preserve">  抄写并确认：“                                                                    </w:t>
      </w:r>
    </w:p>
    <w:p>
      <w:pPr>
        <w:rPr>
          <w:rFonts w:asciiTheme="minorEastAsia" w:hAnsiTheme="minorEastAsia" w:eastAsiaTheme="minorEastAsia" w:cstheme="minorEastAsia"/>
          <w:color w:val="000000"/>
          <w:u w:val="single"/>
        </w:rPr>
      </w:pPr>
      <w:r>
        <w:rPr>
          <w:rFonts w:hint="eastAsia" w:asciiTheme="minorEastAsia" w:hAnsiTheme="minorEastAsia" w:eastAsiaTheme="minorEastAsia" w:cstheme="minorEastAsia"/>
          <w:color w:val="000000"/>
          <w:u w:val="single"/>
        </w:rPr>
        <w:t xml:space="preserve">                                                                        </w:t>
      </w:r>
    </w:p>
    <w:p>
      <w:pPr>
        <w:pStyle w:val="8"/>
      </w:pPr>
      <w:r>
        <w:rPr>
          <w:rFonts w:hint="eastAsia" w:asciiTheme="minorEastAsia" w:hAnsiTheme="minorEastAsia" w:eastAsiaTheme="minorEastAsia" w:cstheme="minorEastAsia"/>
          <w:color w:val="000000"/>
          <w:u w:val="single"/>
        </w:rPr>
        <w:t xml:space="preserve">                                                                ” 。  </w:t>
      </w:r>
    </w:p>
    <w:p>
      <w:pPr>
        <w:rPr>
          <w:rFonts w:asciiTheme="minorEastAsia" w:hAnsiTheme="minorEastAsia" w:eastAsiaTheme="minorEastAsia" w:cstheme="minorEastAsia"/>
          <w:color w:val="000000"/>
          <w:u w:val="single"/>
        </w:rPr>
      </w:pPr>
    </w:p>
    <w:p>
      <w:pPr>
        <w:pStyle w:val="8"/>
        <w:rPr>
          <w:u w:val="single"/>
        </w:rPr>
      </w:pPr>
    </w:p>
    <w:p>
      <w:pPr>
        <w:rPr>
          <w:rFonts w:asciiTheme="minorEastAsia" w:hAnsiTheme="minorEastAsia" w:eastAsiaTheme="minorEastAsia" w:cstheme="minorEastAsia"/>
          <w:color w:val="000000"/>
        </w:rPr>
      </w:pPr>
    </w:p>
    <w:p>
      <w:pPr>
        <w:jc w:val="both"/>
        <w:rPr>
          <w:rFonts w:asciiTheme="minorEastAsia" w:hAnsiTheme="minorEastAsia" w:eastAsiaTheme="minorEastAsia" w:cstheme="minorEastAsia"/>
        </w:rPr>
      </w:pPr>
      <w:r>
        <w:rPr>
          <w:rFonts w:hint="eastAsia" w:asciiTheme="minorEastAsia" w:hAnsiTheme="minorEastAsia" w:eastAsiaTheme="minorEastAsia" w:cstheme="minorEastAsia"/>
          <w:color w:val="000000"/>
        </w:rPr>
        <w:t>负责人/投标授权代表签名：</w:t>
      </w:r>
    </w:p>
    <w:p>
      <w:pPr>
        <w:jc w:val="both"/>
        <w:rPr>
          <w:rFonts w:asciiTheme="minorEastAsia" w:hAnsiTheme="minorEastAsia" w:eastAsiaTheme="minorEastAsia" w:cstheme="minorEastAsia"/>
        </w:rPr>
      </w:pPr>
      <w:r>
        <w:rPr>
          <w:rFonts w:hint="eastAsia" w:asciiTheme="minorEastAsia" w:hAnsiTheme="minorEastAsia" w:eastAsiaTheme="minorEastAsia" w:cstheme="minorEastAsia"/>
          <w:color w:val="000000"/>
        </w:rPr>
        <w:t>知悉人（公章）：</w:t>
      </w:r>
    </w:p>
    <w:p>
      <w:pPr>
        <w:jc w:val="both"/>
        <w:rPr>
          <w:rFonts w:asciiTheme="minorEastAsia" w:hAnsiTheme="minorEastAsia" w:eastAsiaTheme="minorEastAsia" w:cstheme="minorEastAsia"/>
        </w:rPr>
      </w:pPr>
      <w:r>
        <w:rPr>
          <w:rFonts w:hint="eastAsia" w:asciiTheme="minorEastAsia" w:hAnsiTheme="minorEastAsia" w:eastAsiaTheme="minorEastAsia" w:cstheme="minorEastAsia"/>
          <w:color w:val="000000"/>
        </w:rPr>
        <w:t>日期：</w:t>
      </w:r>
    </w:p>
    <w:p/>
    <w:p>
      <w:pPr>
        <w:ind w:firstLine="480" w:firstLineChars="200"/>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 备注：各投标供应商负责人或投标授权代表</w:t>
      </w:r>
      <w:r>
        <w:rPr>
          <w:rFonts w:hint="eastAsia" w:asciiTheme="minorEastAsia" w:hAnsiTheme="minorEastAsia" w:eastAsiaTheme="minorEastAsia" w:cstheme="minorEastAsia"/>
          <w:b/>
          <w:bCs/>
          <w:color w:val="000000"/>
          <w:u w:val="single"/>
        </w:rPr>
        <w:t>签字并加盖单位公章后，扫描上传至投标文件一并提交</w:t>
      </w:r>
      <w:r>
        <w:rPr>
          <w:rFonts w:hint="eastAsia" w:asciiTheme="minorEastAsia" w:hAnsiTheme="minorEastAsia" w:eastAsiaTheme="minorEastAsia" w:cstheme="minorEastAsia"/>
          <w:color w:val="000000"/>
        </w:rPr>
        <w:t xml:space="preserve">。 </w:t>
      </w:r>
    </w:p>
    <w:p>
      <w:pPr>
        <w:rPr>
          <w:rFonts w:asciiTheme="minorEastAsia" w:hAnsiTheme="minorEastAsia" w:eastAsiaTheme="minorEastAsia" w:cstheme="minorEastAsia"/>
          <w:color w:val="000000"/>
        </w:rPr>
      </w:pPr>
    </w:p>
    <w:p>
      <w:pPr>
        <w:rPr>
          <w:sz w:val="30"/>
          <w:szCs w:val="30"/>
        </w:rPr>
      </w:pPr>
      <w:r>
        <w:rPr>
          <w:rFonts w:hint="eastAsia" w:asciiTheme="minorEastAsia" w:hAnsiTheme="minorEastAsia" w:eastAsiaTheme="minorEastAsia" w:cstheme="minorEastAsia"/>
          <w:color w:val="000000"/>
        </w:rPr>
        <w:t>需要注意的是，该风险知悉确认书</w:t>
      </w:r>
      <w:r>
        <w:rPr>
          <w:rFonts w:hint="eastAsia" w:asciiTheme="minorEastAsia" w:hAnsiTheme="minorEastAsia" w:eastAsiaTheme="minorEastAsia" w:cstheme="minorEastAsia"/>
          <w:b/>
          <w:bCs/>
          <w:color w:val="000000"/>
          <w:u w:val="single"/>
        </w:rPr>
        <w:t>用于对供应商违法行为的警示，不作为供应商资格性审查及符合性审查条件</w:t>
      </w:r>
      <w:r>
        <w:rPr>
          <w:rFonts w:hint="eastAsia" w:asciiTheme="minorEastAsia" w:hAnsiTheme="minorEastAsia" w:eastAsiaTheme="minorEastAsia" w:cstheme="minorEastAsia"/>
          <w:color w:val="000000"/>
        </w:rPr>
        <w:t>。</w:t>
      </w:r>
    </w:p>
    <w:p>
      <w:pPr>
        <w:pStyle w:val="8"/>
      </w:pPr>
    </w:p>
    <w:p>
      <w:pPr>
        <w:jc w:val="center"/>
        <w:rPr>
          <w:b/>
          <w:sz w:val="30"/>
          <w:szCs w:val="30"/>
        </w:rPr>
      </w:pPr>
      <w:r>
        <w:rPr>
          <w:rFonts w:hint="eastAsia"/>
          <w:b/>
          <w:sz w:val="30"/>
          <w:szCs w:val="30"/>
        </w:rPr>
        <w:t>（信息公开部分到此为止，以下是信息非公开部分！）</w:t>
      </w:r>
    </w:p>
    <w:p/>
    <w:p>
      <w:pPr>
        <w:rPr>
          <w:rFonts w:ascii="宋体" w:hAnsi="宋体"/>
          <w:b/>
          <w:sz w:val="28"/>
          <w:szCs w:val="28"/>
        </w:rPr>
      </w:pPr>
      <w:r>
        <w:rPr>
          <w:rFonts w:hint="eastAsia" w:ascii="宋体" w:hAnsi="宋体"/>
          <w:b/>
          <w:sz w:val="28"/>
          <w:szCs w:val="28"/>
        </w:rPr>
        <w:br w:type="page"/>
      </w:r>
    </w:p>
    <w:p>
      <w:pPr>
        <w:outlineLvl w:val="1"/>
        <w:rPr>
          <w:rFonts w:ascii="宋体" w:hAnsi="宋体"/>
          <w:b/>
          <w:sz w:val="28"/>
          <w:szCs w:val="28"/>
        </w:rPr>
      </w:pPr>
      <w:r>
        <w:rPr>
          <w:rFonts w:hint="eastAsia" w:ascii="宋体" w:hAnsi="宋体"/>
          <w:b/>
          <w:sz w:val="28"/>
          <w:szCs w:val="28"/>
        </w:rPr>
        <w:t>投标文件附件（信息非公开部分）</w:t>
      </w:r>
    </w:p>
    <w:p>
      <w:pPr>
        <w:spacing w:before="260" w:after="260"/>
        <w:jc w:val="center"/>
        <w:outlineLvl w:val="2"/>
        <w:rPr>
          <w:rFonts w:hint="eastAsia" w:ascii="宋体" w:hAnsi="宋体" w:eastAsia="宋体" w:cs="宋体"/>
          <w:b/>
          <w:bCs/>
          <w:sz w:val="28"/>
          <w:szCs w:val="36"/>
        </w:rPr>
      </w:pPr>
      <w:r>
        <w:rPr>
          <w:rFonts w:hint="eastAsia" w:ascii="宋体" w:hAnsi="宋体" w:eastAsia="宋体" w:cs="宋体"/>
          <w:b/>
          <w:bCs/>
          <w:sz w:val="28"/>
          <w:szCs w:val="36"/>
        </w:rPr>
        <w:t>一、法定代表人证明书</w:t>
      </w:r>
    </w:p>
    <w:p/>
    <w:p>
      <w:pPr>
        <w:spacing w:line="360" w:lineRule="auto"/>
        <w:rPr>
          <w:szCs w:val="21"/>
        </w:rPr>
      </w:pPr>
      <w:r>
        <w:rPr>
          <w:rFonts w:hint="eastAsia"/>
          <w:szCs w:val="21"/>
        </w:rPr>
        <w:t xml:space="preserve">   </w:t>
      </w:r>
      <w:r>
        <w:rPr>
          <w:rFonts w:hint="eastAsia"/>
          <w:szCs w:val="21"/>
          <w:u w:val="single"/>
        </w:rPr>
        <w:t xml:space="preserve">         </w:t>
      </w:r>
      <w:r>
        <w:rPr>
          <w:rFonts w:hint="eastAsia"/>
          <w:szCs w:val="21"/>
        </w:rPr>
        <w:t>同志，现任我单位</w:t>
      </w:r>
      <w:r>
        <w:rPr>
          <w:rFonts w:hint="eastAsia"/>
          <w:szCs w:val="21"/>
          <w:u w:val="single"/>
        </w:rPr>
        <w:t xml:space="preserve">         </w:t>
      </w:r>
      <w:r>
        <w:rPr>
          <w:rFonts w:hint="eastAsia"/>
          <w:szCs w:val="21"/>
        </w:rPr>
        <w:t>职务，为法定代表人，特此证明。</w:t>
      </w:r>
    </w:p>
    <w:p>
      <w:pPr>
        <w:spacing w:line="360" w:lineRule="auto"/>
        <w:rPr>
          <w:szCs w:val="21"/>
        </w:rPr>
      </w:pPr>
      <w:r>
        <w:rPr>
          <w:rFonts w:hint="eastAsia"/>
          <w:szCs w:val="21"/>
        </w:rPr>
        <w:t xml:space="preserve">         </w:t>
      </w:r>
    </w:p>
    <w:p>
      <w:pPr>
        <w:spacing w:line="360" w:lineRule="auto"/>
        <w:rPr>
          <w:szCs w:val="21"/>
        </w:rPr>
      </w:pPr>
      <w:r>
        <w:rPr>
          <w:rFonts w:hint="eastAsia"/>
          <w:szCs w:val="21"/>
        </w:rPr>
        <w:t>说明：1、法定代表人为企业事业单位、国家机关、社会团体的主要行政负责人。</w:t>
      </w:r>
    </w:p>
    <w:p>
      <w:pPr>
        <w:rPr>
          <w:szCs w:val="21"/>
        </w:rPr>
      </w:pPr>
      <w:r>
        <w:rPr>
          <w:rFonts w:hint="eastAsia"/>
          <w:szCs w:val="21"/>
        </w:rPr>
        <w:t xml:space="preserve">      2、内容必须填写真实、清楚，涂改无效，不得转让、买卖。</w:t>
      </w:r>
    </w:p>
    <w:p/>
    <w:p>
      <w:pPr>
        <w:spacing w:line="360" w:lineRule="auto"/>
        <w:rPr>
          <w:b/>
          <w:szCs w:val="21"/>
        </w:rPr>
      </w:pPr>
      <w:r>
        <w:rPr>
          <w:rFonts w:hint="eastAsia"/>
          <w:b/>
          <w:szCs w:val="21"/>
        </w:rPr>
        <w:t>附： 请提供法定代表人身份证扫描件（正反两面）。</w:t>
      </w:r>
    </w:p>
    <w:p>
      <w:pPr>
        <w:rPr>
          <w:b/>
          <w:bCs/>
        </w:rPr>
      </w:pPr>
    </w:p>
    <w:p>
      <w:pPr>
        <w:rPr>
          <w:rFonts w:hint="eastAsia" w:ascii="宋体" w:hAnsi="宋体" w:eastAsia="宋体" w:cs="宋体"/>
          <w:b/>
          <w:bCs/>
          <w:sz w:val="28"/>
          <w:szCs w:val="36"/>
        </w:rPr>
      </w:pPr>
      <w:r>
        <w:rPr>
          <w:rFonts w:hint="eastAsia" w:ascii="宋体" w:hAnsi="宋体" w:eastAsia="宋体" w:cs="宋体"/>
          <w:b/>
          <w:bCs/>
          <w:sz w:val="28"/>
          <w:szCs w:val="36"/>
        </w:rPr>
        <w:br w:type="page"/>
      </w:r>
    </w:p>
    <w:p>
      <w:pPr>
        <w:spacing w:before="260" w:after="260"/>
        <w:jc w:val="center"/>
        <w:outlineLvl w:val="2"/>
        <w:rPr>
          <w:rFonts w:hint="eastAsia" w:ascii="宋体" w:hAnsi="宋体" w:eastAsia="宋体" w:cs="宋体"/>
          <w:b/>
          <w:bCs/>
          <w:sz w:val="28"/>
          <w:szCs w:val="36"/>
        </w:rPr>
      </w:pPr>
      <w:r>
        <w:rPr>
          <w:rFonts w:hint="eastAsia" w:ascii="宋体" w:hAnsi="宋体" w:eastAsia="宋体" w:cs="宋体"/>
          <w:b/>
          <w:bCs/>
          <w:sz w:val="28"/>
          <w:szCs w:val="36"/>
        </w:rPr>
        <w:t>二、投标文件签署授权委托书</w:t>
      </w:r>
    </w:p>
    <w:p>
      <w:pPr>
        <w:spacing w:line="360" w:lineRule="auto"/>
        <w:ind w:firstLine="480" w:firstLineChars="200"/>
        <w:rPr>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（投标人名称）的法定代表人，现授权委托</w:t>
      </w:r>
      <w:r>
        <w:rPr>
          <w:rFonts w:hint="eastAsia"/>
          <w:szCs w:val="21"/>
          <w:u w:val="single"/>
        </w:rPr>
        <w:t xml:space="preserve">            </w:t>
      </w:r>
      <w:r>
        <w:rPr>
          <w:rFonts w:hint="eastAsia"/>
          <w:szCs w:val="21"/>
        </w:rPr>
        <w:t>（姓名）为我公司签署本项目已递交的投标文件的法定代表人的授权委托代理人，代理人全权代表我所签署的本项目已递交的投标文件内容我均承认。</w:t>
      </w:r>
    </w:p>
    <w:p>
      <w:pPr>
        <w:spacing w:line="360" w:lineRule="auto"/>
        <w:ind w:firstLine="420"/>
        <w:rPr>
          <w:szCs w:val="21"/>
        </w:rPr>
      </w:pPr>
      <w:r>
        <w:rPr>
          <w:rFonts w:hint="eastAsia"/>
          <w:szCs w:val="21"/>
        </w:rPr>
        <w:t>代理人无转委托权，特此委托。</w:t>
      </w:r>
    </w:p>
    <w:p>
      <w:pPr>
        <w:spacing w:line="360" w:lineRule="auto"/>
        <w:ind w:firstLine="420"/>
        <w:rPr>
          <w:szCs w:val="21"/>
        </w:rPr>
      </w:pPr>
    </w:p>
    <w:p>
      <w:pPr>
        <w:spacing w:line="360" w:lineRule="auto"/>
        <w:ind w:left="617" w:leftChars="257"/>
        <w:rPr>
          <w:szCs w:val="21"/>
          <w:u w:val="single"/>
        </w:rPr>
      </w:pPr>
      <w:r>
        <w:rPr>
          <w:rFonts w:hint="eastAsia"/>
          <w:szCs w:val="21"/>
        </w:rPr>
        <w:t>代理人：</w:t>
      </w:r>
      <w:r>
        <w:rPr>
          <w:rFonts w:hint="eastAsia"/>
          <w:szCs w:val="21"/>
          <w:u w:val="single"/>
        </w:rPr>
        <w:t xml:space="preserve">             </w:t>
      </w:r>
    </w:p>
    <w:p>
      <w:pPr>
        <w:spacing w:line="360" w:lineRule="auto"/>
        <w:ind w:left="617" w:leftChars="257"/>
        <w:rPr>
          <w:szCs w:val="21"/>
        </w:rPr>
      </w:pPr>
      <w:r>
        <w:rPr>
          <w:rFonts w:hint="eastAsia"/>
          <w:szCs w:val="21"/>
        </w:rPr>
        <w:t>联系电话：</w:t>
      </w:r>
      <w:r>
        <w:rPr>
          <w:rFonts w:hint="eastAsia"/>
          <w:szCs w:val="21"/>
          <w:u w:val="single"/>
        </w:rPr>
        <w:t xml:space="preserve">            </w:t>
      </w:r>
      <w:r>
        <w:rPr>
          <w:rFonts w:hint="eastAsia"/>
          <w:szCs w:val="21"/>
        </w:rPr>
        <w:t xml:space="preserve">  手机：</w:t>
      </w:r>
      <w:r>
        <w:rPr>
          <w:rFonts w:hint="eastAsia"/>
          <w:szCs w:val="21"/>
          <w:u w:val="single"/>
        </w:rPr>
        <w:t xml:space="preserve">                   </w:t>
      </w:r>
    </w:p>
    <w:p>
      <w:pPr>
        <w:spacing w:line="360" w:lineRule="auto"/>
        <w:ind w:left="617" w:leftChars="257"/>
        <w:rPr>
          <w:szCs w:val="21"/>
          <w:u w:val="single"/>
        </w:rPr>
      </w:pPr>
      <w:r>
        <w:rPr>
          <w:rFonts w:hint="eastAsia"/>
          <w:szCs w:val="21"/>
        </w:rPr>
        <w:t>身份证号码：</w:t>
      </w:r>
      <w:r>
        <w:rPr>
          <w:rFonts w:hint="eastAsia"/>
          <w:szCs w:val="21"/>
          <w:u w:val="single"/>
        </w:rPr>
        <w:t xml:space="preserve">                        </w:t>
      </w:r>
      <w:r>
        <w:rPr>
          <w:rFonts w:hint="eastAsia"/>
          <w:szCs w:val="21"/>
        </w:rPr>
        <w:t>职务：</w:t>
      </w:r>
      <w:r>
        <w:rPr>
          <w:rFonts w:hint="eastAsia"/>
          <w:szCs w:val="21"/>
          <w:u w:val="single"/>
        </w:rPr>
        <w:t xml:space="preserve">       </w:t>
      </w:r>
    </w:p>
    <w:p>
      <w:pPr>
        <w:spacing w:line="360" w:lineRule="auto"/>
        <w:ind w:left="617" w:leftChars="257"/>
        <w:rPr>
          <w:szCs w:val="21"/>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p>
    <w:p/>
    <w:p>
      <w:pPr>
        <w:spacing w:line="360" w:lineRule="auto"/>
        <w:rPr>
          <w:b/>
          <w:szCs w:val="21"/>
        </w:rPr>
      </w:pPr>
      <w:r>
        <w:rPr>
          <w:rFonts w:hint="eastAsia"/>
          <w:b/>
          <w:szCs w:val="21"/>
        </w:rPr>
        <w:t>附： 请提供授权委托代理人身份证扫描件（正反两面）。</w:t>
      </w:r>
    </w:p>
    <w:p>
      <w:pPr>
        <w:spacing w:line="360" w:lineRule="auto"/>
        <w:rPr>
          <w:b/>
          <w:szCs w:val="21"/>
        </w:rPr>
      </w:pPr>
    </w:p>
    <w:p>
      <w:pPr>
        <w:spacing w:before="260" w:after="260"/>
        <w:jc w:val="center"/>
        <w:outlineLvl w:val="2"/>
        <w:rPr>
          <w:rFonts w:ascii="黑体" w:hAnsi="宋体" w:eastAsia="黑体"/>
        </w:rPr>
      </w:pPr>
      <w:r>
        <w:rPr>
          <w:rFonts w:hint="eastAsia" w:ascii="黑体" w:hAnsi="宋体" w:eastAsia="黑体"/>
        </w:rPr>
        <w:br w:type="page"/>
      </w:r>
      <w:r>
        <w:rPr>
          <w:rFonts w:hint="eastAsia" w:ascii="宋体" w:hAnsi="宋体" w:eastAsia="宋体" w:cs="宋体"/>
          <w:b/>
          <w:bCs/>
          <w:sz w:val="28"/>
          <w:szCs w:val="36"/>
        </w:rPr>
        <w:t>三、投标人情况介绍</w:t>
      </w:r>
    </w:p>
    <w:tbl>
      <w:tblPr>
        <w:tblStyle w:val="19"/>
        <w:tblW w:w="8175"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628"/>
        <w:gridCol w:w="4253"/>
        <w:gridCol w:w="1559"/>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cantSplit/>
          <w:trHeight w:val="20" w:hRule="atLeast"/>
          <w:jc w:val="center"/>
        </w:trPr>
        <w:tc>
          <w:tcPr>
            <w:tcW w:w="735" w:type="dxa"/>
            <w:vAlign w:val="center"/>
          </w:tcPr>
          <w:p>
            <w:pPr>
              <w:widowControl w:val="0"/>
              <w:adjustRightInd w:val="0"/>
              <w:snapToGrid w:val="0"/>
            </w:pPr>
            <w:r>
              <w:t>序号</w:t>
            </w:r>
          </w:p>
        </w:tc>
        <w:tc>
          <w:tcPr>
            <w:tcW w:w="1628" w:type="dxa"/>
          </w:tcPr>
          <w:p>
            <w:pPr>
              <w:widowControl w:val="0"/>
              <w:adjustRightInd w:val="0"/>
              <w:snapToGrid w:val="0"/>
            </w:pPr>
            <w:r>
              <w:t>项  目</w:t>
            </w:r>
          </w:p>
        </w:tc>
        <w:tc>
          <w:tcPr>
            <w:tcW w:w="4253" w:type="dxa"/>
            <w:vAlign w:val="center"/>
          </w:tcPr>
          <w:p>
            <w:pPr>
              <w:widowControl w:val="0"/>
              <w:adjustRightInd w:val="0"/>
              <w:snapToGrid w:val="0"/>
            </w:pPr>
            <w:r>
              <w:t>内容及说明</w:t>
            </w:r>
          </w:p>
        </w:tc>
        <w:tc>
          <w:tcPr>
            <w:tcW w:w="1559" w:type="dxa"/>
            <w:vAlign w:val="center"/>
          </w:tcPr>
          <w:p>
            <w:pPr>
              <w:widowControl w:val="0"/>
              <w:adjustRightInd w:val="0"/>
              <w:snapToGrid w:val="0"/>
            </w:pPr>
            <w: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35" w:type="dxa"/>
            <w:vAlign w:val="center"/>
          </w:tcPr>
          <w:p>
            <w:pPr>
              <w:widowControl w:val="0"/>
              <w:adjustRightInd w:val="0"/>
              <w:snapToGrid w:val="0"/>
            </w:pPr>
            <w:r>
              <w:t>一</w:t>
            </w:r>
          </w:p>
        </w:tc>
        <w:tc>
          <w:tcPr>
            <w:tcW w:w="5881" w:type="dxa"/>
            <w:gridSpan w:val="2"/>
            <w:vAlign w:val="center"/>
          </w:tcPr>
          <w:p>
            <w:pPr>
              <w:widowControl w:val="0"/>
              <w:adjustRightInd w:val="0"/>
              <w:snapToGrid w:val="0"/>
            </w:pPr>
            <w:r>
              <w:t>营业执照</w:t>
            </w:r>
          </w:p>
        </w:tc>
        <w:tc>
          <w:tcPr>
            <w:tcW w:w="1559" w:type="dxa"/>
            <w:vAlign w:val="center"/>
          </w:tcPr>
          <w:p>
            <w:pPr>
              <w:widowControl w:val="0"/>
              <w:adjustRightInd w:val="0"/>
              <w:snapToGrid w:val="0"/>
            </w:pPr>
            <w:r>
              <w:t>提供扫描件，原件备查</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35" w:type="dxa"/>
            <w:vAlign w:val="center"/>
          </w:tcPr>
          <w:p>
            <w:pPr>
              <w:widowControl w:val="0"/>
              <w:adjustRightInd w:val="0"/>
              <w:snapToGrid w:val="0"/>
            </w:pPr>
            <w:r>
              <w:t>1</w:t>
            </w:r>
          </w:p>
        </w:tc>
        <w:tc>
          <w:tcPr>
            <w:tcW w:w="1628" w:type="dxa"/>
            <w:vAlign w:val="center"/>
          </w:tcPr>
          <w:p>
            <w:pPr>
              <w:widowControl w:val="0"/>
              <w:adjustRightInd w:val="0"/>
              <w:snapToGrid w:val="0"/>
            </w:pPr>
            <w:r>
              <w:t>注册年度及注册编号</w:t>
            </w:r>
          </w:p>
        </w:tc>
        <w:tc>
          <w:tcPr>
            <w:tcW w:w="4253" w:type="dxa"/>
            <w:vAlign w:val="center"/>
          </w:tcPr>
          <w:p>
            <w:pPr>
              <w:widowControl w:val="0"/>
              <w:adjustRightInd w:val="0"/>
              <w:snapToGrid w:val="0"/>
            </w:pPr>
          </w:p>
        </w:tc>
        <w:tc>
          <w:tcPr>
            <w:tcW w:w="1559" w:type="dxa"/>
            <w:vAlign w:val="center"/>
          </w:tcPr>
          <w:p>
            <w:pPr>
              <w:widowControl w:val="0"/>
              <w:adjustRightInd w:val="0"/>
              <w:snapToGrid w:val="0"/>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35" w:type="dxa"/>
            <w:vAlign w:val="center"/>
          </w:tcPr>
          <w:p>
            <w:pPr>
              <w:widowControl w:val="0"/>
              <w:adjustRightInd w:val="0"/>
              <w:snapToGrid w:val="0"/>
            </w:pPr>
            <w:r>
              <w:t>2</w:t>
            </w:r>
          </w:p>
        </w:tc>
        <w:tc>
          <w:tcPr>
            <w:tcW w:w="1628" w:type="dxa"/>
            <w:vAlign w:val="center"/>
          </w:tcPr>
          <w:p>
            <w:pPr>
              <w:widowControl w:val="0"/>
              <w:adjustRightInd w:val="0"/>
              <w:snapToGrid w:val="0"/>
            </w:pPr>
            <w:r>
              <w:t>注册资金（万元）</w:t>
            </w:r>
          </w:p>
        </w:tc>
        <w:tc>
          <w:tcPr>
            <w:tcW w:w="4253" w:type="dxa"/>
            <w:vAlign w:val="center"/>
          </w:tcPr>
          <w:p>
            <w:pPr>
              <w:widowControl w:val="0"/>
              <w:adjustRightInd w:val="0"/>
              <w:snapToGrid w:val="0"/>
            </w:pPr>
          </w:p>
        </w:tc>
        <w:tc>
          <w:tcPr>
            <w:tcW w:w="1559" w:type="dxa"/>
            <w:vAlign w:val="center"/>
          </w:tcPr>
          <w:p>
            <w:pPr>
              <w:widowControl w:val="0"/>
              <w:adjustRightInd w:val="0"/>
              <w:snapToGrid w:val="0"/>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cantSplit/>
          <w:trHeight w:val="20" w:hRule="atLeast"/>
          <w:jc w:val="center"/>
        </w:trPr>
        <w:tc>
          <w:tcPr>
            <w:tcW w:w="735" w:type="dxa"/>
            <w:vAlign w:val="center"/>
          </w:tcPr>
          <w:p>
            <w:pPr>
              <w:widowControl w:val="0"/>
              <w:adjustRightInd w:val="0"/>
              <w:snapToGrid w:val="0"/>
            </w:pPr>
            <w:r>
              <w:t>3</w:t>
            </w:r>
          </w:p>
        </w:tc>
        <w:tc>
          <w:tcPr>
            <w:tcW w:w="1628" w:type="dxa"/>
            <w:vAlign w:val="center"/>
          </w:tcPr>
          <w:p>
            <w:pPr>
              <w:widowControl w:val="0"/>
              <w:adjustRightInd w:val="0"/>
              <w:snapToGrid w:val="0"/>
            </w:pPr>
            <w:r>
              <w:t>经营场所</w:t>
            </w:r>
          </w:p>
        </w:tc>
        <w:tc>
          <w:tcPr>
            <w:tcW w:w="4253" w:type="dxa"/>
            <w:vAlign w:val="center"/>
          </w:tcPr>
          <w:p>
            <w:pPr>
              <w:widowControl w:val="0"/>
              <w:adjustRightInd w:val="0"/>
              <w:snapToGrid w:val="0"/>
            </w:pPr>
          </w:p>
        </w:tc>
        <w:tc>
          <w:tcPr>
            <w:tcW w:w="1559" w:type="dxa"/>
            <w:vAlign w:val="center"/>
          </w:tcPr>
          <w:p>
            <w:pPr>
              <w:widowControl w:val="0"/>
              <w:adjustRightInd w:val="0"/>
              <w:snapToGrid w:val="0"/>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35" w:type="dxa"/>
            <w:vAlign w:val="center"/>
          </w:tcPr>
          <w:p>
            <w:pPr>
              <w:widowControl w:val="0"/>
              <w:adjustRightInd w:val="0"/>
              <w:snapToGrid w:val="0"/>
            </w:pPr>
            <w:r>
              <w:t>4</w:t>
            </w:r>
          </w:p>
        </w:tc>
        <w:tc>
          <w:tcPr>
            <w:tcW w:w="1628" w:type="dxa"/>
            <w:vAlign w:val="center"/>
          </w:tcPr>
          <w:p>
            <w:pPr>
              <w:widowControl w:val="0"/>
              <w:adjustRightInd w:val="0"/>
              <w:snapToGrid w:val="0"/>
            </w:pPr>
            <w:r>
              <w:t>有效期</w:t>
            </w:r>
          </w:p>
        </w:tc>
        <w:tc>
          <w:tcPr>
            <w:tcW w:w="4253" w:type="dxa"/>
            <w:vAlign w:val="center"/>
          </w:tcPr>
          <w:p>
            <w:pPr>
              <w:widowControl w:val="0"/>
              <w:adjustRightInd w:val="0"/>
              <w:snapToGrid w:val="0"/>
            </w:pPr>
          </w:p>
        </w:tc>
        <w:tc>
          <w:tcPr>
            <w:tcW w:w="1559" w:type="dxa"/>
            <w:vAlign w:val="center"/>
          </w:tcPr>
          <w:p>
            <w:pPr>
              <w:widowControl w:val="0"/>
              <w:adjustRightInd w:val="0"/>
              <w:snapToGrid w:val="0"/>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35" w:type="dxa"/>
            <w:vAlign w:val="center"/>
          </w:tcPr>
          <w:p>
            <w:pPr>
              <w:widowControl w:val="0"/>
              <w:adjustRightInd w:val="0"/>
              <w:snapToGrid w:val="0"/>
            </w:pPr>
            <w:r>
              <w:t>二</w:t>
            </w:r>
          </w:p>
        </w:tc>
        <w:tc>
          <w:tcPr>
            <w:tcW w:w="5881" w:type="dxa"/>
            <w:gridSpan w:val="2"/>
            <w:vAlign w:val="center"/>
          </w:tcPr>
          <w:p>
            <w:pPr>
              <w:widowControl w:val="0"/>
              <w:adjustRightInd w:val="0"/>
              <w:snapToGrid w:val="0"/>
            </w:pPr>
            <w:r>
              <w:t>依法纳税</w:t>
            </w:r>
          </w:p>
        </w:tc>
        <w:tc>
          <w:tcPr>
            <w:tcW w:w="1559" w:type="dxa"/>
            <w:vAlign w:val="center"/>
          </w:tcPr>
          <w:p>
            <w:pPr>
              <w:widowControl w:val="0"/>
              <w:adjustRightInd w:val="0"/>
              <w:snapToGrid w:val="0"/>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35" w:type="dxa"/>
            <w:vAlign w:val="center"/>
          </w:tcPr>
          <w:p>
            <w:pPr>
              <w:widowControl w:val="0"/>
              <w:adjustRightInd w:val="0"/>
              <w:snapToGrid w:val="0"/>
            </w:pPr>
            <w:r>
              <w:t>1</w:t>
            </w:r>
          </w:p>
        </w:tc>
        <w:tc>
          <w:tcPr>
            <w:tcW w:w="1628" w:type="dxa"/>
            <w:vAlign w:val="center"/>
          </w:tcPr>
          <w:p>
            <w:pPr>
              <w:widowControl w:val="0"/>
              <w:adjustRightInd w:val="0"/>
              <w:snapToGrid w:val="0"/>
            </w:pPr>
            <w:r>
              <w:t>税务登记证编号</w:t>
            </w:r>
          </w:p>
        </w:tc>
        <w:tc>
          <w:tcPr>
            <w:tcW w:w="4253" w:type="dxa"/>
            <w:vAlign w:val="center"/>
          </w:tcPr>
          <w:p>
            <w:pPr>
              <w:widowControl w:val="0"/>
              <w:adjustRightInd w:val="0"/>
              <w:snapToGrid w:val="0"/>
            </w:pPr>
          </w:p>
        </w:tc>
        <w:tc>
          <w:tcPr>
            <w:tcW w:w="1559" w:type="dxa"/>
            <w:vAlign w:val="center"/>
          </w:tcPr>
          <w:p>
            <w:pPr>
              <w:widowControl w:val="0"/>
              <w:adjustRightInd w:val="0"/>
              <w:snapToGrid w:val="0"/>
            </w:pPr>
            <w:r>
              <w:t>（已办理三证合一的企业，以提供营业执照扫描件为准）</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35" w:type="dxa"/>
            <w:vAlign w:val="center"/>
          </w:tcPr>
          <w:p>
            <w:pPr>
              <w:widowControl w:val="0"/>
              <w:adjustRightInd w:val="0"/>
              <w:snapToGrid w:val="0"/>
            </w:pPr>
            <w:r>
              <w:t>三</w:t>
            </w:r>
          </w:p>
        </w:tc>
        <w:tc>
          <w:tcPr>
            <w:tcW w:w="5881" w:type="dxa"/>
            <w:gridSpan w:val="2"/>
            <w:vAlign w:val="center"/>
          </w:tcPr>
          <w:p>
            <w:pPr>
              <w:widowControl w:val="0"/>
              <w:adjustRightInd w:val="0"/>
              <w:snapToGrid w:val="0"/>
            </w:pPr>
            <w:r>
              <w:t>资格（质）证书（若有其他资质证书，可按表格格式扩展）</w:t>
            </w:r>
          </w:p>
        </w:tc>
        <w:tc>
          <w:tcPr>
            <w:tcW w:w="1559" w:type="dxa"/>
            <w:vAlign w:val="center"/>
          </w:tcPr>
          <w:p>
            <w:pPr>
              <w:widowControl w:val="0"/>
              <w:adjustRightInd w:val="0"/>
              <w:snapToGrid w:val="0"/>
            </w:pPr>
            <w:r>
              <w:t>提供扫描件，原件备查</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35" w:type="dxa"/>
            <w:vAlign w:val="center"/>
          </w:tcPr>
          <w:p>
            <w:pPr>
              <w:widowControl w:val="0"/>
              <w:adjustRightInd w:val="0"/>
              <w:snapToGrid w:val="0"/>
            </w:pPr>
            <w:r>
              <w:t>1</w:t>
            </w:r>
          </w:p>
        </w:tc>
        <w:tc>
          <w:tcPr>
            <w:tcW w:w="1628" w:type="dxa"/>
            <w:vAlign w:val="center"/>
          </w:tcPr>
          <w:p>
            <w:pPr>
              <w:widowControl w:val="0"/>
              <w:adjustRightInd w:val="0"/>
              <w:snapToGrid w:val="0"/>
            </w:pPr>
            <w:r>
              <w:t>证书名称</w:t>
            </w:r>
          </w:p>
        </w:tc>
        <w:tc>
          <w:tcPr>
            <w:tcW w:w="4253" w:type="dxa"/>
            <w:vAlign w:val="center"/>
          </w:tcPr>
          <w:p>
            <w:pPr>
              <w:widowControl w:val="0"/>
              <w:adjustRightInd w:val="0"/>
              <w:snapToGrid w:val="0"/>
            </w:pPr>
          </w:p>
        </w:tc>
        <w:tc>
          <w:tcPr>
            <w:tcW w:w="1559" w:type="dxa"/>
            <w:vAlign w:val="center"/>
          </w:tcPr>
          <w:p>
            <w:pPr>
              <w:widowControl w:val="0"/>
              <w:adjustRightInd w:val="0"/>
              <w:snapToGrid w:val="0"/>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35" w:type="dxa"/>
            <w:vAlign w:val="center"/>
          </w:tcPr>
          <w:p>
            <w:pPr>
              <w:widowControl w:val="0"/>
              <w:adjustRightInd w:val="0"/>
              <w:snapToGrid w:val="0"/>
            </w:pPr>
            <w:r>
              <w:t>2</w:t>
            </w:r>
          </w:p>
        </w:tc>
        <w:tc>
          <w:tcPr>
            <w:tcW w:w="1628" w:type="dxa"/>
            <w:vAlign w:val="center"/>
          </w:tcPr>
          <w:p>
            <w:pPr>
              <w:widowControl w:val="0"/>
              <w:adjustRightInd w:val="0"/>
              <w:snapToGrid w:val="0"/>
            </w:pPr>
            <w:r>
              <w:t>批准单位</w:t>
            </w:r>
          </w:p>
        </w:tc>
        <w:tc>
          <w:tcPr>
            <w:tcW w:w="4253" w:type="dxa"/>
            <w:vAlign w:val="center"/>
          </w:tcPr>
          <w:p>
            <w:pPr>
              <w:widowControl w:val="0"/>
              <w:adjustRightInd w:val="0"/>
              <w:snapToGrid w:val="0"/>
            </w:pPr>
          </w:p>
        </w:tc>
        <w:tc>
          <w:tcPr>
            <w:tcW w:w="1559" w:type="dxa"/>
            <w:vAlign w:val="center"/>
          </w:tcPr>
          <w:p>
            <w:pPr>
              <w:widowControl w:val="0"/>
              <w:adjustRightInd w:val="0"/>
              <w:snapToGrid w:val="0"/>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35" w:type="dxa"/>
            <w:vAlign w:val="center"/>
          </w:tcPr>
          <w:p>
            <w:pPr>
              <w:widowControl w:val="0"/>
              <w:adjustRightInd w:val="0"/>
              <w:snapToGrid w:val="0"/>
            </w:pPr>
            <w:r>
              <w:t>3</w:t>
            </w:r>
          </w:p>
        </w:tc>
        <w:tc>
          <w:tcPr>
            <w:tcW w:w="1628" w:type="dxa"/>
            <w:vAlign w:val="center"/>
          </w:tcPr>
          <w:p>
            <w:pPr>
              <w:widowControl w:val="0"/>
              <w:adjustRightInd w:val="0"/>
              <w:snapToGrid w:val="0"/>
            </w:pPr>
            <w:r>
              <w:t>等级</w:t>
            </w:r>
          </w:p>
        </w:tc>
        <w:tc>
          <w:tcPr>
            <w:tcW w:w="4253" w:type="dxa"/>
            <w:vAlign w:val="center"/>
          </w:tcPr>
          <w:p>
            <w:pPr>
              <w:widowControl w:val="0"/>
              <w:adjustRightInd w:val="0"/>
              <w:snapToGrid w:val="0"/>
            </w:pPr>
          </w:p>
        </w:tc>
        <w:tc>
          <w:tcPr>
            <w:tcW w:w="1559" w:type="dxa"/>
            <w:vAlign w:val="center"/>
          </w:tcPr>
          <w:p>
            <w:pPr>
              <w:widowControl w:val="0"/>
              <w:adjustRightInd w:val="0"/>
              <w:snapToGrid w:val="0"/>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cantSplit/>
          <w:trHeight w:val="20" w:hRule="atLeast"/>
          <w:jc w:val="center"/>
        </w:trPr>
        <w:tc>
          <w:tcPr>
            <w:tcW w:w="735" w:type="dxa"/>
            <w:vAlign w:val="center"/>
          </w:tcPr>
          <w:p>
            <w:pPr>
              <w:widowControl w:val="0"/>
              <w:adjustRightInd w:val="0"/>
              <w:snapToGrid w:val="0"/>
            </w:pPr>
            <w:r>
              <w:t>4</w:t>
            </w:r>
          </w:p>
        </w:tc>
        <w:tc>
          <w:tcPr>
            <w:tcW w:w="1628" w:type="dxa"/>
            <w:vAlign w:val="center"/>
          </w:tcPr>
          <w:p>
            <w:pPr>
              <w:widowControl w:val="0"/>
              <w:adjustRightInd w:val="0"/>
              <w:snapToGrid w:val="0"/>
            </w:pPr>
            <w:r>
              <w:t>批准时间及编号</w:t>
            </w:r>
          </w:p>
        </w:tc>
        <w:tc>
          <w:tcPr>
            <w:tcW w:w="4253" w:type="dxa"/>
            <w:vAlign w:val="center"/>
          </w:tcPr>
          <w:p>
            <w:pPr>
              <w:widowControl w:val="0"/>
              <w:adjustRightInd w:val="0"/>
              <w:snapToGrid w:val="0"/>
            </w:pPr>
          </w:p>
        </w:tc>
        <w:tc>
          <w:tcPr>
            <w:tcW w:w="1559" w:type="dxa"/>
            <w:vAlign w:val="center"/>
          </w:tcPr>
          <w:p>
            <w:pPr>
              <w:widowControl w:val="0"/>
              <w:adjustRightInd w:val="0"/>
              <w:snapToGrid w:val="0"/>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35" w:type="dxa"/>
            <w:vAlign w:val="center"/>
          </w:tcPr>
          <w:p>
            <w:pPr>
              <w:widowControl w:val="0"/>
              <w:adjustRightInd w:val="0"/>
              <w:snapToGrid w:val="0"/>
            </w:pPr>
            <w:r>
              <w:t>5</w:t>
            </w:r>
          </w:p>
        </w:tc>
        <w:tc>
          <w:tcPr>
            <w:tcW w:w="1628" w:type="dxa"/>
            <w:vAlign w:val="center"/>
          </w:tcPr>
          <w:p>
            <w:pPr>
              <w:widowControl w:val="0"/>
              <w:adjustRightInd w:val="0"/>
              <w:snapToGrid w:val="0"/>
            </w:pPr>
            <w:r>
              <w:t>有效期</w:t>
            </w:r>
          </w:p>
        </w:tc>
        <w:tc>
          <w:tcPr>
            <w:tcW w:w="4253" w:type="dxa"/>
            <w:vAlign w:val="center"/>
          </w:tcPr>
          <w:p>
            <w:pPr>
              <w:widowControl w:val="0"/>
              <w:adjustRightInd w:val="0"/>
              <w:snapToGrid w:val="0"/>
            </w:pPr>
          </w:p>
        </w:tc>
        <w:tc>
          <w:tcPr>
            <w:tcW w:w="1559" w:type="dxa"/>
            <w:vAlign w:val="center"/>
          </w:tcPr>
          <w:p>
            <w:pPr>
              <w:widowControl w:val="0"/>
              <w:adjustRightInd w:val="0"/>
              <w:snapToGrid w:val="0"/>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35" w:type="dxa"/>
            <w:vAlign w:val="center"/>
          </w:tcPr>
          <w:p>
            <w:pPr>
              <w:widowControl w:val="0"/>
              <w:adjustRightInd w:val="0"/>
              <w:snapToGrid w:val="0"/>
            </w:pPr>
            <w:r>
              <w:t>四</w:t>
            </w:r>
          </w:p>
        </w:tc>
        <w:tc>
          <w:tcPr>
            <w:tcW w:w="5881" w:type="dxa"/>
            <w:gridSpan w:val="2"/>
            <w:vAlign w:val="center"/>
          </w:tcPr>
          <w:p>
            <w:pPr>
              <w:widowControl w:val="0"/>
              <w:adjustRightInd w:val="0"/>
              <w:snapToGrid w:val="0"/>
            </w:pPr>
            <w:r>
              <w:t>企业技术力量</w:t>
            </w:r>
          </w:p>
        </w:tc>
        <w:tc>
          <w:tcPr>
            <w:tcW w:w="1559" w:type="dxa"/>
            <w:vAlign w:val="center"/>
          </w:tcPr>
          <w:p>
            <w:pPr>
              <w:widowControl w:val="0"/>
              <w:adjustRightInd w:val="0"/>
              <w:snapToGrid w:val="0"/>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35" w:type="dxa"/>
            <w:vAlign w:val="center"/>
          </w:tcPr>
          <w:p>
            <w:pPr>
              <w:widowControl w:val="0"/>
              <w:adjustRightInd w:val="0"/>
              <w:snapToGrid w:val="0"/>
            </w:pPr>
            <w:r>
              <w:t>1</w:t>
            </w:r>
          </w:p>
        </w:tc>
        <w:tc>
          <w:tcPr>
            <w:tcW w:w="1628" w:type="dxa"/>
            <w:vAlign w:val="center"/>
          </w:tcPr>
          <w:p>
            <w:pPr>
              <w:widowControl w:val="0"/>
              <w:adjustRightInd w:val="0"/>
              <w:snapToGrid w:val="0"/>
            </w:pPr>
            <w:r>
              <w:t>企业技术人员构成情况</w:t>
            </w:r>
          </w:p>
        </w:tc>
        <w:tc>
          <w:tcPr>
            <w:tcW w:w="4253" w:type="dxa"/>
            <w:vAlign w:val="center"/>
          </w:tcPr>
          <w:p>
            <w:pPr>
              <w:widowControl w:val="0"/>
              <w:adjustRightInd w:val="0"/>
              <w:snapToGrid w:val="0"/>
            </w:pPr>
          </w:p>
        </w:tc>
        <w:tc>
          <w:tcPr>
            <w:tcW w:w="1559" w:type="dxa"/>
            <w:vAlign w:val="center"/>
          </w:tcPr>
          <w:p>
            <w:pPr>
              <w:widowControl w:val="0"/>
              <w:adjustRightInd w:val="0"/>
              <w:snapToGrid w:val="0"/>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35" w:type="dxa"/>
            <w:vAlign w:val="center"/>
          </w:tcPr>
          <w:p>
            <w:pPr>
              <w:widowControl w:val="0"/>
              <w:adjustRightInd w:val="0"/>
              <w:snapToGrid w:val="0"/>
            </w:pPr>
            <w:r>
              <w:t>2</w:t>
            </w:r>
          </w:p>
        </w:tc>
        <w:tc>
          <w:tcPr>
            <w:tcW w:w="1628" w:type="dxa"/>
            <w:vAlign w:val="center"/>
          </w:tcPr>
          <w:p>
            <w:pPr>
              <w:widowControl w:val="0"/>
              <w:adjustRightInd w:val="0"/>
              <w:snapToGrid w:val="0"/>
            </w:pPr>
            <w:r>
              <w:t>企业专业设施、设备情况</w:t>
            </w:r>
          </w:p>
        </w:tc>
        <w:tc>
          <w:tcPr>
            <w:tcW w:w="4253" w:type="dxa"/>
            <w:vAlign w:val="center"/>
          </w:tcPr>
          <w:p>
            <w:pPr>
              <w:widowControl w:val="0"/>
              <w:adjustRightInd w:val="0"/>
              <w:snapToGrid w:val="0"/>
            </w:pPr>
          </w:p>
        </w:tc>
        <w:tc>
          <w:tcPr>
            <w:tcW w:w="1559" w:type="dxa"/>
            <w:vAlign w:val="center"/>
          </w:tcPr>
          <w:p>
            <w:pPr>
              <w:widowControl w:val="0"/>
              <w:adjustRightInd w:val="0"/>
              <w:snapToGrid w:val="0"/>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35" w:type="dxa"/>
            <w:vAlign w:val="center"/>
          </w:tcPr>
          <w:p>
            <w:pPr>
              <w:widowControl w:val="0"/>
              <w:adjustRightInd w:val="0"/>
              <w:snapToGrid w:val="0"/>
            </w:pPr>
            <w:r>
              <w:t>3</w:t>
            </w:r>
          </w:p>
        </w:tc>
        <w:tc>
          <w:tcPr>
            <w:tcW w:w="1628" w:type="dxa"/>
            <w:vAlign w:val="center"/>
          </w:tcPr>
          <w:p>
            <w:pPr>
              <w:widowControl w:val="0"/>
              <w:adjustRightInd w:val="0"/>
              <w:snapToGrid w:val="0"/>
            </w:pPr>
          </w:p>
        </w:tc>
        <w:tc>
          <w:tcPr>
            <w:tcW w:w="4253" w:type="dxa"/>
            <w:vAlign w:val="center"/>
          </w:tcPr>
          <w:p>
            <w:pPr>
              <w:widowControl w:val="0"/>
              <w:adjustRightInd w:val="0"/>
              <w:snapToGrid w:val="0"/>
            </w:pPr>
          </w:p>
        </w:tc>
        <w:tc>
          <w:tcPr>
            <w:tcW w:w="1559" w:type="dxa"/>
            <w:vAlign w:val="center"/>
          </w:tcPr>
          <w:p>
            <w:pPr>
              <w:widowControl w:val="0"/>
              <w:adjustRightInd w:val="0"/>
              <w:snapToGrid w:val="0"/>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35" w:type="dxa"/>
            <w:vAlign w:val="center"/>
          </w:tcPr>
          <w:p>
            <w:pPr>
              <w:widowControl w:val="0"/>
              <w:adjustRightInd w:val="0"/>
              <w:snapToGrid w:val="0"/>
            </w:pPr>
            <w:r>
              <w:t>五</w:t>
            </w:r>
          </w:p>
        </w:tc>
        <w:tc>
          <w:tcPr>
            <w:tcW w:w="5881" w:type="dxa"/>
            <w:gridSpan w:val="2"/>
            <w:vAlign w:val="center"/>
          </w:tcPr>
          <w:p>
            <w:pPr>
              <w:widowControl w:val="0"/>
              <w:adjustRightInd w:val="0"/>
              <w:snapToGrid w:val="0"/>
            </w:pPr>
            <w:r>
              <w:t>其他（投标人认为需补充的其他说明）</w:t>
            </w:r>
          </w:p>
        </w:tc>
        <w:tc>
          <w:tcPr>
            <w:tcW w:w="1559" w:type="dxa"/>
            <w:vAlign w:val="center"/>
          </w:tcPr>
          <w:p>
            <w:pPr>
              <w:widowControl w:val="0"/>
              <w:adjustRightInd w:val="0"/>
              <w:snapToGrid w:val="0"/>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cantSplit/>
          <w:trHeight w:val="20" w:hRule="atLeast"/>
          <w:jc w:val="center"/>
        </w:trPr>
        <w:tc>
          <w:tcPr>
            <w:tcW w:w="735" w:type="dxa"/>
            <w:vAlign w:val="center"/>
          </w:tcPr>
          <w:p>
            <w:pPr>
              <w:widowControl w:val="0"/>
              <w:adjustRightInd w:val="0"/>
              <w:snapToGrid w:val="0"/>
            </w:pPr>
            <w:r>
              <w:t>1</w:t>
            </w:r>
          </w:p>
        </w:tc>
        <w:tc>
          <w:tcPr>
            <w:tcW w:w="1628" w:type="dxa"/>
            <w:vAlign w:val="center"/>
          </w:tcPr>
          <w:p>
            <w:pPr>
              <w:widowControl w:val="0"/>
              <w:adjustRightInd w:val="0"/>
              <w:snapToGrid w:val="0"/>
            </w:pPr>
          </w:p>
        </w:tc>
        <w:tc>
          <w:tcPr>
            <w:tcW w:w="4253" w:type="dxa"/>
            <w:vAlign w:val="center"/>
          </w:tcPr>
          <w:p>
            <w:pPr>
              <w:widowControl w:val="0"/>
              <w:adjustRightInd w:val="0"/>
              <w:snapToGrid w:val="0"/>
            </w:pPr>
          </w:p>
        </w:tc>
        <w:tc>
          <w:tcPr>
            <w:tcW w:w="1559" w:type="dxa"/>
            <w:vAlign w:val="center"/>
          </w:tcPr>
          <w:p>
            <w:pPr>
              <w:widowControl w:val="0"/>
              <w:adjustRightInd w:val="0"/>
              <w:snapToGrid w:val="0"/>
            </w:pPr>
          </w:p>
        </w:tc>
      </w:tr>
    </w:tbl>
    <w:p>
      <w:pPr>
        <w:widowControl w:val="0"/>
        <w:adjustRightInd w:val="0"/>
        <w:snapToGrid w:val="0"/>
        <w:spacing w:after="200"/>
      </w:pPr>
      <w:r>
        <w:t>注：1、在按要求填写好此表格后，各投标单位可以用其它的方式，就公司整体情况作出详细的介绍。</w:t>
      </w:r>
    </w:p>
    <w:p>
      <w:pPr>
        <w:widowControl w:val="0"/>
        <w:adjustRightInd w:val="0"/>
        <w:snapToGrid w:val="0"/>
        <w:spacing w:after="200"/>
        <w:ind w:firstLine="480" w:firstLineChars="200"/>
      </w:pPr>
      <w:r>
        <w:t>2、有关资质需提供证书扫描件，原件备查。</w:t>
      </w:r>
    </w:p>
    <w:p>
      <w:pPr>
        <w:pStyle w:val="8"/>
      </w:pPr>
    </w:p>
    <w:p/>
    <w:p>
      <w:pPr>
        <w:pStyle w:val="8"/>
      </w:pPr>
    </w:p>
    <w:p>
      <w:pPr>
        <w:spacing w:before="260" w:after="260"/>
        <w:jc w:val="center"/>
        <w:outlineLvl w:val="2"/>
        <w:rPr>
          <w:rFonts w:hint="eastAsia" w:ascii="宋体" w:hAnsi="宋体" w:eastAsia="宋体" w:cs="宋体"/>
          <w:b/>
          <w:bCs/>
          <w:sz w:val="28"/>
          <w:szCs w:val="36"/>
        </w:rPr>
      </w:pPr>
      <w:r>
        <w:rPr>
          <w:rFonts w:hint="eastAsia" w:ascii="宋体" w:hAnsi="宋体" w:eastAsia="宋体" w:cs="宋体"/>
          <w:b/>
          <w:bCs/>
          <w:sz w:val="28"/>
          <w:szCs w:val="36"/>
        </w:rPr>
        <w:t>四、实质性条款响应情况表</w:t>
      </w:r>
    </w:p>
    <w:p>
      <w:pPr>
        <w:spacing w:after="78"/>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项目名称：</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     项目编号：____________________           </w:t>
      </w:r>
    </w:p>
    <w:p>
      <w:pPr>
        <w:keepNext w:val="0"/>
        <w:keepLines w:val="0"/>
        <w:pageBreakBefore w:val="0"/>
        <w:widowControl/>
        <w:kinsoku/>
        <w:wordWrap/>
        <w:overflowPunct/>
        <w:topLinePunct w:val="0"/>
        <w:autoSpaceDE/>
        <w:autoSpaceDN/>
        <w:bidi w:val="0"/>
        <w:adjustRightInd/>
        <w:snapToGrid/>
        <w:spacing w:line="360" w:lineRule="auto"/>
        <w:textAlignment w:val="auto"/>
        <w:rPr>
          <w:rFonts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据招标文件要求，我公司承诺响应如下：</w:t>
      </w:r>
    </w:p>
    <w:tbl>
      <w:tblPr>
        <w:tblStyle w:val="19"/>
        <w:tblW w:w="5181" w:type="pct"/>
        <w:tblInd w:w="-314" w:type="dxa"/>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Layout w:type="autofit"/>
        <w:tblCellMar>
          <w:top w:w="0" w:type="dxa"/>
          <w:left w:w="108" w:type="dxa"/>
          <w:bottom w:w="0" w:type="dxa"/>
          <w:right w:w="108" w:type="dxa"/>
        </w:tblCellMar>
      </w:tblPr>
      <w:tblGrid>
        <w:gridCol w:w="796"/>
        <w:gridCol w:w="3979"/>
        <w:gridCol w:w="2412"/>
        <w:gridCol w:w="1643"/>
      </w:tblGrid>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c>
          <w:tcPr>
            <w:tcW w:w="451" w:type="pct"/>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序号</w:t>
            </w:r>
          </w:p>
        </w:tc>
        <w:tc>
          <w:tcPr>
            <w:tcW w:w="2253" w:type="pct"/>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招标文件要求</w:t>
            </w:r>
          </w:p>
        </w:tc>
        <w:tc>
          <w:tcPr>
            <w:tcW w:w="1366" w:type="pct"/>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投标文件响应</w:t>
            </w:r>
          </w:p>
        </w:tc>
        <w:tc>
          <w:tcPr>
            <w:tcW w:w="927" w:type="pct"/>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偏离说明（符合/正偏离/负偏离）</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c>
          <w:tcPr>
            <w:tcW w:w="5000" w:type="pct"/>
            <w:gridSpan w:val="4"/>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带</w:t>
            </w:r>
            <w:r>
              <w:rPr>
                <w:rFonts w:hint="eastAsia" w:ascii="宋体" w:hAnsi="宋体" w:eastAsia="宋体" w:cs="宋体"/>
                <w:b/>
                <w:color w:val="000000" w:themeColor="text1"/>
                <w:szCs w:val="21"/>
                <w14:textFill>
                  <w14:solidFill>
                    <w14:schemeClr w14:val="tx1"/>
                  </w14:solidFill>
                </w14:textFill>
              </w:rPr>
              <w:t>★号条款为</w:t>
            </w:r>
            <w:r>
              <w:rPr>
                <w:rFonts w:hint="eastAsia" w:ascii="宋体" w:hAnsi="宋体" w:eastAsia="宋体" w:cs="宋体"/>
                <w:b/>
                <w:bCs/>
                <w:color w:val="000000" w:themeColor="text1"/>
                <w14:textFill>
                  <w14:solidFill>
                    <w14:schemeClr w14:val="tx1"/>
                  </w14:solidFill>
                </w14:textFill>
              </w:rPr>
              <w:t>不可负偏离条款，</w:t>
            </w:r>
            <w:r>
              <w:rPr>
                <w:rFonts w:hint="eastAsia" w:ascii="宋体" w:hAnsi="宋体" w:eastAsia="宋体" w:cs="宋体"/>
                <w:b/>
                <w:bCs/>
                <w:color w:val="000000" w:themeColor="text1"/>
                <w:szCs w:val="21"/>
                <w14:textFill>
                  <w14:solidFill>
                    <w14:schemeClr w14:val="tx1"/>
                  </w14:solidFill>
                </w14:textFill>
              </w:rPr>
              <w:t>有一项负偏离即导致投标无效。</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1387" w:hRule="atLeast"/>
        </w:trPr>
        <w:tc>
          <w:tcPr>
            <w:tcW w:w="451" w:type="pct"/>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w:t>
            </w:r>
          </w:p>
        </w:tc>
        <w:tc>
          <w:tcPr>
            <w:tcW w:w="2253" w:type="pct"/>
          </w:tcPr>
          <w:p>
            <w:pPr>
              <w:keepNext w:val="0"/>
              <w:keepLines w:val="0"/>
              <w:pageBreakBefore w:val="0"/>
              <w:widowControl/>
              <w:kinsoku/>
              <w:wordWrap/>
              <w:overflowPunct/>
              <w:topLinePunct w:val="0"/>
              <w:autoSpaceDE/>
              <w:autoSpaceDN/>
              <w:bidi w:val="0"/>
              <w:adjustRightInd/>
              <w:snapToGrid/>
              <w:spacing w:line="360" w:lineRule="auto"/>
              <w:textAlignment w:val="auto"/>
              <w:rPr>
                <w:rFonts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w:t>
            </w:r>
            <w:r>
              <w:rPr>
                <w:rFonts w:hint="eastAsia" w:ascii="宋体" w:hAnsi="宋体" w:eastAsia="宋体" w:cs="宋体"/>
                <w:b/>
                <w:color w:val="000000" w:themeColor="text1"/>
                <w14:textFill>
                  <w14:solidFill>
                    <w14:schemeClr w14:val="tx1"/>
                  </w14:solidFill>
                </w14:textFill>
              </w:rPr>
              <w:t>投标人必须完全响应满足招标文件第</w:t>
            </w:r>
            <w:r>
              <w:rPr>
                <w:rFonts w:hint="eastAsia" w:ascii="宋体" w:hAnsi="宋体" w:eastAsia="宋体" w:cs="宋体"/>
                <w:b/>
                <w:color w:val="000000" w:themeColor="text1"/>
                <w:lang w:val="en-US" w:eastAsia="zh-CN"/>
                <w14:textFill>
                  <w14:solidFill>
                    <w14:schemeClr w14:val="tx1"/>
                  </w14:solidFill>
                </w14:textFill>
              </w:rPr>
              <w:t>三</w:t>
            </w:r>
            <w:r>
              <w:rPr>
                <w:rFonts w:hint="eastAsia" w:ascii="宋体" w:hAnsi="宋体" w:eastAsia="宋体" w:cs="宋体"/>
                <w:b/>
                <w:color w:val="000000" w:themeColor="text1"/>
                <w14:textFill>
                  <w14:solidFill>
                    <w14:schemeClr w14:val="tx1"/>
                  </w14:solidFill>
                </w14:textFill>
              </w:rPr>
              <w:t>章</w:t>
            </w:r>
            <w:r>
              <w:rPr>
                <w:rFonts w:hint="eastAsia" w:ascii="宋体" w:hAnsi="宋体" w:eastAsia="宋体" w:cs="宋体"/>
                <w:b/>
                <w:color w:val="000000" w:themeColor="text1"/>
                <w:lang w:val="en-US" w:eastAsia="zh-CN"/>
                <w14:textFill>
                  <w14:solidFill>
                    <w14:schemeClr w14:val="tx1"/>
                  </w14:solidFill>
                </w14:textFill>
              </w:rPr>
              <w:t>用户需求书</w:t>
            </w:r>
            <w:r>
              <w:rPr>
                <w:rFonts w:hint="eastAsia" w:ascii="宋体" w:hAnsi="宋体" w:eastAsia="宋体" w:cs="宋体"/>
                <w:b/>
                <w:color w:val="000000" w:themeColor="text1"/>
                <w14:textFill>
                  <w14:solidFill>
                    <w14:schemeClr w14:val="tx1"/>
                  </w14:solidFill>
                </w14:textFill>
              </w:rPr>
              <w:t>中所有带</w:t>
            </w:r>
            <w:r>
              <w:rPr>
                <w:rFonts w:hint="eastAsia" w:ascii="宋体" w:hAnsi="宋体" w:eastAsia="宋体" w:cs="宋体"/>
                <w:b/>
                <w:color w:val="000000" w:themeColor="text1"/>
                <w:szCs w:val="21"/>
                <w14:textFill>
                  <w14:solidFill>
                    <w14:schemeClr w14:val="tx1"/>
                  </w14:solidFill>
                </w14:textFill>
              </w:rPr>
              <w:t>★号条款</w:t>
            </w:r>
            <w:r>
              <w:rPr>
                <w:rFonts w:hint="eastAsia" w:ascii="宋体" w:hAnsi="宋体" w:eastAsia="宋体" w:cs="宋体"/>
                <w:b/>
                <w:color w:val="000000" w:themeColor="text1"/>
                <w14:textFill>
                  <w14:solidFill>
                    <w14:schemeClr w14:val="tx1"/>
                  </w14:solidFill>
                </w14:textFill>
              </w:rPr>
              <w:t>的要求，否则导致投标无效。中标</w:t>
            </w:r>
            <w:r>
              <w:rPr>
                <w:rFonts w:hint="eastAsia" w:ascii="宋体" w:hAnsi="宋体" w:eastAsia="宋体" w:cs="宋体"/>
                <w:b/>
                <w:color w:val="000000" w:themeColor="text1"/>
                <w:szCs w:val="21"/>
                <w14:textFill>
                  <w14:solidFill>
                    <w14:schemeClr w14:val="tx1"/>
                  </w14:solidFill>
                </w14:textFill>
              </w:rPr>
              <w:t>后被发现不能满足招标文件</w:t>
            </w:r>
            <w:r>
              <w:rPr>
                <w:rFonts w:hint="eastAsia" w:ascii="宋体" w:hAnsi="宋体" w:eastAsia="宋体" w:cs="宋体"/>
                <w:b/>
                <w:color w:val="000000" w:themeColor="text1"/>
                <w14:textFill>
                  <w14:solidFill>
                    <w14:schemeClr w14:val="tx1"/>
                  </w14:solidFill>
                </w14:textFill>
              </w:rPr>
              <w:t>第</w:t>
            </w:r>
            <w:r>
              <w:rPr>
                <w:rFonts w:hint="eastAsia" w:ascii="宋体" w:hAnsi="宋体" w:eastAsia="宋体" w:cs="宋体"/>
                <w:b/>
                <w:color w:val="000000" w:themeColor="text1"/>
                <w:lang w:val="en-US" w:eastAsia="zh-CN"/>
                <w14:textFill>
                  <w14:solidFill>
                    <w14:schemeClr w14:val="tx1"/>
                  </w14:solidFill>
                </w14:textFill>
              </w:rPr>
              <w:t>三</w:t>
            </w:r>
            <w:r>
              <w:rPr>
                <w:rFonts w:hint="eastAsia" w:ascii="宋体" w:hAnsi="宋体" w:eastAsia="宋体" w:cs="宋体"/>
                <w:b/>
                <w:color w:val="000000" w:themeColor="text1"/>
                <w14:textFill>
                  <w14:solidFill>
                    <w14:schemeClr w14:val="tx1"/>
                  </w14:solidFill>
                </w14:textFill>
              </w:rPr>
              <w:t>章</w:t>
            </w:r>
            <w:r>
              <w:rPr>
                <w:rFonts w:hint="eastAsia" w:ascii="宋体" w:hAnsi="宋体" w:eastAsia="宋体" w:cs="宋体"/>
                <w:b/>
                <w:color w:val="000000" w:themeColor="text1"/>
                <w:lang w:val="en-US" w:eastAsia="zh-CN"/>
                <w14:textFill>
                  <w14:solidFill>
                    <w14:schemeClr w14:val="tx1"/>
                  </w14:solidFill>
                </w14:textFill>
              </w:rPr>
              <w:t>用户需求书</w:t>
            </w:r>
            <w:r>
              <w:rPr>
                <w:rFonts w:hint="eastAsia" w:ascii="宋体" w:hAnsi="宋体" w:eastAsia="宋体" w:cs="宋体"/>
                <w:b/>
                <w:color w:val="000000" w:themeColor="text1"/>
                <w:szCs w:val="21"/>
                <w14:textFill>
                  <w14:solidFill>
                    <w14:schemeClr w14:val="tx1"/>
                  </w14:solidFill>
                </w14:textFill>
              </w:rPr>
              <w:t>中所有</w:t>
            </w:r>
            <w:r>
              <w:rPr>
                <w:rFonts w:hint="eastAsia" w:ascii="宋体" w:hAnsi="宋体" w:eastAsia="宋体" w:cs="宋体"/>
                <w:b/>
                <w:color w:val="000000" w:themeColor="text1"/>
                <w14:textFill>
                  <w14:solidFill>
                    <w14:schemeClr w14:val="tx1"/>
                  </w14:solidFill>
                </w14:textFill>
              </w:rPr>
              <w:t>带</w:t>
            </w:r>
            <w:r>
              <w:rPr>
                <w:rFonts w:hint="eastAsia" w:ascii="宋体" w:hAnsi="宋体" w:eastAsia="宋体" w:cs="宋体"/>
                <w:b/>
                <w:color w:val="000000" w:themeColor="text1"/>
                <w:szCs w:val="21"/>
                <w14:textFill>
                  <w14:solidFill>
                    <w14:schemeClr w14:val="tx1"/>
                  </w14:solidFill>
                </w14:textFill>
              </w:rPr>
              <w:t>★号条款</w:t>
            </w:r>
            <w:r>
              <w:rPr>
                <w:rFonts w:hint="eastAsia" w:ascii="宋体" w:hAnsi="宋体" w:eastAsia="宋体" w:cs="宋体"/>
                <w:b/>
                <w:color w:val="000000" w:themeColor="text1"/>
                <w14:textFill>
                  <w14:solidFill>
                    <w14:schemeClr w14:val="tx1"/>
                  </w14:solidFill>
                </w14:textFill>
              </w:rPr>
              <w:t>的要求</w:t>
            </w:r>
            <w:r>
              <w:rPr>
                <w:rFonts w:hint="eastAsia" w:ascii="宋体" w:hAnsi="宋体" w:eastAsia="宋体" w:cs="宋体"/>
                <w:b/>
                <w:color w:val="000000" w:themeColor="text1"/>
                <w:szCs w:val="21"/>
                <w14:textFill>
                  <w14:solidFill>
                    <w14:schemeClr w14:val="tx1"/>
                  </w14:solidFill>
                </w14:textFill>
              </w:rPr>
              <w:t>，采购单位有权拒绝签订合同，一切后果由投标人承担。</w:t>
            </w:r>
          </w:p>
        </w:tc>
        <w:tc>
          <w:tcPr>
            <w:tcW w:w="1366" w:type="pct"/>
          </w:tcPr>
          <w:p>
            <w:pPr>
              <w:keepNext w:val="0"/>
              <w:keepLines w:val="0"/>
              <w:pageBreakBefore w:val="0"/>
              <w:widowControl/>
              <w:kinsoku/>
              <w:wordWrap/>
              <w:overflowPunct/>
              <w:topLinePunct w:val="0"/>
              <w:autoSpaceDE/>
              <w:autoSpaceDN/>
              <w:bidi w:val="0"/>
              <w:adjustRightInd/>
              <w:snapToGrid/>
              <w:spacing w:line="360" w:lineRule="auto"/>
              <w:textAlignment w:val="auto"/>
              <w:rPr>
                <w:rFonts w:ascii="宋体" w:hAnsi="宋体" w:eastAsia="宋体" w:cs="宋体"/>
                <w:b/>
                <w:color w:val="000000" w:themeColor="text1"/>
                <w:sz w:val="18"/>
                <w:szCs w:val="18"/>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ascii="宋体" w:hAnsi="宋体" w:eastAsia="宋体" w:cs="宋体"/>
                <w:b/>
                <w:color w:val="000000" w:themeColor="text1"/>
                <w:sz w:val="18"/>
                <w:szCs w:val="18"/>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ascii="宋体" w:hAnsi="宋体" w:eastAsia="宋体" w:cs="宋体"/>
                <w:b/>
                <w:color w:val="000000" w:themeColor="text1"/>
                <w:sz w:val="18"/>
                <w:szCs w:val="18"/>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ascii="宋体" w:hAnsi="宋体" w:eastAsia="宋体" w:cs="宋体"/>
                <w:b/>
                <w:color w:val="000000" w:themeColor="text1"/>
                <w:sz w:val="18"/>
                <w:szCs w:val="18"/>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ascii="宋体" w:hAnsi="宋体" w:eastAsia="宋体" w:cs="宋体"/>
                <w:b/>
                <w:color w:val="000000" w:themeColor="text1"/>
                <w:sz w:val="18"/>
                <w:szCs w:val="18"/>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ascii="宋体" w:hAnsi="宋体" w:eastAsia="宋体" w:cs="宋体"/>
                <w:b/>
                <w:color w:val="000000" w:themeColor="text1"/>
                <w:sz w:val="18"/>
                <w:szCs w:val="18"/>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ascii="宋体" w:hAnsi="宋体" w:eastAsia="宋体" w:cs="宋体"/>
                <w:color w:val="000000" w:themeColor="text1"/>
                <w:sz w:val="18"/>
                <w:szCs w:val="18"/>
                <w14:textFill>
                  <w14:solidFill>
                    <w14:schemeClr w14:val="tx1"/>
                  </w14:solidFill>
                </w14:textFill>
              </w:rPr>
            </w:pPr>
          </w:p>
        </w:tc>
        <w:tc>
          <w:tcPr>
            <w:tcW w:w="927" w:type="pct"/>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ascii="宋体" w:hAnsi="宋体" w:eastAsia="宋体" w:cs="宋体"/>
                <w:color w:val="000000" w:themeColor="text1"/>
                <w:szCs w:val="21"/>
                <w14:textFill>
                  <w14:solidFill>
                    <w14:schemeClr w14:val="tx1"/>
                  </w14:solidFill>
                </w14:textFill>
              </w:rPr>
            </w:pPr>
          </w:p>
        </w:tc>
      </w:tr>
    </w:tbl>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color w:val="000000" w:themeColor="text1"/>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填写说明： </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第</w:t>
      </w:r>
      <w:r>
        <w:rPr>
          <w:rFonts w:hint="eastAsia" w:ascii="宋体" w:hAnsi="宋体" w:eastAsia="宋体" w:cs="宋体"/>
          <w:b/>
          <w:color w:val="000000" w:themeColor="text1"/>
          <w:lang w:val="en-US" w:eastAsia="zh-CN"/>
          <w14:textFill>
            <w14:solidFill>
              <w14:schemeClr w14:val="tx1"/>
            </w14:solidFill>
          </w14:textFill>
        </w:rPr>
        <w:t>三</w:t>
      </w:r>
      <w:r>
        <w:rPr>
          <w:rFonts w:hint="eastAsia" w:ascii="宋体" w:hAnsi="宋体" w:eastAsia="宋体" w:cs="宋体"/>
          <w:b/>
          <w:color w:val="000000" w:themeColor="text1"/>
          <w14:textFill>
            <w14:solidFill>
              <w14:schemeClr w14:val="tx1"/>
            </w14:solidFill>
          </w14:textFill>
        </w:rPr>
        <w:t>章</w:t>
      </w:r>
      <w:r>
        <w:rPr>
          <w:rFonts w:hint="eastAsia" w:ascii="宋体" w:hAnsi="宋体" w:eastAsia="宋体" w:cs="宋体"/>
          <w:b/>
          <w:color w:val="000000" w:themeColor="text1"/>
          <w:lang w:val="en-US" w:eastAsia="zh-CN"/>
          <w14:textFill>
            <w14:solidFill>
              <w14:schemeClr w14:val="tx1"/>
            </w14:solidFill>
          </w14:textFill>
        </w:rPr>
        <w:t>用户需求书</w:t>
      </w:r>
      <w:r>
        <w:rPr>
          <w:rFonts w:hint="eastAsia" w:ascii="宋体" w:hAnsi="宋体" w:eastAsia="宋体" w:cs="宋体"/>
          <w:color w:val="000000" w:themeColor="text1"/>
          <w14:textFill>
            <w14:solidFill>
              <w14:schemeClr w14:val="tx1"/>
            </w14:solidFill>
          </w14:textFill>
        </w:rPr>
        <w:t>中的带</w:t>
      </w:r>
      <w:r>
        <w:rPr>
          <w:rFonts w:hint="eastAsia" w:ascii="宋体" w:hAnsi="宋体" w:eastAsia="宋体" w:cs="宋体"/>
          <w:b/>
          <w:color w:val="000000" w:themeColor="text1"/>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号条款为不可负偏离条款，投标人必须完全响应满足，建议投标人于“投标文件响应”栏中填写“</w:t>
      </w:r>
      <w:r>
        <w:rPr>
          <w:rFonts w:hint="eastAsia" w:ascii="宋体" w:hAnsi="宋体" w:eastAsia="宋体" w:cs="宋体"/>
          <w:b/>
          <w:color w:val="000000" w:themeColor="text1"/>
          <w14:textFill>
            <w14:solidFill>
              <w14:schemeClr w14:val="tx1"/>
            </w14:solidFill>
          </w14:textFill>
        </w:rPr>
        <w:t>投标人完全响应满足招标文件第</w:t>
      </w:r>
      <w:r>
        <w:rPr>
          <w:rFonts w:hint="eastAsia" w:ascii="宋体" w:hAnsi="宋体" w:eastAsia="宋体" w:cs="宋体"/>
          <w:b/>
          <w:color w:val="000000" w:themeColor="text1"/>
          <w:lang w:val="en-US" w:eastAsia="zh-CN"/>
          <w14:textFill>
            <w14:solidFill>
              <w14:schemeClr w14:val="tx1"/>
            </w14:solidFill>
          </w14:textFill>
        </w:rPr>
        <w:t>三</w:t>
      </w:r>
      <w:r>
        <w:rPr>
          <w:rFonts w:hint="eastAsia" w:ascii="宋体" w:hAnsi="宋体" w:eastAsia="宋体" w:cs="宋体"/>
          <w:b/>
          <w:color w:val="000000" w:themeColor="text1"/>
          <w14:textFill>
            <w14:solidFill>
              <w14:schemeClr w14:val="tx1"/>
            </w14:solidFill>
          </w14:textFill>
        </w:rPr>
        <w:t>章</w:t>
      </w:r>
      <w:r>
        <w:rPr>
          <w:rFonts w:hint="eastAsia" w:ascii="宋体" w:hAnsi="宋体" w:eastAsia="宋体" w:cs="宋体"/>
          <w:b/>
          <w:color w:val="000000" w:themeColor="text1"/>
          <w:lang w:val="en-US" w:eastAsia="zh-CN"/>
          <w14:textFill>
            <w14:solidFill>
              <w14:schemeClr w14:val="tx1"/>
            </w14:solidFill>
          </w14:textFill>
        </w:rPr>
        <w:t>用户需求书</w:t>
      </w:r>
      <w:r>
        <w:rPr>
          <w:rFonts w:hint="eastAsia" w:ascii="宋体" w:hAnsi="宋体" w:eastAsia="宋体" w:cs="宋体"/>
          <w:b/>
          <w:color w:val="000000" w:themeColor="text1"/>
          <w14:textFill>
            <w14:solidFill>
              <w14:schemeClr w14:val="tx1"/>
            </w14:solidFill>
          </w14:textFill>
        </w:rPr>
        <w:t>中所有带★号条款的要求</w:t>
      </w:r>
      <w:r>
        <w:rPr>
          <w:rFonts w:hint="eastAsia" w:ascii="宋体" w:hAnsi="宋体" w:eastAsia="宋体" w:cs="宋体"/>
          <w:color w:val="000000" w:themeColor="text1"/>
          <w14:textFill>
            <w14:solidFill>
              <w14:schemeClr w14:val="tx1"/>
            </w14:solidFill>
          </w14:textFill>
        </w:rPr>
        <w:t>”，“偏离情况”栏中填写“</w:t>
      </w:r>
      <w:r>
        <w:rPr>
          <w:rFonts w:hint="eastAsia" w:ascii="宋体" w:hAnsi="宋体" w:eastAsia="宋体" w:cs="宋体"/>
          <w:b/>
          <w:color w:val="000000" w:themeColor="text1"/>
          <w14:textFill>
            <w14:solidFill>
              <w14:schemeClr w14:val="tx1"/>
            </w14:solidFill>
          </w14:textFill>
        </w:rPr>
        <w:t>符合</w:t>
      </w: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b/>
          <w:bCs/>
          <w:color w:val="000000" w:themeColor="text1"/>
          <w14:textFill>
            <w14:solidFill>
              <w14:schemeClr w14:val="tx1"/>
            </w14:solidFill>
          </w14:textFill>
        </w:rPr>
        <w:t>带★号条款</w:t>
      </w:r>
      <w:r>
        <w:rPr>
          <w:rFonts w:hint="eastAsia" w:ascii="宋体" w:hAnsi="宋体" w:eastAsia="宋体" w:cs="宋体"/>
          <w:b/>
          <w:bCs/>
          <w:color w:val="000000" w:themeColor="text1"/>
          <w:lang w:val="en-US" w:eastAsia="zh-CN"/>
          <w14:textFill>
            <w14:solidFill>
              <w14:schemeClr w14:val="tx1"/>
            </w14:solidFill>
          </w14:textFill>
        </w:rPr>
        <w:t>要求提交证明资料的请将证明资料附于此表后。</w:t>
      </w:r>
    </w:p>
    <w:p>
      <w:pPr>
        <w:keepNext w:val="0"/>
        <w:keepLines w:val="0"/>
        <w:pageBreakBefore w:val="0"/>
        <w:widowControl/>
        <w:kinsoku/>
        <w:wordWrap/>
        <w:overflowPunct/>
        <w:topLinePunct w:val="0"/>
        <w:autoSpaceDE/>
        <w:autoSpaceDN/>
        <w:bidi w:val="0"/>
        <w:adjustRightInd/>
        <w:snapToGrid/>
        <w:spacing w:after="78" w:line="360" w:lineRule="auto"/>
        <w:textAlignment w:val="auto"/>
        <w:rPr>
          <w:rFonts w:hint="eastAsia" w:ascii="宋体" w:hAnsi="宋体" w:eastAsia="宋体" w:cs="宋体"/>
          <w:color w:val="000000" w:themeColor="text1"/>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78" w:line="360" w:lineRule="auto"/>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投标人代表：</w:t>
      </w:r>
      <w:r>
        <w:rPr>
          <w:rFonts w:hint="eastAsia" w:ascii="宋体" w:hAnsi="宋体" w:eastAsia="宋体" w:cs="宋体"/>
          <w:color w:val="000000" w:themeColor="text1"/>
          <w:u w:val="single"/>
          <w14:textFill>
            <w14:solidFill>
              <w14:schemeClr w14:val="tx1"/>
            </w14:solidFill>
          </w14:textFill>
        </w:rPr>
        <w:t xml:space="preserve">                        </w:t>
      </w:r>
    </w:p>
    <w:p>
      <w:pPr>
        <w:keepNext w:val="0"/>
        <w:keepLines w:val="0"/>
        <w:pageBreakBefore w:val="0"/>
        <w:widowControl/>
        <w:kinsoku/>
        <w:wordWrap/>
        <w:overflowPunct/>
        <w:topLinePunct w:val="0"/>
        <w:autoSpaceDE/>
        <w:autoSpaceDN/>
        <w:bidi w:val="0"/>
        <w:adjustRightInd/>
        <w:snapToGrid/>
        <w:spacing w:after="78" w:line="360" w:lineRule="auto"/>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投标单位：</w:t>
      </w:r>
      <w:r>
        <w:rPr>
          <w:rFonts w:hint="eastAsia" w:ascii="宋体" w:hAnsi="宋体" w:eastAsia="宋体" w:cs="宋体"/>
          <w:color w:val="000000" w:themeColor="text1"/>
          <w:u w:val="single"/>
          <w14:textFill>
            <w14:solidFill>
              <w14:schemeClr w14:val="tx1"/>
            </w14:solidFill>
          </w14:textFill>
        </w:rPr>
        <w:t xml:space="preserve">                            </w:t>
      </w:r>
    </w:p>
    <w:p>
      <w:pPr>
        <w:pStyle w:val="8"/>
        <w:numPr>
          <w:ilvl w:val="255"/>
          <w:numId w:val="0"/>
        </w:numPr>
        <w:rPr>
          <w:rFonts w:hint="eastAsia" w:ascii="宋体" w:hAnsi="宋体" w:eastAsia="宋体" w:cs="宋体"/>
        </w:rPr>
      </w:pPr>
    </w:p>
    <w:p>
      <w:pPr>
        <w:rPr>
          <w:rFonts w:hint="eastAsia" w:ascii="宋体" w:hAnsi="宋体" w:eastAsia="宋体" w:cs="宋体"/>
        </w:rPr>
      </w:pPr>
      <w:r>
        <w:rPr>
          <w:rFonts w:hint="eastAsia" w:ascii="宋体" w:hAnsi="宋体" w:eastAsia="宋体" w:cs="宋体"/>
        </w:rPr>
        <w:br w:type="page"/>
      </w:r>
    </w:p>
    <w:p>
      <w:pPr>
        <w:spacing w:before="260" w:after="260"/>
        <w:jc w:val="center"/>
        <w:outlineLvl w:val="2"/>
        <w:rPr>
          <w:rFonts w:hint="eastAsia" w:ascii="宋体" w:hAnsi="宋体" w:eastAsia="宋体" w:cs="宋体"/>
          <w:b/>
          <w:bCs/>
          <w:sz w:val="28"/>
          <w:szCs w:val="28"/>
        </w:rPr>
      </w:pPr>
      <w:r>
        <w:rPr>
          <w:rFonts w:hint="eastAsia" w:ascii="宋体" w:hAnsi="宋体" w:eastAsia="宋体" w:cs="宋体"/>
          <w:b/>
          <w:bCs/>
          <w:sz w:val="28"/>
          <w:szCs w:val="28"/>
          <w:lang w:val="en-US" w:eastAsia="zh-CN"/>
        </w:rPr>
        <w:t>五</w:t>
      </w:r>
      <w:r>
        <w:rPr>
          <w:rFonts w:hint="eastAsia" w:ascii="宋体" w:hAnsi="宋体" w:eastAsia="宋体" w:cs="宋体"/>
          <w:b/>
          <w:bCs/>
          <w:sz w:val="28"/>
          <w:szCs w:val="28"/>
        </w:rPr>
        <w:t>、技术规格偏离表</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6"/>
        <w:gridCol w:w="1356"/>
        <w:gridCol w:w="1356"/>
        <w:gridCol w:w="1356"/>
        <w:gridCol w:w="1484"/>
        <w:gridCol w:w="15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dxa"/>
          </w:tcPr>
          <w:p>
            <w:r>
              <w:rPr>
                <w:rFonts w:hint="eastAsia"/>
              </w:rPr>
              <w:t>序号</w:t>
            </w:r>
          </w:p>
        </w:tc>
        <w:tc>
          <w:tcPr>
            <w:tcW w:w="1356" w:type="dxa"/>
          </w:tcPr>
          <w:p>
            <w:r>
              <w:rPr>
                <w:rFonts w:hint="eastAsia"/>
              </w:rPr>
              <w:t>货物名称</w:t>
            </w:r>
          </w:p>
        </w:tc>
        <w:tc>
          <w:tcPr>
            <w:tcW w:w="1356" w:type="dxa"/>
          </w:tcPr>
          <w:p>
            <w:r>
              <w:rPr>
                <w:rFonts w:hint="eastAsia"/>
              </w:rPr>
              <w:t>招标技术要求</w:t>
            </w:r>
          </w:p>
        </w:tc>
        <w:tc>
          <w:tcPr>
            <w:tcW w:w="1356" w:type="dxa"/>
          </w:tcPr>
          <w:p>
            <w:r>
              <w:rPr>
                <w:rFonts w:hint="eastAsia"/>
              </w:rPr>
              <w:t>投标技术响应</w:t>
            </w:r>
          </w:p>
        </w:tc>
        <w:tc>
          <w:tcPr>
            <w:tcW w:w="1484" w:type="dxa"/>
          </w:tcPr>
          <w:p>
            <w:r>
              <w:rPr>
                <w:rFonts w:hint="eastAsia"/>
              </w:rPr>
              <w:t>偏离情况</w:t>
            </w:r>
          </w:p>
        </w:tc>
        <w:tc>
          <w:tcPr>
            <w:tcW w:w="1530" w:type="dxa"/>
          </w:tcPr>
          <w:p>
            <w:r>
              <w:rPr>
                <w:rFonts w:hint="eastAsia"/>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dxa"/>
          </w:tcPr>
          <w:p/>
        </w:tc>
        <w:tc>
          <w:tcPr>
            <w:tcW w:w="1356" w:type="dxa"/>
          </w:tcPr>
          <w:p/>
        </w:tc>
        <w:tc>
          <w:tcPr>
            <w:tcW w:w="1356" w:type="dxa"/>
          </w:tcPr>
          <w:p/>
        </w:tc>
        <w:tc>
          <w:tcPr>
            <w:tcW w:w="1356" w:type="dxa"/>
          </w:tcPr>
          <w:p/>
        </w:tc>
        <w:tc>
          <w:tcPr>
            <w:tcW w:w="1484" w:type="dxa"/>
          </w:tcPr>
          <w:p/>
        </w:tc>
        <w:tc>
          <w:tcPr>
            <w:tcW w:w="1530"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dxa"/>
          </w:tcPr>
          <w:p/>
        </w:tc>
        <w:tc>
          <w:tcPr>
            <w:tcW w:w="1356" w:type="dxa"/>
          </w:tcPr>
          <w:p/>
        </w:tc>
        <w:tc>
          <w:tcPr>
            <w:tcW w:w="1356" w:type="dxa"/>
          </w:tcPr>
          <w:p/>
        </w:tc>
        <w:tc>
          <w:tcPr>
            <w:tcW w:w="1356" w:type="dxa"/>
          </w:tcPr>
          <w:p/>
        </w:tc>
        <w:tc>
          <w:tcPr>
            <w:tcW w:w="1484" w:type="dxa"/>
          </w:tcPr>
          <w:p/>
        </w:tc>
        <w:tc>
          <w:tcPr>
            <w:tcW w:w="1530"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dxa"/>
          </w:tcPr>
          <w:p/>
        </w:tc>
        <w:tc>
          <w:tcPr>
            <w:tcW w:w="1356" w:type="dxa"/>
          </w:tcPr>
          <w:p/>
        </w:tc>
        <w:tc>
          <w:tcPr>
            <w:tcW w:w="1356" w:type="dxa"/>
          </w:tcPr>
          <w:p/>
        </w:tc>
        <w:tc>
          <w:tcPr>
            <w:tcW w:w="1356" w:type="dxa"/>
          </w:tcPr>
          <w:p/>
        </w:tc>
        <w:tc>
          <w:tcPr>
            <w:tcW w:w="1484" w:type="dxa"/>
          </w:tcPr>
          <w:p/>
        </w:tc>
        <w:tc>
          <w:tcPr>
            <w:tcW w:w="1530"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dxa"/>
          </w:tcPr>
          <w:p/>
        </w:tc>
        <w:tc>
          <w:tcPr>
            <w:tcW w:w="1356" w:type="dxa"/>
          </w:tcPr>
          <w:p/>
        </w:tc>
        <w:tc>
          <w:tcPr>
            <w:tcW w:w="1356" w:type="dxa"/>
          </w:tcPr>
          <w:p/>
        </w:tc>
        <w:tc>
          <w:tcPr>
            <w:tcW w:w="1356" w:type="dxa"/>
          </w:tcPr>
          <w:p/>
        </w:tc>
        <w:tc>
          <w:tcPr>
            <w:tcW w:w="1484" w:type="dxa"/>
          </w:tcPr>
          <w:p/>
        </w:tc>
        <w:tc>
          <w:tcPr>
            <w:tcW w:w="1530"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dxa"/>
          </w:tcPr>
          <w:p/>
        </w:tc>
        <w:tc>
          <w:tcPr>
            <w:tcW w:w="1356" w:type="dxa"/>
          </w:tcPr>
          <w:p/>
        </w:tc>
        <w:tc>
          <w:tcPr>
            <w:tcW w:w="1356" w:type="dxa"/>
          </w:tcPr>
          <w:p/>
        </w:tc>
        <w:tc>
          <w:tcPr>
            <w:tcW w:w="1356" w:type="dxa"/>
          </w:tcPr>
          <w:p/>
        </w:tc>
        <w:tc>
          <w:tcPr>
            <w:tcW w:w="1484" w:type="dxa"/>
          </w:tcPr>
          <w:p/>
        </w:tc>
        <w:tc>
          <w:tcPr>
            <w:tcW w:w="1530"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dxa"/>
          </w:tcPr>
          <w:p/>
        </w:tc>
        <w:tc>
          <w:tcPr>
            <w:tcW w:w="1356" w:type="dxa"/>
          </w:tcPr>
          <w:p/>
        </w:tc>
        <w:tc>
          <w:tcPr>
            <w:tcW w:w="1356" w:type="dxa"/>
          </w:tcPr>
          <w:p/>
        </w:tc>
        <w:tc>
          <w:tcPr>
            <w:tcW w:w="1356" w:type="dxa"/>
          </w:tcPr>
          <w:p/>
        </w:tc>
        <w:tc>
          <w:tcPr>
            <w:tcW w:w="1484" w:type="dxa"/>
          </w:tcPr>
          <w:p/>
        </w:tc>
        <w:tc>
          <w:tcPr>
            <w:tcW w:w="1530" w:type="dxa"/>
          </w:tcPr>
          <w:p/>
        </w:tc>
      </w:tr>
    </w:tbl>
    <w:p>
      <w:r>
        <w:rPr>
          <w:rFonts w:hint="eastAsia"/>
        </w:rPr>
        <w:t>备注：</w:t>
      </w:r>
    </w:p>
    <w:p>
      <w:pPr>
        <w:rPr>
          <w:rFonts w:hint="eastAsia" w:ascii="宋体" w:hAnsi="宋体" w:eastAsia="宋体" w:cs="宋体"/>
        </w:rPr>
      </w:pPr>
      <w:r>
        <w:rPr>
          <w:rFonts w:hint="eastAsia" w:ascii="宋体" w:hAnsi="宋体" w:eastAsia="宋体" w:cs="宋体"/>
        </w:rPr>
        <w:t>1、“招标技术要求”一栏应</w:t>
      </w:r>
      <w:r>
        <w:rPr>
          <w:rFonts w:hint="eastAsia" w:ascii="宋体" w:hAnsi="宋体" w:eastAsia="宋体" w:cs="宋体"/>
          <w:b/>
        </w:rPr>
        <w:t>填写招标文件</w:t>
      </w:r>
      <w:r>
        <w:rPr>
          <w:rFonts w:hint="eastAsia" w:ascii="宋体" w:hAnsi="宋体" w:eastAsia="宋体" w:cs="宋体"/>
          <w:b/>
          <w:lang w:eastAsia="zh-CN"/>
        </w:rPr>
        <w:t>“</w:t>
      </w:r>
      <w:r>
        <w:rPr>
          <w:rFonts w:hint="eastAsia" w:ascii="宋体" w:hAnsi="宋体" w:eastAsia="宋体" w:cs="宋体"/>
          <w:b/>
        </w:rPr>
        <w:t>第</w:t>
      </w:r>
      <w:r>
        <w:rPr>
          <w:rFonts w:hint="eastAsia" w:ascii="宋体" w:hAnsi="宋体" w:eastAsia="宋体" w:cs="宋体"/>
          <w:b/>
          <w:lang w:val="en-US" w:eastAsia="zh-CN"/>
        </w:rPr>
        <w:t>三</w:t>
      </w:r>
      <w:r>
        <w:rPr>
          <w:rFonts w:hint="eastAsia" w:ascii="宋体" w:hAnsi="宋体" w:eastAsia="宋体" w:cs="宋体"/>
          <w:b/>
        </w:rPr>
        <w:t>章</w:t>
      </w:r>
      <w:r>
        <w:rPr>
          <w:rFonts w:hint="eastAsia" w:ascii="宋体" w:hAnsi="宋体" w:eastAsia="宋体" w:cs="宋体"/>
          <w:b/>
          <w:lang w:val="en-US" w:eastAsia="zh-CN"/>
        </w:rPr>
        <w:t>用户需求书（三）技术要求</w:t>
      </w:r>
      <w:r>
        <w:rPr>
          <w:rFonts w:hint="eastAsia" w:ascii="宋体" w:hAnsi="宋体" w:eastAsia="宋体" w:cs="宋体"/>
          <w:b/>
          <w:bCs/>
          <w:lang w:eastAsia="zh-CN"/>
        </w:rPr>
        <w:t>”</w:t>
      </w:r>
      <w:r>
        <w:rPr>
          <w:rFonts w:hint="eastAsia" w:ascii="宋体" w:hAnsi="宋体" w:eastAsia="宋体" w:cs="宋体"/>
        </w:rPr>
        <w:t>的内容；</w:t>
      </w:r>
    </w:p>
    <w:p>
      <w:pPr>
        <w:rPr>
          <w:rFonts w:hint="eastAsia" w:ascii="宋体" w:hAnsi="宋体" w:eastAsia="宋体" w:cs="宋体"/>
        </w:rPr>
      </w:pPr>
      <w:r>
        <w:rPr>
          <w:rFonts w:hint="eastAsia" w:ascii="宋体" w:hAnsi="宋体" w:eastAsia="宋体" w:cs="宋体"/>
        </w:rPr>
        <w:t>2、“投标技术响应”一栏必须详细填写投标产品的具体参数，并应对照招标技术要求一一对应响应；</w:t>
      </w:r>
    </w:p>
    <w:p>
      <w:pPr>
        <w:rPr>
          <w:rFonts w:hint="eastAsia" w:ascii="宋体" w:hAnsi="宋体" w:eastAsia="宋体" w:cs="宋体"/>
        </w:rPr>
      </w:pPr>
      <w:r>
        <w:rPr>
          <w:rFonts w:hint="eastAsia" w:ascii="宋体" w:hAnsi="宋体" w:eastAsia="宋体" w:cs="宋体"/>
        </w:rPr>
        <w:t>3、“偏离情况”一栏应如实填写“正偏离”、“负偏离”或“无偏离”。</w:t>
      </w:r>
    </w:p>
    <w:p>
      <w:pPr>
        <w:rPr>
          <w:rFonts w:hint="eastAsia" w:ascii="宋体" w:hAnsi="宋体" w:eastAsia="宋体" w:cs="宋体"/>
        </w:rPr>
      </w:pPr>
      <w:r>
        <w:rPr>
          <w:rFonts w:hint="eastAsia" w:ascii="宋体" w:hAnsi="宋体" w:eastAsia="宋体" w:cs="宋体"/>
        </w:rPr>
        <w:t>4、投标人在《技术规格偏离表》填写的“投标技术响应”与《具体技术要求》的“招标技术要求”存在填写不全的情况，将被视为未实质性满足招标文件要求作投标无效处理。示例，“招标技术要求”共有10项参数，投标人只响应了9项，填写不全，则视为未实质性满足招标文件要求作投标无效处理。</w:t>
      </w:r>
    </w:p>
    <w:p>
      <w:pPr>
        <w:rPr>
          <w:rFonts w:hint="eastAsia" w:ascii="宋体" w:hAnsi="宋体" w:eastAsia="宋体" w:cs="宋体"/>
        </w:rPr>
      </w:pPr>
      <w:r>
        <w:rPr>
          <w:rFonts w:hint="eastAsia" w:ascii="宋体" w:hAnsi="宋体" w:eastAsia="宋体" w:cs="宋体"/>
        </w:rPr>
        <w:t>5、投标人所填写的“偏离情况”与评审委员会判定不一致时</w:t>
      </w:r>
      <w:r>
        <w:rPr>
          <w:rFonts w:hint="eastAsia" w:ascii="宋体" w:hAnsi="宋体" w:eastAsia="宋体" w:cs="宋体"/>
          <w:b/>
        </w:rPr>
        <w:t>，以评审委员会意见为主。另，判定结果不一致的参数超过一定数量的，则评分项“技术偏离情况”将不得分（即计为0分）。</w:t>
      </w:r>
    </w:p>
    <w:p>
      <w:pPr>
        <w:rPr>
          <w:rFonts w:hint="eastAsia" w:ascii="宋体" w:hAnsi="宋体" w:eastAsia="宋体" w:cs="宋体"/>
        </w:rPr>
      </w:pPr>
      <w:r>
        <w:rPr>
          <w:rFonts w:hint="eastAsia" w:ascii="宋体" w:hAnsi="宋体" w:eastAsia="宋体" w:cs="宋体"/>
          <w:b/>
        </w:rPr>
        <w:t>一定数量的设置：</w:t>
      </w:r>
      <w:r>
        <w:rPr>
          <w:rFonts w:hint="eastAsia" w:ascii="宋体" w:hAnsi="宋体" w:eastAsia="宋体" w:cs="宋体"/>
        </w:rPr>
        <w:t>（1）《具体技术要求》全部参数数量10%（四舍五入取整数）不足3条的，以3条为标准；（2）《具体技术要求》全部参数数量10%（四舍五入取整数）超过10条的，以10条为标准；（3）其他情况，按《具体技术要求》全部参数数量10%（四舍五入取整数）为标准。</w:t>
      </w:r>
    </w:p>
    <w:p>
      <w:pPr>
        <w:rPr>
          <w:rFonts w:hint="eastAsia" w:ascii="宋体" w:hAnsi="宋体" w:eastAsia="宋体" w:cs="宋体"/>
          <w:b/>
        </w:rPr>
      </w:pPr>
      <w:r>
        <w:rPr>
          <w:rFonts w:hint="eastAsia" w:ascii="宋体" w:hAnsi="宋体" w:eastAsia="宋体" w:cs="宋体"/>
        </w:rPr>
        <w:t>6、投标产品的技术参数应按《技术规格偏离表》中的要求提供相应的证明资料，以证明投标人响应的真实性。证明资料包括制造商公布的产品说明书、产品彩页和我国政府机构出具的产品检验和核准证件等。投标人应在“说明”一栏中列出技术参数的证明资料名称，并指明该证明资料在投标文件中的具体位置。</w:t>
      </w:r>
      <w:r>
        <w:rPr>
          <w:rFonts w:hint="eastAsia" w:ascii="宋体" w:hAnsi="宋体" w:eastAsia="宋体" w:cs="宋体"/>
          <w:b/>
        </w:rPr>
        <w:t>若《技术规格偏离表》中未要求提供相应证明材料的，投标人可以不提供。</w:t>
      </w:r>
    </w:p>
    <w:p>
      <w:pPr>
        <w:rPr>
          <w:rFonts w:hint="eastAsia" w:ascii="宋体" w:hAnsi="宋体" w:eastAsia="宋体" w:cs="宋体"/>
        </w:rPr>
      </w:pPr>
      <w:r>
        <w:rPr>
          <w:rFonts w:hint="eastAsia" w:ascii="宋体" w:hAnsi="宋体" w:eastAsia="宋体" w:cs="宋体"/>
        </w:rPr>
        <w:t>7、证明资料（均为扫描件）的提供要求：</w:t>
      </w:r>
    </w:p>
    <w:p>
      <w:pPr>
        <w:rPr>
          <w:rFonts w:hint="eastAsia" w:ascii="宋体" w:hAnsi="宋体" w:eastAsia="宋体" w:cs="宋体"/>
        </w:rPr>
      </w:pPr>
      <w:r>
        <w:rPr>
          <w:rFonts w:hint="eastAsia" w:ascii="宋体" w:hAnsi="宋体" w:eastAsia="宋体" w:cs="宋体"/>
        </w:rPr>
        <w:t>（1）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清晰度应该能够在电脑上被阅读、识别和判断；</w:t>
      </w:r>
    </w:p>
    <w:p>
      <w:pPr>
        <w:rPr>
          <w:rFonts w:hint="eastAsia" w:ascii="宋体" w:hAnsi="宋体" w:eastAsia="宋体" w:cs="宋体"/>
        </w:rPr>
      </w:pPr>
      <w:r>
        <w:rPr>
          <w:rFonts w:hint="eastAsia" w:ascii="宋体" w:hAnsi="宋体" w:eastAsia="宋体" w:cs="宋体"/>
        </w:rPr>
        <w:t>（2）我国政府机构出具的产品检验和核准证件应为证件正面、背面和附件标注的全部具体内容；产品检验和核准证件的尺寸和清晰度应该能够在电脑上被阅读、识别和判断。</w:t>
      </w:r>
    </w:p>
    <w:p>
      <w:pPr>
        <w:rPr>
          <w:rFonts w:hint="eastAsia" w:ascii="宋体" w:hAnsi="宋体" w:eastAsia="宋体" w:cs="宋体"/>
        </w:rPr>
      </w:pPr>
      <w:r>
        <w:rPr>
          <w:rFonts w:hint="eastAsia" w:ascii="宋体" w:hAnsi="宋体" w:eastAsia="宋体" w:cs="宋体"/>
        </w:rPr>
        <w:t>8、评审委员会有权对以谋取中标为目的的技术规格模糊响应（如有意照搬照抄招标文件的技术要求）或虚假响应予以认定，并视情况经集中采购机构报市政府采购监督管理部门予以处罚。</w:t>
      </w:r>
    </w:p>
    <w:p>
      <w:pPr>
        <w:rPr>
          <w:rFonts w:hint="eastAsia" w:ascii="宋体" w:hAnsi="宋体" w:eastAsia="宋体" w:cs="宋体"/>
        </w:rPr>
      </w:pPr>
    </w:p>
    <w:p>
      <w:pPr>
        <w:rPr>
          <w:rFonts w:hint="eastAsia" w:ascii="宋体" w:hAnsi="宋体" w:eastAsia="宋体" w:cs="宋体"/>
          <w:szCs w:val="20"/>
        </w:rPr>
      </w:pPr>
      <w:r>
        <w:rPr>
          <w:rFonts w:hint="eastAsia" w:ascii="宋体" w:hAnsi="宋体" w:eastAsia="宋体" w:cs="宋体"/>
          <w:szCs w:val="20"/>
        </w:rPr>
        <w:br w:type="page"/>
      </w:r>
    </w:p>
    <w:p>
      <w:pPr>
        <w:spacing w:before="260" w:after="260"/>
        <w:jc w:val="center"/>
        <w:outlineLvl w:val="2"/>
        <w:rPr>
          <w:rFonts w:hint="eastAsia" w:ascii="宋体" w:hAnsi="宋体" w:eastAsia="宋体" w:cs="宋体"/>
          <w:b/>
          <w:bCs/>
          <w:sz w:val="28"/>
          <w:szCs w:val="21"/>
          <w:lang w:val="en-US" w:eastAsia="zh-CN"/>
        </w:rPr>
      </w:pPr>
      <w:r>
        <w:rPr>
          <w:rFonts w:hint="eastAsia" w:ascii="宋体" w:hAnsi="宋体" w:eastAsia="宋体" w:cs="宋体"/>
          <w:b/>
          <w:bCs/>
          <w:sz w:val="28"/>
          <w:szCs w:val="28"/>
          <w:lang w:val="en-US" w:eastAsia="zh-CN"/>
        </w:rPr>
        <w:t>六</w:t>
      </w:r>
      <w:r>
        <w:rPr>
          <w:rFonts w:hint="eastAsia" w:ascii="宋体" w:hAnsi="宋体" w:eastAsia="宋体" w:cs="宋体"/>
          <w:b/>
          <w:bCs/>
          <w:sz w:val="28"/>
          <w:szCs w:val="28"/>
        </w:rPr>
        <w:t>、</w:t>
      </w:r>
      <w:r>
        <w:rPr>
          <w:rFonts w:hint="eastAsia" w:ascii="宋体" w:hAnsi="宋体" w:eastAsia="宋体" w:cs="宋体"/>
          <w:b/>
          <w:bCs/>
          <w:sz w:val="28"/>
          <w:szCs w:val="28"/>
          <w:lang w:val="en-US" w:eastAsia="zh-CN"/>
        </w:rPr>
        <w:t>商务条款</w:t>
      </w:r>
      <w:r>
        <w:rPr>
          <w:rFonts w:hint="eastAsia" w:ascii="宋体" w:hAnsi="宋体" w:eastAsia="宋体" w:cs="宋体"/>
          <w:b/>
          <w:bCs/>
          <w:sz w:val="28"/>
          <w:szCs w:val="28"/>
        </w:rPr>
        <w:t>偏离表</w:t>
      </w:r>
    </w:p>
    <w:tbl>
      <w:tblPr>
        <w:tblStyle w:val="19"/>
        <w:tblW w:w="9997" w:type="dxa"/>
        <w:tblInd w:w="-318" w:type="dxa"/>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Layout w:type="fixed"/>
        <w:tblCellMar>
          <w:top w:w="0" w:type="dxa"/>
          <w:left w:w="108" w:type="dxa"/>
          <w:bottom w:w="0" w:type="dxa"/>
          <w:right w:w="108" w:type="dxa"/>
        </w:tblCellMar>
      </w:tblPr>
      <w:tblGrid>
        <w:gridCol w:w="956"/>
        <w:gridCol w:w="4558"/>
        <w:gridCol w:w="2567"/>
        <w:gridCol w:w="1916"/>
      </w:tblGrid>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c>
          <w:tcPr>
            <w:tcW w:w="956" w:type="dxa"/>
            <w:noWrap w:val="0"/>
            <w:vAlign w:val="center"/>
          </w:tcPr>
          <w:p>
            <w:pPr>
              <w:spacing w:afterLines="0"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序号</w:t>
            </w:r>
          </w:p>
        </w:tc>
        <w:tc>
          <w:tcPr>
            <w:tcW w:w="4558" w:type="dxa"/>
            <w:noWrap w:val="0"/>
            <w:vAlign w:val="center"/>
          </w:tcPr>
          <w:p>
            <w:pPr>
              <w:spacing w:afterLines="0"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招标文件要求</w:t>
            </w:r>
          </w:p>
        </w:tc>
        <w:tc>
          <w:tcPr>
            <w:tcW w:w="2567" w:type="dxa"/>
            <w:noWrap w:val="0"/>
            <w:vAlign w:val="center"/>
          </w:tcPr>
          <w:p>
            <w:pPr>
              <w:spacing w:afterLines="0"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投标文件响应</w:t>
            </w:r>
          </w:p>
        </w:tc>
        <w:tc>
          <w:tcPr>
            <w:tcW w:w="1916" w:type="dxa"/>
            <w:noWrap w:val="0"/>
            <w:vAlign w:val="center"/>
          </w:tcPr>
          <w:p>
            <w:pPr>
              <w:spacing w:afterLines="0"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偏离说明（符合/正偏离/负偏离）</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c>
          <w:tcPr>
            <w:tcW w:w="956" w:type="dxa"/>
            <w:noWrap w:val="0"/>
            <w:vAlign w:val="top"/>
          </w:tcPr>
          <w:p>
            <w:pPr>
              <w:pStyle w:val="6"/>
              <w:spacing w:before="60" w:beforeLines="25" w:afterLines="0"/>
              <w:ind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p>
        </w:tc>
        <w:tc>
          <w:tcPr>
            <w:tcW w:w="4558" w:type="dxa"/>
            <w:noWrap w:val="0"/>
            <w:vAlign w:val="top"/>
          </w:tcPr>
          <w:p>
            <w:pPr>
              <w:tabs>
                <w:tab w:val="left" w:pos="1440"/>
              </w:tabs>
              <w:spacing w:afterLines="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此项内容为招标文件第</w:t>
            </w:r>
            <w:r>
              <w:rPr>
                <w:rFonts w:hint="eastAsia" w:ascii="宋体" w:hAnsi="宋体" w:eastAsia="宋体" w:cs="宋体"/>
                <w:color w:val="000000" w:themeColor="text1"/>
                <w:szCs w:val="21"/>
                <w:highlight w:val="none"/>
                <w:lang w:val="en-US" w:eastAsia="zh-CN"/>
                <w14:textFill>
                  <w14:solidFill>
                    <w14:schemeClr w14:val="tx1"/>
                  </w14:solidFill>
                </w14:textFill>
              </w:rPr>
              <w:t>三</w:t>
            </w:r>
            <w:r>
              <w:rPr>
                <w:rFonts w:hint="eastAsia" w:ascii="宋体" w:hAnsi="宋体" w:eastAsia="宋体" w:cs="宋体"/>
                <w:color w:val="000000" w:themeColor="text1"/>
                <w:szCs w:val="21"/>
                <w:highlight w:val="none"/>
                <w14:textFill>
                  <w14:solidFill>
                    <w14:schemeClr w14:val="tx1"/>
                  </w14:solidFill>
                </w14:textFill>
              </w:rPr>
              <w:t>章</w:t>
            </w:r>
            <w:r>
              <w:rPr>
                <w:rFonts w:hint="eastAsia" w:ascii="宋体" w:hAnsi="宋体" w:eastAsia="宋体" w:cs="宋体"/>
                <w:color w:val="000000" w:themeColor="text1"/>
                <w:szCs w:val="21"/>
                <w:highlight w:val="none"/>
                <w:lang w:val="en-US" w:eastAsia="zh-CN"/>
                <w14:textFill>
                  <w14:solidFill>
                    <w14:schemeClr w14:val="tx1"/>
                  </w14:solidFill>
                </w14:textFill>
              </w:rPr>
              <w:t>用户需求书</w:t>
            </w:r>
            <w:r>
              <w:rPr>
                <w:rFonts w:hint="eastAsia" w:ascii="宋体" w:hAnsi="宋体" w:eastAsia="宋体" w:cs="宋体"/>
                <w:color w:val="000000" w:themeColor="text1"/>
                <w:szCs w:val="21"/>
                <w:highlight w:val="none"/>
                <w14:textFill>
                  <w14:solidFill>
                    <w14:schemeClr w14:val="tx1"/>
                  </w14:solidFill>
                </w14:textFill>
              </w:rPr>
              <w:t>中</w:t>
            </w:r>
            <w:r>
              <w:rPr>
                <w:rFonts w:hint="eastAsia" w:ascii="宋体" w:hAnsi="宋体" w:eastAsia="宋体" w:cs="宋体"/>
                <w:b/>
                <w:bCs/>
                <w:color w:val="000000" w:themeColor="text1"/>
                <w:szCs w:val="21"/>
                <w:highlight w:val="none"/>
                <w:lang w:val="en-US" w:eastAsia="zh-CN"/>
                <w14:textFill>
                  <w14:solidFill>
                    <w14:schemeClr w14:val="tx1"/>
                  </w14:solidFill>
                </w14:textFill>
              </w:rPr>
              <w:t>商务要求的</w:t>
            </w:r>
            <w:r>
              <w:rPr>
                <w:rFonts w:hint="eastAsia" w:ascii="宋体" w:hAnsi="宋体" w:eastAsia="宋体" w:cs="宋体"/>
                <w:color w:val="000000" w:themeColor="text1"/>
                <w:szCs w:val="21"/>
                <w:highlight w:val="none"/>
                <w14:textFill>
                  <w14:solidFill>
                    <w14:schemeClr w14:val="tx1"/>
                  </w14:solidFill>
                </w14:textFill>
              </w:rPr>
              <w:t>所有条款要求。</w:t>
            </w:r>
          </w:p>
        </w:tc>
        <w:tc>
          <w:tcPr>
            <w:tcW w:w="2567" w:type="dxa"/>
            <w:noWrap w:val="0"/>
            <w:vAlign w:val="top"/>
          </w:tcPr>
          <w:p>
            <w:pPr>
              <w:spacing w:afterLines="0" w:line="240" w:lineRule="auto"/>
              <w:rPr>
                <w:rFonts w:hint="eastAsia" w:ascii="宋体" w:hAnsi="宋体" w:eastAsia="宋体" w:cs="宋体"/>
                <w:color w:val="000000" w:themeColor="text1"/>
                <w:sz w:val="18"/>
                <w:szCs w:val="18"/>
                <w:highlight w:val="none"/>
                <w14:textFill>
                  <w14:solidFill>
                    <w14:schemeClr w14:val="tx1"/>
                  </w14:solidFill>
                </w14:textFill>
              </w:rPr>
            </w:pPr>
          </w:p>
          <w:p>
            <w:pPr>
              <w:spacing w:afterLines="0" w:line="240" w:lineRule="auto"/>
              <w:rPr>
                <w:rFonts w:hint="eastAsia" w:ascii="宋体" w:hAnsi="宋体" w:eastAsia="宋体" w:cs="宋体"/>
                <w:color w:val="000000" w:themeColor="text1"/>
                <w:sz w:val="18"/>
                <w:szCs w:val="18"/>
                <w:highlight w:val="none"/>
                <w14:textFill>
                  <w14:solidFill>
                    <w14:schemeClr w14:val="tx1"/>
                  </w14:solidFill>
                </w14:textFill>
              </w:rPr>
            </w:pPr>
          </w:p>
          <w:p>
            <w:pPr>
              <w:spacing w:afterLines="0" w:line="240" w:lineRule="auto"/>
              <w:rPr>
                <w:rFonts w:hint="eastAsia" w:ascii="宋体" w:hAnsi="宋体" w:eastAsia="宋体" w:cs="宋体"/>
                <w:color w:val="000000" w:themeColor="text1"/>
                <w:szCs w:val="21"/>
                <w:highlight w:val="none"/>
                <w14:textFill>
                  <w14:solidFill>
                    <w14:schemeClr w14:val="tx1"/>
                  </w14:solidFill>
                </w14:textFill>
              </w:rPr>
            </w:pPr>
          </w:p>
        </w:tc>
        <w:tc>
          <w:tcPr>
            <w:tcW w:w="1916" w:type="dxa"/>
            <w:noWrap w:val="0"/>
            <w:vAlign w:val="top"/>
          </w:tcPr>
          <w:p>
            <w:pPr>
              <w:spacing w:afterLines="0" w:line="240" w:lineRule="auto"/>
              <w:rPr>
                <w:rFonts w:hint="eastAsia" w:ascii="宋体" w:hAnsi="宋体" w:eastAsia="宋体" w:cs="宋体"/>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c>
          <w:tcPr>
            <w:tcW w:w="956" w:type="dxa"/>
            <w:noWrap w:val="0"/>
            <w:vAlign w:val="top"/>
          </w:tcPr>
          <w:p>
            <w:pPr>
              <w:pStyle w:val="6"/>
              <w:spacing w:before="60" w:beforeLines="25" w:afterLines="0"/>
              <w:ind w:firstLine="0" w:firstLineChars="0"/>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2</w:t>
            </w:r>
          </w:p>
        </w:tc>
        <w:tc>
          <w:tcPr>
            <w:tcW w:w="4558" w:type="dxa"/>
            <w:noWrap w:val="0"/>
            <w:vAlign w:val="top"/>
          </w:tcPr>
          <w:p>
            <w:pPr>
              <w:tabs>
                <w:tab w:val="left" w:pos="1440"/>
              </w:tabs>
              <w:spacing w:afterLines="0" w:line="360" w:lineRule="auto"/>
              <w:rPr>
                <w:rFonts w:hint="eastAsia" w:ascii="宋体" w:hAnsi="宋体" w:eastAsia="宋体" w:cs="宋体"/>
                <w:color w:val="000000" w:themeColor="text1"/>
                <w:szCs w:val="21"/>
                <w:highlight w:val="none"/>
                <w14:textFill>
                  <w14:solidFill>
                    <w14:schemeClr w14:val="tx1"/>
                  </w14:solidFill>
                </w14:textFill>
              </w:rPr>
            </w:pPr>
          </w:p>
        </w:tc>
        <w:tc>
          <w:tcPr>
            <w:tcW w:w="2567" w:type="dxa"/>
            <w:noWrap w:val="0"/>
            <w:vAlign w:val="top"/>
          </w:tcPr>
          <w:p>
            <w:pPr>
              <w:spacing w:afterLines="0" w:line="240" w:lineRule="auto"/>
              <w:rPr>
                <w:rFonts w:hint="eastAsia" w:ascii="宋体" w:hAnsi="宋体" w:eastAsia="宋体" w:cs="宋体"/>
                <w:color w:val="000000" w:themeColor="text1"/>
                <w:szCs w:val="21"/>
                <w:highlight w:val="none"/>
                <w14:textFill>
                  <w14:solidFill>
                    <w14:schemeClr w14:val="tx1"/>
                  </w14:solidFill>
                </w14:textFill>
              </w:rPr>
            </w:pPr>
          </w:p>
        </w:tc>
        <w:tc>
          <w:tcPr>
            <w:tcW w:w="1916" w:type="dxa"/>
            <w:noWrap w:val="0"/>
            <w:vAlign w:val="top"/>
          </w:tcPr>
          <w:p>
            <w:pPr>
              <w:spacing w:afterLines="0" w:line="240" w:lineRule="auto"/>
              <w:rPr>
                <w:rFonts w:hint="eastAsia" w:ascii="宋体" w:hAnsi="宋体" w:eastAsia="宋体" w:cs="宋体"/>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c>
          <w:tcPr>
            <w:tcW w:w="956" w:type="dxa"/>
            <w:noWrap w:val="0"/>
            <w:vAlign w:val="top"/>
          </w:tcPr>
          <w:p>
            <w:pPr>
              <w:pStyle w:val="6"/>
              <w:spacing w:before="60" w:beforeLines="25" w:afterLines="0"/>
              <w:ind w:firstLine="0" w:firstLineChars="0"/>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w:t>
            </w:r>
          </w:p>
        </w:tc>
        <w:tc>
          <w:tcPr>
            <w:tcW w:w="4558" w:type="dxa"/>
            <w:noWrap w:val="0"/>
            <w:vAlign w:val="top"/>
          </w:tcPr>
          <w:p>
            <w:pPr>
              <w:tabs>
                <w:tab w:val="left" w:pos="1440"/>
              </w:tabs>
              <w:spacing w:afterLines="0" w:line="360" w:lineRule="auto"/>
              <w:rPr>
                <w:rFonts w:hint="eastAsia" w:ascii="宋体" w:hAnsi="宋体" w:eastAsia="宋体" w:cs="宋体"/>
                <w:color w:val="000000" w:themeColor="text1"/>
                <w:szCs w:val="21"/>
                <w:highlight w:val="none"/>
                <w14:textFill>
                  <w14:solidFill>
                    <w14:schemeClr w14:val="tx1"/>
                  </w14:solidFill>
                </w14:textFill>
              </w:rPr>
            </w:pPr>
          </w:p>
        </w:tc>
        <w:tc>
          <w:tcPr>
            <w:tcW w:w="2567" w:type="dxa"/>
            <w:noWrap w:val="0"/>
            <w:vAlign w:val="top"/>
          </w:tcPr>
          <w:p>
            <w:pPr>
              <w:spacing w:afterLines="0" w:line="240" w:lineRule="auto"/>
              <w:rPr>
                <w:rFonts w:hint="eastAsia" w:ascii="宋体" w:hAnsi="宋体" w:eastAsia="宋体" w:cs="宋体"/>
                <w:color w:val="000000" w:themeColor="text1"/>
                <w:szCs w:val="21"/>
                <w:highlight w:val="none"/>
                <w14:textFill>
                  <w14:solidFill>
                    <w14:schemeClr w14:val="tx1"/>
                  </w14:solidFill>
                </w14:textFill>
              </w:rPr>
            </w:pPr>
          </w:p>
        </w:tc>
        <w:tc>
          <w:tcPr>
            <w:tcW w:w="1916" w:type="dxa"/>
            <w:noWrap w:val="0"/>
            <w:vAlign w:val="top"/>
          </w:tcPr>
          <w:p>
            <w:pPr>
              <w:spacing w:afterLines="0" w:line="240" w:lineRule="auto"/>
              <w:rPr>
                <w:rFonts w:hint="eastAsia" w:ascii="宋体" w:hAnsi="宋体" w:eastAsia="宋体" w:cs="宋体"/>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c>
          <w:tcPr>
            <w:tcW w:w="956" w:type="dxa"/>
            <w:noWrap w:val="0"/>
            <w:vAlign w:val="top"/>
          </w:tcPr>
          <w:p>
            <w:pPr>
              <w:pStyle w:val="6"/>
              <w:spacing w:before="60" w:beforeLines="25" w:afterLines="0"/>
              <w:ind w:firstLine="0" w:firstLineChars="0"/>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投标人可自行增加</w:t>
            </w:r>
          </w:p>
        </w:tc>
        <w:tc>
          <w:tcPr>
            <w:tcW w:w="4558" w:type="dxa"/>
            <w:noWrap w:val="0"/>
            <w:vAlign w:val="top"/>
          </w:tcPr>
          <w:p>
            <w:pPr>
              <w:tabs>
                <w:tab w:val="left" w:pos="1440"/>
              </w:tabs>
              <w:spacing w:afterLines="0" w:line="360" w:lineRule="auto"/>
              <w:rPr>
                <w:rFonts w:hint="eastAsia" w:ascii="宋体" w:hAnsi="宋体" w:eastAsia="宋体" w:cs="宋体"/>
                <w:color w:val="000000" w:themeColor="text1"/>
                <w:szCs w:val="21"/>
                <w:highlight w:val="none"/>
                <w14:textFill>
                  <w14:solidFill>
                    <w14:schemeClr w14:val="tx1"/>
                  </w14:solidFill>
                </w14:textFill>
              </w:rPr>
            </w:pPr>
          </w:p>
        </w:tc>
        <w:tc>
          <w:tcPr>
            <w:tcW w:w="2567" w:type="dxa"/>
            <w:noWrap w:val="0"/>
            <w:vAlign w:val="top"/>
          </w:tcPr>
          <w:p>
            <w:pPr>
              <w:spacing w:afterLines="0" w:line="240" w:lineRule="auto"/>
              <w:rPr>
                <w:rFonts w:hint="eastAsia" w:ascii="宋体" w:hAnsi="宋体" w:eastAsia="宋体" w:cs="宋体"/>
                <w:color w:val="000000" w:themeColor="text1"/>
                <w:szCs w:val="21"/>
                <w:highlight w:val="none"/>
                <w14:textFill>
                  <w14:solidFill>
                    <w14:schemeClr w14:val="tx1"/>
                  </w14:solidFill>
                </w14:textFill>
              </w:rPr>
            </w:pPr>
          </w:p>
        </w:tc>
        <w:tc>
          <w:tcPr>
            <w:tcW w:w="1916" w:type="dxa"/>
            <w:noWrap w:val="0"/>
            <w:vAlign w:val="top"/>
          </w:tcPr>
          <w:p>
            <w:pPr>
              <w:spacing w:afterLines="0" w:line="240" w:lineRule="auto"/>
              <w:rPr>
                <w:rFonts w:hint="eastAsia" w:ascii="宋体" w:hAnsi="宋体" w:eastAsia="宋体" w:cs="宋体"/>
                <w:color w:val="000000" w:themeColor="text1"/>
                <w:szCs w:val="21"/>
                <w:highlight w:val="none"/>
                <w14:textFill>
                  <w14:solidFill>
                    <w14:schemeClr w14:val="tx1"/>
                  </w14:solidFill>
                </w14:textFill>
              </w:rPr>
            </w:pPr>
          </w:p>
        </w:tc>
      </w:tr>
    </w:tbl>
    <w:p>
      <w:pPr>
        <w:spacing w:afterLines="0"/>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填写说明： </w:t>
      </w:r>
    </w:p>
    <w:p>
      <w:pPr>
        <w:spacing w:afterLines="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投标人</w:t>
      </w:r>
      <w:r>
        <w:rPr>
          <w:rFonts w:hint="eastAsia" w:ascii="宋体" w:hAnsi="宋体" w:eastAsia="宋体" w:cs="宋体"/>
          <w:color w:val="000000" w:themeColor="text1"/>
          <w:highlight w:val="none"/>
          <w14:textFill>
            <w14:solidFill>
              <w14:schemeClr w14:val="tx1"/>
            </w14:solidFill>
          </w14:textFill>
        </w:rPr>
        <w:t>按照第三章用户需求书中</w:t>
      </w:r>
      <w:r>
        <w:rPr>
          <w:rFonts w:hint="eastAsia" w:ascii="宋体" w:hAnsi="宋体" w:eastAsia="宋体" w:cs="宋体"/>
          <w:b/>
          <w:bCs/>
          <w:color w:val="000000" w:themeColor="text1"/>
          <w:szCs w:val="21"/>
          <w:highlight w:val="none"/>
          <w:lang w:val="en-US" w:eastAsia="zh-CN"/>
          <w14:textFill>
            <w14:solidFill>
              <w14:schemeClr w14:val="tx1"/>
            </w14:solidFill>
          </w14:textFill>
        </w:rPr>
        <w:t>商务要求的</w:t>
      </w:r>
      <w:r>
        <w:rPr>
          <w:rFonts w:hint="eastAsia" w:ascii="宋体" w:hAnsi="宋体" w:eastAsia="宋体" w:cs="宋体"/>
          <w:color w:val="000000" w:themeColor="text1"/>
          <w:highlight w:val="none"/>
          <w:lang w:val="en-US" w:eastAsia="zh-CN"/>
          <w14:textFill>
            <w14:solidFill>
              <w14:schemeClr w14:val="tx1"/>
            </w14:solidFill>
          </w14:textFill>
        </w:rPr>
        <w:t>所有条款</w:t>
      </w:r>
      <w:r>
        <w:rPr>
          <w:rFonts w:hint="eastAsia" w:ascii="宋体" w:hAnsi="宋体" w:eastAsia="宋体" w:cs="宋体"/>
          <w:color w:val="000000" w:themeColor="text1"/>
          <w:highlight w:val="none"/>
          <w14:textFill>
            <w14:solidFill>
              <w14:schemeClr w14:val="tx1"/>
            </w14:solidFill>
          </w14:textFill>
        </w:rPr>
        <w:t>进行</w:t>
      </w:r>
      <w:r>
        <w:rPr>
          <w:rFonts w:hint="eastAsia" w:ascii="宋体" w:hAnsi="宋体" w:eastAsia="宋体" w:cs="宋体"/>
          <w:b/>
          <w:bCs/>
          <w:color w:val="000000" w:themeColor="text1"/>
          <w:highlight w:val="none"/>
          <w14:textFill>
            <w14:solidFill>
              <w14:schemeClr w14:val="tx1"/>
            </w14:solidFill>
          </w14:textFill>
        </w:rPr>
        <w:t>逐条响应</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b/>
          <w:bCs/>
          <w:color w:val="000000" w:themeColor="text1"/>
          <w:highlight w:val="none"/>
          <w14:textFill>
            <w14:solidFill>
              <w14:schemeClr w14:val="tx1"/>
            </w14:solidFill>
          </w14:textFill>
        </w:rPr>
        <w:t>“投标文件响应”一栏必须详细填写投标条款的内容，并应对照招标要求一一对应响应</w:t>
      </w:r>
      <w:r>
        <w:rPr>
          <w:rFonts w:hint="eastAsia" w:ascii="宋体" w:hAnsi="宋体" w:eastAsia="宋体" w:cs="宋体"/>
          <w:color w:val="000000" w:themeColor="text1"/>
          <w:highlight w:val="none"/>
          <w14:textFill>
            <w14:solidFill>
              <w14:schemeClr w14:val="tx1"/>
            </w14:solidFill>
          </w14:textFill>
        </w:rPr>
        <w:t>，“偏离情况”栏中如实填写“符合”、“正偏离”、“负偏离”。</w:t>
      </w:r>
    </w:p>
    <w:p>
      <w:pPr>
        <w:spacing w:after="7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投标人代表：</w:t>
      </w:r>
      <w:r>
        <w:rPr>
          <w:rFonts w:hint="eastAsia" w:ascii="宋体" w:hAnsi="宋体" w:eastAsia="宋体" w:cs="宋体"/>
          <w:color w:val="000000" w:themeColor="text1"/>
          <w:highlight w:val="none"/>
          <w:u w:val="single"/>
          <w14:textFill>
            <w14:solidFill>
              <w14:schemeClr w14:val="tx1"/>
            </w14:solidFill>
          </w14:textFill>
        </w:rPr>
        <w:t xml:space="preserve">                        </w:t>
      </w:r>
    </w:p>
    <w:p>
      <w:pPr>
        <w:rPr>
          <w:rFonts w:hint="eastAsia" w:ascii="宋体" w:hAnsi="宋体" w:eastAsia="宋体" w:cs="宋体"/>
          <w:b/>
          <w:bCs/>
          <w:sz w:val="28"/>
          <w:szCs w:val="21"/>
          <w:lang w:val="en-US" w:eastAsia="zh-CN"/>
        </w:rPr>
      </w:pPr>
      <w:r>
        <w:rPr>
          <w:rFonts w:hint="eastAsia" w:ascii="宋体" w:hAnsi="宋体" w:eastAsia="宋体" w:cs="宋体"/>
          <w:color w:val="000000" w:themeColor="text1"/>
          <w:highlight w:val="none"/>
          <w14:textFill>
            <w14:solidFill>
              <w14:schemeClr w14:val="tx1"/>
            </w14:solidFill>
          </w14:textFill>
        </w:rPr>
        <w:t>投标单位：</w:t>
      </w:r>
      <w:r>
        <w:rPr>
          <w:rFonts w:hint="eastAsia" w:ascii="宋体" w:hAnsi="宋体" w:eastAsia="宋体" w:cs="宋体"/>
          <w:color w:val="000000" w:themeColor="text1"/>
          <w:highlight w:val="none"/>
          <w:u w:val="single"/>
          <w14:textFill>
            <w14:solidFill>
              <w14:schemeClr w14:val="tx1"/>
            </w14:solidFill>
          </w14:textFill>
        </w:rPr>
        <w:t xml:space="preserve">                            </w:t>
      </w:r>
    </w:p>
    <w:p>
      <w:pPr>
        <w:rPr>
          <w:rFonts w:hint="eastAsia" w:ascii="宋体" w:hAnsi="宋体" w:eastAsia="宋体" w:cs="宋体"/>
          <w:b/>
          <w:bCs/>
          <w:sz w:val="28"/>
          <w:szCs w:val="21"/>
          <w:lang w:val="en-US" w:eastAsia="zh-CN"/>
        </w:rPr>
      </w:pPr>
    </w:p>
    <w:p>
      <w:pPr>
        <w:spacing w:before="260" w:after="260"/>
        <w:jc w:val="center"/>
        <w:outlineLvl w:val="2"/>
        <w:rPr>
          <w:rFonts w:hint="eastAsia" w:ascii="宋体" w:hAnsi="宋体" w:eastAsia="宋体" w:cs="宋体"/>
          <w:b/>
          <w:bCs/>
          <w:sz w:val="28"/>
          <w:szCs w:val="21"/>
        </w:rPr>
      </w:pPr>
      <w:r>
        <w:rPr>
          <w:rFonts w:hint="eastAsia" w:ascii="宋体" w:hAnsi="宋体" w:eastAsia="宋体" w:cs="宋体"/>
          <w:b/>
          <w:bCs/>
          <w:sz w:val="28"/>
          <w:szCs w:val="21"/>
          <w:lang w:val="en-US" w:eastAsia="zh-CN"/>
        </w:rPr>
        <w:t>七</w:t>
      </w:r>
      <w:r>
        <w:rPr>
          <w:rFonts w:hint="eastAsia" w:ascii="宋体" w:hAnsi="宋体" w:eastAsia="宋体" w:cs="宋体"/>
          <w:b/>
          <w:bCs/>
          <w:sz w:val="28"/>
          <w:szCs w:val="21"/>
        </w:rPr>
        <w:t>、实施团队人员情况</w:t>
      </w:r>
    </w:p>
    <w:p>
      <w:pPr>
        <w:jc w:val="center"/>
        <w:rPr>
          <w:rFonts w:hint="eastAsia" w:ascii="宋体" w:hAnsi="宋体" w:eastAsia="宋体" w:cs="宋体"/>
        </w:rPr>
      </w:pPr>
      <w:r>
        <w:rPr>
          <w:rFonts w:hint="eastAsia" w:ascii="宋体" w:hAnsi="宋体" w:eastAsia="宋体" w:cs="宋体"/>
          <w:b/>
          <w:bCs/>
        </w:rPr>
        <w:t>（格式自拟）</w:t>
      </w:r>
    </w:p>
    <w:p>
      <w:pPr>
        <w:rPr>
          <w:rFonts w:hint="eastAsia" w:ascii="宋体" w:hAnsi="宋体" w:eastAsia="宋体" w:cs="宋体"/>
          <w:b/>
          <w:bCs/>
          <w:sz w:val="28"/>
          <w:szCs w:val="21"/>
        </w:rPr>
      </w:pPr>
    </w:p>
    <w:p>
      <w:pPr>
        <w:rPr>
          <w:rFonts w:hint="eastAsia" w:ascii="宋体" w:hAnsi="宋体" w:eastAsia="宋体" w:cs="宋体"/>
          <w:b/>
          <w:bCs/>
          <w:sz w:val="28"/>
          <w:szCs w:val="21"/>
          <w:lang w:val="en-US" w:eastAsia="zh-CN"/>
        </w:rPr>
      </w:pPr>
    </w:p>
    <w:p>
      <w:pPr>
        <w:spacing w:before="260" w:after="260"/>
        <w:jc w:val="center"/>
        <w:outlineLvl w:val="2"/>
        <w:rPr>
          <w:rFonts w:hint="eastAsia" w:ascii="宋体" w:hAnsi="宋体" w:eastAsia="宋体" w:cs="宋体"/>
          <w:b/>
          <w:bCs/>
          <w:sz w:val="28"/>
          <w:szCs w:val="21"/>
        </w:rPr>
      </w:pPr>
      <w:r>
        <w:rPr>
          <w:rFonts w:hint="eastAsia" w:ascii="宋体" w:hAnsi="宋体" w:eastAsia="宋体" w:cs="宋体"/>
          <w:b/>
          <w:bCs/>
          <w:sz w:val="28"/>
          <w:szCs w:val="21"/>
          <w:lang w:val="en-US" w:eastAsia="zh-CN"/>
        </w:rPr>
        <w:t>八</w:t>
      </w:r>
      <w:r>
        <w:rPr>
          <w:rFonts w:hint="eastAsia" w:ascii="宋体" w:hAnsi="宋体" w:eastAsia="宋体" w:cs="宋体"/>
          <w:b/>
          <w:bCs/>
          <w:sz w:val="28"/>
          <w:szCs w:val="21"/>
        </w:rPr>
        <w:t>、质量及安全保障能力</w:t>
      </w:r>
    </w:p>
    <w:p>
      <w:pPr>
        <w:jc w:val="center"/>
        <w:rPr>
          <w:rFonts w:hint="eastAsia" w:ascii="宋体" w:hAnsi="宋体" w:eastAsia="宋体" w:cs="宋体"/>
          <w:b/>
          <w:bCs/>
          <w:sz w:val="28"/>
          <w:szCs w:val="21"/>
          <w:lang w:val="en-US" w:eastAsia="zh-CN"/>
        </w:rPr>
      </w:pPr>
      <w:r>
        <w:rPr>
          <w:rFonts w:hint="eastAsia" w:ascii="宋体" w:hAnsi="宋体" w:eastAsia="宋体" w:cs="宋体"/>
          <w:b/>
          <w:bCs/>
        </w:rPr>
        <w:t>（格式自拟）</w:t>
      </w:r>
    </w:p>
    <w:p>
      <w:pPr>
        <w:rPr>
          <w:rFonts w:hint="eastAsia" w:ascii="宋体" w:hAnsi="宋体" w:eastAsia="宋体" w:cs="宋体"/>
          <w:b/>
          <w:bCs/>
          <w:sz w:val="28"/>
          <w:szCs w:val="21"/>
          <w:lang w:val="en-US" w:eastAsia="zh-CN"/>
        </w:rPr>
      </w:pPr>
    </w:p>
    <w:p>
      <w:pPr>
        <w:numPr>
          <w:ilvl w:val="0"/>
          <w:numId w:val="3"/>
        </w:numPr>
        <w:spacing w:before="260" w:after="260"/>
        <w:jc w:val="center"/>
        <w:outlineLvl w:val="2"/>
        <w:rPr>
          <w:rFonts w:hint="eastAsia" w:ascii="宋体" w:hAnsi="宋体" w:eastAsia="宋体" w:cs="宋体"/>
          <w:b/>
          <w:bCs/>
          <w:sz w:val="28"/>
          <w:szCs w:val="21"/>
        </w:rPr>
      </w:pPr>
      <w:r>
        <w:rPr>
          <w:rFonts w:hint="eastAsia" w:ascii="宋体" w:hAnsi="宋体" w:eastAsia="宋体" w:cs="宋体"/>
          <w:b/>
          <w:bCs/>
          <w:sz w:val="28"/>
          <w:szCs w:val="21"/>
        </w:rPr>
        <w:t>现场演示</w:t>
      </w:r>
    </w:p>
    <w:p>
      <w:pPr>
        <w:jc w:val="center"/>
        <w:rPr>
          <w:rFonts w:hint="eastAsia" w:ascii="宋体" w:hAnsi="宋体" w:eastAsia="宋体" w:cs="宋体"/>
          <w:b/>
          <w:bCs/>
          <w:sz w:val="28"/>
          <w:szCs w:val="21"/>
          <w:lang w:val="en-US" w:eastAsia="zh-CN"/>
        </w:rPr>
      </w:pPr>
      <w:r>
        <w:rPr>
          <w:rFonts w:hint="eastAsia" w:ascii="宋体" w:hAnsi="宋体" w:eastAsia="宋体" w:cs="宋体"/>
          <w:b/>
          <w:bCs/>
        </w:rPr>
        <w:t>（格式自拟）</w:t>
      </w:r>
    </w:p>
    <w:p>
      <w:pPr>
        <w:rPr>
          <w:rFonts w:hint="eastAsia"/>
        </w:rPr>
      </w:pPr>
    </w:p>
    <w:p>
      <w:pPr>
        <w:numPr>
          <w:ilvl w:val="0"/>
          <w:numId w:val="0"/>
        </w:numPr>
        <w:spacing w:before="260" w:after="260"/>
        <w:jc w:val="center"/>
        <w:outlineLvl w:val="2"/>
        <w:rPr>
          <w:rFonts w:hint="eastAsia" w:ascii="宋体" w:hAnsi="宋体" w:eastAsia="宋体" w:cs="宋体"/>
          <w:b/>
          <w:bCs/>
          <w:sz w:val="28"/>
          <w:szCs w:val="28"/>
        </w:rPr>
      </w:pPr>
      <w:r>
        <w:rPr>
          <w:rFonts w:hint="eastAsia" w:ascii="宋体" w:hAnsi="宋体" w:eastAsia="宋体" w:cs="宋体"/>
          <w:b/>
          <w:bCs/>
          <w:sz w:val="28"/>
          <w:szCs w:val="28"/>
          <w:lang w:val="en-US" w:eastAsia="zh-CN"/>
        </w:rPr>
        <w:t>十、</w:t>
      </w:r>
      <w:r>
        <w:rPr>
          <w:rFonts w:hint="eastAsia" w:ascii="宋体" w:hAnsi="宋体" w:eastAsia="宋体" w:cs="宋体"/>
          <w:b/>
          <w:bCs/>
          <w:sz w:val="28"/>
          <w:szCs w:val="28"/>
          <w:lang w:eastAsia="zh-CN"/>
        </w:rPr>
        <w:t>诚信情况</w:t>
      </w:r>
      <w:r>
        <w:rPr>
          <w:rFonts w:hint="eastAsia" w:ascii="宋体" w:hAnsi="宋体" w:eastAsia="宋体" w:cs="宋体"/>
          <w:b/>
          <w:bCs/>
          <w:sz w:val="28"/>
          <w:szCs w:val="28"/>
        </w:rPr>
        <w:t>（投标人无需提供）</w:t>
      </w:r>
    </w:p>
    <w:p>
      <w:pPr>
        <w:rPr>
          <w:rFonts w:hint="eastAsia" w:ascii="黑体" w:hAnsi="宋体" w:eastAsia="黑体"/>
        </w:rPr>
      </w:pPr>
      <w:r>
        <w:rPr>
          <w:rFonts w:hint="eastAsia" w:ascii="黑体" w:hAnsi="宋体" w:eastAsia="黑体"/>
        </w:rPr>
        <w:br w:type="page"/>
      </w:r>
    </w:p>
    <w:p>
      <w:pPr>
        <w:spacing w:before="260" w:after="260"/>
        <w:jc w:val="center"/>
        <w:outlineLvl w:val="2"/>
        <w:rPr>
          <w:rFonts w:hint="eastAsia" w:ascii="宋体" w:hAnsi="宋体" w:eastAsia="宋体" w:cs="宋体"/>
          <w:b/>
          <w:bCs/>
          <w:sz w:val="28"/>
          <w:szCs w:val="28"/>
        </w:rPr>
      </w:pPr>
      <w:r>
        <w:rPr>
          <w:rFonts w:hint="eastAsia" w:ascii="宋体" w:hAnsi="宋体" w:eastAsia="宋体" w:cs="宋体"/>
          <w:b/>
          <w:bCs/>
          <w:sz w:val="28"/>
          <w:szCs w:val="28"/>
        </w:rPr>
        <w:t>十</w:t>
      </w:r>
      <w:r>
        <w:rPr>
          <w:rFonts w:hint="eastAsia" w:ascii="宋体" w:hAnsi="宋体" w:eastAsia="宋体" w:cs="宋体"/>
          <w:b/>
          <w:bCs/>
          <w:sz w:val="28"/>
          <w:szCs w:val="28"/>
          <w:lang w:val="en-US" w:eastAsia="zh-CN"/>
        </w:rPr>
        <w:t>一</w:t>
      </w:r>
      <w:r>
        <w:rPr>
          <w:rFonts w:hint="eastAsia" w:ascii="宋体" w:hAnsi="宋体" w:eastAsia="宋体" w:cs="宋体"/>
          <w:b/>
          <w:bCs/>
          <w:sz w:val="28"/>
          <w:szCs w:val="28"/>
        </w:rPr>
        <w:t>、招标代理服务费承诺书</w:t>
      </w:r>
    </w:p>
    <w:p>
      <w:pPr>
        <w:widowControl w:val="0"/>
        <w:spacing w:after="60" w:line="360" w:lineRule="auto"/>
      </w:pPr>
      <w:r>
        <w:rPr>
          <w:rFonts w:hint="eastAsia"/>
        </w:rPr>
        <w:t>致：</w:t>
      </w:r>
      <w:r>
        <w:rPr>
          <w:rFonts w:hint="eastAsia"/>
          <w:b/>
          <w:u w:val="single"/>
        </w:rPr>
        <w:t>深圳市合创建设工程顾问有限公司</w:t>
      </w:r>
    </w:p>
    <w:p>
      <w:pPr>
        <w:widowControl w:val="0"/>
        <w:autoSpaceDE w:val="0"/>
        <w:autoSpaceDN w:val="0"/>
        <w:spacing w:after="60" w:line="360" w:lineRule="auto"/>
        <w:ind w:right="17" w:firstLine="480" w:firstLineChars="200"/>
        <w:textAlignment w:val="bottom"/>
        <w:rPr>
          <w:rFonts w:hint="eastAsia" w:ascii="宋体" w:hAnsi="宋体" w:eastAsia="宋体" w:cs="宋体"/>
        </w:rPr>
      </w:pPr>
      <w:r>
        <w:rPr>
          <w:rFonts w:hint="eastAsia" w:ascii="宋体" w:hAnsi="宋体" w:eastAsia="宋体" w:cs="宋体"/>
        </w:rPr>
        <w:t>我们在贵司代理的</w:t>
      </w:r>
      <w:r>
        <w:rPr>
          <w:rFonts w:hint="eastAsia" w:ascii="宋体" w:hAnsi="宋体" w:eastAsia="宋体" w:cs="宋体"/>
          <w:b/>
          <w:bCs/>
          <w:u w:val="single"/>
          <w:lang w:eastAsia="zh-CN"/>
        </w:rPr>
        <w:t xml:space="preserve">白石洲学校南山区初中阶段理科实验教学与测评改革软硬件建设  </w:t>
      </w:r>
      <w:r>
        <w:rPr>
          <w:rFonts w:hint="eastAsia" w:ascii="宋体" w:hAnsi="宋体" w:eastAsia="宋体" w:cs="宋体"/>
        </w:rPr>
        <w:t>招标中若获中标（</w:t>
      </w:r>
      <w:r>
        <w:rPr>
          <w:rFonts w:hint="eastAsia" w:ascii="宋体" w:hAnsi="宋体" w:eastAsia="宋体" w:cs="宋体"/>
          <w:lang w:val="en-US" w:eastAsia="zh-CN"/>
        </w:rPr>
        <w:t>项目</w:t>
      </w:r>
      <w:r>
        <w:rPr>
          <w:rFonts w:hint="eastAsia" w:ascii="宋体" w:hAnsi="宋体" w:eastAsia="宋体" w:cs="宋体"/>
        </w:rPr>
        <w:t>编号：</w:t>
      </w:r>
      <w:r>
        <w:rPr>
          <w:rFonts w:hint="eastAsia" w:ascii="宋体" w:hAnsi="宋体" w:eastAsia="宋体" w:cs="宋体"/>
          <w:u w:val="single"/>
          <w:lang w:val="en-US" w:eastAsia="zh-CN"/>
        </w:rPr>
        <w:t xml:space="preserve">                      </w:t>
      </w:r>
      <w:r>
        <w:rPr>
          <w:rFonts w:hint="eastAsia" w:ascii="宋体" w:hAnsi="宋体" w:eastAsia="宋体" w:cs="宋体"/>
        </w:rPr>
        <w:t>），我们保证在收到中标通知书原件的同时按招标文件的规定，以支票、汇票、电汇、现金或经贵公司认可的一种方式，向贵公司即</w:t>
      </w:r>
      <w:r>
        <w:rPr>
          <w:rFonts w:hint="eastAsia" w:ascii="宋体" w:hAnsi="宋体" w:eastAsia="宋体" w:cs="宋体"/>
          <w:b/>
          <w:u w:val="single"/>
        </w:rPr>
        <w:t>深圳市合创建设工程顾问有限公司</w:t>
      </w:r>
      <w:r>
        <w:rPr>
          <w:rFonts w:hint="eastAsia" w:ascii="宋体" w:hAnsi="宋体" w:eastAsia="宋体" w:cs="宋体"/>
        </w:rPr>
        <w:t>指定的银行帐号，一次性支付招标代理服务费(根据《深圳市财政委员会关于规范深圳市社会采购代理机构管理有关事项的补充通知》（深财购〔2018〕27号）的规定执行)。</w:t>
      </w:r>
    </w:p>
    <w:p>
      <w:pPr>
        <w:widowControl w:val="0"/>
        <w:autoSpaceDE w:val="0"/>
        <w:autoSpaceDN w:val="0"/>
        <w:spacing w:after="60" w:line="360" w:lineRule="auto"/>
        <w:ind w:right="893" w:firstLine="480" w:firstLineChars="200"/>
        <w:textAlignment w:val="bottom"/>
      </w:pPr>
      <w:r>
        <w:rPr>
          <w:rFonts w:hint="eastAsia"/>
        </w:rPr>
        <w:t>特此承诺。</w:t>
      </w:r>
    </w:p>
    <w:p>
      <w:pPr>
        <w:widowControl w:val="0"/>
        <w:autoSpaceDE w:val="0"/>
        <w:autoSpaceDN w:val="0"/>
        <w:spacing w:after="60" w:line="360" w:lineRule="auto"/>
        <w:ind w:right="893" w:firstLine="480" w:firstLineChars="200"/>
        <w:textAlignment w:val="bottom"/>
      </w:pPr>
    </w:p>
    <w:p>
      <w:pPr>
        <w:widowControl w:val="0"/>
        <w:autoSpaceDE w:val="0"/>
        <w:autoSpaceDN w:val="0"/>
        <w:spacing w:after="60" w:line="360" w:lineRule="auto"/>
        <w:ind w:right="893" w:firstLine="480" w:firstLineChars="200"/>
        <w:textAlignment w:val="bottom"/>
      </w:pPr>
    </w:p>
    <w:p>
      <w:pPr>
        <w:widowControl w:val="0"/>
        <w:snapToGrid w:val="0"/>
        <w:spacing w:line="360" w:lineRule="auto"/>
        <w:ind w:firstLine="600" w:firstLineChars="250"/>
        <w:jc w:val="right"/>
        <w:rPr>
          <w:rFonts w:cs="Arial"/>
          <w:szCs w:val="21"/>
        </w:rPr>
      </w:pPr>
      <w:r>
        <w:rPr>
          <w:rFonts w:hint="eastAsia" w:cs="Arial"/>
          <w:szCs w:val="21"/>
        </w:rPr>
        <w:t>投标人代表：_____________________________</w:t>
      </w:r>
    </w:p>
    <w:p>
      <w:pPr>
        <w:widowControl w:val="0"/>
        <w:snapToGrid w:val="0"/>
        <w:spacing w:line="360" w:lineRule="auto"/>
        <w:ind w:firstLine="600" w:firstLineChars="250"/>
        <w:jc w:val="right"/>
        <w:rPr>
          <w:rFonts w:cs="Arial"/>
          <w:b/>
          <w:bCs/>
          <w:szCs w:val="21"/>
        </w:rPr>
      </w:pPr>
      <w:r>
        <w:rPr>
          <w:rFonts w:hint="eastAsia" w:cs="Arial"/>
          <w:szCs w:val="21"/>
        </w:rPr>
        <w:t>投标人名称_______________</w:t>
      </w:r>
      <w:r>
        <w:rPr>
          <w:rFonts w:hint="eastAsia" w:cs="Arial"/>
          <w:szCs w:val="21"/>
          <w:u w:val="single"/>
        </w:rPr>
        <w:t>_</w:t>
      </w:r>
      <w:r>
        <w:rPr>
          <w:rFonts w:hint="eastAsia" w:cs="Arial"/>
          <w:szCs w:val="21"/>
        </w:rPr>
        <w:t>__</w:t>
      </w:r>
    </w:p>
    <w:p>
      <w:pPr>
        <w:widowControl w:val="0"/>
        <w:snapToGrid w:val="0"/>
        <w:spacing w:line="360" w:lineRule="auto"/>
        <w:ind w:right="105" w:firstLine="560"/>
        <w:jc w:val="right"/>
        <w:rPr>
          <w:rFonts w:cs="Arial"/>
          <w:szCs w:val="21"/>
          <w:u w:val="single"/>
        </w:rPr>
      </w:pPr>
      <w:r>
        <w:rPr>
          <w:rFonts w:hint="eastAsia" w:cs="Arial"/>
          <w:szCs w:val="21"/>
        </w:rPr>
        <w:t>日期：_______________</w:t>
      </w:r>
      <w:r>
        <w:rPr>
          <w:rFonts w:hint="eastAsia" w:cs="Arial"/>
          <w:szCs w:val="21"/>
          <w:u w:val="single"/>
        </w:rPr>
        <w:t>_</w:t>
      </w:r>
      <w:r>
        <w:rPr>
          <w:rFonts w:hint="eastAsia" w:cs="Arial"/>
          <w:szCs w:val="21"/>
        </w:rPr>
        <w:t>__</w:t>
      </w:r>
    </w:p>
    <w:p>
      <w:pPr>
        <w:widowControl w:val="0"/>
        <w:spacing w:after="60"/>
        <w:ind w:firstLine="322" w:firstLineChars="134"/>
        <w:rPr>
          <w:rFonts w:cs="Arial"/>
          <w:b/>
          <w:szCs w:val="21"/>
        </w:rPr>
      </w:pPr>
      <w:r>
        <w:rPr>
          <w:rFonts w:hint="eastAsia" w:cs="Arial"/>
          <w:b/>
          <w:szCs w:val="21"/>
        </w:rPr>
        <w:t>(注：按要求填写，不得更改承诺内容)</w:t>
      </w:r>
    </w:p>
    <w:p>
      <w:pPr>
        <w:pStyle w:val="8"/>
        <w:widowControl w:val="0"/>
      </w:pPr>
    </w:p>
    <w:p>
      <w:pPr>
        <w:rPr>
          <w:rFonts w:hint="eastAsia" w:ascii="宋体" w:hAnsi="宋体" w:eastAsia="宋体" w:cs="宋体"/>
          <w:b/>
          <w:bCs/>
          <w:sz w:val="28"/>
          <w:szCs w:val="28"/>
        </w:rPr>
      </w:pPr>
    </w:p>
    <w:p>
      <w:pPr>
        <w:rPr>
          <w:rFonts w:hint="eastAsia" w:ascii="宋体" w:hAnsi="宋体" w:eastAsia="宋体" w:cs="宋体"/>
          <w:b/>
          <w:bCs/>
          <w:sz w:val="28"/>
          <w:szCs w:val="28"/>
        </w:rPr>
      </w:pPr>
    </w:p>
    <w:p>
      <w:pPr>
        <w:numPr>
          <w:ilvl w:val="0"/>
          <w:numId w:val="0"/>
        </w:numPr>
        <w:spacing w:before="260" w:after="260"/>
        <w:jc w:val="center"/>
        <w:outlineLvl w:val="2"/>
        <w:rPr>
          <w:rFonts w:hint="eastAsia" w:ascii="宋体" w:hAnsi="宋体" w:eastAsia="宋体" w:cs="宋体"/>
          <w:b/>
          <w:bCs/>
          <w:sz w:val="28"/>
          <w:szCs w:val="28"/>
        </w:rPr>
      </w:pPr>
      <w:r>
        <w:rPr>
          <w:rFonts w:hint="eastAsia" w:ascii="宋体" w:hAnsi="宋体" w:eastAsia="宋体" w:cs="宋体"/>
          <w:b/>
          <w:bCs/>
          <w:sz w:val="28"/>
          <w:szCs w:val="28"/>
          <w:lang w:val="en-US" w:eastAsia="zh-CN"/>
        </w:rPr>
        <w:t>十二、</w:t>
      </w:r>
      <w:r>
        <w:rPr>
          <w:rFonts w:hint="eastAsia" w:ascii="宋体" w:hAnsi="宋体" w:eastAsia="宋体" w:cs="宋体"/>
          <w:b/>
          <w:bCs/>
          <w:sz w:val="28"/>
          <w:szCs w:val="28"/>
        </w:rPr>
        <w:t>投标人认为需要加以说明的其他内容</w:t>
      </w:r>
    </w:p>
    <w:p>
      <w:pPr>
        <w:numPr>
          <w:ilvl w:val="0"/>
          <w:numId w:val="0"/>
        </w:numPr>
        <w:spacing w:before="260" w:after="260"/>
        <w:jc w:val="center"/>
        <w:outlineLvl w:val="9"/>
        <w:rPr>
          <w:rFonts w:hint="eastAsia" w:ascii="宋体" w:hAnsi="宋体" w:eastAsia="宋体" w:cs="宋体"/>
          <w:b/>
          <w:bCs/>
          <w:sz w:val="28"/>
          <w:szCs w:val="28"/>
        </w:rPr>
      </w:pPr>
      <w:r>
        <w:rPr>
          <w:rFonts w:hint="eastAsia" w:ascii="宋体" w:hAnsi="宋体" w:eastAsia="宋体" w:cs="宋体"/>
          <w:b/>
          <w:bCs/>
          <w:sz w:val="28"/>
          <w:szCs w:val="28"/>
        </w:rPr>
        <w:t>（格式自拟）</w:t>
      </w:r>
    </w:p>
    <w:p/>
    <w:p/>
    <w:p/>
    <w:p/>
    <w:p>
      <w:pPr>
        <w:adjustRightInd w:val="0"/>
        <w:spacing w:before="260" w:after="260"/>
        <w:jc w:val="center"/>
        <w:textAlignment w:val="baseline"/>
        <w:outlineLvl w:val="0"/>
      </w:pPr>
      <w:r>
        <w:rPr>
          <w:rFonts w:hint="eastAsia" w:ascii="宋体" w:hAnsi="宋体"/>
          <w:b/>
          <w:bCs/>
          <w:sz w:val="28"/>
          <w:szCs w:val="28"/>
        </w:rPr>
        <w:br w:type="page"/>
      </w:r>
      <w:r>
        <w:rPr>
          <w:rFonts w:hint="eastAsia" w:ascii="宋体" w:hAnsi="宋体"/>
          <w:b/>
          <w:bCs/>
          <w:sz w:val="28"/>
          <w:szCs w:val="28"/>
        </w:rPr>
        <w:t>第</w:t>
      </w:r>
      <w:r>
        <w:rPr>
          <w:rFonts w:hint="eastAsia" w:ascii="宋体" w:hAnsi="宋体" w:eastAsia="宋体"/>
          <w:b/>
          <w:bCs/>
          <w:sz w:val="28"/>
          <w:szCs w:val="28"/>
          <w:lang w:val="en-US" w:eastAsia="zh-CN"/>
        </w:rPr>
        <w:t>五</w:t>
      </w:r>
      <w:r>
        <w:rPr>
          <w:rFonts w:hint="eastAsia" w:ascii="宋体" w:hAnsi="宋体"/>
          <w:b/>
          <w:bCs/>
          <w:sz w:val="28"/>
          <w:szCs w:val="28"/>
        </w:rPr>
        <w:t>章  合同及履约情况反馈格式</w:t>
      </w:r>
      <w:bookmarkStart w:id="12" w:name="_Toc84303603"/>
      <w:bookmarkStart w:id="13" w:name="_Toc73521592"/>
      <w:bookmarkStart w:id="14" w:name="_Toc101074886"/>
      <w:bookmarkStart w:id="15" w:name="_Toc100052414"/>
      <w:bookmarkStart w:id="16" w:name="_Toc73517685"/>
      <w:bookmarkStart w:id="17" w:name="_Toc73518163"/>
      <w:bookmarkStart w:id="18" w:name="_Toc73521680"/>
    </w:p>
    <w:bookmarkEnd w:id="12"/>
    <w:bookmarkEnd w:id="13"/>
    <w:bookmarkEnd w:id="14"/>
    <w:bookmarkEnd w:id="15"/>
    <w:bookmarkEnd w:id="16"/>
    <w:bookmarkEnd w:id="17"/>
    <w:bookmarkEnd w:id="18"/>
    <w:p>
      <w:pPr>
        <w:spacing w:line="400" w:lineRule="exact"/>
        <w:jc w:val="center"/>
        <w:rPr>
          <w:rStyle w:val="48"/>
        </w:rPr>
      </w:pPr>
      <w:r>
        <w:rPr>
          <w:rFonts w:hint="eastAsia" w:ascii="宋体" w:hAnsi="宋体" w:cs="宋体"/>
          <w:b/>
          <w:sz w:val="28"/>
          <w:szCs w:val="28"/>
        </w:rPr>
        <w:t>（参考格式，最终以双方签订正式合同为准）</w:t>
      </w:r>
    </w:p>
    <w:p>
      <w:pPr>
        <w:rPr>
          <w:rFonts w:ascii="宋体" w:hAnsi="宋体"/>
          <w:b/>
          <w:bCs/>
          <w:szCs w:val="21"/>
        </w:rPr>
      </w:pPr>
      <w:r>
        <w:rPr>
          <w:rFonts w:hint="eastAsia" w:ascii="宋体" w:hAnsi="宋体"/>
          <w:b/>
          <w:bCs/>
          <w:szCs w:val="21"/>
        </w:rPr>
        <w:t>甲方（采购人）：</w:t>
      </w:r>
      <w:r>
        <w:rPr>
          <w:rFonts w:ascii="宋体" w:hAnsi="宋体"/>
          <w:b/>
          <w:bCs/>
          <w:szCs w:val="21"/>
        </w:rPr>
        <w:t xml:space="preserve"> </w:t>
      </w:r>
      <w:r>
        <w:rPr>
          <w:rFonts w:hint="eastAsia" w:ascii="宋体" w:hAnsi="宋体"/>
          <w:b/>
          <w:bCs/>
          <w:szCs w:val="21"/>
        </w:rPr>
        <w:t xml:space="preserve"> </w:t>
      </w:r>
      <w:r>
        <w:rPr>
          <w:rFonts w:ascii="宋体" w:hAnsi="宋体"/>
          <w:b/>
          <w:bCs/>
          <w:szCs w:val="21"/>
        </w:rPr>
        <w:t xml:space="preserve"> </w:t>
      </w:r>
    </w:p>
    <w:p>
      <w:pPr>
        <w:rPr>
          <w:rFonts w:ascii="宋体" w:hAnsi="宋体"/>
          <w:szCs w:val="21"/>
        </w:rPr>
      </w:pPr>
      <w:r>
        <w:rPr>
          <w:rFonts w:hint="eastAsia" w:ascii="宋体" w:hAnsi="宋体"/>
          <w:b/>
          <w:bCs/>
          <w:szCs w:val="21"/>
        </w:rPr>
        <w:t>乙方（中标人）：</w:t>
      </w:r>
      <w:r>
        <w:rPr>
          <w:rFonts w:ascii="宋体" w:hAnsi="宋体"/>
          <w:b/>
          <w:bCs/>
          <w:szCs w:val="21"/>
        </w:rPr>
        <w:t xml:space="preserve">            </w:t>
      </w:r>
      <w:r>
        <w:rPr>
          <w:rFonts w:hint="eastAsia" w:ascii="宋体" w:hAnsi="宋体"/>
          <w:b/>
          <w:bCs/>
          <w:szCs w:val="21"/>
        </w:rPr>
        <w:t xml:space="preserve">                            </w:t>
      </w:r>
      <w:r>
        <w:rPr>
          <w:rFonts w:ascii="宋体" w:hAnsi="宋体"/>
          <w:b/>
          <w:bCs/>
          <w:szCs w:val="21"/>
        </w:rPr>
        <w:t xml:space="preserve">  </w:t>
      </w:r>
    </w:p>
    <w:p>
      <w:pPr>
        <w:rPr>
          <w:rFonts w:ascii="宋体" w:hAnsi="宋体"/>
          <w:szCs w:val="21"/>
        </w:rPr>
      </w:pPr>
    </w:p>
    <w:p>
      <w:pPr>
        <w:spacing w:line="360" w:lineRule="auto"/>
        <w:ind w:firstLine="560"/>
        <w:jc w:val="left"/>
        <w:rPr>
          <w:szCs w:val="21"/>
        </w:rPr>
      </w:pPr>
      <w:r>
        <w:rPr>
          <w:rFonts w:hint="eastAsia"/>
          <w:szCs w:val="21"/>
        </w:rPr>
        <w:t>根据深圳市合创建设工程顾问有限公司</w:t>
      </w:r>
      <w:r>
        <w:rPr>
          <w:rFonts w:hint="eastAsia"/>
          <w:szCs w:val="21"/>
          <w:u w:val="single"/>
        </w:rPr>
        <w:t xml:space="preserve">        </w:t>
      </w:r>
      <w:r>
        <w:rPr>
          <w:rFonts w:hint="eastAsia"/>
          <w:szCs w:val="21"/>
        </w:rPr>
        <w:t>号招标项目的投标结果，由</w:t>
      </w:r>
      <w:r>
        <w:rPr>
          <w:rFonts w:hint="eastAsia"/>
          <w:szCs w:val="21"/>
          <w:u w:val="single"/>
        </w:rPr>
        <w:t xml:space="preserve">       </w:t>
      </w:r>
      <w:r>
        <w:rPr>
          <w:rFonts w:hint="eastAsia"/>
          <w:szCs w:val="21"/>
        </w:rPr>
        <w:t>单位为中标方。按照《中华人民共和国民法典》和《深圳经济特区政府采购条例》，经深圳市</w:t>
      </w:r>
      <w:r>
        <w:rPr>
          <w:rFonts w:hint="eastAsia"/>
          <w:szCs w:val="21"/>
          <w:u w:val="single"/>
        </w:rPr>
        <w:t xml:space="preserve">           </w:t>
      </w:r>
      <w:r>
        <w:rPr>
          <w:rFonts w:hint="eastAsia"/>
          <w:szCs w:val="21"/>
        </w:rPr>
        <w:t>（以下简称甲方）和</w:t>
      </w:r>
      <w:r>
        <w:rPr>
          <w:rFonts w:hint="eastAsia"/>
          <w:szCs w:val="21"/>
          <w:u w:val="single"/>
        </w:rPr>
        <w:t xml:space="preserve">           </w:t>
      </w:r>
      <w:r>
        <w:rPr>
          <w:rFonts w:hint="eastAsia"/>
          <w:szCs w:val="21"/>
        </w:rPr>
        <w:t>单位（以下简称乙方）协商，达成以下合同条款：</w:t>
      </w:r>
    </w:p>
    <w:p>
      <w:pPr>
        <w:spacing w:line="360" w:lineRule="auto"/>
        <w:ind w:firstLine="560"/>
        <w:jc w:val="left"/>
        <w:rPr>
          <w:b/>
          <w:szCs w:val="21"/>
        </w:rPr>
      </w:pPr>
      <w:r>
        <w:rPr>
          <w:rFonts w:hint="eastAsia"/>
          <w:b/>
          <w:szCs w:val="21"/>
        </w:rPr>
        <w:t>第一条  合同标的</w:t>
      </w:r>
    </w:p>
    <w:p>
      <w:pPr>
        <w:spacing w:line="360" w:lineRule="auto"/>
        <w:ind w:firstLine="560"/>
        <w:jc w:val="left"/>
        <w:rPr>
          <w:szCs w:val="21"/>
        </w:rPr>
      </w:pPr>
      <w:r>
        <w:rPr>
          <w:rFonts w:hint="eastAsia"/>
          <w:szCs w:val="21"/>
        </w:rPr>
        <w:t>乙方根据甲方需求提供下列货物：</w:t>
      </w:r>
    </w:p>
    <w:p>
      <w:pPr>
        <w:spacing w:line="360" w:lineRule="auto"/>
        <w:ind w:firstLine="560"/>
        <w:jc w:val="left"/>
        <w:rPr>
          <w:szCs w:val="21"/>
        </w:rPr>
      </w:pPr>
      <w:r>
        <w:rPr>
          <w:rFonts w:hint="eastAsia"/>
          <w:szCs w:val="21"/>
        </w:rPr>
        <w:t>货物名称、规格及数量详见</w:t>
      </w:r>
      <w:r>
        <w:rPr>
          <w:rFonts w:hint="eastAsia"/>
          <w:szCs w:val="21"/>
          <w:u w:val="single"/>
        </w:rPr>
        <w:t xml:space="preserve">           </w:t>
      </w:r>
      <w:r>
        <w:rPr>
          <w:rFonts w:hint="eastAsia"/>
          <w:szCs w:val="21"/>
        </w:rPr>
        <w:t>。</w:t>
      </w:r>
    </w:p>
    <w:p>
      <w:pPr>
        <w:spacing w:line="360" w:lineRule="auto"/>
        <w:ind w:firstLine="560"/>
        <w:jc w:val="left"/>
        <w:rPr>
          <w:b/>
          <w:szCs w:val="21"/>
        </w:rPr>
      </w:pPr>
      <w:r>
        <w:rPr>
          <w:rFonts w:hint="eastAsia"/>
          <w:b/>
          <w:szCs w:val="21"/>
        </w:rPr>
        <w:t>第二条  合同价款</w:t>
      </w:r>
    </w:p>
    <w:p>
      <w:pPr>
        <w:spacing w:line="360" w:lineRule="auto"/>
        <w:ind w:firstLine="560"/>
        <w:jc w:val="left"/>
        <w:rPr>
          <w:szCs w:val="21"/>
        </w:rPr>
      </w:pPr>
      <w:r>
        <w:rPr>
          <w:rFonts w:hint="eastAsia"/>
          <w:szCs w:val="21"/>
        </w:rPr>
        <w:t>本合同项下总价款为</w:t>
      </w:r>
      <w:r>
        <w:rPr>
          <w:rFonts w:hint="eastAsia"/>
          <w:szCs w:val="21"/>
          <w:u w:val="single"/>
        </w:rPr>
        <w:t xml:space="preserve">              </w:t>
      </w:r>
      <w:r>
        <w:rPr>
          <w:rFonts w:hint="eastAsia"/>
          <w:szCs w:val="21"/>
        </w:rPr>
        <w:t>（大写）人民币，分项价款详见</w:t>
      </w:r>
      <w:r>
        <w:rPr>
          <w:rFonts w:hint="eastAsia"/>
          <w:szCs w:val="21"/>
          <w:u w:val="single"/>
        </w:rPr>
        <w:t xml:space="preserve">           </w:t>
      </w:r>
      <w:r>
        <w:rPr>
          <w:rFonts w:hint="eastAsia"/>
          <w:szCs w:val="21"/>
        </w:rPr>
        <w:t>。本合同总价款已包括乙方为履行本合同义务所发生的一切费用，系固定不变价格，且不随通货膨胀的影响而波动。</w:t>
      </w:r>
    </w:p>
    <w:p>
      <w:pPr>
        <w:spacing w:line="360" w:lineRule="auto"/>
        <w:ind w:firstLine="560"/>
        <w:jc w:val="left"/>
        <w:rPr>
          <w:b/>
          <w:szCs w:val="21"/>
        </w:rPr>
      </w:pPr>
      <w:r>
        <w:rPr>
          <w:rFonts w:hint="eastAsia"/>
          <w:b/>
          <w:szCs w:val="21"/>
        </w:rPr>
        <w:t>第三条  权利保证</w:t>
      </w:r>
    </w:p>
    <w:p>
      <w:pPr>
        <w:spacing w:line="360" w:lineRule="auto"/>
        <w:ind w:firstLine="560"/>
        <w:jc w:val="left"/>
        <w:rPr>
          <w:rFonts w:ascii="宋体" w:hAnsi="宋体"/>
          <w:szCs w:val="21"/>
        </w:rPr>
      </w:pPr>
      <w:r>
        <w:rPr>
          <w:rFonts w:hint="eastAsia" w:ascii="宋体" w:hAnsi="宋体"/>
          <w:szCs w:val="21"/>
        </w:rPr>
        <w:t>乙方保证甲方在使用本合同项下货物或货物的任何一部分时，不会产生因第三方提出的包括但不限于侵犯其专利权、商标权、工业设计权等知识产权和侵犯其所有权、抵押权等物权及其他权利而引发的纠纷。如有纠纷，乙方应承担全部责任。</w:t>
      </w:r>
    </w:p>
    <w:p>
      <w:pPr>
        <w:spacing w:line="360" w:lineRule="auto"/>
        <w:ind w:firstLine="560"/>
        <w:jc w:val="left"/>
        <w:rPr>
          <w:b/>
          <w:szCs w:val="21"/>
        </w:rPr>
      </w:pPr>
      <w:r>
        <w:rPr>
          <w:rFonts w:hint="eastAsia"/>
          <w:b/>
          <w:szCs w:val="21"/>
        </w:rPr>
        <w:t>第四条  质量保证</w:t>
      </w:r>
    </w:p>
    <w:p>
      <w:pPr>
        <w:spacing w:line="360" w:lineRule="auto"/>
        <w:ind w:firstLine="560"/>
        <w:jc w:val="left"/>
        <w:rPr>
          <w:rFonts w:ascii="宋体" w:hAnsi="宋体"/>
          <w:szCs w:val="21"/>
        </w:rPr>
      </w:pPr>
      <w:r>
        <w:rPr>
          <w:rFonts w:hint="eastAsia" w:ascii="宋体" w:hAnsi="宋体"/>
          <w:szCs w:val="21"/>
        </w:rPr>
        <w:t>1、乙方所提供的货物的技术规格符合招标文件规定的技术规格，货物符合中华人民共和国的设计和制造生产标准或行业标准。</w:t>
      </w:r>
    </w:p>
    <w:p>
      <w:pPr>
        <w:spacing w:line="360" w:lineRule="auto"/>
        <w:ind w:firstLine="560"/>
        <w:jc w:val="left"/>
        <w:rPr>
          <w:rFonts w:ascii="宋体" w:hAnsi="宋体"/>
          <w:szCs w:val="21"/>
        </w:rPr>
      </w:pPr>
      <w:r>
        <w:rPr>
          <w:rFonts w:hint="eastAsia" w:ascii="宋体" w:hAnsi="宋体"/>
          <w:szCs w:val="21"/>
        </w:rPr>
        <w:t>2、乙方应保证货物是全新、未使用过的原装合格正品（包括零部件），并完全符合甲方要求的质量、规格和性能的要求。如货物安装或配置了软件的，乙方保证相关软件均为正版软件。</w:t>
      </w:r>
    </w:p>
    <w:p>
      <w:pPr>
        <w:spacing w:line="360" w:lineRule="auto"/>
        <w:ind w:firstLine="560"/>
        <w:jc w:val="left"/>
        <w:rPr>
          <w:rFonts w:ascii="宋体" w:hAnsi="宋体"/>
          <w:szCs w:val="21"/>
        </w:rPr>
      </w:pPr>
      <w:r>
        <w:rPr>
          <w:rFonts w:hint="eastAsia" w:ascii="宋体" w:hAnsi="宋体"/>
          <w:szCs w:val="21"/>
        </w:rPr>
        <w:t>3、乙方保证交货时一并提供货物的质量合格凭证或文件。</w:t>
      </w:r>
    </w:p>
    <w:p>
      <w:pPr>
        <w:spacing w:line="360" w:lineRule="auto"/>
        <w:ind w:firstLine="560"/>
        <w:jc w:val="left"/>
        <w:rPr>
          <w:b/>
          <w:szCs w:val="21"/>
        </w:rPr>
      </w:pPr>
      <w:r>
        <w:rPr>
          <w:rFonts w:hint="eastAsia"/>
          <w:b/>
          <w:szCs w:val="21"/>
        </w:rPr>
        <w:t>第五条  交货和验收</w:t>
      </w:r>
    </w:p>
    <w:p>
      <w:pPr>
        <w:spacing w:line="360" w:lineRule="auto"/>
        <w:ind w:firstLine="560"/>
        <w:jc w:val="left"/>
        <w:rPr>
          <w:rFonts w:ascii="宋体" w:hAnsi="宋体"/>
          <w:szCs w:val="21"/>
        </w:rPr>
      </w:pPr>
      <w:r>
        <w:rPr>
          <w:rFonts w:hint="eastAsia" w:ascii="宋体" w:hAnsi="宋体"/>
          <w:szCs w:val="21"/>
        </w:rPr>
        <w:t>1、乙方应按照本合同或招投标文件规定的时间和方式向甲方交付货物，交货地点由甲方指定。因交货产生的费用由乙方自行承担。</w:t>
      </w:r>
    </w:p>
    <w:p>
      <w:pPr>
        <w:spacing w:line="360" w:lineRule="auto"/>
        <w:ind w:firstLine="560"/>
        <w:jc w:val="left"/>
        <w:rPr>
          <w:rFonts w:ascii="宋体" w:hAnsi="宋体"/>
          <w:szCs w:val="21"/>
        </w:rPr>
      </w:pPr>
      <w:r>
        <w:rPr>
          <w:rFonts w:hint="eastAsia" w:ascii="宋体" w:hAnsi="宋体"/>
          <w:szCs w:val="21"/>
        </w:rPr>
        <w:t>2、乙方交付的货物应当完全符合招投标文件所规定的货物、数量、质量和规格要求。乙方提供的货物不符合招投标文件和合同规定的，甲方有权拒收货物，由此引起的风险，由乙方承担。</w:t>
      </w:r>
    </w:p>
    <w:p>
      <w:pPr>
        <w:spacing w:line="360" w:lineRule="auto"/>
        <w:ind w:firstLine="560"/>
        <w:jc w:val="left"/>
        <w:rPr>
          <w:rFonts w:ascii="宋体" w:hAnsi="宋体"/>
          <w:szCs w:val="21"/>
        </w:rPr>
      </w:pPr>
      <w:r>
        <w:rPr>
          <w:rFonts w:hint="eastAsia" w:ascii="宋体" w:hAnsi="宋体"/>
          <w:szCs w:val="21"/>
        </w:rPr>
        <w:t>3、乙方应将所提供货物的使用说明书、原厂保修卡等附随资料和附随配件、工具等交付给甲方；乙方不能完整交付货物及本款规定的单证和工具的，视为未按合同约定交货，乙方负责补齐，因此导致逾期交付的，由乙方承担相关的违约责任。</w:t>
      </w:r>
    </w:p>
    <w:p>
      <w:pPr>
        <w:spacing w:line="360" w:lineRule="auto"/>
        <w:ind w:firstLine="560"/>
        <w:jc w:val="left"/>
        <w:rPr>
          <w:rFonts w:ascii="宋体" w:hAnsi="宋体"/>
          <w:szCs w:val="21"/>
        </w:rPr>
      </w:pPr>
      <w:r>
        <w:rPr>
          <w:rFonts w:hint="eastAsia" w:ascii="宋体" w:hAnsi="宋体"/>
          <w:szCs w:val="21"/>
        </w:rPr>
        <w:t>4、甲方应当在到货后的</w:t>
      </w:r>
      <w:r>
        <w:rPr>
          <w:rFonts w:hint="eastAsia" w:ascii="宋体" w:hAnsi="宋体"/>
          <w:szCs w:val="21"/>
          <w:u w:val="single"/>
        </w:rPr>
        <w:t xml:space="preserve">       </w:t>
      </w:r>
      <w:r>
        <w:rPr>
          <w:rFonts w:hint="eastAsia" w:ascii="宋体" w:hAnsi="宋体"/>
          <w:szCs w:val="21"/>
        </w:rPr>
        <w:t>个工作日内对货物进行验收；需要乙方对货物或系统进行安装调试的，甲方应在货物安装调试完毕后的</w:t>
      </w:r>
      <w:r>
        <w:rPr>
          <w:rFonts w:hint="eastAsia" w:ascii="宋体" w:hAnsi="宋体"/>
          <w:szCs w:val="21"/>
          <w:u w:val="single"/>
        </w:rPr>
        <w:t xml:space="preserve">       </w:t>
      </w:r>
      <w:r>
        <w:rPr>
          <w:rFonts w:hint="eastAsia" w:ascii="宋体" w:hAnsi="宋体"/>
          <w:szCs w:val="21"/>
        </w:rPr>
        <w:t>个工作日内进行质量验收。</w:t>
      </w:r>
    </w:p>
    <w:p>
      <w:pPr>
        <w:spacing w:line="360" w:lineRule="auto"/>
        <w:ind w:firstLine="560"/>
        <w:jc w:val="left"/>
        <w:rPr>
          <w:b/>
          <w:szCs w:val="21"/>
        </w:rPr>
      </w:pPr>
      <w:r>
        <w:rPr>
          <w:rFonts w:hint="eastAsia"/>
          <w:b/>
          <w:szCs w:val="21"/>
        </w:rPr>
        <w:t>第六条  保修及其他服务</w:t>
      </w:r>
    </w:p>
    <w:p>
      <w:pPr>
        <w:spacing w:line="360" w:lineRule="auto"/>
        <w:ind w:firstLine="560"/>
        <w:jc w:val="left"/>
        <w:rPr>
          <w:rFonts w:ascii="宋体" w:hAnsi="宋体"/>
          <w:szCs w:val="21"/>
        </w:rPr>
      </w:pPr>
      <w:r>
        <w:rPr>
          <w:rFonts w:hint="eastAsia" w:ascii="宋体" w:hAnsi="宋体"/>
          <w:szCs w:val="21"/>
        </w:rPr>
        <w:t>1、乙方应按照国家有关法律法规规章和“三包”规定和招标文件的要求及乙方在投标文件的相关承诺提供保修及其他服务。</w:t>
      </w:r>
    </w:p>
    <w:p>
      <w:pPr>
        <w:spacing w:line="360" w:lineRule="auto"/>
        <w:ind w:firstLine="560"/>
        <w:jc w:val="left"/>
        <w:rPr>
          <w:rFonts w:ascii="宋体" w:hAnsi="宋体"/>
          <w:szCs w:val="21"/>
        </w:rPr>
      </w:pPr>
      <w:r>
        <w:rPr>
          <w:rFonts w:hint="eastAsia" w:ascii="宋体" w:hAnsi="宋体"/>
          <w:szCs w:val="21"/>
        </w:rPr>
        <w:t>2、</w:t>
      </w:r>
      <w:r>
        <w:rPr>
          <w:rFonts w:ascii="宋体" w:hAnsi="宋体"/>
          <w:szCs w:val="21"/>
        </w:rPr>
        <w:t>保修期内，乙方负责对其提供的货物进行维修和系统维护，不再收取任何费用。</w:t>
      </w:r>
      <w:r>
        <w:rPr>
          <w:rFonts w:hint="eastAsia" w:ascii="宋体" w:hAnsi="宋体"/>
          <w:szCs w:val="21"/>
        </w:rPr>
        <w:t>所有货物保修服务方式均为乙方上门保修，即由乙方派员到货物使用现场维修，由此产生的一切费用均由乙方承担。保修期后的货物维护另行协商。</w:t>
      </w:r>
    </w:p>
    <w:p>
      <w:pPr>
        <w:spacing w:line="360" w:lineRule="auto"/>
        <w:ind w:firstLine="560"/>
        <w:jc w:val="left"/>
        <w:rPr>
          <w:b/>
          <w:szCs w:val="21"/>
        </w:rPr>
      </w:pPr>
      <w:r>
        <w:rPr>
          <w:rFonts w:hint="eastAsia"/>
          <w:b/>
          <w:szCs w:val="21"/>
        </w:rPr>
        <w:t>第七条  履约保证金</w:t>
      </w:r>
    </w:p>
    <w:p>
      <w:pPr>
        <w:spacing w:line="360" w:lineRule="auto"/>
        <w:ind w:firstLine="560"/>
        <w:jc w:val="left"/>
        <w:rPr>
          <w:rFonts w:ascii="宋体" w:hAnsi="宋体"/>
          <w:szCs w:val="21"/>
        </w:rPr>
      </w:pPr>
      <w:r>
        <w:rPr>
          <w:rFonts w:hint="eastAsia" w:ascii="宋体" w:hAnsi="宋体"/>
          <w:szCs w:val="21"/>
        </w:rPr>
        <w:t>1、乙方应在签订本合同之日，向甲方或甲方指定的机构提交履约保证金_________元。</w:t>
      </w:r>
    </w:p>
    <w:p>
      <w:pPr>
        <w:spacing w:line="360" w:lineRule="auto"/>
        <w:ind w:firstLine="560"/>
        <w:jc w:val="left"/>
        <w:rPr>
          <w:rFonts w:ascii="宋体" w:hAnsi="宋体"/>
          <w:szCs w:val="21"/>
        </w:rPr>
      </w:pPr>
      <w:r>
        <w:rPr>
          <w:rFonts w:hint="eastAsia" w:ascii="宋体" w:hAnsi="宋体"/>
          <w:szCs w:val="21"/>
        </w:rPr>
        <w:t>2、如乙方未能履行合同规定的义务，甲方有权从履约保证金中取得补偿。</w:t>
      </w:r>
    </w:p>
    <w:p>
      <w:pPr>
        <w:spacing w:line="360" w:lineRule="auto"/>
        <w:ind w:firstLine="560"/>
        <w:jc w:val="left"/>
        <w:rPr>
          <w:rFonts w:ascii="宋体" w:hAnsi="宋体"/>
          <w:szCs w:val="21"/>
        </w:rPr>
      </w:pPr>
      <w:r>
        <w:rPr>
          <w:rFonts w:hint="eastAsia" w:ascii="宋体" w:hAnsi="宋体"/>
          <w:szCs w:val="21"/>
        </w:rPr>
        <w:t>3、甲方在乙方履行完毕本合同项下全部义务后______天内无息退还乙方。</w:t>
      </w:r>
    </w:p>
    <w:p>
      <w:pPr>
        <w:spacing w:line="360" w:lineRule="auto"/>
        <w:ind w:firstLine="560"/>
        <w:jc w:val="left"/>
        <w:rPr>
          <w:b/>
          <w:szCs w:val="21"/>
        </w:rPr>
      </w:pPr>
      <w:r>
        <w:rPr>
          <w:rFonts w:hint="eastAsia"/>
          <w:b/>
          <w:szCs w:val="21"/>
        </w:rPr>
        <w:t>第八条  货款支付</w:t>
      </w:r>
    </w:p>
    <w:p>
      <w:pPr>
        <w:spacing w:line="360" w:lineRule="auto"/>
        <w:ind w:firstLine="560"/>
        <w:jc w:val="left"/>
        <w:rPr>
          <w:rFonts w:hint="eastAsia"/>
          <w:szCs w:val="21"/>
        </w:rPr>
      </w:pPr>
      <w:r>
        <w:rPr>
          <w:rFonts w:hint="eastAsia" w:ascii="Times New Roman" w:hAnsi="Times New Roman"/>
          <w:szCs w:val="21"/>
        </w:rPr>
        <w:t>合</w:t>
      </w:r>
      <w:r>
        <w:rPr>
          <w:rFonts w:hint="eastAsia"/>
          <w:szCs w:val="21"/>
        </w:rPr>
        <w:t>同签订后</w:t>
      </w:r>
      <w:r>
        <w:rPr>
          <w:szCs w:val="21"/>
          <w:u w:val="single"/>
        </w:rPr>
        <w:t>15</w:t>
      </w:r>
      <w:r>
        <w:rPr>
          <w:rFonts w:hint="eastAsia"/>
          <w:szCs w:val="21"/>
        </w:rPr>
        <w:t>天内，采购人支付合同总价</w:t>
      </w:r>
      <w:r>
        <w:rPr>
          <w:rFonts w:hint="eastAsia"/>
          <w:szCs w:val="21"/>
          <w:u w:val="single"/>
        </w:rPr>
        <w:t xml:space="preserve">  30  </w:t>
      </w:r>
      <w:r>
        <w:rPr>
          <w:rFonts w:hint="eastAsia"/>
          <w:szCs w:val="21"/>
        </w:rPr>
        <w:t>%的款项。验收合格后</w:t>
      </w:r>
      <w:r>
        <w:rPr>
          <w:szCs w:val="21"/>
          <w:u w:val="single"/>
        </w:rPr>
        <w:t>15</w:t>
      </w:r>
      <w:r>
        <w:rPr>
          <w:rFonts w:hint="eastAsia"/>
          <w:szCs w:val="21"/>
        </w:rPr>
        <w:t>天内，采购人支付合同总价</w:t>
      </w:r>
      <w:r>
        <w:rPr>
          <w:rFonts w:hint="eastAsia"/>
          <w:szCs w:val="21"/>
          <w:u w:val="single"/>
        </w:rPr>
        <w:t xml:space="preserve">  70  </w:t>
      </w:r>
      <w:r>
        <w:rPr>
          <w:rFonts w:hint="eastAsia"/>
          <w:szCs w:val="21"/>
        </w:rPr>
        <w:t>%的款项。</w:t>
      </w:r>
    </w:p>
    <w:p>
      <w:pPr>
        <w:spacing w:line="360" w:lineRule="auto"/>
        <w:ind w:firstLine="560"/>
        <w:jc w:val="left"/>
        <w:rPr>
          <w:b/>
          <w:szCs w:val="21"/>
        </w:rPr>
      </w:pPr>
      <w:r>
        <w:rPr>
          <w:rFonts w:hint="eastAsia"/>
          <w:b/>
          <w:szCs w:val="21"/>
        </w:rPr>
        <w:t>第九条  违约责任</w:t>
      </w:r>
    </w:p>
    <w:p>
      <w:pPr>
        <w:spacing w:line="360" w:lineRule="auto"/>
        <w:ind w:firstLine="560"/>
        <w:jc w:val="left"/>
        <w:rPr>
          <w:rFonts w:ascii="宋体" w:hAnsi="宋体"/>
          <w:szCs w:val="21"/>
        </w:rPr>
      </w:pPr>
      <w:r>
        <w:rPr>
          <w:rFonts w:hint="eastAsia" w:ascii="宋体" w:hAnsi="宋体"/>
          <w:szCs w:val="21"/>
        </w:rPr>
        <w:t>１、甲方无正当理由拒收货物、拒付货物款的，由甲方向乙方偿付合同总价的【】%违约金。</w:t>
      </w:r>
    </w:p>
    <w:p>
      <w:pPr>
        <w:spacing w:line="360" w:lineRule="auto"/>
        <w:ind w:firstLine="560"/>
        <w:jc w:val="left"/>
        <w:rPr>
          <w:rFonts w:ascii="宋体" w:hAnsi="宋体"/>
          <w:szCs w:val="21"/>
        </w:rPr>
      </w:pPr>
      <w:r>
        <w:rPr>
          <w:rFonts w:hint="eastAsia" w:ascii="宋体" w:hAnsi="宋体"/>
          <w:szCs w:val="21"/>
        </w:rPr>
        <w:t>２、甲方未按合同规定的期限向乙方支付货款的，每逾期1天甲方向乙方偿付欠款总额的【】‰滞纳金，但累计滞纳金总额不超过欠款总额的【】% 。</w:t>
      </w:r>
    </w:p>
    <w:p>
      <w:pPr>
        <w:spacing w:line="360" w:lineRule="auto"/>
        <w:ind w:firstLine="560"/>
        <w:jc w:val="left"/>
        <w:rPr>
          <w:rFonts w:ascii="宋体" w:hAnsi="宋体"/>
          <w:szCs w:val="21"/>
        </w:rPr>
      </w:pPr>
      <w:r>
        <w:rPr>
          <w:rFonts w:hint="eastAsia" w:ascii="宋体" w:hAnsi="宋体"/>
          <w:szCs w:val="21"/>
        </w:rPr>
        <w:t>３、</w:t>
      </w:r>
      <w:r>
        <w:rPr>
          <w:rFonts w:ascii="宋体" w:hAnsi="宋体"/>
          <w:szCs w:val="21"/>
        </w:rPr>
        <w:t>乙方逾期交付货物的，每逾期1天，乙方向甲方偿付逾期交货部分货款总额的</w:t>
      </w:r>
      <w:r>
        <w:rPr>
          <w:rFonts w:hint="eastAsia" w:ascii="宋体" w:hAnsi="宋体"/>
          <w:szCs w:val="21"/>
        </w:rPr>
        <w:t>【】</w:t>
      </w:r>
      <w:r>
        <w:rPr>
          <w:rFonts w:ascii="宋体" w:hAnsi="宋体"/>
          <w:szCs w:val="21"/>
        </w:rPr>
        <w:t>‰的滞纳金</w:t>
      </w:r>
      <w:r>
        <w:rPr>
          <w:rFonts w:hint="eastAsia" w:ascii="宋体" w:hAnsi="宋体"/>
          <w:szCs w:val="21"/>
        </w:rPr>
        <w:t>。如乙方逾期交货达</w:t>
      </w:r>
      <w:r>
        <w:rPr>
          <w:rFonts w:hint="eastAsia" w:ascii="宋体" w:hAnsi="宋体"/>
          <w:szCs w:val="21"/>
          <w:u w:val="single"/>
        </w:rPr>
        <w:t xml:space="preserve">    </w:t>
      </w:r>
      <w:r>
        <w:rPr>
          <w:rFonts w:hint="eastAsia" w:ascii="宋体" w:hAnsi="宋体"/>
          <w:szCs w:val="21"/>
        </w:rPr>
        <w:t>天，甲方有权解除合同，履约保证金不予退回，同时乙方应向甲方支付合同总价【】％的违约金。</w:t>
      </w:r>
    </w:p>
    <w:p>
      <w:pPr>
        <w:spacing w:line="360" w:lineRule="auto"/>
        <w:ind w:firstLine="560"/>
        <w:jc w:val="left"/>
        <w:rPr>
          <w:rFonts w:ascii="宋体" w:hAnsi="宋体"/>
          <w:szCs w:val="21"/>
        </w:rPr>
      </w:pPr>
      <w:r>
        <w:rPr>
          <w:rFonts w:hint="eastAsia" w:ascii="宋体" w:hAnsi="宋体"/>
          <w:szCs w:val="21"/>
        </w:rPr>
        <w:t>4、乙方所交付的货物品种、型号、规格不符合合同规定的，甲方有权拒收。甲方拒收的，乙方应向甲方支付货款总额【】%的违约金。</w:t>
      </w:r>
    </w:p>
    <w:p>
      <w:pPr>
        <w:spacing w:line="360" w:lineRule="auto"/>
        <w:ind w:firstLine="560"/>
        <w:jc w:val="left"/>
        <w:rPr>
          <w:rFonts w:ascii="宋体" w:hAnsi="宋体"/>
          <w:szCs w:val="21"/>
        </w:rPr>
      </w:pPr>
      <w:r>
        <w:rPr>
          <w:rFonts w:hint="eastAsia" w:ascii="宋体" w:hAnsi="宋体"/>
          <w:szCs w:val="21"/>
        </w:rPr>
        <w:t>5、在乙方承诺的或国家规定的质量保证期内（取两者中最长的期限），</w:t>
      </w:r>
      <w:r>
        <w:rPr>
          <w:rFonts w:ascii="宋体" w:hAnsi="宋体"/>
          <w:szCs w:val="21"/>
        </w:rPr>
        <w:t>如经乙方两次维修</w:t>
      </w:r>
      <w:r>
        <w:rPr>
          <w:rFonts w:hint="eastAsia" w:ascii="宋体" w:hAnsi="宋体"/>
          <w:szCs w:val="21"/>
        </w:rPr>
        <w:t>或更换</w:t>
      </w:r>
      <w:r>
        <w:rPr>
          <w:rFonts w:ascii="宋体" w:hAnsi="宋体"/>
          <w:szCs w:val="21"/>
        </w:rPr>
        <w:t>，货物仍不能达到合同约定</w:t>
      </w:r>
      <w:r>
        <w:rPr>
          <w:rFonts w:hint="eastAsia" w:ascii="宋体" w:hAnsi="宋体"/>
          <w:szCs w:val="21"/>
        </w:rPr>
        <w:t>的</w:t>
      </w:r>
      <w:r>
        <w:rPr>
          <w:rFonts w:ascii="宋体" w:hAnsi="宋体"/>
          <w:szCs w:val="21"/>
        </w:rPr>
        <w:t>质量标准，甲方有权退货，乙方</w:t>
      </w:r>
      <w:r>
        <w:rPr>
          <w:rFonts w:hint="eastAsia" w:ascii="宋体" w:hAnsi="宋体"/>
          <w:szCs w:val="21"/>
        </w:rPr>
        <w:t>应</w:t>
      </w:r>
      <w:r>
        <w:rPr>
          <w:rFonts w:ascii="宋体" w:hAnsi="宋体"/>
          <w:szCs w:val="21"/>
        </w:rPr>
        <w:t>退回全部货款</w:t>
      </w:r>
      <w:r>
        <w:rPr>
          <w:rFonts w:hint="eastAsia" w:ascii="宋体" w:hAnsi="宋体"/>
          <w:szCs w:val="21"/>
        </w:rPr>
        <w:t>并</w:t>
      </w:r>
      <w:r>
        <w:rPr>
          <w:rFonts w:ascii="宋体" w:hAnsi="宋体"/>
          <w:szCs w:val="21"/>
        </w:rPr>
        <w:t>赔偿甲方因此遭受的损失。</w:t>
      </w:r>
    </w:p>
    <w:p>
      <w:pPr>
        <w:spacing w:line="360" w:lineRule="auto"/>
        <w:ind w:firstLine="560"/>
        <w:jc w:val="left"/>
        <w:rPr>
          <w:rFonts w:ascii="宋体" w:hAnsi="宋体"/>
          <w:szCs w:val="21"/>
        </w:rPr>
      </w:pPr>
      <w:r>
        <w:rPr>
          <w:rFonts w:hint="eastAsia" w:ascii="宋体" w:hAnsi="宋体"/>
          <w:szCs w:val="21"/>
        </w:rPr>
        <w:t>6、乙方未履行本合同项下的其他义务或违反其在投标文件中的相关承诺的，应按合同总价款的【】%向甲方承担违约责任。</w:t>
      </w:r>
    </w:p>
    <w:p>
      <w:pPr>
        <w:spacing w:line="360" w:lineRule="auto"/>
        <w:ind w:firstLine="560"/>
        <w:jc w:val="left"/>
        <w:rPr>
          <w:rFonts w:ascii="宋体" w:hAnsi="宋体"/>
          <w:szCs w:val="21"/>
        </w:rPr>
      </w:pPr>
      <w:r>
        <w:rPr>
          <w:rFonts w:hint="eastAsia" w:ascii="宋体" w:hAnsi="宋体"/>
          <w:szCs w:val="21"/>
        </w:rPr>
        <w:t>7、乙方在承担上述一项或多项违约责任后，仍应继续履行合同规定的义务（甲方解除合同的除外）。甲方未能及时追究乙方的任何一项违约责任并不表明甲方放弃追究乙方该项或其他违约责任。</w:t>
      </w:r>
    </w:p>
    <w:p>
      <w:pPr>
        <w:spacing w:line="360" w:lineRule="auto"/>
        <w:ind w:firstLine="560"/>
        <w:jc w:val="left"/>
        <w:rPr>
          <w:b/>
          <w:szCs w:val="21"/>
        </w:rPr>
      </w:pPr>
      <w:r>
        <w:rPr>
          <w:rFonts w:hint="eastAsia"/>
          <w:b/>
          <w:szCs w:val="21"/>
        </w:rPr>
        <w:t>第十条    合同的变更和终止</w:t>
      </w:r>
    </w:p>
    <w:p>
      <w:pPr>
        <w:spacing w:line="360" w:lineRule="auto"/>
        <w:ind w:firstLine="560"/>
        <w:jc w:val="left"/>
        <w:rPr>
          <w:rFonts w:ascii="宋体" w:hAnsi="宋体"/>
          <w:szCs w:val="21"/>
        </w:rPr>
      </w:pPr>
      <w:r>
        <w:rPr>
          <w:rFonts w:hint="eastAsia" w:ascii="宋体" w:hAnsi="宋体"/>
          <w:szCs w:val="21"/>
        </w:rPr>
        <w:t>除《中华人民共和国政府采购法》第４９条、第５０条第二款规定的情形外，本合同一经签订，甲乙双方不得擅自变更、中止或终止合同。</w:t>
      </w:r>
    </w:p>
    <w:p>
      <w:pPr>
        <w:spacing w:line="360" w:lineRule="auto"/>
        <w:ind w:firstLine="560"/>
        <w:jc w:val="left"/>
        <w:rPr>
          <w:b/>
          <w:szCs w:val="21"/>
        </w:rPr>
      </w:pPr>
      <w:r>
        <w:rPr>
          <w:rFonts w:hint="eastAsia"/>
          <w:b/>
          <w:szCs w:val="21"/>
        </w:rPr>
        <w:t>第十一条   争议的解决</w:t>
      </w:r>
    </w:p>
    <w:p>
      <w:pPr>
        <w:spacing w:line="360" w:lineRule="auto"/>
        <w:ind w:firstLine="560"/>
        <w:jc w:val="left"/>
        <w:rPr>
          <w:rFonts w:ascii="宋体" w:hAnsi="宋体"/>
          <w:szCs w:val="21"/>
        </w:rPr>
      </w:pPr>
      <w:r>
        <w:rPr>
          <w:rFonts w:hint="eastAsia" w:ascii="宋体" w:hAnsi="宋体"/>
          <w:szCs w:val="21"/>
        </w:rPr>
        <w:t>1、因货物的质量问题发生争议的，应当邀请国家认可的质量检测机构对货物质量进行鉴定。货物符合标准的，鉴定费由甲方承担；货物不符合质量标准的，鉴定费由乙方承担。</w:t>
      </w:r>
    </w:p>
    <w:p>
      <w:pPr>
        <w:spacing w:line="360" w:lineRule="auto"/>
        <w:ind w:firstLine="560"/>
        <w:jc w:val="left"/>
        <w:rPr>
          <w:rFonts w:ascii="宋体" w:hAnsi="宋体"/>
          <w:szCs w:val="21"/>
        </w:rPr>
      </w:pPr>
      <w:r>
        <w:rPr>
          <w:rFonts w:hint="eastAsia" w:ascii="宋体" w:hAnsi="宋体"/>
          <w:szCs w:val="21"/>
        </w:rPr>
        <w:t>2、因履行本合同引起的或与本合同有关的争议，甲、乙双方应首先通过友好协商解决，如果协商不能解决争议，则向甲方所在地有管辖权的人民法院提起诉讼；</w:t>
      </w:r>
    </w:p>
    <w:p>
      <w:pPr>
        <w:spacing w:line="360" w:lineRule="auto"/>
        <w:ind w:firstLine="560"/>
        <w:jc w:val="left"/>
        <w:rPr>
          <w:b/>
          <w:szCs w:val="21"/>
        </w:rPr>
      </w:pPr>
      <w:r>
        <w:rPr>
          <w:rFonts w:hint="eastAsia"/>
          <w:b/>
          <w:szCs w:val="21"/>
        </w:rPr>
        <w:t>第十二条   合同生效及其他</w:t>
      </w:r>
    </w:p>
    <w:p>
      <w:pPr>
        <w:spacing w:line="360" w:lineRule="auto"/>
        <w:ind w:firstLine="560"/>
        <w:jc w:val="left"/>
        <w:rPr>
          <w:rFonts w:ascii="宋体" w:hAnsi="宋体"/>
          <w:szCs w:val="21"/>
        </w:rPr>
      </w:pPr>
      <w:r>
        <w:rPr>
          <w:rFonts w:hint="eastAsia" w:ascii="宋体" w:hAnsi="宋体"/>
          <w:szCs w:val="21"/>
        </w:rPr>
        <w:t>1、下列文件均为本合同的组成部分：</w:t>
      </w:r>
    </w:p>
    <w:p>
      <w:pPr>
        <w:spacing w:line="360" w:lineRule="auto"/>
        <w:ind w:firstLine="560"/>
        <w:jc w:val="left"/>
        <w:rPr>
          <w:rFonts w:ascii="宋体" w:hAnsi="宋体"/>
          <w:szCs w:val="21"/>
        </w:rPr>
      </w:pPr>
      <w:r>
        <w:rPr>
          <w:rFonts w:hint="eastAsia" w:ascii="宋体" w:hAnsi="宋体"/>
          <w:szCs w:val="21"/>
        </w:rPr>
        <w:t>（1）</w:t>
      </w:r>
      <w:r>
        <w:rPr>
          <w:rFonts w:hint="eastAsia" w:ascii="宋体" w:hAnsi="宋体"/>
          <w:szCs w:val="21"/>
          <w:u w:val="single"/>
        </w:rPr>
        <w:t xml:space="preserve">         </w:t>
      </w:r>
      <w:r>
        <w:rPr>
          <w:rFonts w:hint="eastAsia" w:ascii="宋体" w:hAnsi="宋体"/>
          <w:szCs w:val="21"/>
        </w:rPr>
        <w:t>号招标文件、答疑及补充通知；</w:t>
      </w:r>
    </w:p>
    <w:p>
      <w:pPr>
        <w:spacing w:line="360" w:lineRule="auto"/>
        <w:ind w:firstLine="560"/>
        <w:jc w:val="left"/>
        <w:rPr>
          <w:rFonts w:ascii="宋体" w:hAnsi="宋体"/>
          <w:szCs w:val="21"/>
        </w:rPr>
      </w:pPr>
      <w:r>
        <w:rPr>
          <w:rFonts w:hint="eastAsia" w:ascii="宋体" w:hAnsi="宋体"/>
          <w:szCs w:val="21"/>
        </w:rPr>
        <w:t>（2）乙方的投标文件；</w:t>
      </w:r>
    </w:p>
    <w:p>
      <w:pPr>
        <w:spacing w:line="360" w:lineRule="auto"/>
        <w:ind w:firstLine="560"/>
        <w:jc w:val="left"/>
        <w:rPr>
          <w:rFonts w:ascii="宋体" w:hAnsi="宋体"/>
          <w:szCs w:val="21"/>
        </w:rPr>
      </w:pPr>
      <w:r>
        <w:rPr>
          <w:rFonts w:hint="eastAsia" w:ascii="宋体" w:hAnsi="宋体"/>
          <w:szCs w:val="21"/>
        </w:rPr>
        <w:t>（3）本合同执行中甲乙双方共同签署的补充与修正文件。</w:t>
      </w:r>
    </w:p>
    <w:p>
      <w:pPr>
        <w:spacing w:line="360" w:lineRule="auto"/>
        <w:ind w:firstLine="560"/>
        <w:jc w:val="left"/>
        <w:rPr>
          <w:rFonts w:ascii="宋体" w:hAnsi="宋体"/>
          <w:szCs w:val="21"/>
        </w:rPr>
      </w:pPr>
      <w:r>
        <w:rPr>
          <w:rFonts w:hint="eastAsia" w:ascii="宋体" w:hAnsi="宋体"/>
          <w:szCs w:val="21"/>
        </w:rPr>
        <w:t>2、本合同一式</w:t>
      </w:r>
      <w:r>
        <w:rPr>
          <w:rFonts w:hint="eastAsia" w:ascii="宋体" w:hAnsi="宋体"/>
          <w:szCs w:val="21"/>
          <w:u w:val="single"/>
        </w:rPr>
        <w:t xml:space="preserve">     </w:t>
      </w:r>
      <w:r>
        <w:rPr>
          <w:rFonts w:hint="eastAsia" w:ascii="宋体" w:hAnsi="宋体"/>
          <w:szCs w:val="21"/>
        </w:rPr>
        <w:t>份，甲、乙方双方各执</w:t>
      </w:r>
      <w:r>
        <w:rPr>
          <w:rFonts w:hint="eastAsia" w:ascii="宋体" w:hAnsi="宋体"/>
          <w:szCs w:val="21"/>
          <w:u w:val="single"/>
        </w:rPr>
        <w:t xml:space="preserve">     </w:t>
      </w:r>
      <w:r>
        <w:rPr>
          <w:rFonts w:hint="eastAsia" w:ascii="宋体" w:hAnsi="宋体"/>
          <w:szCs w:val="21"/>
        </w:rPr>
        <w:t>份，具有同等法律效力。本合同自双方法定代表人（或授权代表）签字并盖章之日起生效。</w:t>
      </w:r>
    </w:p>
    <w:p>
      <w:pPr>
        <w:spacing w:line="360" w:lineRule="auto"/>
        <w:ind w:firstLine="560"/>
        <w:jc w:val="left"/>
        <w:rPr>
          <w:rFonts w:ascii="宋体" w:hAnsi="宋体"/>
          <w:szCs w:val="21"/>
        </w:rPr>
      </w:pPr>
    </w:p>
    <w:p>
      <w:pPr>
        <w:spacing w:line="360" w:lineRule="auto"/>
        <w:ind w:firstLine="560"/>
        <w:jc w:val="left"/>
        <w:rPr>
          <w:rFonts w:ascii="宋体" w:hAnsi="宋体"/>
          <w:szCs w:val="21"/>
        </w:rPr>
      </w:pPr>
    </w:p>
    <w:p>
      <w:pPr>
        <w:spacing w:line="360" w:lineRule="auto"/>
        <w:ind w:firstLine="560"/>
        <w:jc w:val="left"/>
        <w:rPr>
          <w:rFonts w:ascii="宋体" w:hAnsi="宋体"/>
          <w:szCs w:val="21"/>
        </w:rPr>
      </w:pPr>
      <w:r>
        <w:rPr>
          <w:rFonts w:hint="eastAsia" w:ascii="宋体" w:hAnsi="宋体"/>
          <w:szCs w:val="21"/>
        </w:rPr>
        <w:t>甲方（采购人）：   （盖章）       乙方（供应商）：    （盖章）</w:t>
      </w:r>
    </w:p>
    <w:p>
      <w:pPr>
        <w:spacing w:line="360" w:lineRule="auto"/>
        <w:ind w:firstLine="560"/>
        <w:jc w:val="left"/>
        <w:rPr>
          <w:rFonts w:ascii="宋体" w:hAnsi="宋体"/>
          <w:szCs w:val="21"/>
        </w:rPr>
      </w:pPr>
      <w:r>
        <w:rPr>
          <w:rFonts w:hint="eastAsia" w:ascii="宋体" w:hAnsi="宋体"/>
          <w:szCs w:val="21"/>
        </w:rPr>
        <w:t xml:space="preserve">法定代表人：                     法定代表人： </w:t>
      </w:r>
    </w:p>
    <w:p>
      <w:pPr>
        <w:spacing w:line="360" w:lineRule="auto"/>
        <w:ind w:firstLine="560"/>
        <w:jc w:val="left"/>
        <w:rPr>
          <w:rFonts w:ascii="宋体" w:hAnsi="宋体"/>
          <w:szCs w:val="21"/>
        </w:rPr>
      </w:pPr>
      <w:r>
        <w:rPr>
          <w:rFonts w:hint="eastAsia" w:ascii="宋体" w:hAnsi="宋体"/>
          <w:szCs w:val="21"/>
        </w:rPr>
        <w:t>委托代理人：                     委托代理人：</w:t>
      </w:r>
    </w:p>
    <w:p>
      <w:pPr>
        <w:ind w:firstLine="600" w:firstLineChars="250"/>
        <w:rPr>
          <w:rFonts w:ascii="宋体" w:hAnsi="宋体"/>
          <w:b/>
          <w:szCs w:val="21"/>
        </w:rPr>
      </w:pPr>
      <w:r>
        <w:rPr>
          <w:rFonts w:hint="eastAsia" w:ascii="宋体" w:hAnsi="宋体"/>
          <w:szCs w:val="21"/>
        </w:rPr>
        <w:t>日期：   年     月    日         日期：   年     月    日</w:t>
      </w:r>
    </w:p>
    <w:p>
      <w:pPr>
        <w:rPr>
          <w:rFonts w:ascii="宋体" w:hAnsi="宋体"/>
          <w:b/>
          <w:color w:val="000000"/>
          <w:sz w:val="28"/>
          <w:szCs w:val="28"/>
        </w:rPr>
      </w:pPr>
      <w:r>
        <w:rPr>
          <w:rFonts w:hint="eastAsia" w:ascii="宋体" w:hAnsi="宋体" w:cs="经典特宋简"/>
          <w:b/>
          <w:color w:val="000000"/>
          <w:sz w:val="72"/>
          <w:szCs w:val="72"/>
        </w:rPr>
        <w:tab/>
      </w:r>
    </w:p>
    <w:p>
      <w:pPr>
        <w:spacing w:line="400" w:lineRule="exact"/>
        <w:rPr>
          <w:rFonts w:ascii="宋体" w:hAnsi="宋体" w:cs="宋体"/>
          <w:b/>
          <w:bCs/>
          <w:szCs w:val="21"/>
        </w:rPr>
      </w:pPr>
      <w:r>
        <w:rPr>
          <w:rFonts w:hint="eastAsia" w:ascii="宋体" w:hAnsi="宋体" w:cs="宋体"/>
          <w:b/>
          <w:bCs/>
          <w:szCs w:val="21"/>
        </w:rPr>
        <w:t>注：本合同样本具体条款内容根据招标文件的需求及中标供应商投标文件的响应情况，由采购人和中标供应商定。</w:t>
      </w:r>
    </w:p>
    <w:p>
      <w:pPr>
        <w:snapToGrid w:val="0"/>
        <w:spacing w:line="360" w:lineRule="auto"/>
        <w:rPr>
          <w:rFonts w:ascii="宋体"/>
        </w:rPr>
      </w:pPr>
    </w:p>
    <w:p/>
    <w:p>
      <w:pPr>
        <w:snapToGrid w:val="0"/>
        <w:spacing w:line="360" w:lineRule="auto"/>
        <w:ind w:firstLine="480" w:firstLineChars="200"/>
        <w:rPr>
          <w:rFonts w:ascii="宋体"/>
        </w:rPr>
      </w:pPr>
    </w:p>
    <w:p>
      <w:pPr>
        <w:rPr>
          <w:rFonts w:ascii="黑体" w:eastAsia="黑体"/>
        </w:rPr>
      </w:pPr>
      <w:r>
        <w:rPr>
          <w:rFonts w:hint="eastAsia" w:ascii="仿宋" w:hAnsi="仿宋" w:eastAsia="仿宋"/>
        </w:rPr>
        <w:br w:type="page"/>
      </w:r>
    </w:p>
    <w:p>
      <w:pPr>
        <w:spacing w:before="260" w:after="260"/>
        <w:jc w:val="center"/>
        <w:outlineLvl w:val="2"/>
        <w:rPr>
          <w:rFonts w:ascii="黑体" w:hAnsi="宋体" w:eastAsia="黑体"/>
        </w:rPr>
      </w:pPr>
      <w:r>
        <w:rPr>
          <w:rFonts w:hint="eastAsia" w:ascii="宋体" w:hAnsi="宋体" w:eastAsia="宋体" w:cs="宋体"/>
          <w:b/>
          <w:bCs/>
          <w:sz w:val="32"/>
          <w:szCs w:val="32"/>
        </w:rPr>
        <w:t>政府采购履约情况反馈表</w:t>
      </w:r>
    </w:p>
    <w:p>
      <w:pPr>
        <w:spacing w:line="240" w:lineRule="atLeast"/>
        <w:rPr>
          <w:rFonts w:ascii="宋体" w:hAnsi="宋体"/>
          <w:b/>
          <w:szCs w:val="21"/>
        </w:rPr>
      </w:pPr>
      <w:r>
        <w:rPr>
          <w:rFonts w:hint="eastAsia" w:ascii="宋体" w:hAnsi="宋体"/>
          <w:b/>
          <w:szCs w:val="21"/>
        </w:rPr>
        <w:t>采购人名称：                       联系人及电话：</w:t>
      </w:r>
    </w:p>
    <w:p>
      <w:pPr>
        <w:spacing w:line="60" w:lineRule="exact"/>
        <w:rPr>
          <w:rFonts w:ascii="宋体" w:hAnsi="宋体"/>
          <w:b/>
          <w:szCs w:val="21"/>
        </w:rPr>
      </w:pPr>
    </w:p>
    <w:tbl>
      <w:tblPr>
        <w:tblStyle w:val="19"/>
        <w:tblW w:w="8917"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842"/>
        <w:gridCol w:w="720"/>
        <w:gridCol w:w="720"/>
        <w:gridCol w:w="2520"/>
        <w:gridCol w:w="1980"/>
        <w:gridCol w:w="2135"/>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2282" w:type="dxa"/>
            <w:gridSpan w:val="3"/>
            <w:vAlign w:val="center"/>
          </w:tcPr>
          <w:p>
            <w:pPr>
              <w:spacing w:line="240" w:lineRule="atLeast"/>
              <w:jc w:val="center"/>
              <w:rPr>
                <w:rFonts w:ascii="宋体" w:hAnsi="宋体"/>
                <w:szCs w:val="21"/>
              </w:rPr>
            </w:pPr>
            <w:r>
              <w:rPr>
                <w:rFonts w:hint="eastAsia" w:ascii="宋体" w:hAnsi="宋体"/>
                <w:szCs w:val="21"/>
              </w:rPr>
              <w:t>采购项目名称</w:t>
            </w:r>
          </w:p>
        </w:tc>
        <w:tc>
          <w:tcPr>
            <w:tcW w:w="2520" w:type="dxa"/>
            <w:vAlign w:val="center"/>
          </w:tcPr>
          <w:p>
            <w:pPr>
              <w:spacing w:line="240" w:lineRule="atLeast"/>
              <w:jc w:val="center"/>
              <w:rPr>
                <w:rFonts w:ascii="宋体" w:hAnsi="宋体"/>
                <w:szCs w:val="21"/>
              </w:rPr>
            </w:pPr>
          </w:p>
        </w:tc>
        <w:tc>
          <w:tcPr>
            <w:tcW w:w="1980" w:type="dxa"/>
            <w:vAlign w:val="center"/>
          </w:tcPr>
          <w:p>
            <w:pPr>
              <w:spacing w:line="240" w:lineRule="atLeast"/>
              <w:jc w:val="center"/>
              <w:rPr>
                <w:rFonts w:ascii="宋体" w:hAnsi="宋体"/>
                <w:szCs w:val="21"/>
              </w:rPr>
            </w:pPr>
            <w:r>
              <w:rPr>
                <w:rFonts w:hint="eastAsia" w:ascii="宋体" w:hAnsi="宋体"/>
                <w:szCs w:val="21"/>
              </w:rPr>
              <w:t>项目编号</w:t>
            </w:r>
          </w:p>
        </w:tc>
        <w:tc>
          <w:tcPr>
            <w:tcW w:w="2135" w:type="dxa"/>
            <w:vAlign w:val="center"/>
          </w:tcPr>
          <w:p>
            <w:pPr>
              <w:spacing w:line="240" w:lineRule="atLeast"/>
              <w:jc w:val="center"/>
              <w:rPr>
                <w:rFonts w:ascii="宋体" w:hAnsi="宋体"/>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61" w:hRule="atLeast"/>
          <w:jc w:val="center"/>
        </w:trPr>
        <w:tc>
          <w:tcPr>
            <w:tcW w:w="2282" w:type="dxa"/>
            <w:gridSpan w:val="3"/>
            <w:vAlign w:val="center"/>
          </w:tcPr>
          <w:p>
            <w:pPr>
              <w:spacing w:line="240" w:lineRule="atLeast"/>
              <w:jc w:val="center"/>
              <w:rPr>
                <w:rFonts w:ascii="宋体" w:hAnsi="宋体"/>
                <w:szCs w:val="21"/>
              </w:rPr>
            </w:pPr>
            <w:r>
              <w:rPr>
                <w:rFonts w:hint="eastAsia" w:ascii="宋体" w:hAnsi="宋体"/>
                <w:szCs w:val="21"/>
              </w:rPr>
              <w:t>中标供应商名称</w:t>
            </w:r>
          </w:p>
        </w:tc>
        <w:tc>
          <w:tcPr>
            <w:tcW w:w="2520" w:type="dxa"/>
            <w:vAlign w:val="center"/>
          </w:tcPr>
          <w:p>
            <w:pPr>
              <w:spacing w:line="240" w:lineRule="atLeast"/>
              <w:jc w:val="center"/>
              <w:rPr>
                <w:rFonts w:ascii="宋体" w:hAnsi="宋体"/>
                <w:szCs w:val="21"/>
              </w:rPr>
            </w:pPr>
          </w:p>
        </w:tc>
        <w:tc>
          <w:tcPr>
            <w:tcW w:w="1980" w:type="dxa"/>
            <w:vAlign w:val="center"/>
          </w:tcPr>
          <w:p>
            <w:pPr>
              <w:spacing w:line="240" w:lineRule="atLeast"/>
              <w:jc w:val="center"/>
              <w:rPr>
                <w:rFonts w:ascii="宋体" w:hAnsi="宋体"/>
                <w:szCs w:val="21"/>
              </w:rPr>
            </w:pPr>
            <w:r>
              <w:rPr>
                <w:rFonts w:hint="eastAsia" w:ascii="宋体" w:hAnsi="宋体"/>
                <w:szCs w:val="21"/>
              </w:rPr>
              <w:t>供应商</w:t>
            </w:r>
          </w:p>
          <w:p>
            <w:pPr>
              <w:spacing w:line="240" w:lineRule="atLeast"/>
              <w:jc w:val="center"/>
              <w:rPr>
                <w:rFonts w:ascii="宋体" w:hAnsi="宋体"/>
                <w:szCs w:val="21"/>
              </w:rPr>
            </w:pPr>
            <w:r>
              <w:rPr>
                <w:rFonts w:hint="eastAsia" w:ascii="宋体" w:hAnsi="宋体"/>
                <w:szCs w:val="21"/>
              </w:rPr>
              <w:t>联系人及电话</w:t>
            </w:r>
          </w:p>
        </w:tc>
        <w:tc>
          <w:tcPr>
            <w:tcW w:w="2135" w:type="dxa"/>
            <w:vAlign w:val="center"/>
          </w:tcPr>
          <w:p>
            <w:pPr>
              <w:spacing w:line="240" w:lineRule="atLeast"/>
              <w:jc w:val="center"/>
              <w:rPr>
                <w:rFonts w:ascii="宋体" w:hAnsi="宋体"/>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38" w:hRule="atLeast"/>
          <w:jc w:val="center"/>
        </w:trPr>
        <w:tc>
          <w:tcPr>
            <w:tcW w:w="2282" w:type="dxa"/>
            <w:gridSpan w:val="3"/>
            <w:vAlign w:val="center"/>
          </w:tcPr>
          <w:p>
            <w:pPr>
              <w:spacing w:line="240" w:lineRule="atLeast"/>
              <w:jc w:val="center"/>
              <w:rPr>
                <w:rFonts w:ascii="宋体" w:hAnsi="宋体"/>
                <w:szCs w:val="21"/>
              </w:rPr>
            </w:pPr>
            <w:r>
              <w:rPr>
                <w:rFonts w:hint="eastAsia" w:ascii="宋体" w:hAnsi="宋体"/>
                <w:szCs w:val="21"/>
              </w:rPr>
              <w:t>中标金额</w:t>
            </w:r>
          </w:p>
        </w:tc>
        <w:tc>
          <w:tcPr>
            <w:tcW w:w="2520" w:type="dxa"/>
            <w:vAlign w:val="center"/>
          </w:tcPr>
          <w:p>
            <w:pPr>
              <w:spacing w:line="240" w:lineRule="atLeast"/>
              <w:jc w:val="center"/>
              <w:rPr>
                <w:rFonts w:ascii="宋体" w:hAnsi="宋体"/>
                <w:szCs w:val="21"/>
              </w:rPr>
            </w:pPr>
          </w:p>
        </w:tc>
        <w:tc>
          <w:tcPr>
            <w:tcW w:w="1980" w:type="dxa"/>
            <w:vAlign w:val="center"/>
          </w:tcPr>
          <w:p>
            <w:pPr>
              <w:spacing w:line="240" w:lineRule="atLeast"/>
              <w:jc w:val="center"/>
              <w:rPr>
                <w:rFonts w:ascii="宋体" w:hAnsi="宋体"/>
                <w:szCs w:val="21"/>
              </w:rPr>
            </w:pPr>
            <w:r>
              <w:rPr>
                <w:rFonts w:hint="eastAsia" w:ascii="宋体" w:hAnsi="宋体"/>
                <w:szCs w:val="21"/>
              </w:rPr>
              <w:t>合同履约时间</w:t>
            </w:r>
          </w:p>
        </w:tc>
        <w:tc>
          <w:tcPr>
            <w:tcW w:w="2135" w:type="dxa"/>
            <w:vAlign w:val="center"/>
          </w:tcPr>
          <w:p>
            <w:pPr>
              <w:spacing w:line="240" w:lineRule="atLeast"/>
              <w:rPr>
                <w:rFonts w:ascii="宋体" w:hAnsi="宋体"/>
                <w:szCs w:val="21"/>
              </w:rPr>
            </w:pPr>
            <w:r>
              <w:rPr>
                <w:rFonts w:hint="eastAsia" w:ascii="宋体" w:hAnsi="宋体"/>
                <w:szCs w:val="21"/>
              </w:rPr>
              <w:t>自       至</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44" w:hRule="atLeast"/>
          <w:jc w:val="center"/>
        </w:trPr>
        <w:tc>
          <w:tcPr>
            <w:tcW w:w="842" w:type="dxa"/>
            <w:vMerge w:val="restart"/>
            <w:vAlign w:val="center"/>
          </w:tcPr>
          <w:p>
            <w:pPr>
              <w:spacing w:line="240" w:lineRule="atLeast"/>
              <w:jc w:val="center"/>
              <w:rPr>
                <w:rFonts w:ascii="宋体" w:hAnsi="宋体"/>
                <w:b/>
                <w:szCs w:val="21"/>
              </w:rPr>
            </w:pPr>
            <w:r>
              <w:rPr>
                <w:rFonts w:hint="eastAsia" w:ascii="宋体" w:hAnsi="宋体"/>
                <w:b/>
                <w:szCs w:val="21"/>
              </w:rPr>
              <w:t>履约情况评价</w:t>
            </w:r>
          </w:p>
        </w:tc>
        <w:tc>
          <w:tcPr>
            <w:tcW w:w="1440" w:type="dxa"/>
            <w:gridSpan w:val="2"/>
            <w:tcBorders>
              <w:right w:val="single" w:color="auto" w:sz="4" w:space="0"/>
            </w:tcBorders>
            <w:vAlign w:val="center"/>
          </w:tcPr>
          <w:p>
            <w:pPr>
              <w:spacing w:line="240" w:lineRule="atLeast"/>
              <w:jc w:val="center"/>
              <w:rPr>
                <w:rFonts w:ascii="宋体" w:hAnsi="宋体"/>
                <w:szCs w:val="21"/>
              </w:rPr>
            </w:pPr>
            <w:r>
              <w:rPr>
                <w:rFonts w:hint="eastAsia" w:ascii="宋体" w:hAnsi="宋体"/>
                <w:szCs w:val="21"/>
              </w:rPr>
              <w:t>总体评价</w:t>
            </w:r>
          </w:p>
        </w:tc>
        <w:tc>
          <w:tcPr>
            <w:tcW w:w="6635" w:type="dxa"/>
            <w:gridSpan w:val="3"/>
            <w:tcBorders>
              <w:left w:val="single" w:color="auto" w:sz="4" w:space="0"/>
            </w:tcBorders>
            <w:vAlign w:val="center"/>
          </w:tcPr>
          <w:p>
            <w:pPr>
              <w:spacing w:line="240" w:lineRule="atLeast"/>
              <w:ind w:firstLine="120" w:firstLineChars="50"/>
              <w:jc w:val="center"/>
              <w:rPr>
                <w:rFonts w:ascii="宋体" w:hAnsi="宋体"/>
                <w:szCs w:val="21"/>
              </w:rPr>
            </w:pPr>
            <w:r>
              <w:rPr>
                <w:rFonts w:hint="eastAsia" w:ascii="宋体" w:hAnsi="宋体"/>
                <w:szCs w:val="21"/>
              </w:rPr>
              <w:t>□ 优          □ 良          □ 中           □ 差</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8" w:hRule="atLeast"/>
          <w:jc w:val="center"/>
        </w:trPr>
        <w:tc>
          <w:tcPr>
            <w:tcW w:w="842" w:type="dxa"/>
            <w:vMerge w:val="continue"/>
            <w:vAlign w:val="center"/>
          </w:tcPr>
          <w:p>
            <w:pPr>
              <w:spacing w:line="240" w:lineRule="atLeast"/>
              <w:jc w:val="center"/>
              <w:rPr>
                <w:rFonts w:ascii="宋体" w:hAnsi="宋体"/>
                <w:szCs w:val="21"/>
              </w:rPr>
            </w:pPr>
          </w:p>
        </w:tc>
        <w:tc>
          <w:tcPr>
            <w:tcW w:w="720" w:type="dxa"/>
            <w:vMerge w:val="restart"/>
            <w:tcBorders>
              <w:right w:val="single" w:color="auto" w:sz="4" w:space="0"/>
            </w:tcBorders>
            <w:vAlign w:val="center"/>
          </w:tcPr>
          <w:p>
            <w:pPr>
              <w:spacing w:line="240" w:lineRule="atLeast"/>
              <w:jc w:val="center"/>
              <w:rPr>
                <w:rFonts w:ascii="宋体" w:hAnsi="宋体"/>
                <w:szCs w:val="21"/>
              </w:rPr>
            </w:pPr>
            <w:r>
              <w:rPr>
                <w:rFonts w:hint="eastAsia" w:ascii="宋体" w:hAnsi="宋体"/>
                <w:szCs w:val="21"/>
              </w:rPr>
              <w:t>分项评价</w:t>
            </w:r>
          </w:p>
        </w:tc>
        <w:tc>
          <w:tcPr>
            <w:tcW w:w="720" w:type="dxa"/>
            <w:tcBorders>
              <w:left w:val="single" w:color="auto" w:sz="4" w:space="0"/>
              <w:right w:val="single" w:color="auto" w:sz="4" w:space="0"/>
            </w:tcBorders>
            <w:vAlign w:val="center"/>
          </w:tcPr>
          <w:p>
            <w:pPr>
              <w:spacing w:line="240" w:lineRule="atLeast"/>
              <w:jc w:val="center"/>
              <w:rPr>
                <w:rFonts w:ascii="宋体" w:hAnsi="宋体"/>
                <w:szCs w:val="21"/>
              </w:rPr>
            </w:pPr>
            <w:r>
              <w:rPr>
                <w:rFonts w:hint="eastAsia" w:ascii="宋体" w:hAnsi="宋体"/>
                <w:szCs w:val="21"/>
              </w:rPr>
              <w:t>质量方面</w:t>
            </w:r>
          </w:p>
        </w:tc>
        <w:tc>
          <w:tcPr>
            <w:tcW w:w="6635" w:type="dxa"/>
            <w:gridSpan w:val="3"/>
            <w:tcBorders>
              <w:left w:val="single" w:color="auto" w:sz="4" w:space="0"/>
            </w:tcBorders>
            <w:vAlign w:val="center"/>
          </w:tcPr>
          <w:p>
            <w:pPr>
              <w:spacing w:line="240" w:lineRule="atLeast"/>
              <w:jc w:val="center"/>
              <w:rPr>
                <w:rFonts w:ascii="宋体" w:hAnsi="宋体"/>
                <w:szCs w:val="21"/>
              </w:rPr>
            </w:pPr>
            <w:r>
              <w:rPr>
                <w:rFonts w:hint="eastAsia" w:ascii="宋体" w:hAnsi="宋体"/>
                <w:szCs w:val="21"/>
              </w:rPr>
              <w:t xml:space="preserve"> □ 优          □ 良          □ 中           □ 差</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8" w:hRule="atLeast"/>
          <w:jc w:val="center"/>
        </w:trPr>
        <w:tc>
          <w:tcPr>
            <w:tcW w:w="842" w:type="dxa"/>
            <w:vMerge w:val="continue"/>
            <w:vAlign w:val="center"/>
          </w:tcPr>
          <w:p>
            <w:pPr>
              <w:spacing w:line="240" w:lineRule="atLeast"/>
              <w:jc w:val="center"/>
              <w:rPr>
                <w:rFonts w:ascii="宋体" w:hAnsi="宋体"/>
                <w:szCs w:val="21"/>
              </w:rPr>
            </w:pPr>
          </w:p>
        </w:tc>
        <w:tc>
          <w:tcPr>
            <w:tcW w:w="720" w:type="dxa"/>
            <w:vMerge w:val="continue"/>
            <w:tcBorders>
              <w:right w:val="single" w:color="auto" w:sz="4" w:space="0"/>
            </w:tcBorders>
            <w:vAlign w:val="center"/>
          </w:tcPr>
          <w:p>
            <w:pPr>
              <w:spacing w:line="240" w:lineRule="atLeast"/>
              <w:jc w:val="center"/>
              <w:rPr>
                <w:rFonts w:ascii="宋体" w:hAnsi="宋体"/>
                <w:szCs w:val="21"/>
              </w:rPr>
            </w:pPr>
          </w:p>
        </w:tc>
        <w:tc>
          <w:tcPr>
            <w:tcW w:w="720" w:type="dxa"/>
            <w:tcBorders>
              <w:left w:val="single" w:color="auto" w:sz="4" w:space="0"/>
              <w:right w:val="single" w:color="auto" w:sz="4" w:space="0"/>
            </w:tcBorders>
            <w:vAlign w:val="center"/>
          </w:tcPr>
          <w:p>
            <w:pPr>
              <w:spacing w:line="240" w:lineRule="atLeast"/>
              <w:jc w:val="center"/>
              <w:rPr>
                <w:rFonts w:ascii="宋体" w:hAnsi="宋体"/>
                <w:szCs w:val="21"/>
              </w:rPr>
            </w:pPr>
            <w:r>
              <w:rPr>
                <w:rFonts w:hint="eastAsia" w:ascii="宋体" w:hAnsi="宋体"/>
                <w:szCs w:val="21"/>
              </w:rPr>
              <w:t>价格方面</w:t>
            </w:r>
          </w:p>
        </w:tc>
        <w:tc>
          <w:tcPr>
            <w:tcW w:w="6635" w:type="dxa"/>
            <w:gridSpan w:val="3"/>
            <w:tcBorders>
              <w:left w:val="single" w:color="auto" w:sz="4" w:space="0"/>
            </w:tcBorders>
            <w:vAlign w:val="center"/>
          </w:tcPr>
          <w:p>
            <w:pPr>
              <w:spacing w:line="240" w:lineRule="atLeast"/>
              <w:jc w:val="center"/>
              <w:rPr>
                <w:rFonts w:ascii="宋体" w:hAnsi="宋体"/>
                <w:szCs w:val="21"/>
              </w:rPr>
            </w:pPr>
            <w:r>
              <w:rPr>
                <w:rFonts w:hint="eastAsia" w:ascii="宋体" w:hAnsi="宋体"/>
                <w:szCs w:val="21"/>
              </w:rPr>
              <w:t xml:space="preserve"> □ 优          □ 良          □ 中           □ 差</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8" w:hRule="atLeast"/>
          <w:jc w:val="center"/>
        </w:trPr>
        <w:tc>
          <w:tcPr>
            <w:tcW w:w="842" w:type="dxa"/>
            <w:vMerge w:val="continue"/>
            <w:vAlign w:val="center"/>
          </w:tcPr>
          <w:p>
            <w:pPr>
              <w:spacing w:line="240" w:lineRule="atLeast"/>
              <w:jc w:val="center"/>
              <w:rPr>
                <w:rFonts w:ascii="宋体" w:hAnsi="宋体"/>
                <w:szCs w:val="21"/>
              </w:rPr>
            </w:pPr>
          </w:p>
        </w:tc>
        <w:tc>
          <w:tcPr>
            <w:tcW w:w="720" w:type="dxa"/>
            <w:vMerge w:val="continue"/>
            <w:tcBorders>
              <w:right w:val="single" w:color="auto" w:sz="4" w:space="0"/>
            </w:tcBorders>
            <w:vAlign w:val="center"/>
          </w:tcPr>
          <w:p>
            <w:pPr>
              <w:spacing w:line="240" w:lineRule="atLeast"/>
              <w:jc w:val="center"/>
              <w:rPr>
                <w:rFonts w:ascii="宋体" w:hAnsi="宋体"/>
                <w:szCs w:val="21"/>
              </w:rPr>
            </w:pPr>
          </w:p>
        </w:tc>
        <w:tc>
          <w:tcPr>
            <w:tcW w:w="720" w:type="dxa"/>
            <w:tcBorders>
              <w:left w:val="single" w:color="auto" w:sz="4" w:space="0"/>
              <w:right w:val="single" w:color="auto" w:sz="4" w:space="0"/>
            </w:tcBorders>
            <w:vAlign w:val="center"/>
          </w:tcPr>
          <w:p>
            <w:pPr>
              <w:spacing w:line="240" w:lineRule="atLeast"/>
              <w:jc w:val="center"/>
              <w:rPr>
                <w:rFonts w:ascii="宋体" w:hAnsi="宋体"/>
                <w:szCs w:val="21"/>
              </w:rPr>
            </w:pPr>
            <w:r>
              <w:rPr>
                <w:rFonts w:hint="eastAsia" w:ascii="宋体" w:hAnsi="宋体"/>
                <w:szCs w:val="21"/>
              </w:rPr>
              <w:t>服务方面</w:t>
            </w:r>
          </w:p>
        </w:tc>
        <w:tc>
          <w:tcPr>
            <w:tcW w:w="6635" w:type="dxa"/>
            <w:gridSpan w:val="3"/>
            <w:tcBorders>
              <w:left w:val="single" w:color="auto" w:sz="4" w:space="0"/>
            </w:tcBorders>
            <w:vAlign w:val="center"/>
          </w:tcPr>
          <w:p>
            <w:pPr>
              <w:spacing w:line="240" w:lineRule="atLeast"/>
              <w:jc w:val="center"/>
              <w:rPr>
                <w:rFonts w:ascii="宋体" w:hAnsi="宋体"/>
                <w:szCs w:val="21"/>
              </w:rPr>
            </w:pPr>
            <w:r>
              <w:rPr>
                <w:rFonts w:hint="eastAsia" w:ascii="宋体" w:hAnsi="宋体"/>
                <w:szCs w:val="21"/>
              </w:rPr>
              <w:t xml:space="preserve"> □ 优          □ 良          □ 中           □ 差</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8" w:hRule="atLeast"/>
          <w:jc w:val="center"/>
        </w:trPr>
        <w:tc>
          <w:tcPr>
            <w:tcW w:w="842" w:type="dxa"/>
            <w:vMerge w:val="continue"/>
            <w:vAlign w:val="center"/>
          </w:tcPr>
          <w:p>
            <w:pPr>
              <w:spacing w:line="240" w:lineRule="atLeast"/>
              <w:jc w:val="center"/>
              <w:rPr>
                <w:rFonts w:ascii="宋体" w:hAnsi="宋体"/>
                <w:szCs w:val="21"/>
              </w:rPr>
            </w:pPr>
          </w:p>
        </w:tc>
        <w:tc>
          <w:tcPr>
            <w:tcW w:w="720" w:type="dxa"/>
            <w:vMerge w:val="continue"/>
            <w:tcBorders>
              <w:right w:val="single" w:color="auto" w:sz="4" w:space="0"/>
            </w:tcBorders>
            <w:vAlign w:val="center"/>
          </w:tcPr>
          <w:p>
            <w:pPr>
              <w:spacing w:line="240" w:lineRule="atLeast"/>
              <w:jc w:val="center"/>
              <w:rPr>
                <w:rFonts w:ascii="宋体" w:hAnsi="宋体"/>
                <w:szCs w:val="21"/>
              </w:rPr>
            </w:pPr>
          </w:p>
        </w:tc>
        <w:tc>
          <w:tcPr>
            <w:tcW w:w="720" w:type="dxa"/>
            <w:tcBorders>
              <w:left w:val="single" w:color="auto" w:sz="4" w:space="0"/>
              <w:right w:val="single" w:color="auto" w:sz="4" w:space="0"/>
            </w:tcBorders>
            <w:vAlign w:val="center"/>
          </w:tcPr>
          <w:p>
            <w:pPr>
              <w:spacing w:line="240" w:lineRule="atLeast"/>
              <w:jc w:val="center"/>
              <w:rPr>
                <w:rFonts w:ascii="宋体" w:hAnsi="宋体"/>
                <w:szCs w:val="21"/>
              </w:rPr>
            </w:pPr>
            <w:r>
              <w:rPr>
                <w:rFonts w:hint="eastAsia" w:ascii="宋体" w:hAnsi="宋体"/>
                <w:szCs w:val="21"/>
              </w:rPr>
              <w:t>时间方面</w:t>
            </w:r>
          </w:p>
        </w:tc>
        <w:tc>
          <w:tcPr>
            <w:tcW w:w="6635" w:type="dxa"/>
            <w:gridSpan w:val="3"/>
            <w:tcBorders>
              <w:left w:val="single" w:color="auto" w:sz="4" w:space="0"/>
            </w:tcBorders>
            <w:vAlign w:val="center"/>
          </w:tcPr>
          <w:p>
            <w:pPr>
              <w:spacing w:line="240" w:lineRule="atLeast"/>
              <w:jc w:val="center"/>
              <w:rPr>
                <w:rFonts w:ascii="宋体" w:hAnsi="宋体"/>
                <w:szCs w:val="21"/>
              </w:rPr>
            </w:pPr>
            <w:r>
              <w:rPr>
                <w:rFonts w:hint="eastAsia" w:ascii="宋体" w:hAnsi="宋体"/>
                <w:szCs w:val="21"/>
              </w:rPr>
              <w:t xml:space="preserve"> □ 优          □ 良          □ 中           □ 差</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8" w:hRule="atLeast"/>
          <w:jc w:val="center"/>
        </w:trPr>
        <w:tc>
          <w:tcPr>
            <w:tcW w:w="842" w:type="dxa"/>
            <w:vMerge w:val="continue"/>
            <w:vAlign w:val="center"/>
          </w:tcPr>
          <w:p>
            <w:pPr>
              <w:spacing w:line="240" w:lineRule="atLeast"/>
              <w:jc w:val="center"/>
              <w:rPr>
                <w:rFonts w:ascii="宋体" w:hAnsi="宋体"/>
                <w:szCs w:val="21"/>
              </w:rPr>
            </w:pPr>
          </w:p>
        </w:tc>
        <w:tc>
          <w:tcPr>
            <w:tcW w:w="720" w:type="dxa"/>
            <w:vMerge w:val="continue"/>
            <w:tcBorders>
              <w:right w:val="single" w:color="auto" w:sz="4" w:space="0"/>
            </w:tcBorders>
            <w:vAlign w:val="center"/>
          </w:tcPr>
          <w:p>
            <w:pPr>
              <w:spacing w:line="240" w:lineRule="atLeast"/>
              <w:jc w:val="center"/>
              <w:rPr>
                <w:rFonts w:ascii="宋体" w:hAnsi="宋体"/>
                <w:szCs w:val="21"/>
              </w:rPr>
            </w:pPr>
          </w:p>
        </w:tc>
        <w:tc>
          <w:tcPr>
            <w:tcW w:w="720" w:type="dxa"/>
            <w:tcBorders>
              <w:left w:val="single" w:color="auto" w:sz="4" w:space="0"/>
              <w:right w:val="single" w:color="auto" w:sz="4" w:space="0"/>
            </w:tcBorders>
            <w:vAlign w:val="center"/>
          </w:tcPr>
          <w:p>
            <w:pPr>
              <w:spacing w:line="240" w:lineRule="atLeast"/>
              <w:jc w:val="center"/>
              <w:rPr>
                <w:rFonts w:ascii="宋体" w:hAnsi="宋体"/>
                <w:szCs w:val="21"/>
              </w:rPr>
            </w:pPr>
            <w:r>
              <w:rPr>
                <w:rFonts w:hint="eastAsia" w:ascii="宋体" w:hAnsi="宋体"/>
                <w:szCs w:val="21"/>
              </w:rPr>
              <w:t>环境保护</w:t>
            </w:r>
          </w:p>
        </w:tc>
        <w:tc>
          <w:tcPr>
            <w:tcW w:w="6635" w:type="dxa"/>
            <w:gridSpan w:val="3"/>
            <w:tcBorders>
              <w:left w:val="single" w:color="auto" w:sz="4" w:space="0"/>
            </w:tcBorders>
            <w:vAlign w:val="center"/>
          </w:tcPr>
          <w:p>
            <w:pPr>
              <w:spacing w:line="240" w:lineRule="atLeast"/>
              <w:jc w:val="center"/>
              <w:rPr>
                <w:rFonts w:ascii="宋体" w:hAnsi="宋体"/>
                <w:szCs w:val="21"/>
              </w:rPr>
            </w:pPr>
            <w:r>
              <w:rPr>
                <w:rFonts w:hint="eastAsia" w:ascii="宋体" w:hAnsi="宋体"/>
                <w:szCs w:val="21"/>
              </w:rPr>
              <w:t xml:space="preserve"> □ 优          □ 良          □ 中           □ 差</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8" w:hRule="atLeast"/>
          <w:jc w:val="center"/>
        </w:trPr>
        <w:tc>
          <w:tcPr>
            <w:tcW w:w="842" w:type="dxa"/>
            <w:vMerge w:val="continue"/>
            <w:vAlign w:val="center"/>
          </w:tcPr>
          <w:p>
            <w:pPr>
              <w:spacing w:line="240" w:lineRule="atLeast"/>
              <w:jc w:val="center"/>
              <w:rPr>
                <w:rFonts w:ascii="宋体" w:hAnsi="宋体"/>
                <w:szCs w:val="21"/>
              </w:rPr>
            </w:pPr>
          </w:p>
        </w:tc>
        <w:tc>
          <w:tcPr>
            <w:tcW w:w="720" w:type="dxa"/>
            <w:vMerge w:val="continue"/>
            <w:tcBorders>
              <w:right w:val="single" w:color="auto" w:sz="4" w:space="0"/>
            </w:tcBorders>
            <w:vAlign w:val="center"/>
          </w:tcPr>
          <w:p>
            <w:pPr>
              <w:spacing w:line="240" w:lineRule="atLeast"/>
              <w:jc w:val="center"/>
              <w:rPr>
                <w:rFonts w:ascii="宋体" w:hAnsi="宋体"/>
                <w:szCs w:val="21"/>
              </w:rPr>
            </w:pPr>
          </w:p>
        </w:tc>
        <w:tc>
          <w:tcPr>
            <w:tcW w:w="720" w:type="dxa"/>
            <w:tcBorders>
              <w:left w:val="single" w:color="auto" w:sz="4" w:space="0"/>
              <w:right w:val="single" w:color="auto" w:sz="4" w:space="0"/>
            </w:tcBorders>
            <w:vAlign w:val="center"/>
          </w:tcPr>
          <w:p>
            <w:pPr>
              <w:spacing w:line="240" w:lineRule="atLeast"/>
              <w:jc w:val="center"/>
              <w:rPr>
                <w:rFonts w:ascii="宋体" w:hAnsi="宋体"/>
                <w:szCs w:val="21"/>
              </w:rPr>
            </w:pPr>
            <w:r>
              <w:rPr>
                <w:rFonts w:hint="eastAsia" w:ascii="宋体" w:hAnsi="宋体"/>
                <w:szCs w:val="21"/>
              </w:rPr>
              <w:t>其他</w:t>
            </w:r>
          </w:p>
        </w:tc>
        <w:tc>
          <w:tcPr>
            <w:tcW w:w="6635" w:type="dxa"/>
            <w:gridSpan w:val="3"/>
            <w:tcBorders>
              <w:left w:val="single" w:color="auto" w:sz="4" w:space="0"/>
            </w:tcBorders>
            <w:vAlign w:val="center"/>
          </w:tcPr>
          <w:p>
            <w:pPr>
              <w:spacing w:before="120" w:beforeLines="50" w:after="120" w:afterLines="50" w:line="240" w:lineRule="atLeast"/>
              <w:rPr>
                <w:rFonts w:ascii="宋体" w:hAnsi="宋体"/>
                <w:szCs w:val="21"/>
                <w:u w:val="single"/>
              </w:rPr>
            </w:pPr>
            <w:r>
              <w:rPr>
                <w:rFonts w:hint="eastAsia" w:ascii="宋体" w:hAnsi="宋体"/>
                <w:szCs w:val="21"/>
              </w:rPr>
              <w:t>评价内容为：</w:t>
            </w:r>
            <w:r>
              <w:rPr>
                <w:rFonts w:hint="eastAsia" w:ascii="宋体" w:hAnsi="宋体"/>
                <w:szCs w:val="21"/>
                <w:u w:val="single"/>
              </w:rPr>
              <w:t xml:space="preserve">                    </w:t>
            </w:r>
          </w:p>
          <w:p>
            <w:pPr>
              <w:spacing w:before="120" w:beforeLines="50" w:after="120" w:afterLines="50" w:line="240" w:lineRule="atLeast"/>
              <w:rPr>
                <w:rFonts w:ascii="宋体" w:hAnsi="宋体"/>
                <w:szCs w:val="21"/>
              </w:rPr>
            </w:pPr>
            <w:r>
              <w:rPr>
                <w:rFonts w:hint="eastAsia" w:ascii="宋体" w:hAnsi="宋体"/>
                <w:szCs w:val="21"/>
              </w:rPr>
              <w:t>评价等级为：  □ 优       □ 良        □ 中         □ 差</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605" w:hRule="atLeast"/>
          <w:jc w:val="center"/>
        </w:trPr>
        <w:tc>
          <w:tcPr>
            <w:tcW w:w="1562" w:type="dxa"/>
            <w:gridSpan w:val="2"/>
            <w:vAlign w:val="center"/>
          </w:tcPr>
          <w:p>
            <w:pPr>
              <w:spacing w:line="240" w:lineRule="atLeast"/>
              <w:jc w:val="center"/>
              <w:rPr>
                <w:rFonts w:ascii="宋体" w:hAnsi="宋体"/>
                <w:szCs w:val="21"/>
              </w:rPr>
            </w:pPr>
            <w:r>
              <w:rPr>
                <w:rFonts w:hint="eastAsia" w:ascii="宋体" w:hAnsi="宋体"/>
                <w:szCs w:val="21"/>
              </w:rPr>
              <w:t>具体情况说明</w:t>
            </w:r>
          </w:p>
        </w:tc>
        <w:tc>
          <w:tcPr>
            <w:tcW w:w="7355" w:type="dxa"/>
            <w:gridSpan w:val="4"/>
          </w:tcPr>
          <w:p>
            <w:pPr>
              <w:spacing w:line="240" w:lineRule="atLeast"/>
              <w:rPr>
                <w:rFonts w:ascii="宋体" w:hAnsi="宋体"/>
                <w:szCs w:val="21"/>
              </w:rPr>
            </w:pPr>
          </w:p>
          <w:p>
            <w:pPr>
              <w:spacing w:line="240" w:lineRule="atLeast"/>
              <w:rPr>
                <w:rFonts w:ascii="宋体" w:hAnsi="宋体"/>
                <w:szCs w:val="21"/>
              </w:rPr>
            </w:pPr>
          </w:p>
          <w:p>
            <w:pPr>
              <w:spacing w:line="240" w:lineRule="atLeast"/>
              <w:rPr>
                <w:rFonts w:ascii="宋体" w:hAnsi="宋体"/>
                <w:szCs w:val="21"/>
              </w:rPr>
            </w:pPr>
          </w:p>
          <w:p>
            <w:pPr>
              <w:spacing w:line="240" w:lineRule="atLeast"/>
              <w:rPr>
                <w:rFonts w:ascii="宋体" w:hAnsi="宋体"/>
                <w:szCs w:val="21"/>
              </w:rPr>
            </w:pPr>
          </w:p>
          <w:p>
            <w:pPr>
              <w:spacing w:line="240" w:lineRule="atLeast"/>
              <w:rPr>
                <w:rFonts w:ascii="宋体" w:hAnsi="宋体"/>
                <w:szCs w:val="21"/>
              </w:rPr>
            </w:pPr>
          </w:p>
          <w:p>
            <w:pPr>
              <w:spacing w:line="240" w:lineRule="atLeast"/>
              <w:rPr>
                <w:rFonts w:ascii="宋体" w:hAnsi="宋体"/>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510" w:hRule="atLeast"/>
          <w:jc w:val="center"/>
        </w:trPr>
        <w:tc>
          <w:tcPr>
            <w:tcW w:w="1562" w:type="dxa"/>
            <w:gridSpan w:val="2"/>
            <w:vAlign w:val="center"/>
          </w:tcPr>
          <w:p>
            <w:pPr>
              <w:spacing w:line="240" w:lineRule="atLeast"/>
              <w:jc w:val="center"/>
              <w:rPr>
                <w:rFonts w:ascii="宋体" w:hAnsi="宋体"/>
                <w:szCs w:val="21"/>
              </w:rPr>
            </w:pPr>
            <w:r>
              <w:rPr>
                <w:rFonts w:hint="eastAsia" w:ascii="宋体" w:hAnsi="宋体"/>
                <w:szCs w:val="21"/>
              </w:rPr>
              <w:t>采购人意见</w:t>
            </w:r>
          </w:p>
          <w:p>
            <w:pPr>
              <w:spacing w:line="240" w:lineRule="atLeast"/>
              <w:jc w:val="center"/>
              <w:rPr>
                <w:rFonts w:ascii="宋体" w:hAnsi="宋体"/>
                <w:szCs w:val="21"/>
              </w:rPr>
            </w:pPr>
            <w:r>
              <w:rPr>
                <w:rFonts w:hint="eastAsia" w:ascii="宋体" w:hAnsi="宋体"/>
                <w:szCs w:val="21"/>
              </w:rPr>
              <w:t>（公章）</w:t>
            </w:r>
          </w:p>
        </w:tc>
        <w:tc>
          <w:tcPr>
            <w:tcW w:w="7355" w:type="dxa"/>
            <w:gridSpan w:val="4"/>
            <w:vAlign w:val="center"/>
          </w:tcPr>
          <w:p>
            <w:pPr>
              <w:spacing w:line="240" w:lineRule="atLeast"/>
              <w:rPr>
                <w:rFonts w:ascii="宋体" w:hAnsi="宋体"/>
                <w:szCs w:val="21"/>
              </w:rPr>
            </w:pPr>
          </w:p>
          <w:p>
            <w:pPr>
              <w:spacing w:line="240" w:lineRule="atLeast"/>
              <w:rPr>
                <w:rFonts w:ascii="宋体" w:hAnsi="宋体"/>
                <w:szCs w:val="21"/>
              </w:rPr>
            </w:pPr>
          </w:p>
          <w:p>
            <w:pPr>
              <w:spacing w:line="240" w:lineRule="atLeast"/>
              <w:rPr>
                <w:rFonts w:ascii="宋体" w:hAnsi="宋体"/>
                <w:szCs w:val="21"/>
              </w:rPr>
            </w:pPr>
          </w:p>
          <w:p>
            <w:pPr>
              <w:spacing w:line="240" w:lineRule="atLeast"/>
              <w:rPr>
                <w:rFonts w:ascii="宋体" w:hAnsi="宋体"/>
                <w:szCs w:val="21"/>
              </w:rPr>
            </w:pPr>
            <w:r>
              <w:rPr>
                <w:rFonts w:hint="eastAsia" w:ascii="宋体" w:hAnsi="宋体"/>
                <w:szCs w:val="21"/>
              </w:rPr>
              <w:t xml:space="preserve">                                        </w:t>
            </w:r>
          </w:p>
          <w:p>
            <w:pPr>
              <w:spacing w:line="240" w:lineRule="atLeast"/>
              <w:ind w:firstLine="4320" w:firstLineChars="1800"/>
              <w:rPr>
                <w:rFonts w:ascii="宋体" w:hAnsi="宋体"/>
                <w:szCs w:val="21"/>
              </w:rPr>
            </w:pPr>
          </w:p>
          <w:p>
            <w:pPr>
              <w:spacing w:line="240" w:lineRule="atLeast"/>
              <w:ind w:firstLine="4320" w:firstLineChars="1800"/>
              <w:rPr>
                <w:rFonts w:ascii="宋体" w:hAnsi="宋体"/>
                <w:szCs w:val="21"/>
              </w:rPr>
            </w:pPr>
            <w:r>
              <w:rPr>
                <w:rFonts w:hint="eastAsia" w:ascii="宋体" w:hAnsi="宋体"/>
                <w:szCs w:val="21"/>
              </w:rPr>
              <w:t>日期：   年   月   日</w:t>
            </w:r>
          </w:p>
        </w:tc>
      </w:tr>
    </w:tbl>
    <w:p>
      <w:pPr>
        <w:spacing w:line="240" w:lineRule="atLeast"/>
        <w:rPr>
          <w:rFonts w:ascii="宋体" w:hAnsi="宋体"/>
          <w:szCs w:val="21"/>
        </w:rPr>
      </w:pPr>
      <w:r>
        <w:rPr>
          <w:rFonts w:hint="eastAsia" w:ascii="宋体" w:hAnsi="宋体"/>
          <w:szCs w:val="21"/>
        </w:rPr>
        <w:t>说明：</w:t>
      </w:r>
    </w:p>
    <w:p>
      <w:pPr>
        <w:spacing w:line="240" w:lineRule="atLeast"/>
        <w:rPr>
          <w:rFonts w:ascii="宋体" w:hAnsi="宋体"/>
          <w:szCs w:val="21"/>
        </w:rPr>
      </w:pPr>
      <w:r>
        <w:rPr>
          <w:rFonts w:hint="eastAsia" w:ascii="宋体" w:hAnsi="宋体"/>
          <w:szCs w:val="21"/>
        </w:rPr>
        <w:t>1、本表为采购人向深圳市政府采购中心反映政府采购项目履约情况时所用；</w:t>
      </w:r>
    </w:p>
    <w:p>
      <w:pPr>
        <w:spacing w:line="240" w:lineRule="atLeast"/>
        <w:rPr>
          <w:rFonts w:ascii="宋体" w:hAnsi="宋体"/>
          <w:szCs w:val="21"/>
        </w:rPr>
      </w:pPr>
      <w:r>
        <w:rPr>
          <w:rFonts w:hint="eastAsia" w:ascii="宋体" w:hAnsi="宋体"/>
          <w:szCs w:val="21"/>
        </w:rPr>
        <w:t>2、履约情况评价分为优、良、中、差四个等级，请在对应的框前打“√”，然后在“具体情况说明”一栏详细说明有关情况。</w:t>
      </w:r>
    </w:p>
    <w:p>
      <w:pPr>
        <w:adjustRightInd w:val="0"/>
        <w:spacing w:before="120" w:beforeLines="50" w:after="120" w:afterLines="50" w:line="360" w:lineRule="auto"/>
        <w:ind w:left="562"/>
        <w:jc w:val="center"/>
        <w:textAlignment w:val="baseline"/>
        <w:outlineLvl w:val="1"/>
        <w:rPr>
          <w:rFonts w:ascii="宋体" w:hAnsi="宋体" w:cs="宋体"/>
          <w:szCs w:val="21"/>
        </w:rPr>
      </w:pPr>
      <w:r>
        <w:rPr>
          <w:rFonts w:hint="eastAsia" w:ascii="宋体" w:hAnsi="宋体" w:cs="宋体"/>
          <w:b/>
          <w:bCs/>
          <w:sz w:val="36"/>
          <w:szCs w:val="36"/>
        </w:rPr>
        <w:br w:type="page"/>
      </w:r>
      <w:r>
        <w:rPr>
          <w:rFonts w:hint="eastAsia" w:ascii="宋体" w:hAnsi="宋体" w:cs="宋体"/>
          <w:b/>
          <w:bCs/>
          <w:sz w:val="36"/>
          <w:szCs w:val="36"/>
        </w:rPr>
        <w:t>第二册  通用条款</w:t>
      </w:r>
      <w:r>
        <w:rPr>
          <w:rFonts w:hint="eastAsia" w:ascii="宋体" w:hAnsi="宋体" w:cs="宋体"/>
          <w:szCs w:val="21"/>
        </w:rPr>
        <w:t xml:space="preserve"> </w:t>
      </w:r>
    </w:p>
    <w:p>
      <w:pPr>
        <w:keepNext/>
        <w:keepLines/>
        <w:adjustRightInd w:val="0"/>
        <w:spacing w:before="120" w:beforeLines="50" w:after="120" w:afterLines="50"/>
        <w:jc w:val="center"/>
        <w:textAlignment w:val="baseline"/>
        <w:outlineLvl w:val="1"/>
        <w:rPr>
          <w:rFonts w:ascii="宋体" w:hAnsi="宋体" w:eastAsia="宋体" w:cs="宋体"/>
          <w:b/>
          <w:bCs/>
          <w:color w:val="000000"/>
          <w:sz w:val="28"/>
          <w:szCs w:val="28"/>
        </w:rPr>
      </w:pPr>
      <w:bookmarkStart w:id="19" w:name="_Hlk72399513"/>
      <w:r>
        <w:rPr>
          <w:rFonts w:hint="eastAsia" w:ascii="宋体" w:hAnsi="宋体" w:eastAsia="宋体" w:cs="宋体"/>
          <w:b/>
          <w:bCs/>
          <w:color w:val="000000"/>
          <w:sz w:val="28"/>
          <w:szCs w:val="28"/>
        </w:rPr>
        <w:t>第一章 总则</w:t>
      </w:r>
      <w:bookmarkEnd w:id="19"/>
    </w:p>
    <w:p>
      <w:pPr>
        <w:rPr>
          <w:rFonts w:ascii="宋体" w:hAnsi="宋体" w:eastAsia="宋体" w:cs="宋体"/>
          <w:color w:val="000000"/>
          <w:sz w:val="21"/>
          <w:szCs w:val="21"/>
        </w:rPr>
      </w:pPr>
      <w:r>
        <w:rPr>
          <w:rFonts w:hint="eastAsia" w:ascii="宋体" w:hAnsi="宋体" w:eastAsia="宋体" w:cs="宋体"/>
          <w:color w:val="000000"/>
          <w:sz w:val="21"/>
          <w:szCs w:val="21"/>
        </w:rPr>
        <w:t>1. 通用条款说明</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1.1政府采购代理机构发出招标文件通用条款版本，列出深圳市政府采购项目进行招标采购所适用的通用条款内容。如有需要，政府采购代理机构可以对通用条款增加附录或补充内容。</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1.2招标文件分为第一册“专用条款”和第二册“通用条款”。</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1.3“专用条款”是对本次采购项目的具体要求，包含投标人资格要求、</w:t>
      </w:r>
      <w:r>
        <w:rPr>
          <w:rFonts w:hint="eastAsia" w:ascii="宋体" w:hAnsi="宋体" w:eastAsia="宋体" w:cs="宋体"/>
          <w:color w:val="000000"/>
          <w:sz w:val="21"/>
          <w:szCs w:val="21"/>
          <w:lang w:val="en-US" w:eastAsia="zh-CN"/>
        </w:rPr>
        <w:t>用户需求书</w:t>
      </w:r>
      <w:r>
        <w:rPr>
          <w:rFonts w:hint="eastAsia" w:ascii="宋体" w:hAnsi="宋体" w:eastAsia="宋体" w:cs="宋体"/>
          <w:color w:val="000000"/>
          <w:sz w:val="21"/>
          <w:szCs w:val="21"/>
        </w:rPr>
        <w:t>、投标文件格式、附件等内容。</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1.4“通用条款”是适用于政府采购项目的基础性条款，具有普遍性和通用性。</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1.5 “专用条款”和“通用条款”表述不一致或有冲突时，以“专用条款”为准。</w:t>
      </w:r>
    </w:p>
    <w:p>
      <w:pPr>
        <w:rPr>
          <w:rFonts w:ascii="宋体" w:hAnsi="宋体" w:eastAsia="宋体" w:cs="宋体"/>
          <w:color w:val="000000"/>
          <w:sz w:val="21"/>
          <w:szCs w:val="21"/>
        </w:rPr>
      </w:pPr>
      <w:r>
        <w:rPr>
          <w:rFonts w:hint="eastAsia" w:ascii="宋体" w:hAnsi="宋体" w:eastAsia="宋体" w:cs="宋体"/>
          <w:color w:val="000000"/>
          <w:sz w:val="21"/>
          <w:szCs w:val="21"/>
        </w:rPr>
        <w:t>2．招标说明</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本项目按照《深圳经济特区政府采购条例》、《深圳经济特区政府采购条例实施细则》等规定，并参考有关法规，通过招标方式确定中标供应商。</w:t>
      </w:r>
    </w:p>
    <w:p>
      <w:pPr>
        <w:rPr>
          <w:rFonts w:ascii="宋体" w:hAnsi="宋体" w:eastAsia="宋体" w:cs="宋体"/>
          <w:color w:val="000000"/>
          <w:sz w:val="21"/>
          <w:szCs w:val="21"/>
        </w:rPr>
      </w:pPr>
      <w:r>
        <w:rPr>
          <w:rFonts w:hint="eastAsia" w:ascii="宋体" w:hAnsi="宋体" w:eastAsia="宋体" w:cs="宋体"/>
          <w:color w:val="000000"/>
          <w:sz w:val="21"/>
          <w:szCs w:val="21"/>
        </w:rPr>
        <w:t>3．定义</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招标文件中下列术语应解释为：</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3.1“政府集中采购机构”是指市政府设立的，对纳入集中采购目录内的采购项目组织实施采购，并对政府采购活动提供服务的专门机构；本文件所述的“政府集中采购机构”指深圳交易集团有限公司政府采购业务分公司；</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 xml:space="preserve">3.2“采购人”或“招标人”：指利用财政性资金依法进行政府采购的国家机关、事业单位、团体组织； </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3.3“采购代理机构”系指集中采购机构以外、受采购人委托从事政府采购代理业务的社会中介机构，已在深圳市登记从业信息，纳入深圳市代理机构从业名录，代理业务的机构；本文件所述的“采购代理机构”指深圳市合创建设工程顾问有限公司。</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3.4“投标人”或“投标方”，即供应商，指参加投标竞争并愿意按照招标文件要求向采购人提供货物、工程或者服务的依法成立的法人、其他组织或者自然人；</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3.5“评审委员会”和“谈判小组”是依据《深圳经济特区政府采购条例》、《深圳经济特区政府采购条例实施细则》等有关规定组建的专门负责本次招标其评标（谈判）工作的临时性机构；</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3.6“日期”指公历日；</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3.7“合同”指由本次招标所产生的合同或合约文件；</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3.8“电子投标文件”指在深圳政府采购智慧平台网站上传并加密后的电子投标文件,适用于网上投标；投标文件编制详见《深圳政府采购智慧平台电子投标文件制作软件操作手册V1.0 》；</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3.9“网上投标”指通过深圳政府采购智慧平台网站上传电子投标文件；</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3.10招标文件中的标题或题名仅起引导作用，而不应视为对招标文件内容的理解和解释。</w:t>
      </w:r>
    </w:p>
    <w:p>
      <w:pPr>
        <w:rPr>
          <w:rFonts w:ascii="宋体" w:hAnsi="宋体" w:eastAsia="宋体" w:cs="宋体"/>
          <w:color w:val="000000"/>
          <w:sz w:val="21"/>
          <w:szCs w:val="21"/>
        </w:rPr>
      </w:pPr>
      <w:r>
        <w:rPr>
          <w:rFonts w:hint="eastAsia" w:ascii="宋体" w:hAnsi="宋体" w:eastAsia="宋体" w:cs="宋体"/>
          <w:color w:val="000000"/>
          <w:sz w:val="21"/>
          <w:szCs w:val="21"/>
        </w:rPr>
        <w:t>4. 政府采购供应商责任</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4.1欢迎诚信、有实力和有社会责任心的供应商参与政府采购事业。</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4.2投标人应当遵循公平竞争的原则，不得恶意串通，不得妨碍其他投标人的竞争行为，不得损害采购人或者其他投标人的合法权益。如违反上述要求，经核实后，供应商的投标无效。</w:t>
      </w:r>
    </w:p>
    <w:p>
      <w:pPr>
        <w:rPr>
          <w:rFonts w:ascii="宋体" w:hAnsi="宋体" w:eastAsia="宋体" w:cs="宋体"/>
          <w:color w:val="000000"/>
          <w:sz w:val="21"/>
          <w:szCs w:val="21"/>
        </w:rPr>
      </w:pPr>
      <w:r>
        <w:rPr>
          <w:rFonts w:hint="eastAsia" w:ascii="宋体" w:hAnsi="宋体" w:eastAsia="宋体" w:cs="宋体"/>
          <w:color w:val="000000"/>
          <w:sz w:val="21"/>
          <w:szCs w:val="21"/>
        </w:rPr>
        <w:t>5．投标人参加政府采购的条件</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5.1投标人应在投标前联系深圳政府采购智慧平台工作人员进行注册。</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5.2投标人的资格要求</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参加本项目的投标人应具备的资格条件详见本项目招标公告中 “投标人资格要求”的内容。</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5.3联合体投标</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5.3.1　以下有关联合体投标的条款仅适用于允许投标人组成联合体投标的项目。</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5.3.2  由两个或两个以上的自然人、法人或者其他组织可以组成一个联合体，以一个供应商的身份共同投标时，应符合以下原则：</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（1）投标联合体各方参加政府采购活动应当具备下列条件：</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1、具有独立承担民事责任的能力；</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2、有良好的商业信誉和健全的财务会计制度；</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3、具有履行合同所必需的设备和专业技术能力；</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4、有依法缴纳税收和社会保障资金的良好记录；</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5、参加政府采购活动前三年内，在经营活动中没有重大违法记录；</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6、法律、行政法规规定的其他条件。</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（2）投标联合体各方必须有一方先行注册成政府采购供应商。在投标截止前，投标联合体各方均应注册成政府采购供应商；</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（3）联合体中有同类资质的供应商按照联合体分工承担相同工作的，应当按照资质等级较低的供应商确定资质等级。</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（4）是否允许联合体参加投标，应当由采购人和采购代理机构根据项目的实际情况和潜在供应商的数量自主决定，如果决定接受联合体投标则应当在采购公告中明示。</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（5）投标人的投标文件及中标后签署的合同协议对联合体各方均具法律约束力；</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（6）联合体各方应当签订共同投标协议，明确约定各方拟承担的工作和责任，并将该共同投标协议随投标文件一并递交给政府采购代理机构；</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（7）联合体中标后，联合体各方应当共同与采购人签订合同，就中标项目向采购人承担连带责任；</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8）以联合体形式参加政府采购活动的，联合体各方不得再单独参加或者与其他供应商另外组成联合体参加同一合同项下的政府采购活动，出现上述情况者，其投标和与此有关联合体、总包单位的投标将被拒绝；</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（9）本通用条款中“投标人”一词亦指联合体各方，专用条款另有规定或说明的除外。</w:t>
      </w:r>
    </w:p>
    <w:p>
      <w:pPr>
        <w:rPr>
          <w:rFonts w:ascii="宋体" w:hAnsi="宋体" w:eastAsia="宋体" w:cs="宋体"/>
          <w:color w:val="000000"/>
          <w:sz w:val="21"/>
          <w:szCs w:val="21"/>
        </w:rPr>
      </w:pPr>
      <w:r>
        <w:rPr>
          <w:rFonts w:hint="eastAsia" w:ascii="宋体" w:hAnsi="宋体" w:eastAsia="宋体" w:cs="宋体"/>
          <w:color w:val="000000"/>
          <w:sz w:val="21"/>
          <w:szCs w:val="21"/>
        </w:rPr>
        <w:t>6．政策导向</w:t>
      </w:r>
    </w:p>
    <w:p>
      <w:pPr>
        <w:ind w:firstLine="420" w:firstLineChars="200"/>
        <w:rPr>
          <w:rFonts w:ascii="宋体" w:hAnsi="宋体" w:eastAsia="宋体" w:cs="宋体"/>
          <w:bCs/>
          <w:color w:val="000000"/>
          <w:sz w:val="21"/>
          <w:szCs w:val="21"/>
        </w:rPr>
      </w:pPr>
      <w:r>
        <w:rPr>
          <w:rFonts w:hint="eastAsia" w:ascii="宋体" w:hAnsi="宋体" w:eastAsia="宋体" w:cs="宋体"/>
          <w:bCs/>
          <w:color w:val="000000"/>
          <w:sz w:val="21"/>
          <w:szCs w:val="21"/>
        </w:rPr>
        <w:t>6.1 2014年起，政府部门、国有企业在进行设备或工程采购时，应在招标文件中明确要求工程机械、装卸机械满足国家现阶段非道路移动机械用柴油机排放标准，并鼓励使用LNG或电动工程机械、装卸机械。2015年起，政府部门、国有企业采购设备或工程项目中选用LNG或电动工程机械、装卸机械的比例不低于30%。</w:t>
      </w:r>
    </w:p>
    <w:p>
      <w:pPr>
        <w:ind w:firstLine="420" w:firstLineChars="200"/>
        <w:rPr>
          <w:rFonts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6.2 </w:t>
      </w:r>
      <w:r>
        <w:rPr>
          <w:rFonts w:hint="eastAsia" w:ascii="宋体" w:hAnsi="宋体" w:eastAsia="宋体" w:cs="宋体"/>
          <w:color w:val="000000"/>
          <w:sz w:val="21"/>
          <w:szCs w:val="21"/>
        </w:rPr>
        <w:t>根据《深圳市人民政府关于印发深圳市贯彻落实守信联合激励和失信联合惩戒制度实施方案的通知》（深府〔2017〕57号）、《深圳市政府采购供应商诚信管理暂行办法》（深财规〔2017〕8号）以及《深圳市财政委员会关于印发&lt;深圳市政府采购供应商诚信管理暂行办法操作细则&gt;的通知》的要求，对列入失信“黑名单”的供应商限制参与政府采购。</w:t>
      </w:r>
    </w:p>
    <w:p>
      <w:pPr>
        <w:wordWrap w:val="0"/>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6.3财政部、工业和信息化部《关于印发〈政府采购促进中小企业发展管理办法〉的通知》（财库〔2020〕46 号），详见http://www.ccgp.gov.cn/news/202012/t20201229_15715888.htm。</w:t>
      </w:r>
    </w:p>
    <w:p>
      <w:pPr>
        <w:wordWrap w:val="0"/>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6.4工业信息化部、国家统计局、国家发展和改革委员会、财政部《关于印发〈中小企业划型标准规定〉的通知》（工信部联企〔2011〕300 号），详见https://www.miit.gov.cn/jgsj/cws/zfcg/art/2020/art_641b052914d94d87a0110e802a8fa7c6.html?ivk_sa=1024320u。</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6.5国家统计局《关于印发〈统计上大中小微型企业划分办法（2017）〉的通知》，详见http://www.stats.gov.cn/tjsj/tjbz/201801/t20180103_1569357.html。</w:t>
      </w:r>
    </w:p>
    <w:p>
      <w:pPr>
        <w:wordWrap w:val="0"/>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6.6财政部、民政部、中国残联《关于促进残疾人就业政府采购政策的通知》（财库〔2017〕141 号），详见http://www.ccgp.gov.cn/zcfg/mof/201709/t20170904_8787205.shtml。</w:t>
      </w:r>
    </w:p>
    <w:p>
      <w:pPr>
        <w:wordWrap w:val="0"/>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6.7为缓解中小企业融资难题，我市推出政府采购订单融资改革举措。订单融资具体流程及试点金融机构订单融资服务承诺可参阅深圳市政府采购监管网（http://zfcg.sz.gov.cn/）信息公开栏目或深圳公共资源交易中心网站（www.szzfcg.cn）政府采购订单融资栏目。</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6.8《关于政府采购支持监狱企业发展有关问题的通知》（财库[2014]68号），详见http://www.ccgp.gov.cn/zcfg/mof/201406/t20140616_4619272.htm.</w:t>
      </w:r>
    </w:p>
    <w:p>
      <w:pPr>
        <w:wordWrap w:val="0"/>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6.9按照《国务院办公厅关于建立政府强制采购节能产品制度的通知》（国办发〔2007〕51号）、《财政部、环保总局关于环境标志产品政府采购实施的意见》（财库[2006]90号）、《国家生态文明建设示范市县建设指标》（环生态〔2019〕78号）、《中共深圳市委、深圳市人民政府关于全面推进循环经济发展的决定》（深发〔2006〕9号）等的要求，以下产品列入政府优先采购清单，我市政府采购组织实施中，在技术、服务等指标满足采购需求的前提下，优先采购以下清单范围内产品：财政部、国家发展和改革委员会制定的《节能产品政府采购品目清单》，财政部、环境保护部制定的《环境标志产品政府采购品目清单》中列示的企业及产品，详见中国政府采购网（http://www.ccgp.gov.cn/）首页。</w:t>
      </w:r>
    </w:p>
    <w:p>
      <w:pPr>
        <w:rPr>
          <w:rFonts w:ascii="宋体" w:hAnsi="宋体" w:eastAsia="宋体" w:cs="宋体"/>
          <w:color w:val="000000"/>
          <w:sz w:val="21"/>
          <w:szCs w:val="21"/>
        </w:rPr>
      </w:pPr>
      <w:r>
        <w:rPr>
          <w:rFonts w:hint="eastAsia" w:ascii="宋体" w:hAnsi="宋体" w:eastAsia="宋体" w:cs="宋体"/>
          <w:color w:val="000000"/>
          <w:sz w:val="21"/>
          <w:szCs w:val="21"/>
        </w:rPr>
        <w:t>7. 本项目若涉及采购货物，则合格的货物及相应服务应满足以下要求：</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7.1必须是全新、未使用过的原装合格正品（包括零部件），如安装或配置了软件的，须为正版软件。</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7.2 国产的货物及其有关服务必须符合中华人民共和国的设计、制造生产标准及行业标准。招标公告有其他要求的，亦应符合其要求。</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7.3进口货物及其有关服务必须符合原产地和中华人民共和国的设计、制造生产标准及行业标准。进口的货物必须具有合法的进口手续和途径，并通过中华人民共和国商检部门检验。招标公告有其他要求的，亦应符合其要求。</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7.4投标人应保证，其所提供的货物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7.5投标人应保证，其所提供的货物应具有行政主管部门颁发的资质证书或国家质量监督部门的产品《检验报告》。设备到货验收时，还必须提供设备的产品合格证、质量保证文件。若中标后，除非另有约定，投标人必须按合同规定完成设备的安装，并达到验收标准。</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7.6对工期的要求：投标人在投标时对其所投项目应提交交货进度、交货计划等，在合同规定的时间内完工验收。</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7.7投标人必须承担的设备运输、安装调试、验收检测和提供设备操作说明书、图纸等其他相关及类似的义务。</w:t>
      </w:r>
    </w:p>
    <w:p>
      <w:pPr>
        <w:rPr>
          <w:rFonts w:ascii="宋体" w:hAnsi="宋体" w:eastAsia="宋体" w:cs="宋体"/>
          <w:color w:val="000000"/>
          <w:sz w:val="21"/>
          <w:szCs w:val="21"/>
        </w:rPr>
      </w:pPr>
      <w:r>
        <w:rPr>
          <w:rFonts w:hint="eastAsia" w:ascii="宋体" w:hAnsi="宋体" w:eastAsia="宋体" w:cs="宋体"/>
          <w:color w:val="000000"/>
          <w:sz w:val="21"/>
          <w:szCs w:val="21"/>
        </w:rPr>
        <w:t>8.投标费用</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不论投标结果如何，投标人应承担其编制投标文件与递交投标文件所涉及的一切费用。</w:t>
      </w:r>
    </w:p>
    <w:p>
      <w:pPr>
        <w:rPr>
          <w:rFonts w:ascii="宋体" w:hAnsi="宋体" w:eastAsia="宋体" w:cs="宋体"/>
          <w:color w:val="000000"/>
          <w:sz w:val="21"/>
          <w:szCs w:val="21"/>
        </w:rPr>
      </w:pPr>
      <w:r>
        <w:rPr>
          <w:rFonts w:hint="eastAsia" w:ascii="宋体" w:hAnsi="宋体" w:eastAsia="宋体" w:cs="宋体"/>
          <w:color w:val="000000"/>
          <w:sz w:val="21"/>
          <w:szCs w:val="21"/>
        </w:rPr>
        <w:t>9.踏勘现场</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9.1如有需要（详见专用条款），政府采购代理机构或采购人将组织投标人对项目现场及周围环境进行踏勘，以便投标人获取有关编制投标文件和签署合同所需的资料。踏勘现场所发生的费用由投标人自行承担。投标人应按招标公告所约定的时间、地点踏勘现场。</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9.2投标人及其人员经过采购人的允许，可以进入采购人的项目现场踏勘。若招标文件要求投标人于统一时间地点踏勘现场的，投标人应当按时前往。</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9.3采购人必须通过政府采购代理机构向投标人提供有关现场的资料和数据。</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9.4任何人或任何组织在踏勘现场时向投标人提交的任何书面资料或口头承诺，未经政府采购代理机构在网上发布或书面通知，均作无效处理。</w:t>
      </w:r>
    </w:p>
    <w:p>
      <w:pPr>
        <w:tabs>
          <w:tab w:val="left" w:pos="426"/>
        </w:tabs>
        <w:rPr>
          <w:rFonts w:ascii="宋体" w:hAnsi="宋体" w:eastAsia="宋体" w:cs="宋体"/>
          <w:color w:val="000000"/>
          <w:sz w:val="21"/>
          <w:szCs w:val="21"/>
        </w:rPr>
      </w:pPr>
      <w:r>
        <w:rPr>
          <w:rFonts w:hint="eastAsia" w:ascii="宋体" w:hAnsi="宋体" w:eastAsia="宋体" w:cs="宋体"/>
          <w:color w:val="000000"/>
          <w:sz w:val="21"/>
          <w:szCs w:val="21"/>
        </w:rPr>
        <w:t>10.招标采购的询问、质疑、投诉。</w:t>
      </w:r>
    </w:p>
    <w:p>
      <w:pPr>
        <w:tabs>
          <w:tab w:val="left" w:pos="426"/>
        </w:tabs>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10.1询问与澄清：供应商如认为采购文件存在不明确、不清晰和前后不一致等问题，要求对采购文件提出询问，应在采购文件公布之日依照相关法规要求在规定的时间内以书面形式提出。采购人或深圳市合创建设工程顾问有限公司依照相关法规要求作出答询或澄清（包括网站发布信息）。</w:t>
      </w:r>
    </w:p>
    <w:p>
      <w:pPr>
        <w:pStyle w:val="18"/>
        <w:spacing w:after="0"/>
        <w:ind w:left="0" w:leftChars="0"/>
        <w:rPr>
          <w:rFonts w:ascii="宋体" w:hAnsi="宋体" w:eastAsia="宋体" w:cs="宋体"/>
          <w:color w:val="000000"/>
          <w:sz w:val="21"/>
          <w:szCs w:val="21"/>
        </w:rPr>
      </w:pPr>
      <w:r>
        <w:rPr>
          <w:rFonts w:hint="eastAsia" w:ascii="宋体" w:hAnsi="宋体" w:eastAsia="宋体" w:cs="宋体"/>
          <w:color w:val="000000"/>
          <w:sz w:val="21"/>
          <w:szCs w:val="21"/>
        </w:rPr>
        <w:t>询问现场提交、邮寄地址：深圳市福田区彩田南路中深花园A座1006A室。</w:t>
      </w:r>
    </w:p>
    <w:p>
      <w:pPr>
        <w:pStyle w:val="43"/>
        <w:shd w:val="clear" w:color="auto" w:fill="FFFFFF"/>
        <w:spacing w:before="0" w:beforeAutospacing="0" w:after="0" w:afterAutospacing="0"/>
        <w:ind w:firstLine="420" w:firstLineChars="200"/>
        <w:textAlignment w:val="baseline"/>
        <w:rPr>
          <w:rFonts w:eastAsia="宋体"/>
          <w:color w:val="000000"/>
          <w:sz w:val="21"/>
          <w:szCs w:val="21"/>
        </w:rPr>
      </w:pPr>
      <w:r>
        <w:rPr>
          <w:rFonts w:hint="eastAsia" w:eastAsia="宋体"/>
          <w:color w:val="000000"/>
          <w:sz w:val="21"/>
          <w:szCs w:val="21"/>
        </w:rPr>
        <w:t>10.2质疑:参与供应商（投标人）认为采购文件、采购过程、中标或者成交结果使自己的权益受到损害的，可以在知道或者应知其权益受到损害之日起7个工作日内，以书面形式向采购人、采购代理机构提出质疑。</w:t>
      </w:r>
    </w:p>
    <w:p>
      <w:pPr>
        <w:pStyle w:val="43"/>
        <w:shd w:val="clear" w:color="auto" w:fill="FFFFFF"/>
        <w:spacing w:before="0" w:beforeAutospacing="0" w:after="0" w:afterAutospacing="0"/>
        <w:ind w:firstLine="420" w:firstLineChars="200"/>
        <w:textAlignment w:val="baseline"/>
        <w:rPr>
          <w:rFonts w:eastAsia="宋体"/>
          <w:color w:val="000000"/>
          <w:sz w:val="21"/>
          <w:szCs w:val="21"/>
        </w:rPr>
      </w:pPr>
      <w:r>
        <w:rPr>
          <w:rFonts w:hint="eastAsia" w:eastAsia="宋体"/>
          <w:color w:val="000000"/>
          <w:sz w:val="21"/>
          <w:szCs w:val="21"/>
        </w:rPr>
        <w:t>参与供应商应在在法定质疑期内一次性提出针对同一采购程序环节的质疑。参与供应商提出质疑应当提交质疑函和必要的证明材料。质疑函应当包括下列内容：</w:t>
      </w:r>
    </w:p>
    <w:p>
      <w:pPr>
        <w:pStyle w:val="43"/>
        <w:shd w:val="clear" w:color="auto" w:fill="FFFFFF"/>
        <w:spacing w:before="0" w:beforeAutospacing="0" w:after="0" w:afterAutospacing="0"/>
        <w:ind w:firstLine="420" w:firstLineChars="200"/>
        <w:textAlignment w:val="baseline"/>
        <w:rPr>
          <w:rFonts w:eastAsia="宋体"/>
          <w:color w:val="000000"/>
          <w:sz w:val="21"/>
          <w:szCs w:val="21"/>
        </w:rPr>
      </w:pPr>
      <w:r>
        <w:rPr>
          <w:rFonts w:hint="eastAsia" w:eastAsia="宋体"/>
          <w:color w:val="000000"/>
          <w:sz w:val="21"/>
          <w:szCs w:val="21"/>
        </w:rPr>
        <w:t>（一）供应商的姓名或者名称、地址、邮编、联系人及联系电话；</w:t>
      </w:r>
    </w:p>
    <w:p>
      <w:pPr>
        <w:pStyle w:val="43"/>
        <w:shd w:val="clear" w:color="auto" w:fill="FFFFFF"/>
        <w:spacing w:before="0" w:beforeAutospacing="0" w:after="0" w:afterAutospacing="0"/>
        <w:ind w:firstLine="420" w:firstLineChars="200"/>
        <w:textAlignment w:val="baseline"/>
        <w:rPr>
          <w:rFonts w:eastAsia="宋体"/>
          <w:color w:val="000000"/>
          <w:sz w:val="21"/>
          <w:szCs w:val="21"/>
        </w:rPr>
      </w:pPr>
      <w:r>
        <w:rPr>
          <w:rFonts w:hint="eastAsia" w:eastAsia="宋体"/>
          <w:color w:val="000000"/>
          <w:sz w:val="21"/>
          <w:szCs w:val="21"/>
        </w:rPr>
        <w:t>（二）质疑项目的名称、编号；</w:t>
      </w:r>
    </w:p>
    <w:p>
      <w:pPr>
        <w:pStyle w:val="43"/>
        <w:shd w:val="clear" w:color="auto" w:fill="FFFFFF"/>
        <w:spacing w:before="0" w:beforeAutospacing="0" w:after="0" w:afterAutospacing="0"/>
        <w:ind w:firstLine="420" w:firstLineChars="200"/>
        <w:textAlignment w:val="baseline"/>
        <w:rPr>
          <w:rFonts w:eastAsia="宋体"/>
          <w:color w:val="000000"/>
          <w:sz w:val="21"/>
          <w:szCs w:val="21"/>
        </w:rPr>
      </w:pPr>
      <w:r>
        <w:rPr>
          <w:rFonts w:hint="eastAsia" w:eastAsia="宋体"/>
          <w:color w:val="000000"/>
          <w:sz w:val="21"/>
          <w:szCs w:val="21"/>
        </w:rPr>
        <w:t>（三）具体、明确的质疑事项和与质疑事项相关的请求；</w:t>
      </w:r>
    </w:p>
    <w:p>
      <w:pPr>
        <w:pStyle w:val="43"/>
        <w:shd w:val="clear" w:color="auto" w:fill="FFFFFF"/>
        <w:spacing w:before="0" w:beforeAutospacing="0" w:after="0" w:afterAutospacing="0"/>
        <w:ind w:firstLine="420" w:firstLineChars="200"/>
        <w:textAlignment w:val="baseline"/>
        <w:rPr>
          <w:rFonts w:eastAsia="宋体"/>
          <w:color w:val="000000"/>
          <w:sz w:val="21"/>
          <w:szCs w:val="21"/>
        </w:rPr>
      </w:pPr>
      <w:r>
        <w:rPr>
          <w:rFonts w:hint="eastAsia" w:eastAsia="宋体"/>
          <w:color w:val="000000"/>
          <w:sz w:val="21"/>
          <w:szCs w:val="21"/>
        </w:rPr>
        <w:t>（四）事实依据；</w:t>
      </w:r>
    </w:p>
    <w:p>
      <w:pPr>
        <w:pStyle w:val="43"/>
        <w:shd w:val="clear" w:color="auto" w:fill="FFFFFF"/>
        <w:spacing w:before="0" w:beforeAutospacing="0" w:after="0" w:afterAutospacing="0"/>
        <w:ind w:firstLine="420" w:firstLineChars="200"/>
        <w:textAlignment w:val="baseline"/>
        <w:rPr>
          <w:rFonts w:eastAsia="宋体"/>
          <w:color w:val="000000"/>
          <w:sz w:val="21"/>
          <w:szCs w:val="21"/>
        </w:rPr>
      </w:pPr>
      <w:r>
        <w:rPr>
          <w:rFonts w:hint="eastAsia" w:eastAsia="宋体"/>
          <w:color w:val="000000"/>
          <w:sz w:val="21"/>
          <w:szCs w:val="21"/>
        </w:rPr>
        <w:t>（五）必要的法律依据；</w:t>
      </w:r>
    </w:p>
    <w:p>
      <w:pPr>
        <w:pStyle w:val="43"/>
        <w:shd w:val="clear" w:color="auto" w:fill="FFFFFF"/>
        <w:spacing w:before="0" w:beforeAutospacing="0" w:after="0" w:afterAutospacing="0"/>
        <w:ind w:firstLine="420" w:firstLineChars="200"/>
        <w:textAlignment w:val="baseline"/>
        <w:rPr>
          <w:rFonts w:eastAsia="宋体"/>
          <w:color w:val="000000"/>
          <w:sz w:val="21"/>
          <w:szCs w:val="21"/>
        </w:rPr>
      </w:pPr>
      <w:r>
        <w:rPr>
          <w:rFonts w:hint="eastAsia" w:eastAsia="宋体"/>
          <w:color w:val="000000"/>
          <w:sz w:val="21"/>
          <w:szCs w:val="21"/>
        </w:rPr>
        <w:t>（六）提出质疑的日期。</w:t>
      </w:r>
    </w:p>
    <w:p>
      <w:pPr>
        <w:pStyle w:val="43"/>
        <w:shd w:val="clear" w:color="auto" w:fill="FFFFFF"/>
        <w:spacing w:before="0" w:beforeAutospacing="0" w:after="0" w:afterAutospacing="0"/>
        <w:ind w:left="105" w:firstLine="420" w:firstLineChars="200"/>
        <w:textAlignment w:val="baseline"/>
        <w:rPr>
          <w:rFonts w:eastAsia="宋体"/>
          <w:color w:val="000000"/>
          <w:sz w:val="21"/>
          <w:szCs w:val="21"/>
        </w:rPr>
      </w:pPr>
      <w:r>
        <w:rPr>
          <w:rFonts w:hint="eastAsia" w:eastAsia="宋体"/>
          <w:color w:val="000000"/>
          <w:sz w:val="21"/>
          <w:szCs w:val="21"/>
        </w:rPr>
        <w:t>供应商为自然人的，应当由本人签字；供应商为法人或者其他组织的，应当由法定代表人、主要负责人，或者其授权代表签字或者盖章，并加盖公章。</w:t>
      </w:r>
    </w:p>
    <w:p>
      <w:pPr>
        <w:pStyle w:val="18"/>
        <w:spacing w:after="0"/>
        <w:ind w:left="0" w:leftChars="0"/>
        <w:rPr>
          <w:rFonts w:ascii="宋体" w:hAnsi="宋体" w:eastAsia="宋体" w:cs="宋体"/>
          <w:color w:val="000000"/>
          <w:sz w:val="21"/>
          <w:szCs w:val="21"/>
        </w:rPr>
      </w:pPr>
      <w:r>
        <w:rPr>
          <w:rFonts w:hint="eastAsia" w:ascii="宋体" w:hAnsi="宋体" w:eastAsia="宋体" w:cs="宋体"/>
          <w:color w:val="000000"/>
          <w:sz w:val="21"/>
          <w:szCs w:val="21"/>
        </w:rPr>
        <w:t>质疑函现场提交、邮寄地址：深圳市福田区彩田南路中深花园A座1006A室。</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10.3政府采购代理机构对疑问所做出的澄清和解答，以书面答复（包括网站发布信息）为准。答疑纪要的有效性规定按照本通用条款第13.3、13.4款规定执行。</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10.4如政府采购代理机构认为有必要组织现场答疑会，投标人应按照招标文件规定的时间或集中采购机构另行书面通知（包括网站发布的通知）的时间和地点，参与现场答疑会。</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10.5投诉</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质疑供应商对采购人、采购代理机构的答复不满意，或者采购人、采购代理机构未在规定时间内作出答复的，可以在答复期满后15个工作日内向法规规定的资金预算监管部门（财政部门）提起投诉。</w:t>
      </w:r>
    </w:p>
    <w:p>
      <w:pPr>
        <w:keepNext/>
        <w:keepLines/>
        <w:adjustRightInd w:val="0"/>
        <w:spacing w:before="120" w:beforeLines="50" w:after="120" w:afterLines="50"/>
        <w:jc w:val="center"/>
        <w:textAlignment w:val="baseline"/>
        <w:outlineLvl w:val="1"/>
        <w:rPr>
          <w:rFonts w:ascii="宋体" w:hAnsi="宋体" w:eastAsia="宋体" w:cs="宋体"/>
          <w:b/>
          <w:bCs/>
          <w:color w:val="000000"/>
          <w:sz w:val="28"/>
          <w:szCs w:val="28"/>
        </w:rPr>
      </w:pPr>
      <w:r>
        <w:rPr>
          <w:rFonts w:hint="eastAsia" w:ascii="宋体" w:hAnsi="宋体" w:eastAsia="宋体" w:cs="宋体"/>
          <w:b/>
          <w:bCs/>
          <w:color w:val="000000"/>
          <w:sz w:val="28"/>
          <w:szCs w:val="28"/>
        </w:rPr>
        <w:t>第二章 招标文件</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11．招标文件的编制与组成</w:t>
      </w:r>
    </w:p>
    <w:p>
      <w:pPr>
        <w:snapToGrid w:val="0"/>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11.1招标文件除以下内容外，政府采购代理机构在招标（或谈判）期间发出的答疑、澄清或修改等相关公告或通知内容，均是招标文件的组成部分，对投标人起约束作用；</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招标文件包括下列内容：</w:t>
      </w:r>
    </w:p>
    <w:p>
      <w:pPr>
        <w:ind w:left="480" w:leftChars="200" w:firstLine="422" w:firstLineChars="200"/>
        <w:rPr>
          <w:rFonts w:ascii="宋体" w:hAnsi="宋体" w:eastAsia="宋体" w:cs="宋体"/>
          <w:b/>
          <w:color w:val="000000"/>
          <w:sz w:val="21"/>
          <w:szCs w:val="21"/>
        </w:rPr>
      </w:pPr>
      <w:r>
        <w:rPr>
          <w:rFonts w:hint="eastAsia" w:ascii="宋体" w:hAnsi="宋体" w:eastAsia="宋体" w:cs="宋体"/>
          <w:b/>
          <w:color w:val="000000"/>
          <w:sz w:val="21"/>
          <w:szCs w:val="21"/>
        </w:rPr>
        <w:t>第一册  专用条款（以本项目的排序为准）</w:t>
      </w:r>
    </w:p>
    <w:p>
      <w:pPr>
        <w:ind w:firstLine="843" w:firstLineChars="400"/>
        <w:rPr>
          <w:rFonts w:ascii="宋体" w:hAnsi="宋体" w:eastAsia="宋体" w:cs="宋体"/>
          <w:b/>
          <w:color w:val="000000"/>
          <w:sz w:val="21"/>
          <w:szCs w:val="21"/>
        </w:rPr>
      </w:pPr>
      <w:r>
        <w:rPr>
          <w:rFonts w:hint="eastAsia" w:ascii="宋体" w:hAnsi="宋体" w:eastAsia="宋体" w:cs="宋体"/>
          <w:b/>
          <w:color w:val="000000"/>
          <w:sz w:val="21"/>
          <w:szCs w:val="21"/>
        </w:rPr>
        <w:t>关键信息</w:t>
      </w:r>
    </w:p>
    <w:p>
      <w:pPr>
        <w:ind w:left="720" w:leftChars="300"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第一章  招标公告</w:t>
      </w:r>
    </w:p>
    <w:p>
      <w:pPr>
        <w:ind w:left="720" w:leftChars="300"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第二章  对通用条款的补充内容及其他关键信息</w:t>
      </w:r>
    </w:p>
    <w:p>
      <w:pPr>
        <w:ind w:left="720" w:leftChars="300" w:firstLine="420" w:firstLineChars="200"/>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第三章  </w:t>
      </w:r>
      <w:r>
        <w:rPr>
          <w:rFonts w:hint="eastAsia" w:ascii="宋体" w:hAnsi="宋体" w:eastAsia="宋体" w:cs="宋体"/>
          <w:color w:val="000000"/>
          <w:sz w:val="21"/>
          <w:szCs w:val="21"/>
          <w:lang w:val="en-US" w:eastAsia="zh-CN"/>
        </w:rPr>
        <w:t>用户需求书</w:t>
      </w:r>
    </w:p>
    <w:p>
      <w:pPr>
        <w:ind w:left="720" w:leftChars="300"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第</w:t>
      </w:r>
      <w:r>
        <w:rPr>
          <w:rFonts w:hint="eastAsia" w:ascii="宋体" w:hAnsi="宋体" w:eastAsia="宋体" w:cs="宋体"/>
          <w:color w:val="000000"/>
          <w:sz w:val="21"/>
          <w:szCs w:val="21"/>
          <w:lang w:val="en-US" w:eastAsia="zh-CN"/>
        </w:rPr>
        <w:t>四</w:t>
      </w:r>
      <w:r>
        <w:rPr>
          <w:rFonts w:hint="eastAsia" w:ascii="宋体" w:hAnsi="宋体" w:eastAsia="宋体" w:cs="宋体"/>
          <w:color w:val="000000"/>
          <w:sz w:val="21"/>
          <w:szCs w:val="21"/>
        </w:rPr>
        <w:t>章  投标文件格式、附件</w:t>
      </w:r>
    </w:p>
    <w:p>
      <w:pPr>
        <w:ind w:left="720" w:leftChars="300"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第</w:t>
      </w:r>
      <w:r>
        <w:rPr>
          <w:rFonts w:hint="eastAsia" w:ascii="宋体" w:hAnsi="宋体" w:eastAsia="宋体" w:cs="宋体"/>
          <w:color w:val="000000"/>
          <w:sz w:val="21"/>
          <w:szCs w:val="21"/>
          <w:lang w:val="en-US" w:eastAsia="zh-CN"/>
        </w:rPr>
        <w:t>五</w:t>
      </w:r>
      <w:r>
        <w:rPr>
          <w:rFonts w:hint="eastAsia" w:ascii="宋体" w:hAnsi="宋体" w:eastAsia="宋体" w:cs="宋体"/>
          <w:color w:val="000000"/>
          <w:sz w:val="21"/>
          <w:szCs w:val="21"/>
        </w:rPr>
        <w:t xml:space="preserve">章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合同及履约情况反馈格式</w:t>
      </w:r>
    </w:p>
    <w:p>
      <w:pPr>
        <w:ind w:left="480" w:leftChars="200" w:firstLine="422" w:firstLineChars="200"/>
        <w:rPr>
          <w:rFonts w:ascii="宋体" w:hAnsi="宋体" w:eastAsia="宋体" w:cs="宋体"/>
          <w:b/>
          <w:color w:val="000000"/>
          <w:sz w:val="21"/>
          <w:szCs w:val="21"/>
        </w:rPr>
      </w:pPr>
    </w:p>
    <w:p>
      <w:pPr>
        <w:ind w:left="480" w:leftChars="200" w:firstLine="422" w:firstLineChars="200"/>
        <w:rPr>
          <w:rFonts w:ascii="宋体" w:hAnsi="宋体" w:eastAsia="宋体" w:cs="宋体"/>
          <w:b/>
          <w:color w:val="000000"/>
          <w:sz w:val="21"/>
          <w:szCs w:val="21"/>
        </w:rPr>
      </w:pPr>
      <w:r>
        <w:rPr>
          <w:rFonts w:hint="eastAsia" w:ascii="宋体" w:hAnsi="宋体" w:eastAsia="宋体" w:cs="宋体"/>
          <w:b/>
          <w:color w:val="000000"/>
          <w:sz w:val="21"/>
          <w:szCs w:val="21"/>
        </w:rPr>
        <w:t>第二册  通用条款</w:t>
      </w:r>
    </w:p>
    <w:p>
      <w:pPr>
        <w:ind w:left="720" w:leftChars="300"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第一章  总则</w:t>
      </w:r>
    </w:p>
    <w:p>
      <w:pPr>
        <w:ind w:left="720" w:leftChars="300"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第二章  招标文件</w:t>
      </w:r>
    </w:p>
    <w:p>
      <w:pPr>
        <w:ind w:left="720" w:leftChars="300"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第三章  投标文件的编制</w:t>
      </w:r>
    </w:p>
    <w:p>
      <w:pPr>
        <w:ind w:left="720" w:leftChars="300"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第四章  投标文件的递交</w:t>
      </w:r>
    </w:p>
    <w:p>
      <w:pPr>
        <w:ind w:left="720" w:leftChars="300"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第五章  开标</w:t>
      </w:r>
    </w:p>
    <w:p>
      <w:pPr>
        <w:ind w:left="720" w:leftChars="300"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第六章  评标要求</w:t>
      </w:r>
    </w:p>
    <w:p>
      <w:pPr>
        <w:ind w:left="720" w:leftChars="300"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第七章  评标程序及评标方法</w:t>
      </w:r>
    </w:p>
    <w:p>
      <w:pPr>
        <w:ind w:left="720" w:leftChars="300"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第八章  定标及公示</w:t>
      </w:r>
    </w:p>
    <w:p>
      <w:pPr>
        <w:ind w:left="720" w:leftChars="300"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第九章  公开招标失败的后续处理</w:t>
      </w:r>
    </w:p>
    <w:p>
      <w:pPr>
        <w:ind w:left="720" w:leftChars="300"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第十章  合同的授予与备案</w:t>
      </w:r>
    </w:p>
    <w:p>
      <w:pPr>
        <w:ind w:left="720" w:leftChars="300"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第十一章 质疑处理</w:t>
      </w:r>
    </w:p>
    <w:p>
      <w:pPr>
        <w:ind w:left="720" w:leftChars="300" w:firstLine="420" w:firstLineChars="200"/>
        <w:rPr>
          <w:rFonts w:ascii="宋体" w:hAnsi="宋体" w:eastAsia="宋体" w:cs="宋体"/>
          <w:b/>
          <w:color w:val="000000"/>
          <w:sz w:val="21"/>
          <w:szCs w:val="21"/>
        </w:rPr>
      </w:pPr>
      <w:r>
        <w:rPr>
          <w:rFonts w:hint="eastAsia" w:ascii="宋体" w:hAnsi="宋体" w:eastAsia="宋体" w:cs="宋体"/>
          <w:color w:val="000000"/>
          <w:sz w:val="21"/>
          <w:szCs w:val="21"/>
        </w:rPr>
        <w:t>第十二章 中标代理服务费</w:t>
      </w:r>
    </w:p>
    <w:p>
      <w:pPr>
        <w:ind w:left="720" w:leftChars="300" w:firstLine="420" w:firstLineChars="200"/>
        <w:rPr>
          <w:rFonts w:ascii="宋体" w:hAnsi="宋体" w:eastAsia="宋体" w:cs="宋体"/>
          <w:color w:val="000000"/>
          <w:sz w:val="21"/>
          <w:szCs w:val="21"/>
        </w:rPr>
      </w:pP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11.2 投标人下载招标文件后，应仔细检查招标文件的所有内容，如有疑问应在答疑截止时间之前向政府采购代理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11.3任何人或任何组织向投标人提交的任何书面或口头资料，未经政府采购代理机构在网上发布或书面通知，均作无效处理，不得作为招标文件的组成部分。政府采购代理机构对投标人由此而做出的推论、理解和结论概不负责。</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12．招标文件的澄清</w:t>
      </w:r>
    </w:p>
    <w:p>
      <w:pPr>
        <w:snapToGrid w:val="0"/>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12.1投标人如对招标文件内容有疑问，必须在招标文件规定的答疑截止时间前以网上提问形式提交给政府采购代理机构。不论是政府采购代理机构根据需要主动对招标文件进行必要的澄清或是根据投标人的要求对招标文件做出澄清，政府采购代理机构都将在投标截止日期前以书面形式（包括政府采购代理机构网站公开发布方式）答复或发送给所有投标人。澄清纪要作为招标文件的组成部分，对投标人起约束作用；</w:t>
      </w:r>
    </w:p>
    <w:p>
      <w:pPr>
        <w:snapToGrid w:val="0"/>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12.2对于没有提出澄清又参与了该项目投标的供应商将被视为完全认同该招标文件（含澄清纪要），投标截止期后不再受理针对招标文件的相关质疑或投诉。</w:t>
      </w:r>
    </w:p>
    <w:p>
      <w:pPr>
        <w:snapToGrid w:val="0"/>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12.3 对招标文件中描述有歧意或前后不一致的地方，评审委员会有权进行评判，但对同一条款的评判应适用于每个投标人。</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13．招标文件的修改</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13.1招标文件发出后，在投标截止日期前任何时候，确需要变更招标内容的，政府采购代理机构可主动或在解答投标人提出的澄清问题时对招标文件进行修改；</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13.2招标文件的修改以书面形式（包括网站公开发布方式）发送给所有投标人，招标文件的修改内容作为招标文件的组成部分，并具有约束力。</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13.3招标文件、招标文件澄清（答疑）纪要、招标文件修改补充通知内容均以书面（包括网站公开发布方式）明确的内容为准。当招标文件、修改补充通知、澄清（答疑）纪要内容相互矛盾时，以最后发出的内容为准；</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13.4政府采购代理机构保证招标文件澄清（答疑）纪要和招标文件修改补充通知在投标截止时间前以网站公开发布形式或书面形式发送给所有投标人。为使投标人在编写投标文件时有充分时间对招标文件的修改部分进行研究，政府采购代理机构可以酌情延长递交投标文件的截止日期，具体时间将在修改补充通知中明确。</w:t>
      </w:r>
    </w:p>
    <w:p>
      <w:pPr>
        <w:ind w:firstLine="472" w:firstLineChars="196"/>
        <w:rPr>
          <w:rFonts w:ascii="宋体" w:hAnsi="宋体" w:eastAsia="宋体" w:cs="宋体"/>
          <w:b/>
          <w:bCs/>
          <w:color w:val="000000"/>
          <w:szCs w:val="21"/>
        </w:rPr>
      </w:pPr>
    </w:p>
    <w:p>
      <w:pPr>
        <w:keepNext/>
        <w:keepLines/>
        <w:adjustRightInd w:val="0"/>
        <w:spacing w:before="120" w:beforeLines="50" w:after="120" w:afterLines="50"/>
        <w:jc w:val="center"/>
        <w:textAlignment w:val="baseline"/>
        <w:outlineLvl w:val="1"/>
        <w:rPr>
          <w:rFonts w:ascii="宋体" w:hAnsi="宋体" w:eastAsia="宋体" w:cs="宋体"/>
          <w:b/>
          <w:bCs/>
          <w:color w:val="000000"/>
          <w:sz w:val="28"/>
          <w:szCs w:val="28"/>
        </w:rPr>
      </w:pPr>
      <w:r>
        <w:rPr>
          <w:rFonts w:hint="eastAsia" w:ascii="宋体" w:hAnsi="宋体" w:eastAsia="宋体" w:cs="宋体"/>
          <w:b/>
          <w:bCs/>
          <w:color w:val="000000"/>
          <w:sz w:val="28"/>
          <w:szCs w:val="28"/>
        </w:rPr>
        <w:t>第三章 投标文件的编制</w:t>
      </w:r>
    </w:p>
    <w:p>
      <w:pPr>
        <w:rPr>
          <w:rFonts w:ascii="宋体" w:hAnsi="宋体" w:eastAsia="宋体" w:cs="宋体"/>
          <w:color w:val="000000"/>
          <w:sz w:val="21"/>
          <w:szCs w:val="21"/>
        </w:rPr>
      </w:pPr>
      <w:r>
        <w:rPr>
          <w:rFonts w:hint="eastAsia" w:ascii="宋体" w:hAnsi="宋体" w:eastAsia="宋体" w:cs="宋体"/>
          <w:color w:val="000000"/>
          <w:sz w:val="21"/>
          <w:szCs w:val="21"/>
        </w:rPr>
        <w:t>14.投标文件的编制、语言及度量单位</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14.1 投标人应在认真阅读招标文件所有内容的基础上，按照招标文件的要求编制完整的投标文件。招标文件中对投标文件格式有要求的，投标人必须全部填写格式中要求的所有内容。无相应内容可填的项应填写“无”、“没有相应指标”等明确的回答文字。有具体数值的应填写具体数值，而不能笼统地响应为“符合”、“满足”等结论性内容。</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14.2投标人必须保证投标文件所提供的全部信息和资料是真实的和正确的，并接受评标委员会对其中任何资料进一步审查的要求。投标人提交的资料将被保密，但不退还。</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投标人投标文件所提供的有关证明文件，包括但不限于营业执照、机构登记证、经营许可证、生产许可证、产品注册证、第三方检测报告、质量体系证书、荣誉证书、奖励奖项等，都必须是国家机关签发、或在中国合法登记设立并有权颁发相关证明文件的机构签发。</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14.3  投标文件须对招标文件中的内容做出实质性和完整的响应，否则其投标将被视为无效标被拒绝。</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14.4 投标文件的编制可在招标文件提供的格式基础上扩展加页。需投标人自行编写的投标内容，投标人应采用简洁、清晰的文件格式。投标文件编制格式其它特殊要求详见</w:t>
      </w:r>
      <w:r>
        <w:rPr>
          <w:rFonts w:hint="eastAsia" w:ascii="宋体" w:hAnsi="宋体" w:eastAsia="宋体" w:cs="宋体"/>
          <w:b/>
          <w:bCs/>
          <w:color w:val="000000"/>
          <w:sz w:val="21"/>
          <w:szCs w:val="21"/>
        </w:rPr>
        <w:t>本须知前附表</w:t>
      </w:r>
      <w:r>
        <w:rPr>
          <w:rFonts w:hint="eastAsia" w:ascii="宋体" w:hAnsi="宋体" w:eastAsia="宋体" w:cs="宋体"/>
          <w:color w:val="000000"/>
          <w:sz w:val="21"/>
          <w:szCs w:val="21"/>
        </w:rPr>
        <w:t>。</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14.5 投标人在投标文件中提供的有关证明文件（如营业执照、经营许可证、生产许可证、产品注册证、第三方检测报告、质量体系证书、产品说明书和样本等）等应为原件的复印件或者清晰的扫描件。</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14.6 投标人与政府采购代理机构之间与投标有关的所有往来通知、函件和投标文件均用中文表述。投标人随投标文件提供的证明文件和资料可以为其它语言，但必须附中文译文。翻译的中文资料与外文资料如果出现差异时，以中文为准，但翻译错误的除外。</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14.7 除技术规范另有规定外，投标文件使用的度量单位，均采用中华人民共和国法定计量单位。</w:t>
      </w:r>
    </w:p>
    <w:p>
      <w:pPr>
        <w:rPr>
          <w:rFonts w:ascii="宋体" w:hAnsi="宋体" w:eastAsia="宋体" w:cs="宋体"/>
          <w:color w:val="000000"/>
          <w:sz w:val="21"/>
          <w:szCs w:val="21"/>
        </w:rPr>
      </w:pPr>
      <w:r>
        <w:rPr>
          <w:rFonts w:hint="eastAsia" w:ascii="宋体" w:hAnsi="宋体" w:eastAsia="宋体" w:cs="宋体"/>
          <w:color w:val="000000"/>
          <w:sz w:val="21"/>
          <w:szCs w:val="21"/>
        </w:rPr>
        <w:t>15.投标文件的组成</w:t>
      </w:r>
    </w:p>
    <w:p>
      <w:pPr>
        <w:ind w:firstLine="422" w:firstLineChars="200"/>
        <w:rPr>
          <w:rFonts w:ascii="宋体" w:hAnsi="宋体" w:eastAsia="宋体" w:cs="宋体"/>
          <w:b/>
          <w:color w:val="000000"/>
          <w:sz w:val="21"/>
          <w:szCs w:val="21"/>
        </w:rPr>
      </w:pPr>
      <w:r>
        <w:rPr>
          <w:rFonts w:hint="eastAsia" w:ascii="宋体" w:hAnsi="宋体" w:eastAsia="宋体" w:cs="宋体"/>
          <w:b/>
          <w:color w:val="000000"/>
          <w:sz w:val="21"/>
          <w:szCs w:val="21"/>
        </w:rPr>
        <w:t>具体内容请详见本项目</w:t>
      </w:r>
      <w:r>
        <w:rPr>
          <w:rFonts w:hint="eastAsia" w:ascii="宋体" w:hAnsi="宋体" w:eastAsia="宋体" w:cs="宋体"/>
          <w:b/>
          <w:bCs/>
          <w:color w:val="000000"/>
          <w:sz w:val="21"/>
          <w:szCs w:val="21"/>
        </w:rPr>
        <w:t>招标文件第一册“专用条款”</w:t>
      </w:r>
      <w:r>
        <w:rPr>
          <w:rFonts w:hint="eastAsia" w:ascii="宋体" w:hAnsi="宋体" w:eastAsia="宋体" w:cs="宋体"/>
          <w:b/>
          <w:color w:val="000000"/>
          <w:sz w:val="21"/>
          <w:szCs w:val="21"/>
        </w:rPr>
        <w:t>的相关内容。</w:t>
      </w:r>
    </w:p>
    <w:p>
      <w:pPr>
        <w:rPr>
          <w:rFonts w:ascii="宋体" w:hAnsi="宋体" w:eastAsia="宋体" w:cs="宋体"/>
          <w:color w:val="000000"/>
          <w:sz w:val="21"/>
          <w:szCs w:val="21"/>
        </w:rPr>
      </w:pPr>
      <w:r>
        <w:rPr>
          <w:rFonts w:hint="eastAsia" w:ascii="宋体" w:hAnsi="宋体" w:eastAsia="宋体" w:cs="宋体"/>
          <w:color w:val="000000"/>
          <w:sz w:val="21"/>
          <w:szCs w:val="21"/>
        </w:rPr>
        <w:t>16.投标文件格式</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投标文件包括本通用条款第15条中规定的内容。如招标文件提供了投标文件格式，则</w:t>
      </w:r>
      <w:r>
        <w:rPr>
          <w:rFonts w:hint="eastAsia" w:ascii="宋体" w:hAnsi="宋体" w:eastAsia="宋体" w:cs="宋体"/>
          <w:b/>
          <w:bCs/>
          <w:color w:val="000000"/>
          <w:sz w:val="21"/>
          <w:szCs w:val="21"/>
        </w:rPr>
        <w:t>投标人提交的投标文件应毫无例外地使用招标文件所提供的相应格式</w:t>
      </w:r>
      <w:r>
        <w:rPr>
          <w:rFonts w:hint="eastAsia" w:ascii="宋体" w:hAnsi="宋体" w:eastAsia="宋体" w:cs="宋体"/>
          <w:color w:val="000000"/>
          <w:sz w:val="21"/>
          <w:szCs w:val="21"/>
        </w:rPr>
        <w:t>（表格可以按同样格式扩展）。</w:t>
      </w:r>
    </w:p>
    <w:p>
      <w:pPr>
        <w:rPr>
          <w:rFonts w:ascii="宋体" w:hAnsi="宋体" w:eastAsia="宋体" w:cs="宋体"/>
          <w:color w:val="000000"/>
          <w:sz w:val="21"/>
          <w:szCs w:val="21"/>
        </w:rPr>
      </w:pPr>
      <w:r>
        <w:rPr>
          <w:rFonts w:hint="eastAsia" w:ascii="宋体" w:hAnsi="宋体" w:eastAsia="宋体" w:cs="宋体"/>
          <w:color w:val="000000"/>
          <w:sz w:val="21"/>
          <w:szCs w:val="21"/>
        </w:rPr>
        <w:t>17.投标货币</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本项目的投标应以人民币计。</w:t>
      </w:r>
    </w:p>
    <w:p>
      <w:pPr>
        <w:rPr>
          <w:rFonts w:ascii="宋体" w:hAnsi="宋体" w:eastAsia="宋体" w:cs="宋体"/>
          <w:color w:val="000000"/>
          <w:sz w:val="21"/>
          <w:szCs w:val="21"/>
        </w:rPr>
      </w:pPr>
      <w:r>
        <w:rPr>
          <w:rFonts w:hint="eastAsia" w:ascii="宋体" w:hAnsi="宋体" w:eastAsia="宋体" w:cs="宋体"/>
          <w:color w:val="000000"/>
          <w:sz w:val="21"/>
          <w:szCs w:val="21"/>
        </w:rPr>
        <w:t>18.证明投标文件投标技术方案的合格性和符合招标文件规定的文件要求</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18.1投标人应提交证明文件证明其投标技术方案项下的货物、工程和服务的合格性符合招标文件规定。该投标技术方案及其证明文件作为投标文件的一部分。</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18.2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18.2.1主要技术指标和性能的详细说明。</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18.2.2投标产品从采购人开始使用至招标文件中规定的周期内正常、连续地使用所必须的备件和专用工具清单，包括备件和专用工具的货源及现行价格。</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18.2.3对照招标文件技术规格，逐条说明投标技术方案已对采购人的技术规格做出了实质性的响应，或申明与技术规格条文的偏差和例外。投标人应详细说明投标技术方案中产品的具体参数，不得照搬照抄招标文件的技术要求。</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清晰度要求能够使用电脑阅读、识别和判断；</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18.2.5我国政府机构出具的产品检验和核准证件应为证件正面、背面和附件标注的全部具体内容；产品检验和核准证件的尺寸和清晰度应该能够在电脑上被阅读、识别和判断，提供原件扫描件。</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18.3相关资料不符合18.2款要求的，评审委员会有权认定为投标技术方案不合格响应，其相关分数予以扣减或作投标无效处理。</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18.4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满足要求，由评审委员会来评判。</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18.5为保证公平公正，除非另有规定或说明，投标人对同一项目投标时，不得同时提供两套或两套以上的投标方案。</w:t>
      </w:r>
    </w:p>
    <w:p>
      <w:pPr>
        <w:rPr>
          <w:rFonts w:ascii="宋体" w:hAnsi="宋体" w:eastAsia="宋体" w:cs="宋体"/>
          <w:color w:val="000000"/>
          <w:sz w:val="21"/>
          <w:szCs w:val="21"/>
        </w:rPr>
      </w:pPr>
      <w:r>
        <w:rPr>
          <w:rFonts w:hint="eastAsia" w:ascii="宋体" w:hAnsi="宋体" w:eastAsia="宋体" w:cs="宋体"/>
          <w:color w:val="000000"/>
          <w:sz w:val="21"/>
          <w:szCs w:val="21"/>
        </w:rPr>
        <w:t>19.投标文件其他证明文件的要求</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19.1对项目招标文件《评标信息》评分项中涉及的相关业绩、社保情况等内容以及《资格性审查表》和《符合性审查表》中涉及的证明材料，投标人应提供相关部门出具的证明材料扫描件或照片，原件备查。有关扫描件（或照片）的尺寸和清晰度要求能够使用电脑阅读、识别和判断。若投标人未按要求提供证明材料或提供的是部分证明材料或提供不清晰的扫描件（或照片）或有意涂改遮挡的，评审委员会有权认定其投标文件未对招标文件有关需求进行响应，涉及资格性检查或符合性检查的予以投标无效处理，涉及《评标信息》打分项的则该项评分予以0分处理。评审委员会对供应商投标资料是否异常、是否有效问题进行核查和判定，如认为供应商投标资料有异常或无效的，若涉及资格审查或符合性审查条款的，则应作投标无效处理；若涉及评分的，则作不得分处理。投标资料异常核查范围为：质疑函、被质疑供应商投标文件资料、被质疑供应商答辩说明、被质疑资料原件、被质疑资料相应官方查询渠道查询到的信息等。以下情形可由评审委员会判定投标资料无效：</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（1）被质疑供应商未能在合理时间内提供资料原件核对，且不能合理说明的；</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（2）被质疑供应商提供的资料原件与投标文件资料不一致的；</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（3）被质疑供应商投标文件资料信息与在相应官方查询渠道查询到的信息不一致，且不能合理说明的。</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19.2本项目涉及提供的有关资质证书，若原有资质证书处于年审期间，须提供证书颁发部门提供的回执，并且回执须证明该证书依然有效（若在法规范围不需提供的，供应商应做书面说明并提供证明文件，否则该证书无效），则该投标人提供年审证明的可按原资质投标；若投标人正在申报上一级别资质，在未获批准之前，仍按原级别资质投标。</w:t>
      </w:r>
    </w:p>
    <w:p>
      <w:pPr>
        <w:rPr>
          <w:rFonts w:ascii="宋体" w:hAnsi="宋体" w:eastAsia="宋体" w:cs="宋体"/>
          <w:color w:val="000000"/>
          <w:sz w:val="21"/>
          <w:szCs w:val="21"/>
        </w:rPr>
      </w:pPr>
      <w:r>
        <w:rPr>
          <w:rFonts w:hint="eastAsia" w:ascii="宋体" w:hAnsi="宋体" w:eastAsia="宋体" w:cs="宋体"/>
          <w:color w:val="000000"/>
          <w:sz w:val="21"/>
          <w:szCs w:val="21"/>
        </w:rPr>
        <w:t>20.投标有效期</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20.1投标有效期为从投标截止之日算起的日历天数，具体见专用条款中投标有效期的天数要求。在此期限内，所有投标文件均保持有效；</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20.2在特殊的情况下，政府采购代理机构在原定的投标有效期满之前，政府采购代理机构可以根据需要以书面形式（包括网站公开发布方式）向投标人提出延长投标有效期的要求，对此要求投标人须以书面形式予以答复，投标人可以拒绝政府采购代理机构此项要求，其投标在原投标有效期满后不再有效。同意延长投标有效期的投标人不能要求也不允许修改其投标文件，但应当相应的延长投标担保有效期；</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20.3中标单位的投标书有效期，截止于完成本招标文件规定的全部项目内容，并通过竣工验收及保修结束。</w:t>
      </w:r>
    </w:p>
    <w:p>
      <w:pPr>
        <w:rPr>
          <w:rFonts w:ascii="宋体" w:hAnsi="宋体" w:eastAsia="宋体" w:cs="宋体"/>
          <w:color w:val="000000"/>
          <w:sz w:val="21"/>
          <w:szCs w:val="21"/>
        </w:rPr>
      </w:pPr>
      <w:r>
        <w:rPr>
          <w:rFonts w:hint="eastAsia" w:ascii="宋体" w:hAnsi="宋体" w:eastAsia="宋体" w:cs="宋体"/>
          <w:color w:val="000000"/>
          <w:sz w:val="21"/>
          <w:szCs w:val="21"/>
        </w:rPr>
        <w:t xml:space="preserve">21.关于投标保证金 </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21.1根据《深圳市财政局关于明确政府采购保证金管理工作的通知》（深财购[2019]42号）文的规定，本项目不收取投标保证金。</w:t>
      </w:r>
    </w:p>
    <w:p>
      <w:pPr>
        <w:rPr>
          <w:rFonts w:ascii="宋体" w:hAnsi="宋体" w:eastAsia="宋体" w:cs="宋体"/>
          <w:color w:val="000000"/>
          <w:sz w:val="21"/>
          <w:szCs w:val="21"/>
        </w:rPr>
      </w:pPr>
      <w:r>
        <w:rPr>
          <w:rFonts w:hint="eastAsia" w:ascii="宋体" w:hAnsi="宋体" w:eastAsia="宋体" w:cs="宋体"/>
          <w:color w:val="000000"/>
          <w:sz w:val="21"/>
          <w:szCs w:val="21"/>
        </w:rPr>
        <w:t>22.投标人的替代方案</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22.1投标人所提交的投标文件应完全满足招标文件（包括图纸和技术规范所示的基本技术设计）的要求。除非招标的项目明确允许投标人提交替代方案，否则投标人有关替代方案的条款将初审不通过，投标无效。</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p>
    <w:p>
      <w:pPr>
        <w:rPr>
          <w:rFonts w:ascii="宋体" w:hAnsi="宋体" w:eastAsia="宋体" w:cs="宋体"/>
          <w:color w:val="000000"/>
          <w:sz w:val="21"/>
          <w:szCs w:val="21"/>
        </w:rPr>
      </w:pPr>
      <w:r>
        <w:rPr>
          <w:rFonts w:hint="eastAsia" w:ascii="宋体" w:hAnsi="宋体" w:eastAsia="宋体" w:cs="宋体"/>
          <w:color w:val="000000"/>
          <w:sz w:val="21"/>
          <w:szCs w:val="21"/>
        </w:rPr>
        <w:t>23.投标文件的制作要求</w:t>
      </w:r>
    </w:p>
    <w:p>
      <w:pPr>
        <w:wordWrap w:val="0"/>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23.1投标人应准备所投项目的电子投标文件一份。此电子投标文件须由投标人根据采购代理机构提供的后缀名为.szczf的电子招标文件，下载并使用相应的深圳智慧采购平台投标文件制作专用软件打开招标文件（.szczf格式）【下载地址：http://zfcg.szggzy.com/TPBidder/DownLoad/深圳市智慧采购平台投标文件制作专用软件.zip】。</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23.2投标人在使用《投标文件制作软件》编制投标书时须注意：</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23.2.1导入《投标文件制作软件》的招标文件项目编号、包号应与以此制作的投标文件项目编号、包号一致。例如，不能将甲项目A包的招标书导入《投标文件制作软件》，制作乙项目B包的投标书。</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23.2.2不能用非本公司的电子密钥加密本公司的投标文件，或者用其它公司的登录用户上传本公司的投标文件。</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23.2.3要求用《投标文件制作软件》编制投标书的包，不能用其它方式编制投标书。编制投标文件时，电脑须连通互联网。</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23.2.4投标文件不能带病毒。采购代理机构将用专业杀毒软件对投标文件进行病毒检测，如果这两种软件均报告发现病毒，则采购代理机构认为该投标文件带病毒。</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23.2.5完整填写“投标关键信息”，如下图所示：</w:t>
      </w:r>
    </w:p>
    <w:p>
      <w:pPr>
        <w:jc w:val="center"/>
        <w:rPr>
          <w:rFonts w:ascii="宋体" w:hAnsi="宋体" w:eastAsia="宋体" w:cs="宋体"/>
          <w:color w:val="000000"/>
        </w:rPr>
      </w:pPr>
      <w:r>
        <w:rPr>
          <w:rFonts w:ascii="宋体" w:hAnsi="宋体" w:eastAsia="宋体" w:cs="宋体"/>
          <w:color w:val="000000"/>
        </w:rPr>
        <w:drawing>
          <wp:inline distT="0" distB="0" distL="114300" distR="114300">
            <wp:extent cx="5281295" cy="2720975"/>
            <wp:effectExtent l="0" t="0" r="6985" b="6985"/>
            <wp:docPr id="2" name="图片 1"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图形用户界面, 应用程序&#10;&#10;描述已自动生成"/>
                    <pic:cNvPicPr>
                      <a:picLocks noChangeAspect="1"/>
                    </pic:cNvPicPr>
                  </pic:nvPicPr>
                  <pic:blipFill>
                    <a:blip r:embed="rId6"/>
                    <a:stretch>
                      <a:fillRect/>
                    </a:stretch>
                  </pic:blipFill>
                  <pic:spPr>
                    <a:xfrm>
                      <a:off x="0" y="0"/>
                      <a:ext cx="5281295" cy="2720975"/>
                    </a:xfrm>
                    <a:prstGeom prst="rect">
                      <a:avLst/>
                    </a:prstGeom>
                    <a:noFill/>
                    <a:ln>
                      <a:noFill/>
                    </a:ln>
                  </pic:spPr>
                </pic:pic>
              </a:graphicData>
            </a:graphic>
          </wp:inline>
        </w:drawing>
      </w:r>
    </w:p>
    <w:p>
      <w:pPr>
        <w:ind w:firstLine="422" w:firstLineChars="200"/>
        <w:rPr>
          <w:rFonts w:ascii="宋体" w:hAnsi="宋体" w:eastAsia="宋体" w:cs="宋体"/>
          <w:b/>
          <w:color w:val="000000"/>
          <w:sz w:val="21"/>
          <w:szCs w:val="21"/>
        </w:rPr>
      </w:pPr>
      <w:r>
        <w:rPr>
          <w:rFonts w:hint="eastAsia" w:ascii="宋体" w:hAnsi="宋体" w:eastAsia="宋体" w:cs="宋体"/>
          <w:b/>
          <w:color w:val="000000"/>
          <w:sz w:val="21"/>
          <w:szCs w:val="21"/>
        </w:rPr>
        <w:t>备注：上述“开标一览表”中的“投标总价”将作为价格分计算依据；其它信息仅是对投标文件相关内容的概括性表述，不作为评审依据。</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23.2.6投标人在编辑投标文件时，</w:t>
      </w:r>
      <w:r>
        <w:rPr>
          <w:rFonts w:hint="eastAsia" w:ascii="宋体" w:hAnsi="宋体" w:eastAsia="宋体" w:cs="宋体"/>
          <w:b/>
          <w:color w:val="000000"/>
          <w:sz w:val="21"/>
          <w:szCs w:val="21"/>
        </w:rPr>
        <w:t>在投标文件目录中属于本节点内容的必须在本节点中填写，填写到其他节点或附件，</w:t>
      </w:r>
      <w:r>
        <w:rPr>
          <w:rFonts w:hint="eastAsia" w:ascii="宋体" w:hAnsi="宋体" w:eastAsia="宋体" w:cs="宋体"/>
          <w:color w:val="000000"/>
          <w:sz w:val="21"/>
          <w:szCs w:val="21"/>
        </w:rPr>
        <w:t>一切后果由供应商自行承担。</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23.2.7投标文件编写完成后，</w:t>
      </w:r>
      <w:r>
        <w:rPr>
          <w:rFonts w:hint="eastAsia" w:ascii="宋体" w:hAnsi="宋体" w:eastAsia="宋体" w:cs="宋体"/>
          <w:b/>
          <w:color w:val="000000"/>
          <w:sz w:val="21"/>
          <w:szCs w:val="21"/>
        </w:rPr>
        <w:t>必须用属于投标人的电子密钥进行加密，否则视同未盖公章，将导致投标文件无效。</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23.2.8采购代理机构不接受投标截止时间后递交的纸质、电子、传真等所有形式的投标文件。由于对网上政府采购系统操作不熟悉或自身电脑、网络等原因导致不能在投标截止时间之前上传投标文件，采购代理机构概不负责。建议于开标前一个工作日完成投标文件的制作与上传，如上传确有困难，请及时咨询。</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23.2.9如果开标时出现网络故障、技术故障，影响了政府采购活动，采购代理机构有权采取措施如延期、接受无法从网上上传的投标书等，以保障政府采购活动的公开、公平和公正。</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23.3电报、电话、传真形式的投标概不接受。</w:t>
      </w:r>
    </w:p>
    <w:p>
      <w:pPr>
        <w:ind w:firstLine="422" w:firstLineChars="200"/>
        <w:rPr>
          <w:rFonts w:ascii="宋体" w:hAnsi="宋体" w:eastAsia="宋体" w:cs="宋体"/>
          <w:b/>
          <w:color w:val="000000"/>
          <w:sz w:val="21"/>
          <w:szCs w:val="21"/>
        </w:rPr>
      </w:pPr>
      <w:r>
        <w:rPr>
          <w:rFonts w:hint="eastAsia" w:ascii="宋体" w:hAnsi="宋体" w:eastAsia="宋体" w:cs="宋体"/>
          <w:b/>
          <w:color w:val="000000"/>
          <w:sz w:val="21"/>
          <w:szCs w:val="21"/>
        </w:rPr>
        <w:t>23.4经投标人电子密钥加密的投标文件无须盖章或签字，</w:t>
      </w:r>
      <w:r>
        <w:rPr>
          <w:rFonts w:hint="eastAsia" w:ascii="宋体" w:hAnsi="宋体" w:eastAsia="宋体" w:cs="宋体"/>
          <w:color w:val="000000"/>
          <w:sz w:val="21"/>
          <w:szCs w:val="21"/>
        </w:rPr>
        <w:t>专用条款另有要求的除外。</w:t>
      </w:r>
    </w:p>
    <w:p>
      <w:pPr>
        <w:ind w:firstLine="422" w:firstLineChars="200"/>
        <w:rPr>
          <w:rFonts w:ascii="宋体" w:hAnsi="宋体" w:eastAsia="宋体" w:cs="宋体"/>
          <w:color w:val="000000"/>
          <w:sz w:val="21"/>
          <w:szCs w:val="21"/>
        </w:rPr>
      </w:pPr>
      <w:r>
        <w:rPr>
          <w:rFonts w:hint="eastAsia" w:ascii="宋体" w:hAnsi="宋体" w:eastAsia="宋体" w:cs="宋体"/>
          <w:b/>
          <w:color w:val="000000"/>
          <w:sz w:val="21"/>
          <w:szCs w:val="21"/>
        </w:rPr>
        <w:t>23.5</w:t>
      </w:r>
      <w:r>
        <w:rPr>
          <w:rFonts w:hint="eastAsia" w:ascii="宋体" w:hAnsi="宋体" w:eastAsia="宋体" w:cs="宋体"/>
          <w:color w:val="000000"/>
          <w:sz w:val="21"/>
          <w:szCs w:val="21"/>
        </w:rPr>
        <w:t xml:space="preserve"> 各类资格（资质）文件提供扫描件，专用条款另有要求的除外。</w:t>
      </w:r>
    </w:p>
    <w:p>
      <w:pPr>
        <w:ind w:firstLine="470" w:firstLineChars="196"/>
        <w:rPr>
          <w:rFonts w:ascii="宋体" w:hAnsi="宋体" w:eastAsia="宋体" w:cs="宋体"/>
          <w:color w:val="000000"/>
          <w:szCs w:val="21"/>
        </w:rPr>
      </w:pPr>
    </w:p>
    <w:p>
      <w:pPr>
        <w:keepNext/>
        <w:keepLines/>
        <w:adjustRightInd w:val="0"/>
        <w:spacing w:before="120" w:beforeLines="50" w:after="120" w:afterLines="50"/>
        <w:jc w:val="center"/>
        <w:textAlignment w:val="baseline"/>
        <w:outlineLvl w:val="1"/>
        <w:rPr>
          <w:rFonts w:ascii="宋体" w:hAnsi="宋体" w:eastAsia="宋体" w:cs="宋体"/>
          <w:b/>
          <w:bCs/>
          <w:color w:val="000000"/>
          <w:sz w:val="28"/>
          <w:szCs w:val="28"/>
        </w:rPr>
      </w:pPr>
      <w:r>
        <w:rPr>
          <w:rFonts w:hint="eastAsia" w:ascii="宋体" w:hAnsi="宋体" w:eastAsia="宋体" w:cs="宋体"/>
          <w:b/>
          <w:bCs/>
          <w:color w:val="000000"/>
          <w:sz w:val="28"/>
          <w:szCs w:val="28"/>
        </w:rPr>
        <w:t>第四章 投标文件的递交</w:t>
      </w:r>
    </w:p>
    <w:p>
      <w:pPr>
        <w:rPr>
          <w:rFonts w:ascii="宋体" w:hAnsi="宋体" w:eastAsia="宋体" w:cs="宋体"/>
          <w:color w:val="000000"/>
          <w:sz w:val="21"/>
          <w:szCs w:val="21"/>
        </w:rPr>
      </w:pPr>
      <w:r>
        <w:rPr>
          <w:rFonts w:hint="eastAsia" w:ascii="宋体" w:hAnsi="宋体" w:eastAsia="宋体" w:cs="宋体"/>
          <w:color w:val="000000"/>
          <w:sz w:val="21"/>
          <w:szCs w:val="21"/>
        </w:rPr>
        <w:t>24.投标书的保密</w:t>
      </w:r>
    </w:p>
    <w:p>
      <w:pPr>
        <w:ind w:firstLine="411" w:firstLineChars="196"/>
        <w:rPr>
          <w:rFonts w:ascii="宋体" w:hAnsi="宋体" w:eastAsia="宋体" w:cs="宋体"/>
          <w:color w:val="000000"/>
          <w:sz w:val="21"/>
          <w:szCs w:val="21"/>
        </w:rPr>
      </w:pPr>
      <w:r>
        <w:rPr>
          <w:rFonts w:hint="eastAsia" w:ascii="宋体" w:hAnsi="宋体" w:eastAsia="宋体" w:cs="宋体"/>
          <w:color w:val="000000"/>
          <w:sz w:val="21"/>
          <w:szCs w:val="21"/>
        </w:rPr>
        <w:t>24.1在投标文件制作完成后，在投标文件制作软件点击【生成标书】按钮进入【填写开标一览表界面】界面，在该界面填写完开标一览表信息后点击【确定】，进入投标文件生成环节。投标文件制作软件会在投标文件生成过程中，提示用户输入密码，输入密码后对标文件自动进行加密，此加密程序确保投标文件在到达开标时间后才能解密查看。在加密过程中，请按照软件提示进行操作。加密操作界面如下图所示：</w:t>
      </w:r>
    </w:p>
    <w:p>
      <w:pPr>
        <w:rPr>
          <w:rFonts w:ascii="宋体" w:hAnsi="宋体" w:eastAsia="宋体" w:cs="宋体"/>
          <w:color w:val="000000"/>
        </w:rPr>
      </w:pPr>
      <w:r>
        <w:rPr>
          <w:rFonts w:ascii="宋体" w:hAnsi="宋体" w:eastAsia="宋体" w:cs="宋体"/>
          <w:color w:val="000000"/>
        </w:rPr>
        <w:drawing>
          <wp:inline distT="0" distB="0" distL="114300" distR="114300">
            <wp:extent cx="5281295" cy="2720975"/>
            <wp:effectExtent l="0" t="0" r="6985" b="6985"/>
            <wp:docPr id="3" name="图片 2"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图形用户界面, 应用程序&#10;&#10;描述已自动生成"/>
                    <pic:cNvPicPr>
                      <a:picLocks noChangeAspect="1"/>
                    </pic:cNvPicPr>
                  </pic:nvPicPr>
                  <pic:blipFill>
                    <a:blip r:embed="rId6"/>
                    <a:stretch>
                      <a:fillRect/>
                    </a:stretch>
                  </pic:blipFill>
                  <pic:spPr>
                    <a:xfrm>
                      <a:off x="0" y="0"/>
                      <a:ext cx="5281295" cy="2720975"/>
                    </a:xfrm>
                    <a:prstGeom prst="rect">
                      <a:avLst/>
                    </a:prstGeom>
                    <a:noFill/>
                    <a:ln>
                      <a:noFill/>
                    </a:ln>
                  </pic:spPr>
                </pic:pic>
              </a:graphicData>
            </a:graphic>
          </wp:inline>
        </w:drawing>
      </w:r>
    </w:p>
    <w:p>
      <w:pPr>
        <w:ind w:firstLine="411" w:firstLineChars="196"/>
        <w:rPr>
          <w:rFonts w:ascii="宋体" w:hAnsi="宋体" w:eastAsia="宋体" w:cs="宋体"/>
          <w:color w:val="000000"/>
          <w:sz w:val="21"/>
          <w:szCs w:val="21"/>
        </w:rPr>
      </w:pPr>
      <w:r>
        <w:rPr>
          <w:rFonts w:hint="eastAsia" w:ascii="宋体" w:hAnsi="宋体" w:eastAsia="宋体" w:cs="宋体"/>
          <w:color w:val="000000"/>
          <w:sz w:val="21"/>
          <w:szCs w:val="21"/>
        </w:rPr>
        <w:t>在投标文件制作软件点击【生成标书】按钮进入【填写开标一览表界面】界面，在该界面填写完开标一览表信息后点击【确定】，进入投标文件生成环节</w:t>
      </w:r>
    </w:p>
    <w:p>
      <w:pPr>
        <w:jc w:val="center"/>
        <w:rPr>
          <w:rFonts w:ascii="宋体" w:hAnsi="宋体" w:eastAsia="宋体" w:cs="宋体"/>
          <w:color w:val="000000"/>
        </w:rPr>
      </w:pPr>
      <w:r>
        <w:rPr>
          <w:rFonts w:ascii="宋体" w:hAnsi="宋体" w:eastAsia="宋体" w:cs="宋体"/>
          <w:color w:val="000000"/>
        </w:rPr>
        <w:drawing>
          <wp:inline distT="0" distB="0" distL="114300" distR="114300">
            <wp:extent cx="5281295" cy="2731135"/>
            <wp:effectExtent l="0" t="0" r="6985" b="12065"/>
            <wp:docPr id="4" name="图片 3"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图形用户界面&#10;&#10;描述已自动生成"/>
                    <pic:cNvPicPr>
                      <a:picLocks noChangeAspect="1"/>
                    </pic:cNvPicPr>
                  </pic:nvPicPr>
                  <pic:blipFill>
                    <a:blip r:embed="rId7"/>
                    <a:stretch>
                      <a:fillRect/>
                    </a:stretch>
                  </pic:blipFill>
                  <pic:spPr>
                    <a:xfrm>
                      <a:off x="0" y="0"/>
                      <a:ext cx="5281295" cy="2731135"/>
                    </a:xfrm>
                    <a:prstGeom prst="rect">
                      <a:avLst/>
                    </a:prstGeom>
                    <a:noFill/>
                    <a:ln>
                      <a:noFill/>
                    </a:ln>
                  </pic:spPr>
                </pic:pic>
              </a:graphicData>
            </a:graphic>
          </wp:inline>
        </w:drawing>
      </w:r>
    </w:p>
    <w:p>
      <w:pPr>
        <w:ind w:firstLine="422" w:firstLineChars="200"/>
        <w:rPr>
          <w:rFonts w:ascii="宋体" w:hAnsi="宋体" w:eastAsia="宋体" w:cs="宋体"/>
          <w:color w:val="000000"/>
          <w:sz w:val="21"/>
          <w:szCs w:val="21"/>
        </w:rPr>
      </w:pPr>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rPr>
        <w:t>投标文件制作软件会在投标文件生成过程中，提示用户输入密码，输入密码后对标文件自动进行加密。</w:t>
      </w:r>
    </w:p>
    <w:p>
      <w:pPr>
        <w:ind w:firstLine="422" w:firstLineChars="200"/>
        <w:rPr>
          <w:rFonts w:ascii="宋体" w:hAnsi="宋体" w:eastAsia="宋体" w:cs="宋体"/>
          <w:b/>
          <w:color w:val="000000"/>
          <w:sz w:val="21"/>
          <w:szCs w:val="21"/>
        </w:rPr>
      </w:pPr>
      <w:r>
        <w:rPr>
          <w:rFonts w:hint="eastAsia" w:ascii="宋体" w:hAnsi="宋体" w:eastAsia="宋体" w:cs="宋体"/>
          <w:b/>
          <w:color w:val="000000"/>
          <w:sz w:val="21"/>
          <w:szCs w:val="21"/>
        </w:rPr>
        <w:t>24.2若采购项目出现延期情况：</w:t>
      </w:r>
    </w:p>
    <w:p>
      <w:pPr>
        <w:ind w:firstLine="422" w:firstLineChars="200"/>
        <w:rPr>
          <w:rFonts w:ascii="宋体" w:hAnsi="宋体" w:eastAsia="宋体" w:cs="宋体"/>
          <w:b/>
          <w:color w:val="000000"/>
          <w:sz w:val="21"/>
          <w:szCs w:val="21"/>
        </w:rPr>
      </w:pPr>
      <w:r>
        <w:rPr>
          <w:rFonts w:hint="eastAsia" w:ascii="宋体" w:hAnsi="宋体" w:eastAsia="宋体" w:cs="宋体"/>
          <w:b/>
          <w:color w:val="000000"/>
          <w:sz w:val="21"/>
          <w:szCs w:val="21"/>
        </w:rPr>
        <w:t>如果供下载的招标文件（后缀名为.szczf）有更新，投标人必须重新下载招标文件、重新制作投标文件、重新加密投标文件、重新上传投标文件；如果供下载的招标文件（后缀名为.szczf）没有更新，投标人必须重新加密投标文件、重新上传投标文件（是否重新制作投标文件根据项目实际情况定）。否则，投标人自行承担投标文件无法解密导致投标无效的后果。</w:t>
      </w:r>
    </w:p>
    <w:p>
      <w:pPr>
        <w:rPr>
          <w:rFonts w:ascii="宋体" w:hAnsi="宋体" w:eastAsia="宋体" w:cs="宋体"/>
          <w:color w:val="000000"/>
          <w:sz w:val="21"/>
          <w:szCs w:val="21"/>
        </w:rPr>
      </w:pPr>
      <w:r>
        <w:rPr>
          <w:rFonts w:hint="eastAsia" w:ascii="宋体" w:hAnsi="宋体" w:eastAsia="宋体" w:cs="宋体"/>
          <w:color w:val="000000"/>
          <w:sz w:val="21"/>
          <w:szCs w:val="21"/>
        </w:rPr>
        <w:t>25.投标截止日期</w:t>
      </w:r>
    </w:p>
    <w:p>
      <w:pPr>
        <w:wordWrap w:val="0"/>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25.1实行网上投标，投标人必须在招标文件规定的投标截止时间前用电子密钥登录“深圳政府采购智慧平台用户网上办事子系统（http://zfcg.szggzy.com/TPBidder/memberLogin）”，用“【我的项目】→【项目流程】→【递交投标(应答)文件】”功能点上传投标文件。如果确有困难，多次上传均告失败，请在投标截止时间之前携带加密后的电子投标文件送达至</w:t>
      </w:r>
      <w:r>
        <w:rPr>
          <w:rFonts w:hint="eastAsia" w:ascii="宋体" w:hAnsi="宋体" w:eastAsia="宋体" w:cs="宋体"/>
          <w:b/>
          <w:bCs/>
          <w:color w:val="000000"/>
          <w:sz w:val="21"/>
          <w:szCs w:val="18"/>
        </w:rPr>
        <w:t>深圳公共资源交易中心（深圳交易集团有限公司政府采购业务分公司）3楼304室（地址：深圳市福田区景田路70号雅枫国际酒店北侧交易集团评审区三楼），联系方式：83948100，83938584，83938599。</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25.2采购代理机构可以按本通用条款第13条规定，通过修改招标文件自行决定酌情延长投标截止期。在此情况下，采购代理机构、采购人和投标人受投标截止期制约的所有权利和义务均应延长至新的截止期。</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25.3投标截止时间以后不得上传投标文件。</w:t>
      </w:r>
    </w:p>
    <w:p>
      <w:pPr>
        <w:wordWrap w:val="0"/>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25.4.投标人须在开标当日的开标时间至解密截止时间内进行解密，逾期未解密的作无效处理。解密方法：登录“深圳政府采购智慧平台用户网上办事子系统（http://zfcg.szggzy.com/TPBidder/memberLogin）”，使用本单位制作电子投标文件同一个电子密钥，在“【我的项目】→【项目流程】→【开标及解密】”进行在线解密、查询开标情况。</w:t>
      </w:r>
    </w:p>
    <w:p>
      <w:pPr>
        <w:rPr>
          <w:rFonts w:ascii="宋体" w:hAnsi="宋体" w:eastAsia="宋体" w:cs="宋体"/>
          <w:color w:val="000000"/>
          <w:sz w:val="21"/>
          <w:szCs w:val="21"/>
        </w:rPr>
      </w:pPr>
      <w:r>
        <w:rPr>
          <w:rFonts w:hint="eastAsia" w:ascii="宋体" w:hAnsi="宋体" w:eastAsia="宋体" w:cs="宋体"/>
          <w:color w:val="000000"/>
          <w:sz w:val="21"/>
          <w:szCs w:val="21"/>
        </w:rPr>
        <w:t>26.样品的递交</w:t>
      </w:r>
    </w:p>
    <w:p>
      <w:pPr>
        <w:ind w:firstLine="420" w:firstLineChars="200"/>
        <w:rPr>
          <w:rFonts w:ascii="宋体" w:hAnsi="宋体" w:eastAsia="宋体" w:cs="宋体"/>
          <w:color w:val="000000"/>
          <w:sz w:val="21"/>
          <w:szCs w:val="18"/>
        </w:rPr>
      </w:pPr>
      <w:r>
        <w:rPr>
          <w:rFonts w:hint="eastAsia" w:ascii="宋体" w:hAnsi="宋体" w:eastAsia="宋体" w:cs="宋体"/>
          <w:color w:val="000000"/>
          <w:sz w:val="21"/>
          <w:szCs w:val="18"/>
        </w:rPr>
        <w:t>26.1 一般不得要求投标人提供样品，仅凭书面方式不能准确描述采购需求或者需要对样品进行主观判断以确认是否满足采购需求等特殊情况除外。如确有必要，采购人可以要求投标人提供能反映货物材质或关键部分的尺寸、价值不大的样品,具体见第一册专用条款相关内容。</w:t>
      </w:r>
    </w:p>
    <w:p>
      <w:pPr>
        <w:ind w:firstLine="420" w:firstLineChars="200"/>
        <w:rPr>
          <w:rFonts w:ascii="宋体" w:hAnsi="宋体" w:eastAsia="宋体" w:cs="宋体"/>
          <w:color w:val="000000"/>
          <w:sz w:val="21"/>
          <w:szCs w:val="15"/>
        </w:rPr>
      </w:pPr>
      <w:r>
        <w:rPr>
          <w:rFonts w:hint="eastAsia" w:ascii="宋体" w:hAnsi="宋体" w:eastAsia="宋体" w:cs="宋体"/>
          <w:color w:val="000000"/>
          <w:sz w:val="21"/>
          <w:szCs w:val="18"/>
        </w:rPr>
        <w:t>26.2</w:t>
      </w:r>
      <w:r>
        <w:rPr>
          <w:rFonts w:hint="eastAsia" w:ascii="宋体" w:hAnsi="宋体" w:eastAsia="宋体" w:cs="宋体"/>
          <w:color w:val="000000"/>
          <w:sz w:val="21"/>
          <w:szCs w:val="15"/>
        </w:rPr>
        <w:t>投标样品上必须标注“项目名称及项目编号、样品编号、样品名称”等信息，但不得显示指向任何投标供应商的信息、生产厂家的商标，或者其他的标记标识。需要安装的投标样品必须为安装完整的成品，由投标供应商自行组织安装。</w:t>
      </w:r>
    </w:p>
    <w:p>
      <w:pPr>
        <w:ind w:firstLine="420" w:firstLineChars="200"/>
        <w:rPr>
          <w:rFonts w:ascii="宋体" w:hAnsi="宋体" w:eastAsia="宋体" w:cs="宋体"/>
          <w:color w:val="000000"/>
          <w:sz w:val="21"/>
          <w:szCs w:val="15"/>
        </w:rPr>
      </w:pPr>
      <w:r>
        <w:rPr>
          <w:rFonts w:hint="eastAsia" w:ascii="宋体" w:hAnsi="宋体" w:eastAsia="宋体" w:cs="宋体"/>
          <w:color w:val="000000"/>
          <w:sz w:val="21"/>
          <w:szCs w:val="18"/>
        </w:rPr>
        <w:t>26.2.1</w:t>
      </w:r>
      <w:r>
        <w:rPr>
          <w:rFonts w:hint="eastAsia" w:ascii="宋体" w:hAnsi="宋体" w:eastAsia="宋体" w:cs="宋体"/>
          <w:color w:val="000000"/>
          <w:sz w:val="21"/>
          <w:szCs w:val="15"/>
        </w:rPr>
        <w:t>样品递交签到：</w:t>
      </w:r>
    </w:p>
    <w:p>
      <w:pPr>
        <w:ind w:firstLine="420" w:firstLineChars="200"/>
        <w:rPr>
          <w:rFonts w:ascii="宋体" w:hAnsi="宋体" w:eastAsia="宋体" w:cs="宋体"/>
          <w:bCs/>
          <w:color w:val="000000"/>
          <w:sz w:val="21"/>
          <w:szCs w:val="18"/>
        </w:rPr>
      </w:pPr>
      <w:r>
        <w:rPr>
          <w:rFonts w:hint="eastAsia" w:ascii="宋体" w:hAnsi="宋体" w:eastAsia="宋体" w:cs="宋体"/>
          <w:bCs/>
          <w:color w:val="000000"/>
          <w:sz w:val="21"/>
          <w:szCs w:val="18"/>
        </w:rPr>
        <w:t>投标供应商授权人需在本项目投标截止时间前，提供法定代表人证明书（盖公章）、法定代表人授权委托书（盖公章）、授权委托人身份证原件和复印件、样品清单（加盖公章），到深圳市合创建设工程顾问有限公司评审区大厅，按政府采购代理机构工作人员指引进行样品递交签到。</w:t>
      </w:r>
    </w:p>
    <w:p>
      <w:pPr>
        <w:ind w:firstLine="420" w:firstLineChars="200"/>
        <w:rPr>
          <w:rFonts w:ascii="宋体" w:hAnsi="宋体" w:eastAsia="宋体" w:cs="宋体"/>
          <w:bCs/>
          <w:color w:val="000000"/>
          <w:sz w:val="21"/>
          <w:szCs w:val="18"/>
        </w:rPr>
      </w:pPr>
      <w:r>
        <w:rPr>
          <w:rFonts w:hint="eastAsia" w:ascii="宋体" w:hAnsi="宋体" w:eastAsia="宋体" w:cs="宋体"/>
          <w:bCs/>
          <w:color w:val="000000"/>
          <w:sz w:val="21"/>
          <w:szCs w:val="18"/>
        </w:rPr>
        <w:t>特别注意事项：（1）上述资料提供不齐全的，不予签到；（2）本项目投标截止时间后，不再受理签到；（3）未进行签到的，样品不予接收。</w:t>
      </w:r>
    </w:p>
    <w:p>
      <w:pPr>
        <w:ind w:firstLine="420" w:firstLineChars="200"/>
        <w:rPr>
          <w:rFonts w:ascii="宋体" w:hAnsi="宋体" w:eastAsia="宋体" w:cs="宋体"/>
          <w:color w:val="000000"/>
          <w:sz w:val="21"/>
          <w:szCs w:val="15"/>
        </w:rPr>
      </w:pPr>
      <w:r>
        <w:rPr>
          <w:rFonts w:hint="eastAsia" w:ascii="宋体" w:hAnsi="宋体" w:eastAsia="宋体" w:cs="宋体"/>
          <w:color w:val="000000"/>
          <w:sz w:val="21"/>
          <w:szCs w:val="18"/>
        </w:rPr>
        <w:t>26.2.</w:t>
      </w:r>
      <w:r>
        <w:rPr>
          <w:rFonts w:hint="eastAsia" w:ascii="宋体" w:hAnsi="宋体" w:eastAsia="宋体" w:cs="宋体"/>
          <w:color w:val="000000"/>
          <w:sz w:val="21"/>
          <w:szCs w:val="15"/>
        </w:rPr>
        <w:t>2 样品接收</w:t>
      </w:r>
    </w:p>
    <w:p>
      <w:pPr>
        <w:ind w:firstLine="420" w:firstLineChars="200"/>
        <w:rPr>
          <w:rFonts w:ascii="宋体" w:hAnsi="宋体" w:eastAsia="宋体" w:cs="宋体"/>
          <w:color w:val="000000"/>
          <w:sz w:val="21"/>
          <w:szCs w:val="15"/>
        </w:rPr>
      </w:pPr>
      <w:r>
        <w:rPr>
          <w:rFonts w:hint="eastAsia" w:ascii="宋体" w:hAnsi="宋体" w:eastAsia="宋体" w:cs="宋体"/>
          <w:color w:val="000000"/>
          <w:sz w:val="21"/>
          <w:szCs w:val="15"/>
        </w:rPr>
        <w:t xml:space="preserve">本项目投标截止时间后进行投标样品接收。投标样品接收必须进行身份核对、样品核对、登记确认、顺序编号。 </w:t>
      </w:r>
    </w:p>
    <w:p>
      <w:pPr>
        <w:ind w:firstLine="420" w:firstLineChars="200"/>
        <w:rPr>
          <w:rFonts w:ascii="宋体" w:hAnsi="宋体" w:eastAsia="宋体" w:cs="宋体"/>
          <w:color w:val="000000"/>
          <w:sz w:val="21"/>
          <w:szCs w:val="15"/>
        </w:rPr>
      </w:pPr>
      <w:r>
        <w:rPr>
          <w:rFonts w:hint="eastAsia" w:ascii="宋体" w:hAnsi="宋体" w:eastAsia="宋体" w:cs="宋体"/>
          <w:color w:val="000000"/>
          <w:sz w:val="21"/>
          <w:szCs w:val="15"/>
        </w:rPr>
        <w:t>（1）身份核对。政府采购代理机构核对投标供应商授权委托人提供的“法定代表人证明书（盖公章）、法定代表人授权委托书（盖公章）、授权委托人身份证原件和复印件”。资料不齐全的，不得接收投标样品。</w:t>
      </w:r>
    </w:p>
    <w:p>
      <w:pPr>
        <w:ind w:firstLine="420" w:firstLineChars="200"/>
        <w:rPr>
          <w:rFonts w:ascii="宋体" w:hAnsi="宋体" w:eastAsia="宋体" w:cs="宋体"/>
          <w:color w:val="000000"/>
          <w:sz w:val="21"/>
          <w:szCs w:val="15"/>
        </w:rPr>
      </w:pPr>
      <w:r>
        <w:rPr>
          <w:rFonts w:hint="eastAsia" w:ascii="宋体" w:hAnsi="宋体" w:eastAsia="宋体" w:cs="宋体"/>
          <w:color w:val="000000"/>
          <w:sz w:val="21"/>
          <w:szCs w:val="15"/>
        </w:rPr>
        <w:t>（2）样品核对。政府采购代理机构工作人员将投标样品与投标供应商提供的《样品清单》（盖公章）进行一一核对。有不一致的或损坏情况的，将要求供应商授权委托人在《样品清单》上注明。</w:t>
      </w:r>
    </w:p>
    <w:p>
      <w:pPr>
        <w:ind w:firstLine="420" w:firstLineChars="200"/>
        <w:rPr>
          <w:rFonts w:ascii="宋体" w:hAnsi="宋体" w:eastAsia="宋体" w:cs="宋体"/>
          <w:color w:val="000000"/>
          <w:sz w:val="21"/>
          <w:szCs w:val="15"/>
        </w:rPr>
      </w:pPr>
      <w:r>
        <w:rPr>
          <w:rFonts w:hint="eastAsia" w:ascii="宋体" w:hAnsi="宋体" w:eastAsia="宋体" w:cs="宋体"/>
          <w:color w:val="000000"/>
          <w:sz w:val="21"/>
          <w:szCs w:val="15"/>
        </w:rPr>
        <w:t>（3）登记确认。在完成身份核对及样品核对后，投标供应商授权委托人必须在《样品接收登记表》上登记确认。</w:t>
      </w:r>
    </w:p>
    <w:p>
      <w:pPr>
        <w:ind w:firstLine="420" w:firstLineChars="200"/>
        <w:rPr>
          <w:rFonts w:ascii="宋体" w:hAnsi="宋体" w:eastAsia="宋体" w:cs="宋体"/>
          <w:color w:val="000000"/>
          <w:sz w:val="21"/>
          <w:szCs w:val="15"/>
        </w:rPr>
      </w:pPr>
      <w:r>
        <w:rPr>
          <w:rFonts w:hint="eastAsia" w:ascii="宋体" w:hAnsi="宋体" w:eastAsia="宋体" w:cs="宋体"/>
          <w:color w:val="000000"/>
          <w:sz w:val="21"/>
          <w:szCs w:val="15"/>
        </w:rPr>
        <w:t>（4）顺序编号。政府采购代理机构工作人员按投标样品接收的先后顺序进行编号。</w:t>
      </w:r>
    </w:p>
    <w:p>
      <w:pPr>
        <w:ind w:firstLine="420" w:firstLineChars="200"/>
        <w:rPr>
          <w:rFonts w:ascii="宋体" w:hAnsi="宋体" w:eastAsia="宋体" w:cs="宋体"/>
          <w:color w:val="000000"/>
          <w:sz w:val="21"/>
          <w:szCs w:val="15"/>
        </w:rPr>
      </w:pPr>
      <w:r>
        <w:rPr>
          <w:rFonts w:hint="eastAsia" w:ascii="宋体" w:hAnsi="宋体" w:eastAsia="宋体" w:cs="宋体"/>
          <w:color w:val="000000"/>
          <w:sz w:val="21"/>
          <w:szCs w:val="18"/>
        </w:rPr>
        <w:t>26.3</w:t>
      </w:r>
      <w:r>
        <w:rPr>
          <w:rFonts w:hint="eastAsia" w:ascii="宋体" w:hAnsi="宋体" w:eastAsia="宋体" w:cs="宋体"/>
          <w:color w:val="000000"/>
          <w:sz w:val="21"/>
          <w:szCs w:val="15"/>
        </w:rPr>
        <w:t>政府采购代理机构工作人员负责组织投标样品摆样，指引供应商授权委托人将投标样品搬运到指定地点摆放、拆除包装，按要求摆放整齐。完成样品摆样后，供应商授权委托人应及时立场，不得在摆样现场滞留。</w:t>
      </w:r>
    </w:p>
    <w:p>
      <w:pPr>
        <w:ind w:firstLine="420" w:firstLineChars="200"/>
        <w:rPr>
          <w:rFonts w:ascii="宋体" w:hAnsi="宋体" w:eastAsia="宋体" w:cs="宋体"/>
          <w:color w:val="000000"/>
          <w:sz w:val="21"/>
          <w:szCs w:val="15"/>
        </w:rPr>
      </w:pPr>
      <w:r>
        <w:rPr>
          <w:rFonts w:hint="eastAsia" w:ascii="宋体" w:hAnsi="宋体" w:eastAsia="宋体" w:cs="宋体"/>
          <w:color w:val="000000"/>
          <w:sz w:val="21"/>
          <w:szCs w:val="15"/>
        </w:rPr>
        <w:t>26.4样品的退回：（1）未中标的供应商投标样品，政府采购代理机构工作人员将按规定进行通知，并要求供应商授权委托人在项目完成评审后的三个工作日内凭身份证及样品受理回执原件办理退回手续。（2）中标的供应商投标样品，政府采购代理机构工作人员将按规定进行通知，并要求采购人代表在中标通知书发放后三个工作日内凭中标通知书复印件及身份证原件办理领取手续。</w:t>
      </w:r>
    </w:p>
    <w:p>
      <w:pPr>
        <w:ind w:firstLine="420" w:firstLineChars="200"/>
        <w:rPr>
          <w:rFonts w:ascii="宋体" w:hAnsi="宋体" w:eastAsia="宋体" w:cs="宋体"/>
          <w:color w:val="000000"/>
          <w:sz w:val="21"/>
          <w:szCs w:val="15"/>
        </w:rPr>
      </w:pPr>
      <w:r>
        <w:rPr>
          <w:rFonts w:hint="eastAsia" w:ascii="宋体" w:hAnsi="宋体" w:eastAsia="宋体" w:cs="宋体"/>
          <w:color w:val="000000"/>
          <w:sz w:val="21"/>
          <w:szCs w:val="15"/>
        </w:rPr>
        <w:t>投标样品移交时，政府采购代理机构工作人员将再次核对供应商授权委托人或采购人代表身份、核对《样品清单》，签字确认后并取走样品。</w:t>
      </w:r>
    </w:p>
    <w:p>
      <w:pPr>
        <w:ind w:firstLine="420" w:firstLineChars="200"/>
        <w:rPr>
          <w:rFonts w:ascii="宋体" w:hAnsi="宋体" w:eastAsia="宋体" w:cs="宋体"/>
          <w:color w:val="000000"/>
          <w:sz w:val="21"/>
          <w:szCs w:val="15"/>
        </w:rPr>
      </w:pPr>
      <w:r>
        <w:rPr>
          <w:rFonts w:hint="eastAsia" w:ascii="宋体" w:hAnsi="宋体" w:eastAsia="宋体" w:cs="宋体"/>
          <w:color w:val="000000"/>
          <w:sz w:val="21"/>
          <w:szCs w:val="15"/>
        </w:rPr>
        <w:t>26.5未能及时退回的样品的处理：</w:t>
      </w:r>
    </w:p>
    <w:p>
      <w:pPr>
        <w:ind w:firstLine="420" w:firstLineChars="200"/>
        <w:rPr>
          <w:rFonts w:ascii="宋体" w:hAnsi="宋体" w:eastAsia="宋体" w:cs="宋体"/>
          <w:color w:val="000000"/>
          <w:sz w:val="21"/>
          <w:szCs w:val="15"/>
        </w:rPr>
      </w:pPr>
      <w:r>
        <w:rPr>
          <w:rFonts w:hint="eastAsia" w:ascii="宋体" w:hAnsi="宋体" w:eastAsia="宋体" w:cs="宋体"/>
          <w:color w:val="000000"/>
          <w:sz w:val="21"/>
          <w:szCs w:val="15"/>
        </w:rPr>
        <w:t>（1）未中标供应商未在规定时间内（项目完成评审后三个工作日）内取回投标样品的，视为放弃取回，政府采购代理机构将定期清理。</w:t>
      </w:r>
    </w:p>
    <w:p>
      <w:pPr>
        <w:ind w:firstLine="420" w:firstLineChars="200"/>
        <w:rPr>
          <w:rFonts w:ascii="宋体" w:hAnsi="宋体" w:eastAsia="宋体" w:cs="宋体"/>
          <w:color w:val="000000"/>
          <w:sz w:val="21"/>
          <w:szCs w:val="18"/>
        </w:rPr>
      </w:pPr>
      <w:r>
        <w:rPr>
          <w:rFonts w:hint="eastAsia" w:ascii="宋体" w:hAnsi="宋体" w:eastAsia="宋体" w:cs="宋体"/>
          <w:color w:val="000000"/>
          <w:sz w:val="21"/>
          <w:szCs w:val="15"/>
        </w:rPr>
        <w:t>（2）采购人未在规定时间内（中标通知书发放后三个工作日内）内领取中标供应商投标样品的，政府采购代理机构工作人员将发函或电话敦促。经敦促仍拒不领取的，将按规定内容在政府采购代理机构网站发布通报。对于拒不领取的中标样品，视同投标人放弃取回，深圳市合创建设工程顾问有限公司将定期清理。</w:t>
      </w:r>
    </w:p>
    <w:p>
      <w:pPr>
        <w:rPr>
          <w:rFonts w:ascii="宋体" w:hAnsi="宋体" w:eastAsia="宋体" w:cs="宋体"/>
          <w:color w:val="000000"/>
          <w:sz w:val="21"/>
          <w:szCs w:val="21"/>
        </w:rPr>
      </w:pPr>
      <w:r>
        <w:rPr>
          <w:rFonts w:hint="eastAsia" w:ascii="宋体" w:hAnsi="宋体" w:eastAsia="宋体" w:cs="宋体"/>
          <w:color w:val="000000"/>
          <w:sz w:val="21"/>
          <w:szCs w:val="21"/>
        </w:rPr>
        <w:t>27.投标文件的修改和撤销</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27.1投标方在提交投标文件后可对其投标文件进行修改并重新上传投标文件或在网上进行撤销投标的操作。</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27.2投标截止时间以后不得修改投标文件。</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27.3从投标截止期至投标人在投标书中确定的投标有效期之间的这段时间内，投标人不得撤回其投标。</w:t>
      </w:r>
    </w:p>
    <w:p>
      <w:pPr>
        <w:ind w:firstLine="420" w:firstLineChars="200"/>
        <w:rPr>
          <w:rFonts w:ascii="宋体" w:hAnsi="宋体" w:eastAsia="宋体" w:cs="宋体"/>
          <w:color w:val="000000"/>
          <w:sz w:val="21"/>
          <w:szCs w:val="18"/>
        </w:rPr>
      </w:pPr>
      <w:r>
        <w:rPr>
          <w:rFonts w:hint="eastAsia" w:ascii="宋体" w:hAnsi="宋体" w:eastAsia="宋体" w:cs="宋体"/>
          <w:color w:val="000000"/>
          <w:sz w:val="21"/>
          <w:szCs w:val="18"/>
        </w:rPr>
        <w:t>27.4政府采购代理机构不退还投标文件，专用条款另有规定的除外。</w:t>
      </w:r>
    </w:p>
    <w:p>
      <w:pPr>
        <w:keepNext/>
        <w:keepLines/>
        <w:adjustRightInd w:val="0"/>
        <w:spacing w:before="120" w:beforeLines="50" w:after="120" w:afterLines="50"/>
        <w:jc w:val="center"/>
        <w:textAlignment w:val="baseline"/>
        <w:outlineLvl w:val="1"/>
        <w:rPr>
          <w:rFonts w:ascii="宋体" w:hAnsi="宋体" w:eastAsia="宋体" w:cs="宋体"/>
          <w:b/>
          <w:bCs/>
          <w:color w:val="000000"/>
          <w:sz w:val="28"/>
          <w:szCs w:val="28"/>
        </w:rPr>
      </w:pPr>
      <w:r>
        <w:rPr>
          <w:rFonts w:hint="eastAsia" w:ascii="宋体" w:hAnsi="宋体" w:eastAsia="宋体" w:cs="宋体"/>
          <w:b/>
          <w:bCs/>
          <w:color w:val="000000"/>
          <w:sz w:val="28"/>
          <w:szCs w:val="28"/>
        </w:rPr>
        <w:t>第五章 开标</w:t>
      </w:r>
    </w:p>
    <w:p>
      <w:pPr>
        <w:rPr>
          <w:rFonts w:ascii="宋体" w:hAnsi="宋体" w:eastAsia="宋体" w:cs="宋体"/>
          <w:color w:val="000000"/>
          <w:sz w:val="21"/>
          <w:szCs w:val="21"/>
        </w:rPr>
      </w:pPr>
      <w:r>
        <w:rPr>
          <w:rFonts w:hint="eastAsia" w:ascii="宋体" w:hAnsi="宋体" w:eastAsia="宋体" w:cs="宋体"/>
          <w:color w:val="000000"/>
          <w:sz w:val="21"/>
          <w:szCs w:val="21"/>
        </w:rPr>
        <w:t>28.开标</w:t>
      </w:r>
    </w:p>
    <w:p>
      <w:pPr>
        <w:wordWrap w:val="0"/>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28.1投标人须在开标当日的开标时间至解密截止时间内进行解密，逾期未解密的作无效处理。解密方法：登录“深圳政府采购智慧平台用户网上办事子系统（http://zfcg.szggzy.com/TPBidder/memberLogin）”，使用本单位制作电子投标文件同一个电子密钥，在“【我的项目】→【项目流程】→【开标及解密】”进行在线解密、查询开标情况。</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28.2 采购代理机构将在满足开标条件（①解密时间结束，解密后的投标供应商数量满足开标要求或②解密时间结束前所有投标供应商均完成投标文件解密）后，对投标文件进行开标，并在网上公布开标结果。</w:t>
      </w:r>
    </w:p>
    <w:p>
      <w:pPr>
        <w:ind w:firstLine="360" w:firstLineChars="150"/>
        <w:rPr>
          <w:rFonts w:ascii="宋体" w:hAnsi="宋体" w:eastAsia="宋体" w:cs="宋体"/>
          <w:color w:val="000000"/>
          <w:szCs w:val="21"/>
        </w:rPr>
      </w:pPr>
    </w:p>
    <w:p>
      <w:pPr>
        <w:keepNext/>
        <w:keepLines/>
        <w:adjustRightInd w:val="0"/>
        <w:spacing w:before="120" w:beforeLines="50" w:after="120" w:afterLines="50"/>
        <w:jc w:val="center"/>
        <w:textAlignment w:val="baseline"/>
        <w:outlineLvl w:val="1"/>
        <w:rPr>
          <w:rFonts w:ascii="宋体" w:hAnsi="宋体" w:eastAsia="宋体" w:cs="宋体"/>
          <w:b/>
          <w:bCs/>
          <w:color w:val="000000"/>
          <w:sz w:val="28"/>
          <w:szCs w:val="28"/>
        </w:rPr>
      </w:pPr>
      <w:r>
        <w:rPr>
          <w:rFonts w:hint="eastAsia" w:ascii="宋体" w:hAnsi="宋体" w:eastAsia="宋体" w:cs="宋体"/>
          <w:b/>
          <w:bCs/>
          <w:color w:val="000000"/>
          <w:sz w:val="28"/>
          <w:szCs w:val="28"/>
        </w:rPr>
        <w:t>第六章 评标要求</w:t>
      </w:r>
    </w:p>
    <w:p>
      <w:pPr>
        <w:rPr>
          <w:rFonts w:ascii="宋体" w:hAnsi="宋体" w:eastAsia="宋体" w:cs="宋体"/>
          <w:color w:val="000000"/>
          <w:sz w:val="21"/>
          <w:szCs w:val="21"/>
        </w:rPr>
      </w:pPr>
      <w:r>
        <w:rPr>
          <w:rFonts w:hint="eastAsia" w:ascii="宋体" w:hAnsi="宋体" w:eastAsia="宋体" w:cs="宋体"/>
          <w:color w:val="000000"/>
          <w:sz w:val="21"/>
          <w:szCs w:val="21"/>
        </w:rPr>
        <w:t>29.评审委员会组成</w:t>
      </w:r>
    </w:p>
    <w:p>
      <w:pPr>
        <w:ind w:firstLine="420" w:firstLineChars="200"/>
        <w:rPr>
          <w:rFonts w:ascii="宋体" w:hAnsi="宋体" w:eastAsia="宋体" w:cs="宋体"/>
          <w:bCs/>
          <w:color w:val="000000"/>
          <w:sz w:val="21"/>
          <w:szCs w:val="21"/>
        </w:rPr>
      </w:pPr>
      <w:r>
        <w:rPr>
          <w:rFonts w:hint="eastAsia" w:ascii="宋体" w:hAnsi="宋体" w:eastAsia="宋体" w:cs="宋体"/>
          <w:bCs/>
          <w:color w:val="000000"/>
          <w:sz w:val="21"/>
          <w:szCs w:val="21"/>
        </w:rPr>
        <w:t>29.1网上开标结束后召开评审会议，评审委员会由采购代理机构依法组建，负责评审活动。</w:t>
      </w:r>
    </w:p>
    <w:p>
      <w:pPr>
        <w:ind w:firstLine="420" w:firstLineChars="200"/>
        <w:rPr>
          <w:rFonts w:ascii="宋体" w:hAnsi="宋体" w:eastAsia="宋体" w:cs="宋体"/>
          <w:bCs/>
          <w:color w:val="000000"/>
          <w:sz w:val="21"/>
          <w:szCs w:val="21"/>
        </w:rPr>
      </w:pPr>
      <w:bookmarkStart w:id="20" w:name="_Hlk72436580"/>
      <w:r>
        <w:rPr>
          <w:rFonts w:hint="eastAsia" w:ascii="宋体" w:hAnsi="宋体" w:eastAsia="宋体" w:cs="宋体"/>
          <w:bCs/>
          <w:color w:val="000000"/>
          <w:sz w:val="21"/>
          <w:szCs w:val="21"/>
        </w:rPr>
        <w:t>评审委员会由采购人代表和评审专家组成，成员人数应当为5人以上单数（部分条件下为7人以上单数），其中评审专家不得少于成员总数的三分之二。</w:t>
      </w:r>
      <w:bookmarkEnd w:id="20"/>
      <w:r>
        <w:rPr>
          <w:rFonts w:hint="eastAsia" w:ascii="宋体" w:hAnsi="宋体" w:eastAsia="宋体" w:cs="宋体"/>
          <w:bCs/>
          <w:color w:val="000000"/>
          <w:sz w:val="21"/>
          <w:szCs w:val="21"/>
        </w:rPr>
        <w:t>评定分离项目评审专家均由评审专家组成。评审专家一般是从深圳市政府采购评审专家库中随机抽取。采购人代表须持本单位签发的《评审授权书》参加评审。</w:t>
      </w:r>
    </w:p>
    <w:p>
      <w:pPr>
        <w:ind w:firstLine="420" w:firstLineChars="200"/>
        <w:rPr>
          <w:rFonts w:ascii="宋体" w:hAnsi="宋体" w:eastAsia="宋体" w:cs="宋体"/>
          <w:bCs/>
          <w:color w:val="000000"/>
          <w:sz w:val="21"/>
          <w:szCs w:val="21"/>
        </w:rPr>
      </w:pPr>
      <w:r>
        <w:rPr>
          <w:rFonts w:hint="eastAsia" w:ascii="宋体" w:hAnsi="宋体" w:eastAsia="宋体" w:cs="宋体"/>
          <w:bCs/>
          <w:color w:val="000000"/>
          <w:sz w:val="21"/>
          <w:szCs w:val="21"/>
        </w:rPr>
        <w:t>29.2评审定标应当遵循公平、公正、科学、择优的原则。</w:t>
      </w:r>
    </w:p>
    <w:p>
      <w:pPr>
        <w:ind w:firstLine="420" w:firstLineChars="200"/>
        <w:rPr>
          <w:rFonts w:ascii="宋体" w:hAnsi="宋体" w:eastAsia="宋体" w:cs="宋体"/>
          <w:bCs/>
          <w:color w:val="000000"/>
          <w:sz w:val="21"/>
          <w:szCs w:val="21"/>
        </w:rPr>
      </w:pPr>
      <w:r>
        <w:rPr>
          <w:rFonts w:hint="eastAsia" w:ascii="宋体" w:hAnsi="宋体" w:eastAsia="宋体" w:cs="宋体"/>
          <w:bCs/>
          <w:color w:val="000000"/>
          <w:sz w:val="21"/>
          <w:szCs w:val="21"/>
        </w:rPr>
        <w:t>29.3评审活动依法进行，任何单位和个人不得非法干预评标过程和结果。</w:t>
      </w:r>
    </w:p>
    <w:p>
      <w:pPr>
        <w:ind w:firstLine="420" w:firstLineChars="200"/>
        <w:rPr>
          <w:rFonts w:ascii="宋体" w:hAnsi="宋体" w:eastAsia="宋体" w:cs="宋体"/>
          <w:bCs/>
          <w:color w:val="000000"/>
          <w:sz w:val="21"/>
          <w:szCs w:val="21"/>
        </w:rPr>
      </w:pPr>
      <w:r>
        <w:rPr>
          <w:rFonts w:hint="eastAsia" w:ascii="宋体" w:hAnsi="宋体" w:eastAsia="宋体" w:cs="宋体"/>
          <w:bCs/>
          <w:color w:val="000000"/>
          <w:sz w:val="21"/>
          <w:szCs w:val="21"/>
        </w:rPr>
        <w:t>29.4评审过程中不允许违背评标程序或采用招标文件未载明的评标方法或评标因素进行评标。</w:t>
      </w:r>
    </w:p>
    <w:p>
      <w:pPr>
        <w:ind w:firstLine="420" w:firstLineChars="200"/>
        <w:rPr>
          <w:rFonts w:ascii="宋体" w:hAnsi="宋体" w:eastAsia="宋体" w:cs="宋体"/>
          <w:bCs/>
          <w:color w:val="000000"/>
          <w:sz w:val="21"/>
          <w:szCs w:val="21"/>
        </w:rPr>
      </w:pPr>
      <w:r>
        <w:rPr>
          <w:rFonts w:hint="eastAsia" w:ascii="宋体" w:hAnsi="宋体" w:eastAsia="宋体" w:cs="宋体"/>
          <w:bCs/>
          <w:color w:val="000000"/>
          <w:sz w:val="21"/>
          <w:szCs w:val="21"/>
        </w:rPr>
        <w:t>29.5 开标后，直到签订合同为止，凡属于对投标文件的审查、澄清、评价和比较的有关资料以及中标候选人的推荐情况、与评审有关的其他任何情况均严格保密（信息公开的内容除外）。</w:t>
      </w:r>
    </w:p>
    <w:p>
      <w:pPr>
        <w:rPr>
          <w:rFonts w:ascii="宋体" w:hAnsi="宋体" w:eastAsia="宋体" w:cs="宋体"/>
          <w:color w:val="000000"/>
          <w:sz w:val="21"/>
          <w:szCs w:val="21"/>
        </w:rPr>
      </w:pPr>
      <w:r>
        <w:rPr>
          <w:rFonts w:hint="eastAsia" w:ascii="宋体" w:hAnsi="宋体" w:eastAsia="宋体" w:cs="宋体"/>
          <w:color w:val="000000"/>
          <w:sz w:val="21"/>
          <w:szCs w:val="21"/>
        </w:rPr>
        <w:t>30.向评审委员会提供的资料</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30.1公开发布的招标文件，包括图纸、服务清单、答疑文件等；</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30.2其他评标必须的资料。</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30.3评审委员会应当认真研究招标文件，至少应了解熟悉以下内容：</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（1）招标的目的；</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（2）招标项目需求的范围和性质；</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（3）招标文件规定的投标人的资格、财政预算限额、商务条款；</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（4）招标文件规定的评标程序、评标方法和评标因素；</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（5）招标文件所列示的资格性审查表及符合性审查表。</w:t>
      </w:r>
    </w:p>
    <w:p>
      <w:pPr>
        <w:rPr>
          <w:rFonts w:ascii="宋体" w:hAnsi="宋体" w:eastAsia="宋体" w:cs="宋体"/>
          <w:color w:val="000000"/>
          <w:sz w:val="21"/>
          <w:szCs w:val="21"/>
        </w:rPr>
      </w:pPr>
      <w:r>
        <w:rPr>
          <w:rFonts w:hint="eastAsia" w:ascii="宋体" w:hAnsi="宋体" w:eastAsia="宋体" w:cs="宋体"/>
          <w:color w:val="000000"/>
          <w:sz w:val="21"/>
          <w:szCs w:val="21"/>
        </w:rPr>
        <w:t>31.独立评标</w:t>
      </w:r>
    </w:p>
    <w:p>
      <w:pPr>
        <w:ind w:firstLine="420" w:firstLineChars="200"/>
        <w:rPr>
          <w:rFonts w:ascii="宋体" w:hAnsi="宋体" w:eastAsia="宋体" w:cs="宋体"/>
          <w:bCs/>
          <w:color w:val="000000"/>
          <w:sz w:val="21"/>
          <w:szCs w:val="21"/>
        </w:rPr>
      </w:pPr>
      <w:r>
        <w:rPr>
          <w:rFonts w:hint="eastAsia" w:ascii="宋体" w:hAnsi="宋体" w:eastAsia="宋体" w:cs="宋体"/>
          <w:bCs/>
          <w:color w:val="000000"/>
          <w:sz w:val="21"/>
          <w:szCs w:val="21"/>
        </w:rPr>
        <w:t>31.1</w:t>
      </w:r>
      <w:r>
        <w:rPr>
          <w:rFonts w:hint="eastAsia" w:ascii="宋体" w:hAnsi="宋体" w:eastAsia="宋体" w:cs="宋体"/>
          <w:color w:val="000000"/>
          <w:sz w:val="21"/>
          <w:szCs w:val="21"/>
        </w:rPr>
        <w:t>评审委员会</w:t>
      </w:r>
      <w:r>
        <w:rPr>
          <w:rFonts w:hint="eastAsia" w:ascii="宋体" w:hAnsi="宋体" w:eastAsia="宋体" w:cs="宋体"/>
          <w:bCs/>
          <w:color w:val="000000"/>
          <w:sz w:val="21"/>
          <w:szCs w:val="21"/>
        </w:rPr>
        <w:t>成员的评标活动应当独立进行，并应遵循投标文件初审、澄清有关问题、比较与评价、确定中标供应商、编写评标报告的工作程序。</w:t>
      </w:r>
    </w:p>
    <w:p>
      <w:pPr>
        <w:ind w:firstLine="470" w:firstLineChars="196"/>
        <w:rPr>
          <w:rFonts w:ascii="宋体" w:hAnsi="宋体" w:eastAsia="宋体" w:cs="宋体"/>
          <w:bCs/>
          <w:color w:val="000000"/>
          <w:szCs w:val="21"/>
        </w:rPr>
      </w:pPr>
    </w:p>
    <w:p>
      <w:pPr>
        <w:keepNext/>
        <w:keepLines/>
        <w:adjustRightInd w:val="0"/>
        <w:spacing w:before="120" w:beforeLines="50" w:after="120" w:afterLines="50"/>
        <w:jc w:val="center"/>
        <w:textAlignment w:val="baseline"/>
        <w:outlineLvl w:val="1"/>
        <w:rPr>
          <w:rFonts w:ascii="宋体" w:hAnsi="宋体" w:eastAsia="宋体" w:cs="宋体"/>
          <w:b/>
          <w:bCs/>
          <w:color w:val="000000"/>
          <w:sz w:val="28"/>
          <w:szCs w:val="28"/>
        </w:rPr>
      </w:pPr>
      <w:r>
        <w:rPr>
          <w:rFonts w:hint="eastAsia" w:ascii="宋体" w:hAnsi="宋体" w:eastAsia="宋体" w:cs="宋体"/>
          <w:b/>
          <w:bCs/>
          <w:color w:val="000000"/>
          <w:sz w:val="28"/>
          <w:szCs w:val="28"/>
        </w:rPr>
        <w:t>第七章 评标程序及评标方法</w:t>
      </w:r>
    </w:p>
    <w:p>
      <w:pPr>
        <w:rPr>
          <w:rFonts w:ascii="宋体" w:hAnsi="宋体" w:eastAsia="宋体" w:cs="宋体"/>
          <w:color w:val="000000"/>
          <w:sz w:val="21"/>
          <w:szCs w:val="21"/>
        </w:rPr>
      </w:pPr>
      <w:r>
        <w:rPr>
          <w:rFonts w:hint="eastAsia" w:ascii="宋体" w:hAnsi="宋体" w:eastAsia="宋体" w:cs="宋体"/>
          <w:color w:val="000000"/>
          <w:sz w:val="21"/>
          <w:szCs w:val="21"/>
        </w:rPr>
        <w:t>32.投标文件初审</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32.1投标文件初审包括资格性审查和符合性审查。资格性审查：依据法律法规和招标文件的规定，对投标文件中的资格证明等进行审查，以确定投标供应商是否具备投标资格。符合性审查：依据招标文件的规定，对投标文件的有效性、完整性和对招标文件的响应程度进行审查，以确定是否满足符合性审查的要求。</w:t>
      </w:r>
    </w:p>
    <w:p>
      <w:pPr>
        <w:autoSpaceDE w:val="0"/>
        <w:autoSpaceDN w:val="0"/>
        <w:adjustRightInd w:val="0"/>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32.2投标文件初审内容请详见《资格性审查表》和《符合性审查表》部分。投标人若有一条审查不通过则按投标无效处理。评审委员会对投标单位打√为通过审查，打×为未通过审查。</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32.3投标文件初审中关于供应商家数的计算:</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32.3.1采用最低评标价法的采购项目，提供相同品牌产品的不同投标人参加同一合同项下投标的，以其中通过资格审查、符合性审查且报价最低的参加评标；报价相同的，由采购人或者采购人委托评审委员会按照招标文件规定的方式确定一个参加评标的投标人，招标文件未规定的采取随机抽取方式确定，其他投标无效。</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32.3.2采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审委员会按照招标文件规定的方式确定一个投标人获得中标人推荐资格，招标文件未规定的采取随机抽取方式确定，其他同品牌投标人不作为中标候选人。</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32.3.3非单一产品采购项目，采购人应当根据采购项目技术构成、产品价格比重等合理确定核心产品，并在招标文件中载明。多家投标人提供的核心产品品牌相同的，按前两款规定处理。</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32.4投标人投标文件作无效处理的情形，具体包括但不限于以下：</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32.4.1不同投标人的投标文件由同一单位或者同一个人编制，或者由同一个人分阶段参与编制；</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32.4.2不同投标人委托同一单位或者个人办理投标事宜；</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32.4.3不同投标人的投标文件载明的项目管理成员或者联系人员为同一人；</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32.4.4不同投标人的投标文件异常一致或者投标报价呈规律性差异；</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32.4.5不同投标供应商的投标文件或部分投标文件相互混装；</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32.4.6投标供应商之间相互约定给予未中标的供应商利益补偿；</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32.4.7不同投标供应商的法定代表人、主要经营负责人、项目投标授权代表人、项目负责人、主要技术人员为同一人、属同一单位或者同一单位缴纳社会保险；</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32.4.8不同投标供应商的投标文件内容存在非正常一致；</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32.4.9在同一单位工作人员为两家以上（含两家）供应商进行同一项投标活动；</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32.4.10主管部门依照法律、法规认定的其他情形。</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32.5对不属于《资格性审查表》和《符合性审查表》所列的其他情形，除专用条款另有规定和32.4条款所列情形外，不得作为投标无效的理由。</w:t>
      </w:r>
    </w:p>
    <w:p>
      <w:pPr>
        <w:rPr>
          <w:rFonts w:ascii="宋体" w:hAnsi="宋体" w:eastAsia="宋体" w:cs="宋体"/>
          <w:color w:val="000000"/>
          <w:sz w:val="21"/>
          <w:szCs w:val="21"/>
        </w:rPr>
      </w:pPr>
      <w:r>
        <w:rPr>
          <w:rFonts w:hint="eastAsia" w:ascii="宋体" w:hAnsi="宋体" w:eastAsia="宋体" w:cs="宋体"/>
          <w:color w:val="000000"/>
          <w:sz w:val="21"/>
          <w:szCs w:val="21"/>
        </w:rPr>
        <w:t>33.澄清有关问题</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对于投标文件中含义不明确、同类问题表述不一致或者有明显文字和计算错误的内容，评审委员会应当以书面形式要求投标人作出必要的澄清、说明或者补正。</w:t>
      </w:r>
    </w:p>
    <w:p>
      <w:pPr>
        <w:ind w:firstLine="420" w:firstLineChars="200"/>
        <w:textAlignment w:val="baseline"/>
        <w:rPr>
          <w:rFonts w:ascii="宋体" w:hAnsi="宋体" w:eastAsia="宋体" w:cs="宋体"/>
          <w:color w:val="000000"/>
          <w:sz w:val="21"/>
          <w:szCs w:val="21"/>
        </w:rPr>
      </w:pPr>
      <w:r>
        <w:rPr>
          <w:rFonts w:hint="eastAsia" w:ascii="宋体" w:hAnsi="宋体" w:eastAsia="宋体" w:cs="宋体"/>
          <w:color w:val="000000"/>
          <w:sz w:val="21"/>
          <w:szCs w:val="21"/>
        </w:rPr>
        <w:t>投标人的澄清、说明或者补正应当采用书面形式，并加盖公章，或者由法定代表人或其授权的代表签字。投标人的澄清、说明或者补正不得超出投标文件的范围或者改变投标文件的实质性内容。</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根据本通用条款第34条，凡属于评审委员会在评审中发现的算术错误进行核实的修改不在此列。</w:t>
      </w:r>
    </w:p>
    <w:p>
      <w:pPr>
        <w:rPr>
          <w:rFonts w:ascii="宋体" w:hAnsi="宋体" w:eastAsia="宋体" w:cs="宋体"/>
          <w:color w:val="000000"/>
          <w:sz w:val="21"/>
          <w:szCs w:val="21"/>
        </w:rPr>
      </w:pPr>
      <w:r>
        <w:rPr>
          <w:rFonts w:hint="eastAsia" w:ascii="宋体" w:hAnsi="宋体" w:eastAsia="宋体" w:cs="宋体"/>
          <w:color w:val="000000"/>
          <w:sz w:val="21"/>
          <w:szCs w:val="21"/>
        </w:rPr>
        <w:t>34.错误的修正</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投标文件报价出现前后不一致的，除专用条款另有规定外，按照下列规定修正：</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34.1投标文件中开标一览表投标报价内容与投标文件中投标报价相应内容不一致的，以开标一览表为准；</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34.2大写金额和小写金额不一致的，以大写金额为准；</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34.3单价金额小数点或者百分比有明显错位，以开标一览表的总价为准，并修改单价；</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34.4总价金额与按单价汇总金额不一致的，以单价金额计算结果为准。</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34.5同时出现两种以上不一致的，按照前款规定的顺序修正。修正后的报价按照本通用条款33条的规定，经投标人确认后产生约束力，投标人不确认的，其投标无效。</w:t>
      </w:r>
    </w:p>
    <w:p>
      <w:pPr>
        <w:rPr>
          <w:rFonts w:ascii="宋体" w:hAnsi="宋体" w:eastAsia="宋体" w:cs="宋体"/>
          <w:color w:val="000000"/>
          <w:sz w:val="21"/>
          <w:szCs w:val="21"/>
        </w:rPr>
      </w:pPr>
      <w:r>
        <w:rPr>
          <w:rFonts w:hint="eastAsia" w:ascii="宋体" w:hAnsi="宋体" w:eastAsia="宋体" w:cs="宋体"/>
          <w:color w:val="000000"/>
          <w:sz w:val="21"/>
          <w:szCs w:val="21"/>
        </w:rPr>
        <w:t>35.投标文件的比较与评价</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审委员会将按照《深圳经济特区政府采购条例》、《深圳经济特区政府采购条例实施细则》及《深圳市政府采购评审委员会）和评标方法暂行规定》，参照相关法律、法规、规定，仅对通过资格性审查和符合性审查的投标文件进行综合比较与评价。</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评审委员会成员对需要共同认定的事项存在争议的，应当按照少数服从多数的原则作出结论。持不同意见的评审委员会成员应当在评标报告上签署不同意见及理由，否则视为同意评标报告。</w:t>
      </w:r>
    </w:p>
    <w:p>
      <w:pPr>
        <w:rPr>
          <w:rFonts w:ascii="宋体" w:hAnsi="宋体" w:eastAsia="宋体" w:cs="宋体"/>
          <w:color w:val="000000"/>
          <w:sz w:val="21"/>
          <w:szCs w:val="21"/>
        </w:rPr>
      </w:pPr>
      <w:r>
        <w:rPr>
          <w:rFonts w:hint="eastAsia" w:ascii="宋体" w:hAnsi="宋体" w:eastAsia="宋体" w:cs="宋体"/>
          <w:color w:val="000000"/>
          <w:sz w:val="21"/>
          <w:szCs w:val="21"/>
        </w:rPr>
        <w:t>36.实地考察、演示或设备测试</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36.1在招标过程中，评审委员会有权决定是否对本项目投标人进行现场勘察或实地考察或检验有关证明材料的原件。投标人应随时做好接受检查的准备。</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36.2若招标文件要求进行现场演示或设备测试的，投标人授权演示代表应携带授权文件按时达到现场并做好相应准备。现场授权演示代表应为本项目采购文件中规定的人员，如有突发特殊情况需更换授权演示代表，应提交有关证明文件和授权文件予评审委员会并获评审委员会一致同意接纳。</w:t>
      </w:r>
    </w:p>
    <w:p>
      <w:pPr>
        <w:rPr>
          <w:rFonts w:ascii="宋体" w:hAnsi="宋体" w:eastAsia="宋体" w:cs="宋体"/>
          <w:color w:val="000000"/>
          <w:sz w:val="21"/>
          <w:szCs w:val="21"/>
        </w:rPr>
      </w:pPr>
      <w:r>
        <w:rPr>
          <w:rFonts w:hint="eastAsia" w:ascii="宋体" w:hAnsi="宋体" w:eastAsia="宋体" w:cs="宋体"/>
          <w:color w:val="000000"/>
          <w:sz w:val="21"/>
          <w:szCs w:val="21"/>
        </w:rPr>
        <w:t>37.评标方法</w:t>
      </w:r>
    </w:p>
    <w:p>
      <w:pPr>
        <w:ind w:firstLine="422" w:firstLineChars="200"/>
        <w:rPr>
          <w:rFonts w:ascii="宋体" w:hAnsi="宋体" w:eastAsia="宋体" w:cs="宋体"/>
          <w:b/>
          <w:bCs/>
          <w:color w:val="000000"/>
          <w:sz w:val="21"/>
          <w:szCs w:val="21"/>
        </w:rPr>
      </w:pPr>
      <w:r>
        <w:rPr>
          <w:rFonts w:hint="eastAsia" w:ascii="宋体" w:hAnsi="宋体" w:eastAsia="宋体" w:cs="宋体"/>
          <w:b/>
          <w:bCs/>
          <w:color w:val="000000"/>
          <w:sz w:val="21"/>
          <w:szCs w:val="21"/>
        </w:rPr>
        <w:t>37.1.1最低价法</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最低评标价法，是指投标文件满足招标文件全部实质性要求，按报价进行排序且投标报价最低的投标人为中标候选人的评标方法（排名第二的投标人为第一递补中标候选人、排名第三的投标人为第二递补中标候选人）。</w:t>
      </w:r>
    </w:p>
    <w:p>
      <w:pPr>
        <w:ind w:firstLine="422" w:firstLineChars="200"/>
        <w:rPr>
          <w:rFonts w:ascii="宋体" w:hAnsi="宋体" w:eastAsia="宋体" w:cs="宋体"/>
          <w:b/>
          <w:bCs/>
          <w:color w:val="000000"/>
          <w:sz w:val="21"/>
          <w:szCs w:val="21"/>
        </w:rPr>
      </w:pPr>
      <w:r>
        <w:rPr>
          <w:rFonts w:hint="eastAsia" w:ascii="宋体" w:hAnsi="宋体" w:eastAsia="宋体" w:cs="宋体"/>
          <w:b/>
          <w:bCs/>
          <w:color w:val="000000"/>
          <w:sz w:val="21"/>
          <w:szCs w:val="21"/>
        </w:rPr>
        <w:t>37.1.2综合评分法</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综合评分法，是指投标文件满足招标文件全部实质性要求，且按照评审因素的量化指标评审得分最高的投标人为中标候选人的评标方法（排名第二的投标人为第一递补中标候选人、排名第三的投标人为第二递补中标候选人）。</w:t>
      </w:r>
    </w:p>
    <w:p>
      <w:pPr>
        <w:ind w:firstLine="422" w:firstLineChars="200"/>
        <w:rPr>
          <w:rFonts w:ascii="宋体" w:hAnsi="宋体" w:eastAsia="宋体" w:cs="宋体"/>
          <w:b/>
          <w:bCs/>
          <w:color w:val="000000"/>
          <w:sz w:val="21"/>
          <w:szCs w:val="21"/>
        </w:rPr>
      </w:pPr>
      <w:r>
        <w:rPr>
          <w:rFonts w:hint="eastAsia" w:ascii="宋体" w:hAnsi="宋体" w:eastAsia="宋体" w:cs="宋体"/>
          <w:b/>
          <w:bCs/>
          <w:color w:val="000000"/>
          <w:sz w:val="21"/>
          <w:szCs w:val="21"/>
        </w:rPr>
        <w:t>37.1.3定性评审法</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定性评审法，是指按照招标文件规定的各项因素进行技术商务定性评审，对各投标文件是否满足招标文件实质性要求提出意见，指出投标文件的优点、缺陷、问题以及签订合同前应注意和澄清的事项，并形成评审报告。所有递交的投标文件不被判定为废标或者无效标的投标人，均推荐为候选中标供应商。</w:t>
      </w:r>
    </w:p>
    <w:p>
      <w:pPr>
        <w:ind w:firstLine="422" w:firstLineChars="200"/>
        <w:rPr>
          <w:rFonts w:ascii="宋体" w:hAnsi="宋体" w:eastAsia="宋体" w:cs="宋体"/>
          <w:b/>
          <w:bCs/>
          <w:color w:val="000000"/>
          <w:sz w:val="21"/>
          <w:szCs w:val="21"/>
        </w:rPr>
      </w:pPr>
      <w:r>
        <w:rPr>
          <w:rFonts w:hint="eastAsia" w:ascii="宋体" w:hAnsi="宋体" w:eastAsia="宋体" w:cs="宋体"/>
          <w:b/>
          <w:bCs/>
          <w:color w:val="000000"/>
          <w:sz w:val="21"/>
          <w:szCs w:val="21"/>
        </w:rPr>
        <w:t>37.2 本项目采用的评标方法见本项目招标文件第一册“专用条款”的相关内容。</w:t>
      </w:r>
    </w:p>
    <w:p>
      <w:pPr>
        <w:ind w:firstLine="422" w:firstLineChars="200"/>
        <w:rPr>
          <w:rFonts w:ascii="宋体" w:hAnsi="宋体" w:eastAsia="宋体" w:cs="宋体"/>
          <w:b/>
          <w:bCs/>
          <w:color w:val="000000"/>
          <w:sz w:val="21"/>
          <w:szCs w:val="21"/>
        </w:rPr>
      </w:pPr>
      <w:r>
        <w:rPr>
          <w:rFonts w:hint="eastAsia" w:ascii="宋体" w:hAnsi="宋体" w:eastAsia="宋体" w:cs="宋体"/>
          <w:b/>
          <w:bCs/>
          <w:color w:val="000000"/>
          <w:sz w:val="21"/>
          <w:szCs w:val="21"/>
        </w:rPr>
        <w:t>37.3重新评审的情形</w:t>
      </w:r>
    </w:p>
    <w:p>
      <w:pPr>
        <w:ind w:firstLine="420" w:firstLineChars="200"/>
        <w:rPr>
          <w:rFonts w:ascii="宋体" w:hAnsi="宋体" w:eastAsia="宋体" w:cs="宋体"/>
          <w:b/>
          <w:bCs/>
          <w:color w:val="000000"/>
          <w:sz w:val="21"/>
          <w:szCs w:val="21"/>
        </w:rPr>
      </w:pPr>
      <w:r>
        <w:rPr>
          <w:rFonts w:hint="eastAsia" w:ascii="宋体" w:hAnsi="宋体" w:eastAsia="宋体" w:cs="宋体"/>
          <w:color w:val="000000"/>
          <w:sz w:val="21"/>
          <w:szCs w:val="21"/>
        </w:rPr>
        <w:t>评标结果汇总完成后，除下列情形外，任何人不得修改评标结果：</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37.3.1分值汇总计算错误的；</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37.3.2分项评分超出评分标准范围的；</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37.3.3评审委员会成员对客观评审因素评分不一致的；</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37.3.4经评审委员会认定评分畸高、畸低的。</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报告签署前，经复核发现存在以上情形之一的，评审委员会应当当场修改评标结果，并在评标报告中记载；评标报告签署后，采购人或者采购代理机构发现存在以上情形之一的，应当组织原评审委员会进行重新评审，重新评审改变评标结果的，书面报告本级财政部门。</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投标人对本条第一款情形提出质疑的，采购人或者采购代理机构可以组织原评审委员会进行重新评审，重新评审改变评标结果的，应当书面报告本级财政部门。</w:t>
      </w:r>
    </w:p>
    <w:p>
      <w:pPr>
        <w:ind w:firstLine="422" w:firstLineChars="200"/>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 37.4重新组建评审委员会的情形</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评审委员会或者其成员存在下列情形导致评标结果无效的，重新组建评审委员会进行评标，并书面报告本级财政部门：</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37.4.1评审委员会组成不符合《政府采购货物和服务招标投标管理办法》规定的；</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37.4.2有《政府采购货物和服务招标投标管理办法》第六十二条第一至五项情形的；</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37.4.3评审委员会及其成员独立评标受到非法干预的；</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37.4.4有政府采购法实施条例第七十五条规定的违法行为的。</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有违法违规行为的原评审委员会成员不得参加重新组建的评审委员会。</w:t>
      </w:r>
    </w:p>
    <w:p>
      <w:pPr>
        <w:ind w:firstLine="472" w:firstLineChars="196"/>
        <w:rPr>
          <w:rFonts w:ascii="宋体" w:hAnsi="宋体" w:eastAsia="宋体" w:cs="宋体"/>
          <w:b/>
          <w:bCs/>
          <w:color w:val="000000"/>
          <w:szCs w:val="21"/>
        </w:rPr>
      </w:pPr>
    </w:p>
    <w:p>
      <w:pPr>
        <w:keepNext/>
        <w:keepLines/>
        <w:adjustRightInd w:val="0"/>
        <w:spacing w:before="120" w:beforeLines="50" w:after="120" w:afterLines="50"/>
        <w:jc w:val="center"/>
        <w:textAlignment w:val="baseline"/>
        <w:outlineLvl w:val="1"/>
        <w:rPr>
          <w:rFonts w:ascii="宋体" w:hAnsi="宋体" w:eastAsia="宋体" w:cs="宋体"/>
          <w:b/>
          <w:bCs/>
          <w:color w:val="000000"/>
          <w:sz w:val="28"/>
          <w:szCs w:val="28"/>
        </w:rPr>
      </w:pPr>
      <w:r>
        <w:rPr>
          <w:rFonts w:hint="eastAsia" w:ascii="宋体" w:hAnsi="宋体" w:eastAsia="宋体" w:cs="宋体"/>
          <w:b/>
          <w:bCs/>
          <w:color w:val="000000"/>
          <w:sz w:val="28"/>
          <w:szCs w:val="28"/>
        </w:rPr>
        <w:t>第八章 定标及公示</w:t>
      </w:r>
    </w:p>
    <w:p>
      <w:pPr>
        <w:rPr>
          <w:rFonts w:ascii="宋体" w:hAnsi="宋体" w:eastAsia="宋体" w:cs="宋体"/>
          <w:color w:val="000000"/>
          <w:sz w:val="21"/>
          <w:szCs w:val="21"/>
        </w:rPr>
      </w:pPr>
      <w:r>
        <w:rPr>
          <w:rFonts w:hint="eastAsia" w:ascii="宋体" w:hAnsi="宋体" w:eastAsia="宋体" w:cs="宋体"/>
          <w:color w:val="000000"/>
          <w:sz w:val="21"/>
          <w:szCs w:val="21"/>
        </w:rPr>
        <w:t>38.定标方法</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38.1非评定分离项目定标方法</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38.1.1评审委员会依据本项目招标文件所约定的评标方法进行评审和比较，向政府采购代理机构提交书面评标报告，并根据评标方法比较评价结果从优到劣进行排序，确定中标供应商及中标候选人。</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38.1.2采用最低评标价法的，评标结果按投标报价由低到高顺序排列。投标报价相同的并列。投标文件满足招标文件全部实质性要求且投标报价最低的投标人为排名第一的中标候选人（排名第二的投标人为第一递补中标候选人、排名第三的投标人为第二递补中标候选人）。</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38.1.3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排名第二的投标人为第一递补中标候选人、排名第三的投标人为第二递补中标候选人）。出现得分且投标报价相同的并列情况时，采取随机抽取的方式确定，具体操作办法及流程由评审委员会确定。</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38.2评定分离项目定标方法</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38.2.1根据《深圳经济特区政府采购条例实施细则》等有关规定，本项目采用评标和定标分离办法，即评审委员会按照本项目规定的评审方法对投标文件进行评审、推荐候选中标供应商并出具书面评审报告，由采购人根据评审委员会出具的评审报告和推荐的候选中标供应商确定中标供应商。具体所采用的评审方法和定标方法（定标规则）详见招标文件第一册关键信息的内容。</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38.2.2采用“综合评分法”评审方法的项目，评审委员会按照评审结果，依照招标文件第一册关键信息的内容推荐相应数量的候选中标供应商。</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38.2.3采购人应当按照自定法确定中标供应商：自定法是指采购人组织定标委员会，由定标委员会在候选中标供应商中确定中标供应商。</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38.2.3.1自定法。</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操作程序：</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①政府采购代理机构自评审结束之日起2个工作日内通过系统将评审报告送交采购人。</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②采购人应当自收到评审报告之日起3个工作日内，组成定标委员会，召开定标会并确定中标供应商（中标供应商的具体数量由采购人在项目申报时确定并在招标文件中体现）。重大项目的定标委员会应当由采购人领导班子组成；特定品目项目（非重大项目）的定标委员会可以由单位中层以上管理人员、具有与所采购项目专业领域中级以上职称人员、采购责任机构负责人等人员组成。在充分讨论的基础上，定标委员会可采取口头表决、举手表决或者无记名投票等方式进行表决。候选中标供应商的得票数超过成员半数的，方可确定为中标供应商。</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中标供应商的确定流程：网上具体操作时，在结束辅助评标后，政府采购代理机构工作人员上传候选中标供应商的投标文件并录入候选中标供应商的中标信息，完成上述操作后后进入“采购人录入定标结果”的环节；采购人在“采购人录入定标结果”中可以实时的查看候选中标供应商、投标报价、投标文件，同时查看和打印综合得分表、评审报告、候选中标供应商评价表，以单选框的方式，在显示候选中标供应商名称和投标报价的列表中，由采购人根据定标结果选择中标供应商。</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③采购人应当自定标会召开后的3个工作日内，将定标书面记录、定标报告在采购人内部网站或者内部办公区域公示，公示日期不少于3个工作日。公示内容包括定标委员会候选人员名单、正式成员名单、定标程序、定标环节及定标结果等内容。</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④采购人应当在公示结束后3个工作日内，通过系统将定标报告送政府采购代理机构备案。定标报告包括但不限于定标委员会候选人员名单、正式成员名单、定标委员会的产生过程、定标程序及定标结果等内容。</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⑤采购人逾期不确定的，政府采购代理机构将报主管部门处理，处理期间不计入采购期间。</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说明：采购人及投标供应商应按照上述方法提前做好相关准备。</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38.3专用条款另有规定的，按专用条款相关要求定标。</w:t>
      </w:r>
    </w:p>
    <w:p>
      <w:pPr>
        <w:rPr>
          <w:rFonts w:ascii="宋体" w:hAnsi="宋体" w:eastAsia="宋体" w:cs="宋体"/>
          <w:color w:val="000000"/>
          <w:sz w:val="21"/>
          <w:szCs w:val="21"/>
        </w:rPr>
      </w:pPr>
      <w:r>
        <w:rPr>
          <w:rFonts w:hint="eastAsia" w:ascii="宋体" w:hAnsi="宋体" w:eastAsia="宋体" w:cs="宋体"/>
          <w:color w:val="000000"/>
          <w:sz w:val="21"/>
          <w:szCs w:val="21"/>
        </w:rPr>
        <w:t>39.编写评标报告</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报告是评审委员会根据全体评标成员签字的原始评标记录和评标结果编写的报告，评标报告由评审委员会全体成员签字。对评标结论持有异议的评审委员会成员可以书面方式阐述其不同意见和理由。评审委员会成员拒绝在评标报告上签字且不陈述其不同意见和理由的，视为同意评标结论。评审委员会应当对此作出书面说明并记录存档。</w:t>
      </w:r>
    </w:p>
    <w:p>
      <w:pPr>
        <w:rPr>
          <w:rFonts w:ascii="宋体" w:hAnsi="宋体" w:eastAsia="宋体" w:cs="宋体"/>
          <w:color w:val="000000"/>
          <w:sz w:val="21"/>
          <w:szCs w:val="21"/>
        </w:rPr>
      </w:pPr>
      <w:r>
        <w:rPr>
          <w:rFonts w:hint="eastAsia" w:ascii="宋体" w:hAnsi="宋体" w:eastAsia="宋体" w:cs="宋体"/>
          <w:color w:val="000000"/>
          <w:sz w:val="21"/>
          <w:szCs w:val="21"/>
        </w:rPr>
        <w:t>40.中标公告</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40.1</w:t>
      </w:r>
      <w:bookmarkStart w:id="21" w:name="_Hlk72438709"/>
      <w:r>
        <w:rPr>
          <w:rFonts w:hint="eastAsia" w:ascii="宋体" w:hAnsi="宋体" w:eastAsia="宋体" w:cs="宋体"/>
          <w:color w:val="000000"/>
          <w:sz w:val="21"/>
          <w:szCs w:val="21"/>
        </w:rPr>
        <w:t>为体现“公开、公平、公正”的原则，评审结束后经采购人确认（确定）评审结果，采购代理机构将在“深圳政府采购智慧平台（http://zfcg.szggzy.com/）”上发布中标结果公告。</w:t>
      </w:r>
      <w:bookmarkEnd w:id="21"/>
      <w:bookmarkStart w:id="22" w:name="_Hlk72438751"/>
      <w:r>
        <w:rPr>
          <w:rFonts w:hint="eastAsia" w:ascii="宋体" w:hAnsi="宋体" w:eastAsia="宋体" w:cs="宋体"/>
          <w:color w:val="000000"/>
          <w:sz w:val="21"/>
          <w:szCs w:val="21"/>
        </w:rPr>
        <w:t>供应商如对评审结果有异议，可在发布公示日期起七个工作日内向采购代理机构提出。监督电话：0755-88605175。若在公示期内未提出质疑，则视为认同该评审结果。</w:t>
      </w:r>
    </w:p>
    <w:bookmarkEnd w:id="22"/>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40.2质疑、投诉供应商应保证质疑、投诉内容的真实性和可靠性，并承担相应的法律责任。</w:t>
      </w:r>
    </w:p>
    <w:p>
      <w:pPr>
        <w:rPr>
          <w:rFonts w:ascii="宋体" w:hAnsi="宋体" w:eastAsia="宋体" w:cs="宋体"/>
          <w:color w:val="000000"/>
          <w:sz w:val="21"/>
          <w:szCs w:val="21"/>
        </w:rPr>
      </w:pPr>
      <w:r>
        <w:rPr>
          <w:rFonts w:hint="eastAsia" w:ascii="宋体" w:hAnsi="宋体" w:eastAsia="宋体" w:cs="宋体"/>
          <w:color w:val="000000"/>
          <w:sz w:val="21"/>
          <w:szCs w:val="21"/>
        </w:rPr>
        <w:t>41.中标通知书</w:t>
      </w:r>
    </w:p>
    <w:p>
      <w:pPr>
        <w:wordWrap w:val="0"/>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41.1</w:t>
      </w:r>
      <w:bookmarkStart w:id="23" w:name="_Hlk72438863"/>
      <w:r>
        <w:rPr>
          <w:rFonts w:hint="eastAsia" w:ascii="宋体" w:hAnsi="宋体" w:eastAsia="宋体" w:cs="宋体"/>
          <w:color w:val="000000"/>
          <w:sz w:val="21"/>
          <w:szCs w:val="21"/>
        </w:rPr>
        <w:t>中标公告公布以后,公示期内无有效质疑投诉，将发出中标（成交）通知书。请采购人、中标(成交)供应商联系深圳市合创建设工程顾问有限公司领取本单位参与项目的中标(成交)通知书。</w:t>
      </w:r>
      <w:bookmarkEnd w:id="23"/>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41.2中标通知书是合同的重要组成部分。</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41.3因质疑投诉或其它原因导致项目结果变更或采购终止的，采购代理机构有权吊销中标通知书。</w:t>
      </w:r>
    </w:p>
    <w:p>
      <w:pPr>
        <w:ind w:firstLine="472" w:firstLineChars="196"/>
        <w:rPr>
          <w:rFonts w:ascii="宋体" w:hAnsi="宋体" w:eastAsia="宋体" w:cs="宋体"/>
          <w:b/>
          <w:bCs/>
          <w:color w:val="000000"/>
          <w:szCs w:val="21"/>
        </w:rPr>
      </w:pPr>
    </w:p>
    <w:p>
      <w:pPr>
        <w:keepNext/>
        <w:keepLines/>
        <w:adjustRightInd w:val="0"/>
        <w:spacing w:before="120" w:beforeLines="50" w:after="120" w:afterLines="50"/>
        <w:jc w:val="center"/>
        <w:textAlignment w:val="baseline"/>
        <w:outlineLvl w:val="1"/>
        <w:rPr>
          <w:rFonts w:ascii="宋体" w:hAnsi="宋体" w:eastAsia="宋体" w:cs="宋体"/>
          <w:b/>
          <w:bCs/>
          <w:color w:val="000000"/>
          <w:sz w:val="28"/>
          <w:szCs w:val="28"/>
        </w:rPr>
      </w:pPr>
      <w:r>
        <w:rPr>
          <w:rFonts w:hint="eastAsia" w:ascii="宋体" w:hAnsi="宋体" w:eastAsia="宋体" w:cs="宋体"/>
          <w:b/>
          <w:bCs/>
          <w:color w:val="000000"/>
          <w:sz w:val="28"/>
          <w:szCs w:val="28"/>
        </w:rPr>
        <w:t>第九章 公开招标失败的后续处理</w:t>
      </w:r>
    </w:p>
    <w:p>
      <w:pPr>
        <w:rPr>
          <w:rFonts w:ascii="宋体" w:hAnsi="宋体" w:eastAsia="宋体" w:cs="宋体"/>
          <w:color w:val="000000"/>
          <w:sz w:val="21"/>
          <w:szCs w:val="21"/>
        </w:rPr>
      </w:pPr>
      <w:r>
        <w:rPr>
          <w:rFonts w:hint="eastAsia" w:ascii="宋体" w:hAnsi="宋体" w:eastAsia="宋体" w:cs="宋体"/>
          <w:color w:val="000000"/>
          <w:sz w:val="21"/>
          <w:szCs w:val="21"/>
        </w:rPr>
        <w:t>42.公开招标失败的处理</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42.1本项目公开招标过程中若由于投标截止后实际递交投标文件的供应商数量不足、经评审委员会评审对招标文件作实质响应的供应商不足等原因造成公开招标失败，可由政府采购代理机构重新组织采购。</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42.2对公开招标失败的项目，评审委员会在出具该项目招标失败结论的同时，提出重新采购组织形式的建议，以及进一步完善招标文件的资格、技术、商务要求的修改建议。</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42.3重新组织采购有以下两种组织形式：</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（1）由政府采购代理机构重新组织公开招标；</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（2）根据实际情况需要向政府采购监督管理部门提出非公开招标方式申请，经政府采购监督管理部门批准，公开招标失败采购项目可转为竞争性谈判或单一来源谈判方式采购。</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42.4公开招标失败的采购项目重新组织公开招标，由政府采购代理机构重新按公开招标流程组织采购活动。</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42.5公开招标失败的采购项目经政府采购监督管理部门批准转为竞争性谈判或单一来源谈判方式采购的，按规定要求组织政府采购工作。</w:t>
      </w:r>
    </w:p>
    <w:p>
      <w:pPr>
        <w:rPr>
          <w:rFonts w:ascii="宋体" w:hAnsi="宋体" w:eastAsia="宋体" w:cs="宋体"/>
          <w:color w:val="000000"/>
        </w:rPr>
      </w:pPr>
    </w:p>
    <w:p>
      <w:pPr>
        <w:keepNext/>
        <w:keepLines/>
        <w:adjustRightInd w:val="0"/>
        <w:spacing w:before="120" w:beforeLines="50" w:after="120" w:afterLines="50"/>
        <w:jc w:val="center"/>
        <w:textAlignment w:val="baseline"/>
        <w:outlineLvl w:val="1"/>
        <w:rPr>
          <w:rFonts w:ascii="宋体" w:hAnsi="宋体" w:eastAsia="宋体" w:cs="宋体"/>
          <w:b/>
          <w:bCs/>
          <w:color w:val="000000"/>
          <w:sz w:val="28"/>
          <w:szCs w:val="28"/>
        </w:rPr>
      </w:pPr>
      <w:r>
        <w:rPr>
          <w:rFonts w:hint="eastAsia" w:ascii="宋体" w:hAnsi="宋体" w:eastAsia="宋体" w:cs="宋体"/>
          <w:b/>
          <w:bCs/>
          <w:color w:val="000000"/>
          <w:sz w:val="28"/>
          <w:szCs w:val="28"/>
        </w:rPr>
        <w:t>第十章 合同的授予与备案</w:t>
      </w:r>
    </w:p>
    <w:p>
      <w:pPr>
        <w:rPr>
          <w:rFonts w:ascii="宋体" w:hAnsi="宋体" w:eastAsia="宋体" w:cs="宋体"/>
          <w:color w:val="000000"/>
          <w:sz w:val="21"/>
          <w:szCs w:val="21"/>
        </w:rPr>
      </w:pPr>
      <w:r>
        <w:rPr>
          <w:rFonts w:hint="eastAsia" w:ascii="宋体" w:hAnsi="宋体" w:eastAsia="宋体" w:cs="宋体"/>
          <w:color w:val="000000"/>
          <w:sz w:val="21"/>
          <w:szCs w:val="21"/>
        </w:rPr>
        <w:t>43.合同授予标准</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本项目的合同将授予按本招标文件规定评审确定的中标人。</w:t>
      </w:r>
    </w:p>
    <w:p>
      <w:pPr>
        <w:rPr>
          <w:rFonts w:ascii="宋体" w:hAnsi="宋体" w:eastAsia="宋体" w:cs="宋体"/>
          <w:color w:val="000000"/>
          <w:sz w:val="21"/>
          <w:szCs w:val="21"/>
        </w:rPr>
      </w:pPr>
      <w:r>
        <w:rPr>
          <w:rFonts w:hint="eastAsia" w:ascii="宋体" w:hAnsi="宋体" w:eastAsia="宋体" w:cs="宋体"/>
          <w:color w:val="000000"/>
          <w:sz w:val="21"/>
          <w:szCs w:val="21"/>
        </w:rPr>
        <w:t>44.接受和拒绝任何或所有投标的权力</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政府采购代理机构和采购人保留在投标之前任何时候接受或拒绝任何投标或所有投标，以及宣布招标无效的权力，对受影响的投标人不承担任何责任，也无义务向受影响的投标人解释采取这一行动的理由。</w:t>
      </w:r>
    </w:p>
    <w:p>
      <w:pPr>
        <w:rPr>
          <w:rFonts w:ascii="宋体" w:hAnsi="宋体" w:eastAsia="宋体" w:cs="宋体"/>
          <w:color w:val="000000"/>
          <w:sz w:val="21"/>
          <w:szCs w:val="21"/>
        </w:rPr>
      </w:pPr>
      <w:r>
        <w:rPr>
          <w:rFonts w:hint="eastAsia" w:ascii="宋体" w:hAnsi="宋体" w:eastAsia="宋体" w:cs="宋体"/>
          <w:color w:val="000000"/>
          <w:sz w:val="21"/>
          <w:szCs w:val="21"/>
        </w:rPr>
        <w:t>45.合同协议书的签订</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45.1中标人将于中标通知书发出之日起十个工作日内，按照采购文件（招标文件和投标文件等）内容与采购人签订政府采购合同；合同的实质性内容应当符合招标文件的规定；</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45.2中标人如不按本通用条款第45.1款的规定与采购人签订合同，情节严重的，并由主管部门记入供应商诚信档案，予以通报；</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45.3中标人应当按照合同约定履行义务，完成中标项目，不得将中标项目转让（转包）给他人。</w:t>
      </w:r>
    </w:p>
    <w:p>
      <w:pPr>
        <w:rPr>
          <w:rFonts w:ascii="宋体" w:hAnsi="宋体" w:eastAsia="宋体" w:cs="宋体"/>
          <w:color w:val="000000"/>
          <w:sz w:val="21"/>
          <w:szCs w:val="21"/>
        </w:rPr>
      </w:pPr>
      <w:bookmarkStart w:id="24" w:name="_Toc73521590"/>
      <w:bookmarkStart w:id="25" w:name="_Toc73517683"/>
      <w:bookmarkStart w:id="26" w:name="_Toc100052411"/>
      <w:bookmarkStart w:id="27" w:name="_Toc73521678"/>
      <w:bookmarkStart w:id="28" w:name="_Toc73518161"/>
      <w:r>
        <w:rPr>
          <w:rFonts w:hint="eastAsia" w:ascii="宋体" w:hAnsi="宋体" w:eastAsia="宋体" w:cs="宋体"/>
          <w:color w:val="000000"/>
          <w:sz w:val="21"/>
          <w:szCs w:val="21"/>
        </w:rPr>
        <w:t>46.履约担保</w:t>
      </w:r>
      <w:bookmarkEnd w:id="24"/>
      <w:bookmarkEnd w:id="25"/>
      <w:bookmarkEnd w:id="26"/>
      <w:bookmarkEnd w:id="27"/>
      <w:bookmarkEnd w:id="28"/>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46.1在签订项目合同的同时，中标人应按“对通用条款的补充内容”中规定的金额向采购人提交履约保证金（除现金方式外，允许供应商自主选择以支票、汇票、本票、保函等非现金方式缴纳或提交保证金）；</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46.2如果中标人不能按“对通用条款的补充内容”中规定的金额向采购人提交履约保证金，采购人将有充分的理由通过政府采购监督管理部门废除中标，给采购人造成的损失应当予以赔偿；</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46.3项目服务期满之后,经验收合格后，采购人在七日内办理解除履约担保手续。</w:t>
      </w:r>
    </w:p>
    <w:p>
      <w:pPr>
        <w:rPr>
          <w:rFonts w:ascii="宋体" w:hAnsi="宋体" w:eastAsia="宋体" w:cs="宋体"/>
          <w:color w:val="000000"/>
          <w:sz w:val="21"/>
          <w:szCs w:val="21"/>
        </w:rPr>
      </w:pPr>
      <w:r>
        <w:rPr>
          <w:rFonts w:hint="eastAsia" w:ascii="宋体" w:hAnsi="宋体" w:eastAsia="宋体" w:cs="宋体"/>
          <w:color w:val="000000"/>
          <w:sz w:val="21"/>
          <w:szCs w:val="21"/>
        </w:rPr>
        <w:t>47.合同的备案</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采购人与中标人应于合同签订之日起十日内，由采购人或委托中标人将采购合同副本抄送合同备案工作实施机构备案。</w:t>
      </w:r>
    </w:p>
    <w:p>
      <w:pPr>
        <w:rPr>
          <w:rFonts w:ascii="宋体" w:hAnsi="宋体" w:eastAsia="宋体" w:cs="宋体"/>
          <w:color w:val="000000"/>
          <w:sz w:val="21"/>
          <w:szCs w:val="21"/>
        </w:rPr>
      </w:pPr>
      <w:r>
        <w:rPr>
          <w:rFonts w:hint="eastAsia" w:ascii="宋体" w:hAnsi="宋体" w:eastAsia="宋体" w:cs="宋体"/>
          <w:color w:val="000000"/>
          <w:sz w:val="21"/>
          <w:szCs w:val="21"/>
        </w:rPr>
        <w:t>48.合同的变更</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合同变更事宜按《深圳市财政局 深圳市政府采购中心关于进一步加强市本级政府采购合同备案管理工作的通知》（深财购〔2019〕43号）相关规定执行。</w:t>
      </w:r>
    </w:p>
    <w:p>
      <w:pPr>
        <w:rPr>
          <w:rFonts w:ascii="宋体" w:hAnsi="宋体" w:eastAsia="宋体" w:cs="宋体"/>
          <w:color w:val="000000"/>
          <w:sz w:val="21"/>
          <w:szCs w:val="21"/>
        </w:rPr>
      </w:pPr>
      <w:r>
        <w:rPr>
          <w:rFonts w:hint="eastAsia" w:ascii="宋体" w:hAnsi="宋体" w:eastAsia="宋体" w:cs="宋体"/>
          <w:color w:val="000000"/>
          <w:sz w:val="21"/>
          <w:szCs w:val="21"/>
        </w:rPr>
        <w:t>49.履约抽检及情况的反馈</w:t>
      </w:r>
    </w:p>
    <w:p>
      <w:pPr>
        <w:ind w:right="176"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49.1供应商必须诚信履约，采购人必须对采购项目实施组织履约验收。必要时，履约评价工作实施机构将对采购项目进行履约抽检评价。如未按合同履约，将按《深圳经济特区政府采购条例》第五十七条有关规定、《深圳市政府采购供应商诚信管理暂行办法》及其操作细则进行处理。</w:t>
      </w:r>
    </w:p>
    <w:p>
      <w:pPr>
        <w:ind w:right="176"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49.2采购人和供应商应当在采购合同履行完毕三十日之内将政府采购合同履行情况和相关政府采购建议等反馈至履约评价工作实施机构。</w:t>
      </w:r>
    </w:p>
    <w:p>
      <w:pPr>
        <w:rPr>
          <w:rFonts w:ascii="宋体" w:hAnsi="宋体" w:eastAsia="宋体" w:cs="宋体"/>
          <w:color w:val="000000"/>
          <w:sz w:val="21"/>
          <w:szCs w:val="21"/>
        </w:rPr>
      </w:pPr>
      <w:r>
        <w:rPr>
          <w:rFonts w:hint="eastAsia" w:ascii="宋体" w:hAnsi="宋体" w:eastAsia="宋体" w:cs="宋体"/>
          <w:color w:val="000000"/>
          <w:sz w:val="21"/>
          <w:szCs w:val="21"/>
        </w:rPr>
        <w:t>50.宣传</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凡与政府采购活动有关的宣传或广告，若当中提及政府采购，必须事先将具体对外宣传方案报市财政局和政府采购代理机构，并征得其同意。对外市场宣传包括但不限于以下形式：</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a.名片、宣传册、广告标语等；</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b.案例介绍、推广等；</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c.工作人员向其他消费群体宣传。</w:t>
      </w:r>
    </w:p>
    <w:p>
      <w:pPr>
        <w:rPr>
          <w:rFonts w:ascii="宋体" w:hAnsi="宋体" w:eastAsia="宋体" w:cs="宋体"/>
          <w:color w:val="000000"/>
          <w:sz w:val="21"/>
          <w:szCs w:val="21"/>
        </w:rPr>
      </w:pPr>
      <w:r>
        <w:rPr>
          <w:rFonts w:hint="eastAsia" w:ascii="宋体" w:hAnsi="宋体" w:eastAsia="宋体" w:cs="宋体"/>
          <w:color w:val="000000"/>
          <w:sz w:val="21"/>
          <w:szCs w:val="21"/>
        </w:rPr>
        <w:t>51.供应商违法责任</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《深圳经济特区政府采购条例》第五十七条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（1）在采购活动中应当回避而未回避的；</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（2）未按本条例规定签订、履行采购合同，造成严重后果的；</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（3）隐瞒真实情况，提供虚假资料的；</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（4）以非法手段排斥其他供应商参与竞争的；</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（5）与其他采购参加人串通投标的；</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（6）恶意投诉的；</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（7）向采购项目相关人行贿或者提供其他不当利益的；</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（8）阻碍、抗拒主管部门监督检查的；</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（9）其他违反本条例规定的行为。</w:t>
      </w:r>
    </w:p>
    <w:p>
      <w:pPr>
        <w:keepNext/>
        <w:keepLines/>
        <w:adjustRightInd w:val="0"/>
        <w:spacing w:before="120" w:beforeLines="50" w:after="120" w:afterLines="50"/>
        <w:jc w:val="center"/>
        <w:textAlignment w:val="baseline"/>
        <w:outlineLvl w:val="1"/>
        <w:rPr>
          <w:rFonts w:ascii="宋体" w:hAnsi="宋体" w:eastAsia="宋体" w:cs="宋体"/>
          <w:b/>
          <w:bCs/>
          <w:color w:val="000000"/>
          <w:sz w:val="28"/>
          <w:szCs w:val="28"/>
        </w:rPr>
      </w:pPr>
      <w:r>
        <w:rPr>
          <w:rFonts w:hint="eastAsia" w:ascii="宋体" w:hAnsi="宋体" w:eastAsia="宋体" w:cs="宋体"/>
          <w:b/>
          <w:bCs/>
          <w:color w:val="000000"/>
          <w:sz w:val="28"/>
          <w:szCs w:val="28"/>
        </w:rPr>
        <w:t>第十一章 质疑处理</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52.质疑提出与答复</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52.1提出质疑</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参与政府采购活动的供应商认为自己的权益在采购活动中受到损害的，应当自知道或者应当知道其权益受到损害之日起七个工作日内向采购人、政府采购代理机构以书面形式提出质疑。</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52.2法律依据</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中华人民共和国政府采购法》、《中华人民共和国政府采购法实施条例》、《深圳经济特区政府采购条例》、《深圳经济特区政府采购条例实施细则》、《政府采购质疑和投诉办法》（财政部令第94号）和其他有关法律法规规定。</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52.3质疑条件</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52.3.1提出质疑的供应商应当是参与所质疑项目采购活动的供应商；</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52.3.2应当在法定质疑期内一次性提出针对同一采购程序环节的质疑，法定质疑期为自知道或应当知道权益受到损害之日起7个工作日内。应当知道其权益受到损害之日是指：对采购文件的质疑，为采购文件公布之日；对采购过程的质疑，为各采购程序环节结束之日；对中标或者成交结果以及评审委员会、谈判小组、竞价小组组成人员的质疑，为中标或者成交结果公示之日；</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52.3.3应提交书面质疑函，质疑函应当包括以下内容：（1）具体、明确的质疑事项和与质疑事项相关的请求；（2）合理的事实和依据；（3）必要的证明材料和法律依据。注：质疑函范本可在政府采购代理机构网站下载。</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52.4提交材料</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质疑函、营业执照复印件、法定代表人证明。如委托代理人提交的，还需提交授权委托书及代理人身份证明。</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52.5收文地点</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地址：深圳市合创建设工程顾问有限公司深圳市福田区彩田南路中深花园A座1006A室，质疑咨询电话：0755-88605175。</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52.6收文办理程序</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 xml:space="preserve"> 52.6.1供应商提交的质疑材料符合质疑条件的办理收文，出具收文回执；</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 xml:space="preserve"> 52.6.2供应商提交的质疑材料不符合质疑条件的，视情况处理：（1）质疑主体、时限不符合的，不予收文；（2）质疑函内容、提交人身份证明不符合的，开具补正告知书，供应商可在质疑期内补正后重新提交。</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 xml:space="preserve"> 52.7质疑答复时限</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 xml:space="preserve"> 自收文之日起七个工作日内。</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 xml:space="preserve"> 52.8投诉</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 xml:space="preserve"> 对质疑答复不满意或者未在规定时间内答复的，提出质疑的供应商可以在答复期满后15个工作日内向深圳市财政局投诉。</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53.质疑后续处理</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53.1供应商质疑不成立，或者成立但未对中标、成交结果构成影响的，继续开展采购活动。</w:t>
      </w:r>
    </w:p>
    <w:p>
      <w:pPr>
        <w:ind w:firstLine="420" w:firstLineChars="200"/>
        <w:rPr>
          <w:rFonts w:ascii="宋体" w:hAnsi="宋体" w:eastAsia="宋体" w:cs="宋体"/>
          <w:b/>
          <w:bCs/>
          <w:color w:val="000000"/>
          <w:szCs w:val="20"/>
        </w:rPr>
      </w:pPr>
      <w:r>
        <w:rPr>
          <w:rFonts w:hint="eastAsia" w:ascii="宋体" w:hAnsi="宋体" w:eastAsia="宋体" w:cs="宋体"/>
          <w:color w:val="000000"/>
          <w:sz w:val="21"/>
          <w:szCs w:val="21"/>
        </w:rPr>
        <w:t>53.2供应商质疑成立且影响或者可能影响中标、成交结果的，按照下列情况处理：（1）对采购文件提出的质疑，依法通过澄清或者修改可以继续开展采购活动的，澄清或者修改采购文件后继续开展采购活动；否则应当修改采购文件后重新开展采购活动。（2）对采购过程、中标或者成交结果提出的质疑，如果合格供应商符合法定数量，依法从合格的中标或者成交候选人中另行确定中标、成交供应商；如果合格供应商不符合法定数量，应当重新开展采购活动。</w:t>
      </w:r>
    </w:p>
    <w:p>
      <w:pPr>
        <w:pStyle w:val="18"/>
        <w:ind w:left="0" w:leftChars="0" w:firstLine="562"/>
        <w:jc w:val="center"/>
        <w:outlineLvl w:val="1"/>
        <w:rPr>
          <w:rFonts w:ascii="宋体" w:hAnsi="宋体" w:eastAsia="宋体" w:cs="宋体"/>
          <w:b/>
          <w:bCs/>
          <w:sz w:val="28"/>
          <w:szCs w:val="28"/>
        </w:rPr>
      </w:pPr>
      <w:r>
        <w:rPr>
          <w:rFonts w:hint="eastAsia" w:ascii="宋体" w:hAnsi="宋体" w:eastAsia="宋体" w:cs="宋体"/>
          <w:b/>
          <w:bCs/>
          <w:sz w:val="28"/>
          <w:szCs w:val="28"/>
        </w:rPr>
        <w:t>第十二章 中标代理服务费</w:t>
      </w:r>
    </w:p>
    <w:p>
      <w:pPr>
        <w:rPr>
          <w:rFonts w:ascii="宋体" w:hAnsi="宋体" w:eastAsia="宋体" w:cs="宋体"/>
          <w:color w:val="000000"/>
          <w:sz w:val="21"/>
          <w:szCs w:val="21"/>
        </w:rPr>
      </w:pPr>
      <w:r>
        <w:rPr>
          <w:rFonts w:hint="eastAsia" w:ascii="宋体" w:hAnsi="宋体" w:eastAsia="宋体" w:cs="宋体"/>
          <w:color w:val="000000"/>
          <w:sz w:val="21"/>
          <w:szCs w:val="21"/>
        </w:rPr>
        <w:t>54.中标代理服务费</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54.1采购代理机构向由中标人收取招标代理服务费。</w:t>
      </w:r>
    </w:p>
    <w:p>
      <w:pPr>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54.2按照下述方式向采购代理机构按如下标准和规定缴纳采购代理服务费</w:t>
      </w:r>
    </w:p>
    <w:p>
      <w:pPr>
        <w:rPr>
          <w:rFonts w:ascii="宋体" w:hAnsi="宋体" w:eastAsia="宋体" w:cs="宋体"/>
          <w:color w:val="000000"/>
          <w:sz w:val="21"/>
          <w:szCs w:val="21"/>
        </w:rPr>
      </w:pPr>
      <w:r>
        <w:rPr>
          <w:rFonts w:hint="eastAsia" w:ascii="宋体" w:hAnsi="宋体" w:eastAsia="宋体" w:cs="宋体"/>
          <w:color w:val="000000"/>
          <w:sz w:val="21"/>
          <w:szCs w:val="21"/>
        </w:rPr>
        <w:t>方式：采购代理服务费参照 深财购【2018】27号文及相关规定收取，具体收费标准如下表：</w:t>
      </w:r>
    </w:p>
    <w:tbl>
      <w:tblPr>
        <w:tblStyle w:val="1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509"/>
        <w:gridCol w:w="1805"/>
        <w:gridCol w:w="1805"/>
        <w:gridCol w:w="180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32" w:hRule="atLeast"/>
          <w:jc w:val="center"/>
        </w:trPr>
        <w:tc>
          <w:tcPr>
            <w:tcW w:w="3509" w:type="dxa"/>
            <w:tcBorders>
              <w:left w:val="single" w:color="auto" w:sz="4" w:space="0"/>
            </w:tcBorders>
            <w:vAlign w:val="center"/>
          </w:tcPr>
          <w:p>
            <w:pPr>
              <w:spacing w:after="60"/>
              <w:ind w:firstLine="630" w:firstLineChars="300"/>
              <w:jc w:val="center"/>
              <w:rPr>
                <w:rFonts w:ascii="宋体" w:hAnsi="宋体" w:eastAsia="宋体" w:cs="宋体"/>
                <w:sz w:val="21"/>
                <w:szCs w:val="21"/>
              </w:rPr>
            </w:pPr>
            <w:r>
              <w:rPr>
                <w:rFonts w:hint="eastAsia" w:ascii="宋体" w:hAnsi="宋体" w:eastAsia="宋体" w:cs="宋体"/>
                <w:sz w:val="21"/>
                <w:szCs w:val="21"/>
              </w:rPr>
              <w:t xml:space="preserve">    服务类型</w:t>
            </w:r>
          </w:p>
          <w:p>
            <w:pPr>
              <w:spacing w:after="60"/>
              <w:ind w:firstLine="1134" w:firstLineChars="540"/>
              <w:rPr>
                <w:rFonts w:ascii="宋体" w:hAnsi="宋体" w:eastAsia="宋体" w:cs="宋体"/>
                <w:sz w:val="21"/>
                <w:szCs w:val="21"/>
              </w:rPr>
            </w:pPr>
            <w:r>
              <w:rPr>
                <w:rFonts w:hint="eastAsia" w:ascii="宋体" w:hAnsi="宋体" w:eastAsia="宋体" w:cs="宋体"/>
                <w:sz w:val="21"/>
                <w:szCs w:val="21"/>
              </w:rPr>
              <w:t>费率</w:t>
            </w:r>
          </w:p>
          <w:p>
            <w:pPr>
              <w:spacing w:after="60"/>
              <w:rPr>
                <w:rFonts w:ascii="宋体" w:hAnsi="宋体" w:eastAsia="宋体" w:cs="宋体"/>
                <w:sz w:val="21"/>
                <w:szCs w:val="21"/>
              </w:rPr>
            </w:pPr>
            <w:r>
              <w:rPr>
                <w:rFonts w:hint="eastAsia" w:ascii="宋体" w:hAnsi="宋体" w:eastAsia="宋体" w:cs="宋体"/>
                <w:sz w:val="21"/>
                <w:szCs w:val="21"/>
              </w:rPr>
              <w:t>中标金额</w:t>
            </w:r>
          </w:p>
        </w:tc>
        <w:tc>
          <w:tcPr>
            <w:tcW w:w="1805"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货物采购</w:t>
            </w:r>
          </w:p>
        </w:tc>
        <w:tc>
          <w:tcPr>
            <w:tcW w:w="1805"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服务采购</w:t>
            </w:r>
          </w:p>
        </w:tc>
        <w:tc>
          <w:tcPr>
            <w:tcW w:w="1806"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工程采购</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3509" w:type="dxa"/>
            <w:vAlign w:val="center"/>
          </w:tcPr>
          <w:p>
            <w:pPr>
              <w:spacing w:after="60"/>
              <w:rPr>
                <w:rFonts w:ascii="宋体" w:hAnsi="宋体" w:eastAsia="宋体" w:cs="宋体"/>
                <w:sz w:val="21"/>
                <w:szCs w:val="21"/>
              </w:rPr>
            </w:pPr>
            <w:r>
              <w:rPr>
                <w:rFonts w:hint="eastAsia" w:ascii="宋体" w:hAnsi="宋体" w:eastAsia="宋体" w:cs="宋体"/>
                <w:sz w:val="21"/>
                <w:szCs w:val="21"/>
              </w:rPr>
              <w:t>100万元以下</w:t>
            </w:r>
          </w:p>
        </w:tc>
        <w:tc>
          <w:tcPr>
            <w:tcW w:w="1805"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1.5%</w:t>
            </w:r>
          </w:p>
        </w:tc>
        <w:tc>
          <w:tcPr>
            <w:tcW w:w="1805"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1.5%</w:t>
            </w:r>
          </w:p>
        </w:tc>
        <w:tc>
          <w:tcPr>
            <w:tcW w:w="1806"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3509" w:type="dxa"/>
            <w:vAlign w:val="center"/>
          </w:tcPr>
          <w:p>
            <w:pPr>
              <w:spacing w:after="60"/>
              <w:rPr>
                <w:rFonts w:ascii="宋体" w:hAnsi="宋体" w:eastAsia="宋体" w:cs="宋体"/>
                <w:sz w:val="21"/>
                <w:szCs w:val="21"/>
              </w:rPr>
            </w:pPr>
            <w:r>
              <w:rPr>
                <w:rFonts w:hint="eastAsia" w:ascii="宋体" w:hAnsi="宋体" w:eastAsia="宋体" w:cs="宋体"/>
                <w:sz w:val="21"/>
                <w:szCs w:val="21"/>
              </w:rPr>
              <w:t>100万元（含）-500万元</w:t>
            </w:r>
          </w:p>
        </w:tc>
        <w:tc>
          <w:tcPr>
            <w:tcW w:w="1805"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1.1%</w:t>
            </w:r>
          </w:p>
        </w:tc>
        <w:tc>
          <w:tcPr>
            <w:tcW w:w="1805"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0.8%</w:t>
            </w:r>
          </w:p>
        </w:tc>
        <w:tc>
          <w:tcPr>
            <w:tcW w:w="1806"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0.7%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3509" w:type="dxa"/>
            <w:vAlign w:val="center"/>
          </w:tcPr>
          <w:p>
            <w:pPr>
              <w:spacing w:after="60"/>
              <w:rPr>
                <w:rFonts w:ascii="宋体" w:hAnsi="宋体" w:eastAsia="宋体" w:cs="宋体"/>
                <w:sz w:val="21"/>
                <w:szCs w:val="21"/>
              </w:rPr>
            </w:pPr>
            <w:r>
              <w:rPr>
                <w:rFonts w:hint="eastAsia" w:ascii="宋体" w:hAnsi="宋体" w:eastAsia="宋体" w:cs="宋体"/>
                <w:sz w:val="21"/>
                <w:szCs w:val="21"/>
              </w:rPr>
              <w:t>500万元（含）-1000万元</w:t>
            </w:r>
          </w:p>
        </w:tc>
        <w:tc>
          <w:tcPr>
            <w:tcW w:w="1805"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0.8%</w:t>
            </w:r>
          </w:p>
        </w:tc>
        <w:tc>
          <w:tcPr>
            <w:tcW w:w="1805"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0.45%</w:t>
            </w:r>
          </w:p>
        </w:tc>
        <w:tc>
          <w:tcPr>
            <w:tcW w:w="1806"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0.55%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3509" w:type="dxa"/>
            <w:vAlign w:val="center"/>
          </w:tcPr>
          <w:p>
            <w:pPr>
              <w:spacing w:after="60"/>
              <w:rPr>
                <w:rFonts w:ascii="宋体" w:hAnsi="宋体" w:eastAsia="宋体" w:cs="宋体"/>
                <w:sz w:val="21"/>
                <w:szCs w:val="21"/>
              </w:rPr>
            </w:pPr>
            <w:r>
              <w:rPr>
                <w:rFonts w:hint="eastAsia" w:ascii="宋体" w:hAnsi="宋体" w:eastAsia="宋体" w:cs="宋体"/>
                <w:sz w:val="21"/>
                <w:szCs w:val="21"/>
              </w:rPr>
              <w:t>1000万元（含）-5000万元</w:t>
            </w:r>
          </w:p>
        </w:tc>
        <w:tc>
          <w:tcPr>
            <w:tcW w:w="1805"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0.5%</w:t>
            </w:r>
          </w:p>
        </w:tc>
        <w:tc>
          <w:tcPr>
            <w:tcW w:w="1805"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0.25%</w:t>
            </w:r>
          </w:p>
        </w:tc>
        <w:tc>
          <w:tcPr>
            <w:tcW w:w="1806"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0.35%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3509" w:type="dxa"/>
            <w:vAlign w:val="center"/>
          </w:tcPr>
          <w:p>
            <w:pPr>
              <w:spacing w:after="60"/>
              <w:rPr>
                <w:rFonts w:ascii="宋体" w:hAnsi="宋体" w:eastAsia="宋体" w:cs="宋体"/>
                <w:sz w:val="21"/>
                <w:szCs w:val="21"/>
              </w:rPr>
            </w:pPr>
            <w:r>
              <w:rPr>
                <w:rFonts w:hint="eastAsia" w:ascii="宋体" w:hAnsi="宋体" w:eastAsia="宋体" w:cs="宋体"/>
                <w:sz w:val="21"/>
                <w:szCs w:val="21"/>
              </w:rPr>
              <w:t>5000万元（含）-1亿元</w:t>
            </w:r>
          </w:p>
        </w:tc>
        <w:tc>
          <w:tcPr>
            <w:tcW w:w="1805"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0.25%</w:t>
            </w:r>
          </w:p>
        </w:tc>
        <w:tc>
          <w:tcPr>
            <w:tcW w:w="1805"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0.1%</w:t>
            </w:r>
          </w:p>
        </w:tc>
        <w:tc>
          <w:tcPr>
            <w:tcW w:w="1806"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3509" w:type="dxa"/>
            <w:vAlign w:val="center"/>
          </w:tcPr>
          <w:p>
            <w:pPr>
              <w:spacing w:after="60"/>
              <w:rPr>
                <w:rFonts w:ascii="宋体" w:hAnsi="宋体" w:eastAsia="宋体" w:cs="宋体"/>
                <w:sz w:val="21"/>
                <w:szCs w:val="21"/>
              </w:rPr>
            </w:pPr>
            <w:r>
              <w:rPr>
                <w:rFonts w:hint="eastAsia" w:ascii="宋体" w:hAnsi="宋体" w:eastAsia="宋体" w:cs="宋体"/>
                <w:sz w:val="21"/>
                <w:szCs w:val="21"/>
              </w:rPr>
              <w:t>1亿元（含）-5亿元</w:t>
            </w:r>
          </w:p>
        </w:tc>
        <w:tc>
          <w:tcPr>
            <w:tcW w:w="1805"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0.05%</w:t>
            </w:r>
          </w:p>
        </w:tc>
        <w:tc>
          <w:tcPr>
            <w:tcW w:w="1805"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0.05%</w:t>
            </w:r>
          </w:p>
        </w:tc>
        <w:tc>
          <w:tcPr>
            <w:tcW w:w="1806"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0.05%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3509" w:type="dxa"/>
          </w:tcPr>
          <w:p>
            <w:pPr>
              <w:spacing w:after="60"/>
              <w:rPr>
                <w:rFonts w:ascii="宋体" w:hAnsi="宋体" w:eastAsia="宋体" w:cs="宋体"/>
                <w:sz w:val="21"/>
                <w:szCs w:val="21"/>
              </w:rPr>
            </w:pPr>
            <w:r>
              <w:rPr>
                <w:rFonts w:hint="eastAsia" w:ascii="宋体" w:hAnsi="宋体" w:eastAsia="宋体" w:cs="宋体"/>
                <w:sz w:val="21"/>
                <w:szCs w:val="21"/>
              </w:rPr>
              <w:t>5亿元（含）-10亿元</w:t>
            </w:r>
          </w:p>
        </w:tc>
        <w:tc>
          <w:tcPr>
            <w:tcW w:w="1805"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0.035%</w:t>
            </w:r>
          </w:p>
        </w:tc>
        <w:tc>
          <w:tcPr>
            <w:tcW w:w="1805"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0.035%</w:t>
            </w:r>
          </w:p>
        </w:tc>
        <w:tc>
          <w:tcPr>
            <w:tcW w:w="1806"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0.035%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3509" w:type="dxa"/>
          </w:tcPr>
          <w:p>
            <w:pPr>
              <w:spacing w:after="60"/>
              <w:rPr>
                <w:rFonts w:ascii="宋体" w:hAnsi="宋体" w:eastAsia="宋体" w:cs="宋体"/>
                <w:sz w:val="21"/>
                <w:szCs w:val="21"/>
              </w:rPr>
            </w:pPr>
            <w:r>
              <w:rPr>
                <w:rFonts w:hint="eastAsia" w:ascii="宋体" w:hAnsi="宋体" w:eastAsia="宋体" w:cs="宋体"/>
                <w:sz w:val="21"/>
                <w:szCs w:val="21"/>
              </w:rPr>
              <w:t>10亿元（含）-50亿元</w:t>
            </w:r>
          </w:p>
        </w:tc>
        <w:tc>
          <w:tcPr>
            <w:tcW w:w="1805"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0.008%</w:t>
            </w:r>
          </w:p>
        </w:tc>
        <w:tc>
          <w:tcPr>
            <w:tcW w:w="1805"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0.008%</w:t>
            </w:r>
          </w:p>
        </w:tc>
        <w:tc>
          <w:tcPr>
            <w:tcW w:w="1806"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0.008%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3509" w:type="dxa"/>
          </w:tcPr>
          <w:p>
            <w:pPr>
              <w:spacing w:after="60"/>
              <w:rPr>
                <w:rFonts w:ascii="宋体" w:hAnsi="宋体" w:eastAsia="宋体" w:cs="宋体"/>
                <w:sz w:val="21"/>
                <w:szCs w:val="21"/>
              </w:rPr>
            </w:pPr>
            <w:r>
              <w:rPr>
                <w:rFonts w:hint="eastAsia" w:ascii="宋体" w:hAnsi="宋体" w:eastAsia="宋体" w:cs="宋体"/>
                <w:sz w:val="21"/>
                <w:szCs w:val="21"/>
              </w:rPr>
              <w:t>50亿元（含）-100亿元</w:t>
            </w:r>
          </w:p>
        </w:tc>
        <w:tc>
          <w:tcPr>
            <w:tcW w:w="1805"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0.006%</w:t>
            </w:r>
          </w:p>
        </w:tc>
        <w:tc>
          <w:tcPr>
            <w:tcW w:w="1805"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0.006%</w:t>
            </w:r>
          </w:p>
        </w:tc>
        <w:tc>
          <w:tcPr>
            <w:tcW w:w="1806"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0.006%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3509" w:type="dxa"/>
          </w:tcPr>
          <w:p>
            <w:pPr>
              <w:spacing w:after="60"/>
              <w:rPr>
                <w:rFonts w:ascii="宋体" w:hAnsi="宋体" w:eastAsia="宋体" w:cs="宋体"/>
                <w:sz w:val="21"/>
                <w:szCs w:val="21"/>
              </w:rPr>
            </w:pPr>
            <w:r>
              <w:rPr>
                <w:rFonts w:hint="eastAsia" w:ascii="宋体" w:hAnsi="宋体" w:eastAsia="宋体" w:cs="宋体"/>
                <w:sz w:val="21"/>
                <w:szCs w:val="21"/>
              </w:rPr>
              <w:t>100亿元（含）以上</w:t>
            </w:r>
          </w:p>
        </w:tc>
        <w:tc>
          <w:tcPr>
            <w:tcW w:w="1805"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0.004%</w:t>
            </w:r>
          </w:p>
        </w:tc>
        <w:tc>
          <w:tcPr>
            <w:tcW w:w="1805"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0.004%</w:t>
            </w:r>
          </w:p>
        </w:tc>
        <w:tc>
          <w:tcPr>
            <w:tcW w:w="1806" w:type="dxa"/>
            <w:vAlign w:val="center"/>
          </w:tcPr>
          <w:p>
            <w:pPr>
              <w:spacing w:after="60"/>
              <w:jc w:val="center"/>
              <w:rPr>
                <w:rFonts w:ascii="宋体" w:hAnsi="宋体" w:eastAsia="宋体" w:cs="宋体"/>
                <w:sz w:val="21"/>
                <w:szCs w:val="21"/>
              </w:rPr>
            </w:pPr>
            <w:r>
              <w:rPr>
                <w:rFonts w:hint="eastAsia" w:ascii="宋体" w:hAnsi="宋体" w:eastAsia="宋体" w:cs="宋体"/>
                <w:sz w:val="21"/>
                <w:szCs w:val="21"/>
              </w:rPr>
              <w:t>0.004%</w:t>
            </w:r>
          </w:p>
        </w:tc>
      </w:tr>
    </w:tbl>
    <w:p>
      <w:pPr>
        <w:spacing w:after="60" w:line="360" w:lineRule="auto"/>
        <w:rPr>
          <w:rFonts w:ascii="宋体" w:hAnsi="宋体" w:eastAsia="宋体" w:cs="宋体"/>
          <w:sz w:val="21"/>
          <w:szCs w:val="18"/>
        </w:rPr>
      </w:pPr>
      <w:r>
        <w:rPr>
          <w:rFonts w:hint="eastAsia" w:ascii="宋体" w:hAnsi="宋体" w:eastAsia="宋体" w:cs="宋体"/>
          <w:sz w:val="21"/>
          <w:szCs w:val="18"/>
        </w:rPr>
        <w:t>注：(1)以中标金额作为缴费的计算基数。</w:t>
      </w:r>
    </w:p>
    <w:p>
      <w:pPr>
        <w:spacing w:after="60" w:line="360" w:lineRule="auto"/>
        <w:rPr>
          <w:rFonts w:ascii="宋体" w:hAnsi="宋体" w:eastAsia="宋体" w:cs="宋体"/>
          <w:sz w:val="21"/>
          <w:szCs w:val="18"/>
        </w:rPr>
      </w:pPr>
      <w:r>
        <w:rPr>
          <w:rFonts w:hint="eastAsia" w:ascii="宋体" w:hAnsi="宋体" w:eastAsia="宋体" w:cs="宋体"/>
          <w:sz w:val="21"/>
          <w:szCs w:val="18"/>
        </w:rPr>
        <w:t>（2）招标代理服务费按差额定率累进法计算。</w:t>
      </w:r>
    </w:p>
    <w:p>
      <w:pPr>
        <w:spacing w:after="60" w:line="360" w:lineRule="auto"/>
        <w:rPr>
          <w:rFonts w:ascii="宋体" w:hAnsi="宋体" w:eastAsia="宋体" w:cs="宋体"/>
          <w:sz w:val="21"/>
          <w:szCs w:val="18"/>
        </w:rPr>
      </w:pPr>
      <w:r>
        <w:rPr>
          <w:rFonts w:hint="eastAsia" w:ascii="宋体" w:hAnsi="宋体" w:eastAsia="宋体" w:cs="宋体"/>
          <w:sz w:val="21"/>
          <w:szCs w:val="18"/>
        </w:rPr>
        <w:t>收款单位：深圳市合创建设工程顾问有限公司</w:t>
      </w:r>
    </w:p>
    <w:p>
      <w:pPr>
        <w:spacing w:after="60" w:line="360" w:lineRule="auto"/>
        <w:rPr>
          <w:rFonts w:ascii="宋体" w:hAnsi="宋体" w:eastAsia="宋体" w:cs="宋体"/>
          <w:sz w:val="21"/>
          <w:szCs w:val="18"/>
        </w:rPr>
      </w:pPr>
      <w:r>
        <w:rPr>
          <w:rFonts w:hint="eastAsia" w:ascii="宋体" w:hAnsi="宋体" w:eastAsia="宋体" w:cs="宋体"/>
          <w:sz w:val="21"/>
          <w:szCs w:val="18"/>
        </w:rPr>
        <w:t>开银行：光大银行深圳景田支行</w:t>
      </w:r>
    </w:p>
    <w:p>
      <w:pPr>
        <w:rPr>
          <w:rFonts w:ascii="宋体" w:hAnsi="宋体" w:eastAsia="宋体" w:cs="宋体"/>
          <w:sz w:val="21"/>
          <w:szCs w:val="18"/>
        </w:rPr>
      </w:pPr>
      <w:r>
        <w:rPr>
          <w:rFonts w:hint="eastAsia" w:ascii="宋体" w:hAnsi="宋体" w:eastAsia="宋体" w:cs="宋体"/>
          <w:sz w:val="21"/>
          <w:szCs w:val="18"/>
        </w:rPr>
        <w:t>帐 号：39050188000083280（用于支付中标服务费）</w:t>
      </w:r>
    </w:p>
    <w:p/>
    <w:p/>
    <w:sectPr>
      <w:footerReference r:id="rId3" w:type="default"/>
      <w:pgSz w:w="11906" w:h="16838"/>
      <w:pgMar w:top="1440" w:right="1800" w:bottom="1440" w:left="1800" w:header="720" w:footer="720" w:gutter="0"/>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经典特宋简">
    <w:altName w:val="宋体"/>
    <w:panose1 w:val="00000000000000000000"/>
    <w:charset w:val="86"/>
    <w:family w:val="modern"/>
    <w:pitch w:val="default"/>
    <w:sig w:usb0="00000000" w:usb1="00000000" w:usb2="0000001E"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727710" cy="131445"/>
              <wp:effectExtent l="0" t="0" r="0" b="0"/>
              <wp:wrapNone/>
              <wp:docPr id="6" name="Text Box 1"/>
              <wp:cNvGraphicFramePr/>
              <a:graphic xmlns:a="http://schemas.openxmlformats.org/drawingml/2006/main">
                <a:graphicData uri="http://schemas.microsoft.com/office/word/2010/wordprocessingShape">
                  <wps:wsp>
                    <wps:cNvSpPr txBox="1">
                      <a:spLocks noChangeArrowheads="1"/>
                    </wps:cNvSpPr>
                    <wps:spPr bwMode="auto">
                      <a:xfrm>
                        <a:off x="0" y="0"/>
                        <a:ext cx="727710" cy="131445"/>
                      </a:xfrm>
                      <a:prstGeom prst="rect">
                        <a:avLst/>
                      </a:prstGeom>
                      <a:noFill/>
                      <a:ln>
                        <a:noFill/>
                      </a:ln>
                    </wps:spPr>
                    <wps:txbx>
                      <w:txbxContent>
                        <w:p>
                          <w:pPr>
                            <w:pStyle w:val="12"/>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86</w:t>
                          </w:r>
                          <w:r>
                            <w:fldChar w:fldCharType="end"/>
                          </w:r>
                          <w:r>
                            <w:t xml:space="preserve"> 页</w:t>
                          </w:r>
                        </w:p>
                      </w:txbxContent>
                    </wps:txbx>
                    <wps:bodyPr rot="0" vert="horz" wrap="none" lIns="0" tIns="0" rIns="0" bIns="0" anchor="t" anchorCtr="0" upright="1">
                      <a:spAutoFit/>
                    </wps:bodyPr>
                  </wps:wsp>
                </a:graphicData>
              </a:graphic>
            </wp:anchor>
          </w:drawing>
        </mc:Choice>
        <mc:Fallback>
          <w:pict>
            <v:shape id="Text Box 1" o:spid="_x0000_s1026" o:spt="202" type="#_x0000_t202" style="position:absolute;left:0pt;margin-top:0pt;height:10.35pt;width:57.3pt;mso-position-horizontal:center;mso-position-horizontal-relative:margin;mso-wrap-style:none;z-index:251659264;mso-width-relative:page;mso-height-relative:page;" filled="f" stroked="f" coordsize="21600,21600" o:gfxdata="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AYCtcX0QAAAAQBAAAPAAAAAAAAAAEAIAAAACIAAABkcnMvZG93bnJldi54bWxQSwECFAAU&#10;AAAACACHTuJAdAiJUfgBAAABBAAADgAAAAAAAAABACAAAAAgAQAAZHJzL2Uyb0RvYy54bWxQSwUG&#10;AAAAAAYABgBZAQAAigUAAAAA&#10;">
              <v:fill on="f" focussize="0,0"/>
              <v:stroke on="f"/>
              <v:imagedata o:title=""/>
              <o:lock v:ext="edit" aspectratio="f"/>
              <v:textbox inset="0mm,0mm,0mm,0mm" style="mso-fit-shape-to-text:t;">
                <w:txbxContent>
                  <w:p>
                    <w:pPr>
                      <w:pStyle w:val="12"/>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86</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784CF4"/>
    <w:multiLevelType w:val="singleLevel"/>
    <w:tmpl w:val="8A784CF4"/>
    <w:lvl w:ilvl="0" w:tentative="0">
      <w:start w:val="6"/>
      <w:numFmt w:val="chineseCounting"/>
      <w:suff w:val="nothing"/>
      <w:lvlText w:val="%1、"/>
      <w:lvlJc w:val="left"/>
      <w:rPr>
        <w:rFonts w:hint="eastAsia"/>
      </w:rPr>
    </w:lvl>
  </w:abstractNum>
  <w:abstractNum w:abstractNumId="1">
    <w:nsid w:val="FAC9DF94"/>
    <w:multiLevelType w:val="singleLevel"/>
    <w:tmpl w:val="FAC9DF94"/>
    <w:lvl w:ilvl="0" w:tentative="0">
      <w:start w:val="9"/>
      <w:numFmt w:val="chineseCounting"/>
      <w:suff w:val="nothing"/>
      <w:lvlText w:val="%1、"/>
      <w:lvlJc w:val="left"/>
      <w:rPr>
        <w:rFonts w:hint="eastAsia"/>
      </w:rPr>
    </w:lvl>
  </w:abstractNum>
  <w:abstractNum w:abstractNumId="2">
    <w:nsid w:val="00000004"/>
    <w:multiLevelType w:val="multilevel"/>
    <w:tmpl w:val="00000004"/>
    <w:lvl w:ilvl="0" w:tentative="0">
      <w:start w:val="1"/>
      <w:numFmt w:val="decimal"/>
      <w:pStyle w:val="52"/>
      <w:lvlText w:val="%1."/>
      <w:lvlJc w:val="left"/>
      <w:pPr>
        <w:ind w:left="420" w:hanging="420"/>
      </w:pPr>
      <w:rPr>
        <w:rFonts w:hint="default"/>
        <w:sz w:val="44"/>
        <w:szCs w:val="44"/>
      </w:rPr>
    </w:lvl>
    <w:lvl w:ilvl="1" w:tentative="0">
      <w:start w:val="1"/>
      <w:numFmt w:val="decimal"/>
      <w:suff w:val="space"/>
      <w:lvlText w:val="%1.%2"/>
      <w:lvlJc w:val="left"/>
      <w:pPr>
        <w:ind w:left="567" w:hanging="567"/>
      </w:pPr>
      <w:rPr>
        <w:rFonts w:hint="eastAsia"/>
      </w:rPr>
    </w:lvl>
    <w:lvl w:ilvl="2" w:tentative="0">
      <w:start w:val="1"/>
      <w:numFmt w:val="decimal"/>
      <w:suff w:val="space"/>
      <w:lvlText w:val="%1.%2.%3"/>
      <w:lvlJc w:val="left"/>
      <w:pPr>
        <w:ind w:left="6238" w:hanging="425"/>
      </w:pPr>
      <w:rPr>
        <w:rFonts w:hint="eastAsia"/>
        <w:b w:val="0"/>
        <w:bCs w:val="0"/>
        <w:i w:val="0"/>
        <w:iCs w:val="0"/>
        <w:caps w:val="0"/>
        <w:smallCaps w:val="0"/>
        <w:strike w:val="0"/>
        <w:dstrike w:val="0"/>
        <w:vanish w:val="0"/>
        <w:color w:val="000000"/>
        <w:spacing w:val="0"/>
        <w:position w:val="0"/>
        <w:u w:val="none"/>
        <w:vertAlign w:val="baseline"/>
      </w:rPr>
    </w:lvl>
    <w:lvl w:ilvl="3" w:tentative="0">
      <w:start w:val="1"/>
      <w:numFmt w:val="decimal"/>
      <w:suff w:val="space"/>
      <w:lvlText w:val="%1.%2.%3.%4"/>
      <w:lvlJc w:val="left"/>
      <w:pPr>
        <w:ind w:left="425" w:hanging="425"/>
      </w:pPr>
      <w:rPr>
        <w:rFonts w:hint="eastAsia"/>
        <w:b w:val="0"/>
        <w:bCs w:val="0"/>
        <w:i w:val="0"/>
        <w:iCs w:val="0"/>
        <w:caps w:val="0"/>
        <w:smallCaps w:val="0"/>
        <w:strike w:val="0"/>
        <w:dstrike w:val="0"/>
        <w:vanish w:val="0"/>
        <w:color w:val="000000"/>
        <w:spacing w:val="0"/>
        <w:position w:val="0"/>
        <w:u w:val="none"/>
        <w:vertAlign w:val="baseline"/>
      </w:rPr>
    </w:lvl>
    <w:lvl w:ilvl="4" w:tentative="0">
      <w:start w:val="1"/>
      <w:numFmt w:val="decimal"/>
      <w:suff w:val="space"/>
      <w:lvlText w:val="%1.%2.%3.%4.%5"/>
      <w:lvlJc w:val="left"/>
      <w:pPr>
        <w:ind w:left="1418" w:hanging="425"/>
      </w:pPr>
      <w:rPr>
        <w:rFonts w:hint="default" w:ascii="Times New Roman" w:hAnsi="Times New Roman"/>
        <w:sz w:val="24"/>
        <w:szCs w:val="24"/>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4557"/>
        </w:tabs>
        <w:ind w:left="4557"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hideSpellingErrors/>
  <w:documentProtection w:enforcement="0"/>
  <w:defaultTabStop w:val="720"/>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JhZWQ5ZDc4MjgxZTcwZDdmOTY0YzM3MDVhZGM3M2EifQ=="/>
    <w:docVar w:name="KSO_WPS_MARK_KEY" w:val="91d6a0f6-4efa-49c9-a74a-62f2595f7a7c"/>
  </w:docVars>
  <w:rsids>
    <w:rsidRoot w:val="00000000"/>
    <w:rsid w:val="07164B7E"/>
    <w:rsid w:val="0B1221D1"/>
    <w:rsid w:val="29155A34"/>
    <w:rsid w:val="3190036A"/>
    <w:rsid w:val="433D2AB6"/>
    <w:rsid w:val="46E4575A"/>
    <w:rsid w:val="46F43474"/>
    <w:rsid w:val="4EF722D4"/>
    <w:rsid w:val="59EC1E4D"/>
    <w:rsid w:val="62A6091A"/>
    <w:rsid w:val="77AC5AEF"/>
    <w:rsid w:val="7F7147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99" w:semiHidden="0" w:name="Normal Indent"/>
    <w:lsdException w:uiPriority="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iPriority="0" w:name="Salutation"/>
    <w:lsdException w:uiPriority="0" w:name="Date"/>
    <w:lsdException w:uiPriority="0" w:name="Body Text First Indent"/>
    <w:lsdException w:qFormat="1" w:uiPriority="99" w:semiHidden="0" w:name="Body Text First Indent 2"/>
    <w:lsdException w:uiPriority="99" w:name="Note Heading"/>
    <w:lsdException w:qFormat="1" w:unhideWhenUsed="0" w:uiPriority="99" w:semiHidden="0" w:name="Body Text 2"/>
    <w:lsdException w:uiPriority="0" w:name="Body Text 3"/>
    <w:lsdException w:uiPriority="0" w:name="Body Text Indent 2"/>
    <w:lsdException w:uiPriority="0" w:name="Body Text Indent 3"/>
    <w:lsdException w:uiPriority="0" w:name="Block Text"/>
    <w:lsdException w:qFormat="1" w:uiPriority="99" w:semiHidden="0" w:name="Hyperlink"/>
    <w:lsdException w:qFormat="1"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iPriority="99" w:semiHidden="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qFormat="1"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imes New Roman"/>
      <w:sz w:val="24"/>
      <w:szCs w:val="24"/>
      <w:lang w:val="en-US" w:eastAsia="zh-CN" w:bidi="ar-SA"/>
    </w:rPr>
  </w:style>
  <w:style w:type="paragraph" w:styleId="2">
    <w:name w:val="heading 1"/>
    <w:basedOn w:val="1"/>
    <w:next w:val="1"/>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autoRedefine/>
    <w:qFormat/>
    <w:uiPriority w:val="0"/>
    <w:pPr>
      <w:adjustRightInd w:val="0"/>
      <w:jc w:val="center"/>
      <w:outlineLvl w:val="1"/>
    </w:pPr>
    <w:rPr>
      <w:bCs/>
      <w:szCs w:val="20"/>
    </w:rPr>
  </w:style>
  <w:style w:type="paragraph" w:styleId="4">
    <w:name w:val="heading 3"/>
    <w:basedOn w:val="5"/>
    <w:next w:val="1"/>
    <w:autoRedefine/>
    <w:semiHidden/>
    <w:unhideWhenUsed/>
    <w:qFormat/>
    <w:uiPriority w:val="0"/>
    <w:pPr>
      <w:spacing w:beforeAutospacing="1" w:afterAutospacing="1"/>
      <w:outlineLvl w:val="2"/>
    </w:pPr>
    <w:rPr>
      <w:rFonts w:hint="eastAsia" w:ascii="宋体" w:hAnsi="宋体" w:eastAsia="宋体"/>
      <w:sz w:val="27"/>
      <w:szCs w:val="27"/>
    </w:rPr>
  </w:style>
  <w:style w:type="paragraph" w:styleId="5">
    <w:name w:val="heading 4"/>
    <w:basedOn w:val="1"/>
    <w:next w:val="1"/>
    <w:autoRedefine/>
    <w:qFormat/>
    <w:uiPriority w:val="0"/>
    <w:pPr>
      <w:keepNext/>
      <w:keepLines/>
      <w:spacing w:before="280" w:after="290" w:line="376" w:lineRule="auto"/>
      <w:outlineLvl w:val="3"/>
    </w:pPr>
    <w:rPr>
      <w:rFonts w:ascii="Arial" w:hAnsi="Arial" w:eastAsia="黑体" w:cstheme="majorBidi"/>
      <w:b/>
      <w:bCs/>
      <w:sz w:val="28"/>
      <w:szCs w:val="28"/>
    </w:rPr>
  </w:style>
  <w:style w:type="character" w:default="1" w:styleId="21">
    <w:name w:val="Default Paragraph Font"/>
    <w:autoRedefine/>
    <w:semiHidden/>
    <w:unhideWhenUsed/>
    <w:qFormat/>
    <w:uiPriority w:val="1"/>
  </w:style>
  <w:style w:type="table" w:default="1" w:styleId="19">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99"/>
    <w:pPr>
      <w:ind w:firstLine="420" w:firstLineChars="200"/>
    </w:pPr>
  </w:style>
  <w:style w:type="paragraph" w:styleId="7">
    <w:name w:val="annotation text"/>
    <w:basedOn w:val="1"/>
    <w:link w:val="40"/>
    <w:autoRedefine/>
    <w:qFormat/>
    <w:uiPriority w:val="99"/>
  </w:style>
  <w:style w:type="paragraph" w:styleId="8">
    <w:name w:val="Body Text"/>
    <w:basedOn w:val="1"/>
    <w:next w:val="9"/>
    <w:autoRedefine/>
    <w:qFormat/>
    <w:uiPriority w:val="0"/>
    <w:pPr>
      <w:spacing w:line="360" w:lineRule="auto"/>
    </w:pPr>
    <w:rPr>
      <w:b/>
      <w:bCs/>
    </w:rPr>
  </w:style>
  <w:style w:type="paragraph" w:styleId="9">
    <w:name w:val="Body Text 2"/>
    <w:basedOn w:val="1"/>
    <w:autoRedefine/>
    <w:qFormat/>
    <w:uiPriority w:val="99"/>
    <w:pPr>
      <w:spacing w:line="360" w:lineRule="auto"/>
    </w:pPr>
    <w:rPr>
      <w:sz w:val="24"/>
    </w:rPr>
  </w:style>
  <w:style w:type="paragraph" w:styleId="10">
    <w:name w:val="Body Text Indent"/>
    <w:basedOn w:val="1"/>
    <w:autoRedefine/>
    <w:qFormat/>
    <w:uiPriority w:val="0"/>
    <w:pPr>
      <w:ind w:left="420"/>
    </w:pPr>
  </w:style>
  <w:style w:type="paragraph" w:styleId="11">
    <w:name w:val="Balloon Text"/>
    <w:basedOn w:val="1"/>
    <w:link w:val="46"/>
    <w:autoRedefine/>
    <w:qFormat/>
    <w:uiPriority w:val="0"/>
    <w:rPr>
      <w:sz w:val="18"/>
      <w:szCs w:val="18"/>
    </w:rPr>
  </w:style>
  <w:style w:type="paragraph" w:styleId="12">
    <w:name w:val="footer"/>
    <w:basedOn w:val="1"/>
    <w:autoRedefine/>
    <w:qFormat/>
    <w:uiPriority w:val="0"/>
    <w:pPr>
      <w:tabs>
        <w:tab w:val="center" w:pos="4153"/>
        <w:tab w:val="right" w:pos="8306"/>
      </w:tabs>
      <w:snapToGrid w:val="0"/>
    </w:pPr>
    <w:rPr>
      <w:sz w:val="18"/>
    </w:rPr>
  </w:style>
  <w:style w:type="paragraph" w:styleId="13">
    <w:name w:val="header"/>
    <w:basedOn w:val="1"/>
    <w:autoRedefine/>
    <w:qFormat/>
    <w:uiPriority w:val="0"/>
    <w:pPr>
      <w:tabs>
        <w:tab w:val="center" w:pos="4153"/>
        <w:tab w:val="right" w:pos="8306"/>
      </w:tabs>
      <w:snapToGrid w:val="0"/>
      <w:jc w:val="both"/>
    </w:pPr>
    <w:rPr>
      <w:sz w:val="18"/>
    </w:rPr>
  </w:style>
  <w:style w:type="paragraph" w:styleId="14">
    <w:name w:val="Message Header"/>
    <w:basedOn w:val="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rPr>
  </w:style>
  <w:style w:type="paragraph" w:styleId="15">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rPr>
  </w:style>
  <w:style w:type="paragraph" w:styleId="16">
    <w:name w:val="Normal (Web)"/>
    <w:basedOn w:val="1"/>
    <w:autoRedefine/>
    <w:unhideWhenUsed/>
    <w:qFormat/>
    <w:uiPriority w:val="99"/>
    <w:pPr>
      <w:spacing w:before="100" w:beforeAutospacing="1" w:after="100" w:afterAutospacing="1"/>
    </w:pPr>
    <w:rPr>
      <w:rFonts w:ascii="宋体" w:hAnsi="宋体" w:cs="宋体"/>
    </w:rPr>
  </w:style>
  <w:style w:type="paragraph" w:styleId="17">
    <w:name w:val="annotation subject"/>
    <w:basedOn w:val="7"/>
    <w:next w:val="7"/>
    <w:link w:val="47"/>
    <w:autoRedefine/>
    <w:qFormat/>
    <w:uiPriority w:val="0"/>
    <w:rPr>
      <w:b/>
      <w:bCs/>
    </w:rPr>
  </w:style>
  <w:style w:type="paragraph" w:styleId="18">
    <w:name w:val="Body Text First Indent 2"/>
    <w:basedOn w:val="10"/>
    <w:autoRedefine/>
    <w:unhideWhenUsed/>
    <w:qFormat/>
    <w:uiPriority w:val="99"/>
    <w:pPr>
      <w:spacing w:after="120"/>
      <w:ind w:left="200" w:leftChars="200"/>
    </w:pPr>
  </w:style>
  <w:style w:type="table" w:styleId="20">
    <w:name w:val="Table Grid"/>
    <w:basedOn w:val="1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autoRedefine/>
    <w:qFormat/>
    <w:uiPriority w:val="0"/>
    <w:rPr>
      <w:b/>
      <w:bCs/>
    </w:rPr>
  </w:style>
  <w:style w:type="character" w:styleId="23">
    <w:name w:val="page number"/>
    <w:basedOn w:val="21"/>
    <w:autoRedefine/>
    <w:qFormat/>
    <w:uiPriority w:val="0"/>
  </w:style>
  <w:style w:type="character" w:styleId="24">
    <w:name w:val="FollowedHyperlink"/>
    <w:basedOn w:val="21"/>
    <w:autoRedefine/>
    <w:semiHidden/>
    <w:unhideWhenUsed/>
    <w:qFormat/>
    <w:uiPriority w:val="0"/>
    <w:rPr>
      <w:color w:val="5C5C5C"/>
      <w:u w:val="none"/>
    </w:rPr>
  </w:style>
  <w:style w:type="character" w:styleId="25">
    <w:name w:val="Emphasis"/>
    <w:basedOn w:val="21"/>
    <w:autoRedefine/>
    <w:qFormat/>
    <w:uiPriority w:val="0"/>
    <w:rPr>
      <w:b/>
      <w:bCs/>
    </w:rPr>
  </w:style>
  <w:style w:type="character" w:styleId="26">
    <w:name w:val="HTML Definition"/>
    <w:basedOn w:val="21"/>
    <w:autoRedefine/>
    <w:semiHidden/>
    <w:unhideWhenUsed/>
    <w:qFormat/>
    <w:uiPriority w:val="0"/>
  </w:style>
  <w:style w:type="character" w:styleId="27">
    <w:name w:val="HTML Typewriter"/>
    <w:basedOn w:val="21"/>
    <w:autoRedefine/>
    <w:semiHidden/>
    <w:unhideWhenUsed/>
    <w:qFormat/>
    <w:uiPriority w:val="0"/>
    <w:rPr>
      <w:rFonts w:hint="default" w:ascii="monospace" w:hAnsi="monospace" w:eastAsia="monospace" w:cs="monospace"/>
      <w:sz w:val="20"/>
    </w:rPr>
  </w:style>
  <w:style w:type="character" w:styleId="28">
    <w:name w:val="HTML Acronym"/>
    <w:basedOn w:val="21"/>
    <w:autoRedefine/>
    <w:semiHidden/>
    <w:unhideWhenUsed/>
    <w:qFormat/>
    <w:uiPriority w:val="0"/>
  </w:style>
  <w:style w:type="character" w:styleId="29">
    <w:name w:val="HTML Variable"/>
    <w:basedOn w:val="21"/>
    <w:autoRedefine/>
    <w:semiHidden/>
    <w:unhideWhenUsed/>
    <w:qFormat/>
    <w:uiPriority w:val="0"/>
  </w:style>
  <w:style w:type="character" w:styleId="30">
    <w:name w:val="Hyperlink"/>
    <w:autoRedefine/>
    <w:unhideWhenUsed/>
    <w:qFormat/>
    <w:uiPriority w:val="99"/>
    <w:rPr>
      <w:color w:val="0000FF"/>
      <w:u w:val="single"/>
    </w:rPr>
  </w:style>
  <w:style w:type="character" w:styleId="31">
    <w:name w:val="HTML Code"/>
    <w:basedOn w:val="21"/>
    <w:autoRedefine/>
    <w:semiHidden/>
    <w:unhideWhenUsed/>
    <w:qFormat/>
    <w:uiPriority w:val="0"/>
    <w:rPr>
      <w:rFonts w:ascii="monospace" w:hAnsi="monospace" w:eastAsia="monospace" w:cs="monospace"/>
      <w:sz w:val="20"/>
    </w:rPr>
  </w:style>
  <w:style w:type="character" w:styleId="32">
    <w:name w:val="annotation reference"/>
    <w:basedOn w:val="21"/>
    <w:autoRedefine/>
    <w:qFormat/>
    <w:uiPriority w:val="99"/>
    <w:rPr>
      <w:sz w:val="21"/>
      <w:szCs w:val="21"/>
    </w:rPr>
  </w:style>
  <w:style w:type="character" w:styleId="33">
    <w:name w:val="HTML Cite"/>
    <w:basedOn w:val="21"/>
    <w:autoRedefine/>
    <w:semiHidden/>
    <w:unhideWhenUsed/>
    <w:qFormat/>
    <w:uiPriority w:val="0"/>
  </w:style>
  <w:style w:type="character" w:styleId="34">
    <w:name w:val="HTML Keyboard"/>
    <w:basedOn w:val="21"/>
    <w:autoRedefine/>
    <w:semiHidden/>
    <w:unhideWhenUsed/>
    <w:qFormat/>
    <w:uiPriority w:val="0"/>
    <w:rPr>
      <w:rFonts w:hint="default" w:ascii="monospace" w:hAnsi="monospace" w:eastAsia="monospace" w:cs="monospace"/>
      <w:sz w:val="20"/>
    </w:rPr>
  </w:style>
  <w:style w:type="character" w:styleId="35">
    <w:name w:val="HTML Sample"/>
    <w:basedOn w:val="21"/>
    <w:autoRedefine/>
    <w:semiHidden/>
    <w:unhideWhenUsed/>
    <w:qFormat/>
    <w:uiPriority w:val="0"/>
    <w:rPr>
      <w:rFonts w:hint="default" w:ascii="monospace" w:hAnsi="monospace" w:eastAsia="monospace" w:cs="monospace"/>
    </w:rPr>
  </w:style>
  <w:style w:type="paragraph" w:customStyle="1" w:styleId="36">
    <w:name w:val="文档正文"/>
    <w:basedOn w:val="1"/>
    <w:autoRedefine/>
    <w:unhideWhenUsed/>
    <w:qFormat/>
    <w:uiPriority w:val="0"/>
    <w:pPr>
      <w:spacing w:line="360" w:lineRule="auto"/>
    </w:pPr>
    <w:rPr>
      <w:rFonts w:hint="default"/>
      <w:sz w:val="21"/>
      <w:szCs w:val="24"/>
    </w:rPr>
  </w:style>
  <w:style w:type="paragraph" w:customStyle="1" w:styleId="37">
    <w:name w:val="表格文字"/>
    <w:basedOn w:val="1"/>
    <w:autoRedefine/>
    <w:qFormat/>
    <w:uiPriority w:val="0"/>
    <w:pPr>
      <w:adjustRightInd w:val="0"/>
      <w:spacing w:line="420" w:lineRule="atLeast"/>
      <w:jc w:val="left"/>
      <w:textAlignment w:val="baseline"/>
    </w:pPr>
    <w:rPr>
      <w:kern w:val="0"/>
      <w:szCs w:val="20"/>
    </w:rPr>
  </w:style>
  <w:style w:type="paragraph" w:customStyle="1" w:styleId="38">
    <w:name w:val="引用1"/>
    <w:next w:val="1"/>
    <w:autoRedefine/>
    <w:qFormat/>
    <w:uiPriority w:val="99"/>
    <w:pPr>
      <w:widowControl w:val="0"/>
      <w:jc w:val="both"/>
    </w:pPr>
    <w:rPr>
      <w:rFonts w:ascii="Calibri" w:hAnsi="Calibri" w:eastAsia="宋体" w:cs="Calibri"/>
      <w:i/>
      <w:iCs/>
      <w:color w:val="000000"/>
      <w:kern w:val="2"/>
      <w:sz w:val="22"/>
      <w:szCs w:val="22"/>
      <w:lang w:val="en-US" w:eastAsia="zh-CN" w:bidi="ar-SA"/>
    </w:rPr>
  </w:style>
  <w:style w:type="paragraph" w:customStyle="1" w:styleId="39">
    <w:name w:val="_Style 1"/>
    <w:basedOn w:val="1"/>
    <w:next w:val="1"/>
    <w:autoRedefine/>
    <w:qFormat/>
    <w:uiPriority w:val="99"/>
    <w:pPr>
      <w:ind w:firstLine="420" w:firstLineChars="200"/>
    </w:pPr>
  </w:style>
  <w:style w:type="character" w:customStyle="1" w:styleId="40">
    <w:name w:val="批注文字 字符"/>
    <w:basedOn w:val="21"/>
    <w:link w:val="7"/>
    <w:autoRedefine/>
    <w:qFormat/>
    <w:uiPriority w:val="99"/>
    <w:rPr>
      <w:rFonts w:eastAsia="Times New Roman"/>
      <w:sz w:val="24"/>
      <w:szCs w:val="24"/>
    </w:rPr>
  </w:style>
  <w:style w:type="paragraph" w:customStyle="1" w:styleId="41">
    <w:name w:val="正文1"/>
    <w:autoRedefine/>
    <w:qFormat/>
    <w:uiPriority w:val="0"/>
    <w:pPr>
      <w:jc w:val="both"/>
    </w:pPr>
    <w:rPr>
      <w:rFonts w:ascii="Times New Roman" w:hAnsi="Times New Roman" w:eastAsia="宋体" w:cs="Times New Roman"/>
      <w:kern w:val="2"/>
      <w:sz w:val="21"/>
      <w:szCs w:val="21"/>
      <w:lang w:val="en-US" w:eastAsia="zh-CN" w:bidi="ar-SA"/>
    </w:rPr>
  </w:style>
  <w:style w:type="paragraph" w:styleId="42">
    <w:name w:val="List Paragraph"/>
    <w:basedOn w:val="1"/>
    <w:autoRedefine/>
    <w:qFormat/>
    <w:uiPriority w:val="1"/>
    <w:pPr>
      <w:ind w:firstLine="420" w:firstLineChars="200"/>
    </w:pPr>
  </w:style>
  <w:style w:type="paragraph" w:customStyle="1" w:styleId="43">
    <w:name w:val="trs_editor"/>
    <w:basedOn w:val="1"/>
    <w:autoRedefine/>
    <w:qFormat/>
    <w:uiPriority w:val="0"/>
    <w:pPr>
      <w:spacing w:before="100" w:beforeAutospacing="1" w:after="100" w:afterAutospacing="1"/>
    </w:pPr>
    <w:rPr>
      <w:rFonts w:ascii="宋体" w:hAnsi="宋体" w:cs="宋体"/>
    </w:rPr>
  </w:style>
  <w:style w:type="character" w:customStyle="1" w:styleId="44">
    <w:name w:val="font21"/>
    <w:autoRedefine/>
    <w:qFormat/>
    <w:uiPriority w:val="0"/>
    <w:rPr>
      <w:rFonts w:hint="eastAsia" w:ascii="宋体" w:hAnsi="宋体" w:eastAsia="宋体" w:cs="宋体"/>
      <w:b/>
      <w:color w:val="000000"/>
      <w:sz w:val="24"/>
      <w:szCs w:val="24"/>
      <w:u w:val="none"/>
    </w:rPr>
  </w:style>
  <w:style w:type="paragraph" w:customStyle="1" w:styleId="45">
    <w:name w:val="_Style 3"/>
    <w:autoRedefine/>
    <w:qFormat/>
    <w:uiPriority w:val="1"/>
    <w:pPr>
      <w:widowControl w:val="0"/>
      <w:jc w:val="both"/>
    </w:pPr>
    <w:rPr>
      <w:rFonts w:ascii="Calibri" w:hAnsi="Calibri" w:eastAsia="宋体" w:cs="Times New Roman"/>
      <w:kern w:val="2"/>
      <w:sz w:val="21"/>
      <w:szCs w:val="22"/>
      <w:lang w:val="en-US" w:eastAsia="zh-CN" w:bidi="ar-SA"/>
    </w:rPr>
  </w:style>
  <w:style w:type="character" w:customStyle="1" w:styleId="46">
    <w:name w:val="批注框文本 字符"/>
    <w:basedOn w:val="21"/>
    <w:link w:val="11"/>
    <w:autoRedefine/>
    <w:qFormat/>
    <w:uiPriority w:val="0"/>
    <w:rPr>
      <w:rFonts w:eastAsia="Times New Roman"/>
      <w:sz w:val="18"/>
      <w:szCs w:val="18"/>
    </w:rPr>
  </w:style>
  <w:style w:type="character" w:customStyle="1" w:styleId="47">
    <w:name w:val="批注主题 字符"/>
    <w:basedOn w:val="40"/>
    <w:link w:val="17"/>
    <w:autoRedefine/>
    <w:qFormat/>
    <w:uiPriority w:val="0"/>
    <w:rPr>
      <w:rFonts w:eastAsia="Times New Roman"/>
      <w:b/>
      <w:bCs/>
      <w:sz w:val="24"/>
      <w:szCs w:val="24"/>
    </w:rPr>
  </w:style>
  <w:style w:type="character" w:customStyle="1" w:styleId="48">
    <w:name w:val="NormalCharacter"/>
    <w:link w:val="49"/>
    <w:autoRedefine/>
    <w:qFormat/>
    <w:uiPriority w:val="0"/>
    <w:rPr>
      <w:rFonts w:ascii="Calibri" w:hAnsi="Calibri"/>
      <w:kern w:val="0"/>
      <w:sz w:val="20"/>
      <w:szCs w:val="20"/>
    </w:rPr>
  </w:style>
  <w:style w:type="paragraph" w:customStyle="1" w:styleId="49">
    <w:name w:val="UserStyle_5"/>
    <w:basedOn w:val="1"/>
    <w:link w:val="48"/>
    <w:autoRedefine/>
    <w:qFormat/>
    <w:uiPriority w:val="0"/>
    <w:pPr>
      <w:spacing w:after="160" w:line="240" w:lineRule="exact"/>
      <w:textAlignment w:val="baseline"/>
    </w:pPr>
    <w:rPr>
      <w:rFonts w:ascii="Calibri" w:hAnsi="Calibri"/>
      <w:sz w:val="20"/>
      <w:szCs w:val="20"/>
    </w:rPr>
  </w:style>
  <w:style w:type="paragraph" w:customStyle="1" w:styleId="50">
    <w:name w:val="_标题2"/>
    <w:basedOn w:val="3"/>
    <w:next w:val="1"/>
    <w:autoRedefine/>
    <w:qFormat/>
    <w:uiPriority w:val="0"/>
    <w:pPr>
      <w:spacing w:line="360" w:lineRule="auto"/>
    </w:pPr>
    <w:rPr>
      <w:rFonts w:ascii="黑体" w:hAnsi="黑体" w:cs="黑体"/>
      <w:b/>
      <w:sz w:val="28"/>
      <w:szCs w:val="28"/>
    </w:rPr>
  </w:style>
  <w:style w:type="character" w:customStyle="1" w:styleId="51">
    <w:name w:val="标题 1 Char"/>
    <w:link w:val="52"/>
    <w:autoRedefine/>
    <w:qFormat/>
    <w:uiPriority w:val="0"/>
    <w:rPr>
      <w:rFonts w:ascii="宋体" w:hAnsi="宋体" w:eastAsia="黑体"/>
      <w:b/>
      <w:bCs/>
      <w:kern w:val="44"/>
      <w:sz w:val="28"/>
      <w:szCs w:val="44"/>
    </w:rPr>
  </w:style>
  <w:style w:type="paragraph" w:customStyle="1" w:styleId="52">
    <w:name w:val="标题 1_0"/>
    <w:basedOn w:val="53"/>
    <w:next w:val="53"/>
    <w:link w:val="51"/>
    <w:autoRedefine/>
    <w:qFormat/>
    <w:uiPriority w:val="9"/>
    <w:pPr>
      <w:keepNext/>
      <w:keepLines/>
      <w:pageBreakBefore/>
      <w:numPr>
        <w:ilvl w:val="0"/>
        <w:numId w:val="1"/>
      </w:numPr>
      <w:spacing w:beforeLines="100" w:afterLines="200"/>
      <w:ind w:firstLine="0"/>
      <w:outlineLvl w:val="0"/>
    </w:pPr>
    <w:rPr>
      <w:rFonts w:ascii="宋体" w:hAnsi="宋体" w:eastAsia="黑体"/>
      <w:b/>
      <w:bCs/>
      <w:kern w:val="44"/>
      <w:sz w:val="28"/>
      <w:szCs w:val="44"/>
    </w:rPr>
  </w:style>
  <w:style w:type="paragraph" w:customStyle="1" w:styleId="53">
    <w:name w:val="正文_0"/>
    <w:autoRedefine/>
    <w:qFormat/>
    <w:uiPriority w:val="0"/>
    <w:rPr>
      <w:rFonts w:ascii="Times New Roman" w:hAnsi="Times New Roman" w:eastAsia="宋体" w:cs="Times New Roman"/>
      <w:sz w:val="21"/>
      <w:szCs w:val="22"/>
      <w:lang w:val="en-US" w:eastAsia="zh-CN" w:bidi="ar-SA"/>
    </w:rPr>
  </w:style>
  <w:style w:type="character" w:customStyle="1" w:styleId="54">
    <w:name w:val="fontstyle01"/>
    <w:autoRedefine/>
    <w:qFormat/>
    <w:uiPriority w:val="0"/>
    <w:rPr>
      <w:rFonts w:hint="eastAsia" w:ascii="宋体" w:hAnsi="宋体" w:eastAsia="宋体"/>
      <w:color w:val="FF0000"/>
      <w:sz w:val="22"/>
      <w:szCs w:val="22"/>
    </w:rPr>
  </w:style>
  <w:style w:type="paragraph" w:styleId="55">
    <w:name w:val="No Spacing"/>
    <w:autoRedefine/>
    <w:qFormat/>
    <w:uiPriority w:val="1"/>
    <w:rPr>
      <w:rFonts w:ascii="Times New Roman" w:hAnsi="Times New Roman" w:eastAsia="宋体" w:cs="Times New Roman"/>
      <w:sz w:val="22"/>
      <w:szCs w:val="22"/>
      <w:lang w:val="en-US" w:eastAsia="en-US" w:bidi="ar-SA"/>
    </w:rPr>
  </w:style>
  <w:style w:type="paragraph" w:customStyle="1" w:styleId="56">
    <w:name w:val="BodyText1I2"/>
    <w:basedOn w:val="57"/>
    <w:next w:val="1"/>
    <w:autoRedefine/>
    <w:qFormat/>
    <w:uiPriority w:val="0"/>
    <w:pPr>
      <w:ind w:firstLine="420" w:firstLineChars="200"/>
    </w:pPr>
    <w:rPr>
      <w:rFonts w:ascii="Times New Roman"/>
    </w:rPr>
  </w:style>
  <w:style w:type="paragraph" w:customStyle="1" w:styleId="57">
    <w:name w:val="BodyTextIndent"/>
    <w:basedOn w:val="1"/>
    <w:autoRedefine/>
    <w:qFormat/>
    <w:uiPriority w:val="0"/>
    <w:pPr>
      <w:ind w:firstLine="720" w:firstLineChars="225"/>
      <w:textAlignment w:val="baseline"/>
    </w:pPr>
    <w:rPr>
      <w:rFonts w:ascii="仿宋_GB2312"/>
      <w:szCs w:val="32"/>
    </w:rPr>
  </w:style>
  <w:style w:type="character" w:customStyle="1" w:styleId="58">
    <w:name w:val="hover"/>
    <w:basedOn w:val="21"/>
    <w:autoRedefine/>
    <w:qFormat/>
    <w:uiPriority w:val="0"/>
  </w:style>
  <w:style w:type="character" w:customStyle="1" w:styleId="59">
    <w:name w:val="hover1"/>
    <w:basedOn w:val="21"/>
    <w:autoRedefine/>
    <w:qFormat/>
    <w:uiPriority w:val="0"/>
    <w:rPr>
      <w:color w:val="2590EB"/>
    </w:rPr>
  </w:style>
  <w:style w:type="character" w:customStyle="1" w:styleId="60">
    <w:name w:val="hover2"/>
    <w:basedOn w:val="21"/>
    <w:autoRedefine/>
    <w:qFormat/>
    <w:uiPriority w:val="0"/>
    <w:rPr>
      <w:color w:val="2590EB"/>
    </w:rPr>
  </w:style>
  <w:style w:type="character" w:customStyle="1" w:styleId="61">
    <w:name w:val="hover3"/>
    <w:basedOn w:val="21"/>
    <w:autoRedefine/>
    <w:qFormat/>
    <w:uiPriority w:val="0"/>
    <w:rPr>
      <w:color w:val="2590EB"/>
      <w:shd w:val="clear" w:color="auto" w:fill="E9F4FD"/>
    </w:rPr>
  </w:style>
  <w:style w:type="paragraph" w:customStyle="1" w:styleId="62">
    <w:name w:val="表格小五F4"/>
    <w:basedOn w:val="63"/>
    <w:autoRedefine/>
    <w:qFormat/>
    <w:uiPriority w:val="0"/>
    <w:pPr>
      <w:widowControl/>
      <w:jc w:val="center"/>
    </w:pPr>
    <w:rPr>
      <w:rFonts w:ascii="Times New Roman" w:hAnsi="Times New Roman" w:eastAsia="楷体" w:cs="Times New Roman"/>
      <w:kern w:val="0"/>
      <w:sz w:val="18"/>
      <w:szCs w:val="22"/>
    </w:rPr>
  </w:style>
  <w:style w:type="paragraph" w:customStyle="1" w:styleId="63">
    <w:name w:val="表格F2"/>
    <w:autoRedefine/>
    <w:qFormat/>
    <w:uiPriority w:val="0"/>
    <w:pPr>
      <w:jc w:val="center"/>
    </w:pPr>
    <w:rPr>
      <w:rFonts w:ascii="Times New Roman" w:hAnsi="Times New Roman" w:eastAsia="楷体" w:cs="Times New Roman"/>
      <w:sz w:val="24"/>
      <w:szCs w:val="22"/>
      <w:lang w:val="en-US" w:eastAsia="zh-CN" w:bidi="ar-SA"/>
    </w:rPr>
  </w:style>
  <w:style w:type="character" w:customStyle="1" w:styleId="64">
    <w:name w:val="hover4"/>
    <w:basedOn w:val="21"/>
    <w:autoRedefine/>
    <w:qFormat/>
    <w:uiPriority w:val="0"/>
    <w:rPr>
      <w:color w:val="2590EB"/>
      <w:shd w:val="clear" w:fill="E9F4FD"/>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7F205F1-74E3-45DC-8022-B78DAE37F6EF}">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81</Pages>
  <Words>48881</Words>
  <Characters>52658</Characters>
  <Lines>543</Lines>
  <Paragraphs>152</Paragraphs>
  <TotalTime>45</TotalTime>
  <ScaleCrop>false</ScaleCrop>
  <LinksUpToDate>false</LinksUpToDate>
  <CharactersWithSpaces>54559</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2023-04-09T11:15:00Z</dcterms:created>
  <dc:creator>LZQ</dc:creator>
  <cp:lastModifiedBy>Heaven龙少</cp:lastModifiedBy>
  <cp:lastPrinted>2024-03-01T08:26:00Z</cp:lastPrinted>
  <dcterms:modified xsi:type="dcterms:W3CDTF">2024-03-12T06:57:09Z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78C288A06F044C0C83F6A9317E359936_13</vt:lpwstr>
  </property>
  <property fmtid="{D5CDD505-2E9C-101B-9397-08002B2CF9AE}" pid="3" name="KSOProductBuildVer">
    <vt:lpwstr>2052-12.1.0.16250</vt:lpwstr>
  </property>
</Properties>
</file>