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品目名称：穿刺式破拆水枪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技术参数具体内容：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一、实质性要求（★）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根据采购单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位要求，安装符合《消防装备物资物联网标识管理》规定的二维码和RFID标签，器材在交付前须完成部局系统赋码工作，确保一物一码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提供所投产品第三方检验机构出具的检验报告，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出具报告的检验检测机构应取得国家相关部门的资质认定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一般指标性参数（●）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、接口：采用锻造工艺，选用铝镁合金材质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或优于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 xml:space="preserve">，表面阳极氧化防腐处理。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、枪体：水枪执行国家标准生产和检验，枪体采用铝合金制造，T6热处理和阳极氧化防腐处理，枪管采用304不锈钢管和铜质枪头组成。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、技术参数：公称压力0.6MPa，最大压力≥1.2MPa，额定喷射压力≥0.6MPa，额定流量≥(600L/min )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（提供具有相应资质的第三方检测机构提供的检测报告）。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、产品重量≤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</w:rPr>
        <w:t xml:space="preserve">5kg，枪体长度≥1.2M，枪管长度≥1M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5、</w:t>
      </w:r>
      <w:r>
        <w:rPr>
          <w:rFonts w:hint="eastAsia" w:ascii="宋体" w:hAnsi="宋体" w:eastAsia="宋体" w:cs="宋体"/>
          <w:sz w:val="28"/>
          <w:szCs w:val="28"/>
        </w:rPr>
        <w:t>提供360度球形射流功能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</w:p>
    <w:sectPr>
      <w:pgSz w:w="11906" w:h="16838"/>
      <w:pgMar w:top="1440" w:right="1800" w:bottom="1440" w:left="1800" w:header="851" w:footer="992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mMjUyNzdhODY0ODQ1ZTM0MDdhYjcxYTkwNzI0N2QifQ=="/>
  </w:docVars>
  <w:rsids>
    <w:rsidRoot w:val="76B15BF5"/>
    <w:rsid w:val="08131A31"/>
    <w:rsid w:val="0D0C1484"/>
    <w:rsid w:val="2AEE17C1"/>
    <w:rsid w:val="2D284064"/>
    <w:rsid w:val="2EF05A2D"/>
    <w:rsid w:val="31CE508B"/>
    <w:rsid w:val="501D2DA3"/>
    <w:rsid w:val="550463E3"/>
    <w:rsid w:val="64BA7C6D"/>
    <w:rsid w:val="76B15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2023-12-20T16:50:00Z</dcterms:created>
  <dc:creator>86178</dc:creator>
  <cp:lastModifiedBy>郑佳惠！</cp:lastModifiedBy>
  <dcterms:modified xsi:type="dcterms:W3CDTF">2024-04-15T07:38:16Z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AD2F35DA57AD4307A12B805BC6197DE1_13</vt:lpwstr>
  </property>
</Properties>
</file>