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500" w:lineRule="exact"/>
        <w:ind w:firstLine="0"/>
        <w:rPr>
          <w:rFonts w:ascii="宋体" w:hAnsi="宋体" w:eastAsia="宋体"/>
          <w:b/>
          <w:color w:val="auto"/>
          <w:sz w:val="36"/>
          <w:szCs w:val="36"/>
        </w:rPr>
      </w:pPr>
      <w:r>
        <w:rPr>
          <w:rFonts w:hint="eastAsia" w:ascii="宋体" w:hAnsi="宋体" w:eastAsia="宋体"/>
          <w:b/>
          <w:color w:val="auto"/>
          <w:sz w:val="36"/>
        </w:rPr>
        <w:t>采购需求</w:t>
      </w:r>
    </w:p>
    <w:p>
      <w:pPr>
        <w:jc w:val="center"/>
        <w:outlineLvl w:val="0"/>
        <w:rPr>
          <w:b/>
          <w:bCs/>
          <w:color w:val="FF0000"/>
          <w:sz w:val="28"/>
        </w:rPr>
      </w:pPr>
      <w:r>
        <w:rPr>
          <w:rFonts w:hint="eastAsia"/>
          <w:b/>
          <w:bCs/>
          <w:color w:val="FF0000"/>
          <w:sz w:val="28"/>
        </w:rPr>
        <w:t>（仅供参考，具体以</w:t>
      </w:r>
      <w:r>
        <w:rPr>
          <w:rFonts w:hint="eastAsia"/>
          <w:b/>
          <w:bCs/>
          <w:color w:val="FF0000"/>
          <w:sz w:val="28"/>
          <w:lang w:eastAsia="zh-CN"/>
        </w:rPr>
        <w:t>磋商</w:t>
      </w:r>
      <w:r>
        <w:rPr>
          <w:rFonts w:hint="eastAsia"/>
          <w:b/>
          <w:bCs/>
          <w:color w:val="FF0000"/>
          <w:sz w:val="28"/>
        </w:rPr>
        <w:t>文件为准）</w:t>
      </w:r>
    </w:p>
    <w:p>
      <w:pPr>
        <w:spacing w:line="360" w:lineRule="auto"/>
        <w:jc w:val="center"/>
        <w:outlineLvl w:val="0"/>
        <w:rPr>
          <w:rFonts w:asciiTheme="minorEastAsia" w:hAnsiTheme="minorEastAsia" w:eastAsiaTheme="minorEastAsia"/>
          <w:b/>
          <w:color w:val="auto"/>
          <w:sz w:val="28"/>
        </w:rPr>
      </w:pPr>
      <w:r>
        <w:rPr>
          <w:rFonts w:hint="eastAsia" w:asciiTheme="minorEastAsia" w:hAnsiTheme="minorEastAsia" w:eastAsiaTheme="minorEastAsia"/>
          <w:b/>
          <w:color w:val="auto"/>
          <w:sz w:val="28"/>
        </w:rPr>
        <w:t>采购需求</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前注：</w:t>
      </w:r>
    </w:p>
    <w:p>
      <w:pPr>
        <w:spacing w:line="360" w:lineRule="auto"/>
        <w:ind w:firstLine="480" w:firstLineChars="200"/>
        <w:rPr>
          <w:rFonts w:ascii="宋体" w:hAnsi="宋体" w:eastAsia="宋体"/>
          <w:color w:val="auto"/>
          <w:sz w:val="24"/>
          <w:szCs w:val="18"/>
        </w:rPr>
      </w:pPr>
      <w:r>
        <w:rPr>
          <w:rFonts w:hint="eastAsia" w:asciiTheme="minorEastAsia" w:hAnsiTheme="minorEastAsia" w:eastAsiaTheme="minorEastAsia"/>
          <w:color w:val="auto"/>
          <w:sz w:val="24"/>
        </w:rPr>
        <w:t>1.</w:t>
      </w:r>
      <w:r>
        <w:rPr>
          <w:rFonts w:ascii="宋体" w:hAnsi="宋体" w:eastAsia="宋体"/>
          <w:color w:val="auto"/>
          <w:sz w:val="24"/>
          <w:szCs w:val="18"/>
        </w:rPr>
        <w:t>根据《关于规范政府采购进口产品有关工作的通知》及政府采购管理部门的相关规定，下列采购需求中</w:t>
      </w:r>
      <w:r>
        <w:rPr>
          <w:rFonts w:hint="eastAsia" w:ascii="宋体" w:hAnsi="宋体" w:eastAsia="宋体"/>
          <w:color w:val="auto"/>
          <w:sz w:val="24"/>
          <w:szCs w:val="18"/>
        </w:rPr>
        <w:t>标注进口产品的货物均</w:t>
      </w:r>
      <w:r>
        <w:rPr>
          <w:rFonts w:ascii="宋体" w:hAnsi="宋体" w:eastAsia="宋体"/>
          <w:color w:val="auto"/>
          <w:sz w:val="24"/>
          <w:szCs w:val="18"/>
        </w:rPr>
        <w:t>已履行相关论证手续，经核准采购进口</w:t>
      </w:r>
      <w:r>
        <w:rPr>
          <w:rFonts w:hint="eastAsia" w:ascii="宋体" w:hAnsi="宋体" w:eastAsia="宋体"/>
          <w:color w:val="auto"/>
          <w:sz w:val="24"/>
          <w:szCs w:val="18"/>
        </w:rPr>
        <w:t>产品</w:t>
      </w:r>
      <w:r>
        <w:rPr>
          <w:rFonts w:ascii="宋体" w:hAnsi="宋体" w:eastAsia="宋体"/>
          <w:color w:val="auto"/>
          <w:sz w:val="24"/>
          <w:szCs w:val="18"/>
        </w:rPr>
        <w:t>，但不限制满足</w:t>
      </w:r>
      <w:r>
        <w:rPr>
          <w:rFonts w:hint="eastAsia" w:ascii="宋体" w:hAnsi="宋体" w:eastAsia="宋体"/>
          <w:color w:val="auto"/>
          <w:sz w:val="24"/>
          <w:szCs w:val="18"/>
        </w:rPr>
        <w:t>磋商</w:t>
      </w:r>
      <w:r>
        <w:rPr>
          <w:rFonts w:ascii="宋体" w:hAnsi="宋体" w:eastAsia="宋体"/>
          <w:color w:val="auto"/>
          <w:sz w:val="24"/>
          <w:szCs w:val="18"/>
        </w:rPr>
        <w:t>文件要求</w:t>
      </w:r>
      <w:bookmarkStart w:id="0" w:name="_GoBack"/>
      <w:bookmarkEnd w:id="0"/>
      <w:r>
        <w:rPr>
          <w:rFonts w:ascii="宋体" w:hAnsi="宋体" w:eastAsia="宋体"/>
          <w:color w:val="auto"/>
          <w:sz w:val="24"/>
          <w:szCs w:val="18"/>
        </w:rPr>
        <w:t>的国内产品参与竞争</w:t>
      </w:r>
      <w:r>
        <w:rPr>
          <w:rFonts w:hint="eastAsia" w:ascii="宋体" w:hAnsi="宋体" w:eastAsia="宋体"/>
          <w:color w:val="auto"/>
          <w:sz w:val="24"/>
          <w:szCs w:val="18"/>
        </w:rPr>
        <w:t>。未标注进口产品的货物均</w:t>
      </w:r>
      <w:r>
        <w:rPr>
          <w:rFonts w:ascii="宋体" w:hAnsi="宋体" w:eastAsia="宋体"/>
          <w:color w:val="auto"/>
          <w:sz w:val="24"/>
          <w:szCs w:val="18"/>
        </w:rPr>
        <w:t>为拒绝采购进口产品</w:t>
      </w:r>
      <w:r>
        <w:rPr>
          <w:rFonts w:hint="eastAsia" w:ascii="宋体" w:hAnsi="宋体" w:eastAsia="宋体"/>
          <w:color w:val="auto"/>
          <w:sz w:val="24"/>
          <w:szCs w:val="18"/>
        </w:rPr>
        <w:t>。</w:t>
      </w:r>
    </w:p>
    <w:p>
      <w:pPr>
        <w:spacing w:line="360" w:lineRule="auto"/>
        <w:ind w:firstLine="480" w:firstLineChars="200"/>
        <w:rPr>
          <w:rFonts w:ascii="宋体" w:hAnsi="宋体" w:eastAsia="宋体"/>
          <w:color w:val="auto"/>
          <w:sz w:val="24"/>
          <w:szCs w:val="18"/>
        </w:rPr>
      </w:pPr>
      <w:r>
        <w:rPr>
          <w:rFonts w:hint="eastAsia" w:ascii="宋体" w:hAnsi="宋体" w:eastAsia="宋体"/>
          <w:color w:val="auto"/>
          <w:sz w:val="24"/>
          <w:szCs w:val="18"/>
        </w:rPr>
        <w:t>2.下列采购需求中：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pPr>
        <w:spacing w:line="360" w:lineRule="auto"/>
        <w:ind w:firstLine="480" w:firstLineChars="200"/>
        <w:rPr>
          <w:rFonts w:ascii="宋体" w:hAnsi="宋体" w:eastAsia="宋体"/>
          <w:color w:val="auto"/>
          <w:sz w:val="24"/>
          <w:szCs w:val="18"/>
        </w:rPr>
      </w:pPr>
      <w:r>
        <w:rPr>
          <w:rFonts w:hint="eastAsia" w:ascii="宋体" w:hAnsi="宋体" w:eastAsia="宋体"/>
          <w:color w:val="auto"/>
          <w:sz w:val="24"/>
          <w:szCs w:val="18"/>
        </w:rPr>
        <w:t>3.</w:t>
      </w:r>
      <w:r>
        <w:rPr>
          <w:rFonts w:ascii="宋体" w:hAnsi="宋体" w:eastAsia="宋体"/>
          <w:color w:val="auto"/>
          <w:sz w:val="24"/>
          <w:szCs w:val="18"/>
        </w:rPr>
        <w:t>下列采购需求中：标注▲的产品</w:t>
      </w:r>
      <w:r>
        <w:rPr>
          <w:rFonts w:hint="eastAsia" w:ascii="宋体" w:hAnsi="宋体" w:eastAsia="宋体"/>
          <w:color w:val="auto"/>
          <w:sz w:val="24"/>
          <w:szCs w:val="18"/>
        </w:rPr>
        <w:t>（核心产品）</w:t>
      </w:r>
      <w:r>
        <w:rPr>
          <w:rFonts w:ascii="宋体" w:hAnsi="宋体" w:eastAsia="宋体"/>
          <w:color w:val="auto"/>
          <w:sz w:val="24"/>
          <w:szCs w:val="18"/>
        </w:rPr>
        <w:t>，</w:t>
      </w:r>
      <w:r>
        <w:rPr>
          <w:rFonts w:hint="eastAsia" w:ascii="宋体" w:hAnsi="宋体" w:eastAsia="宋体"/>
          <w:color w:val="auto"/>
          <w:sz w:val="24"/>
          <w:szCs w:val="18"/>
        </w:rPr>
        <w:t>供应商</w:t>
      </w:r>
      <w:r>
        <w:rPr>
          <w:rFonts w:ascii="宋体" w:hAnsi="宋体" w:eastAsia="宋体"/>
          <w:color w:val="auto"/>
          <w:sz w:val="24"/>
          <w:szCs w:val="18"/>
        </w:rPr>
        <w:t>在</w:t>
      </w:r>
      <w:r>
        <w:rPr>
          <w:rFonts w:hint="eastAsia" w:ascii="宋体" w:hAnsi="宋体" w:eastAsia="宋体"/>
          <w:color w:val="auto"/>
          <w:sz w:val="24"/>
          <w:szCs w:val="18"/>
        </w:rPr>
        <w:t>响应</w:t>
      </w:r>
      <w:r>
        <w:rPr>
          <w:rFonts w:ascii="宋体" w:hAnsi="宋体" w:eastAsia="宋体"/>
          <w:color w:val="auto"/>
          <w:sz w:val="24"/>
          <w:szCs w:val="18"/>
        </w:rPr>
        <w:t>文件《主要</w:t>
      </w:r>
      <w:r>
        <w:rPr>
          <w:rFonts w:hint="eastAsia" w:ascii="宋体" w:hAnsi="宋体" w:eastAsia="宋体"/>
          <w:color w:val="auto"/>
          <w:sz w:val="24"/>
          <w:szCs w:val="18"/>
        </w:rPr>
        <w:t>成交标的</w:t>
      </w:r>
      <w:r>
        <w:rPr>
          <w:rFonts w:ascii="宋体" w:hAnsi="宋体" w:eastAsia="宋体"/>
          <w:color w:val="auto"/>
          <w:sz w:val="24"/>
          <w:szCs w:val="18"/>
        </w:rPr>
        <w:t>承诺函》中填写名称、</w:t>
      </w:r>
      <w:r>
        <w:rPr>
          <w:rFonts w:hint="eastAsia" w:ascii="宋体" w:hAnsi="宋体" w:eastAsia="宋体"/>
          <w:color w:val="auto"/>
          <w:sz w:val="24"/>
          <w:szCs w:val="18"/>
        </w:rPr>
        <w:t>品牌、</w:t>
      </w:r>
      <w:r>
        <w:rPr>
          <w:rFonts w:ascii="宋体" w:hAnsi="宋体" w:eastAsia="宋体"/>
          <w:color w:val="auto"/>
          <w:sz w:val="24"/>
          <w:szCs w:val="18"/>
        </w:rPr>
        <w:t>规格、型号、数量、单价等信息</w:t>
      </w:r>
      <w:r>
        <w:rPr>
          <w:rFonts w:hint="eastAsia" w:ascii="宋体" w:hAnsi="宋体" w:eastAsia="宋体"/>
          <w:color w:val="auto"/>
          <w:sz w:val="24"/>
          <w:szCs w:val="18"/>
        </w:rPr>
        <w:t>。</w:t>
      </w:r>
    </w:p>
    <w:p>
      <w:pPr>
        <w:spacing w:line="360" w:lineRule="auto"/>
        <w:ind w:firstLine="435"/>
        <w:rPr>
          <w:rFonts w:ascii="宋体" w:hAnsi="宋体" w:eastAsia="宋体"/>
          <w:color w:val="auto"/>
          <w:sz w:val="24"/>
          <w:szCs w:val="18"/>
        </w:rPr>
      </w:pPr>
    </w:p>
    <w:p>
      <w:pPr>
        <w:spacing w:line="360" w:lineRule="auto"/>
        <w:ind w:firstLine="437"/>
        <w:outlineLvl w:val="1"/>
        <w:rPr>
          <w:rFonts w:ascii="宋体" w:hAnsi="宋体" w:eastAsia="宋体"/>
          <w:b/>
          <w:color w:val="auto"/>
          <w:sz w:val="24"/>
          <w:szCs w:val="18"/>
        </w:rPr>
      </w:pPr>
      <w:r>
        <w:rPr>
          <w:rFonts w:hint="eastAsia" w:ascii="宋体" w:hAnsi="宋体" w:eastAsia="宋体"/>
          <w:b/>
          <w:color w:val="auto"/>
          <w:sz w:val="24"/>
          <w:szCs w:val="18"/>
        </w:rPr>
        <w:t>一、采购需求前附表</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2191"/>
        <w:gridCol w:w="5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pPr>
              <w:pStyle w:val="56"/>
              <w:pBdr>
                <w:bottom w:val="none" w:color="auto" w:sz="0" w:space="0"/>
              </w:pBdr>
              <w:tabs>
                <w:tab w:val="clear" w:pos="4153"/>
                <w:tab w:val="clear" w:pos="8306"/>
              </w:tabs>
              <w:adjustRightInd/>
              <w:spacing w:line="240" w:lineRule="auto"/>
              <w:textAlignment w:val="auto"/>
              <w:rPr>
                <w:rFonts w:ascii="宋体" w:hAnsi="宋体" w:eastAsia="宋体"/>
                <w:b/>
                <w:color w:val="auto"/>
                <w:kern w:val="2"/>
              </w:rPr>
            </w:pPr>
            <w:r>
              <w:rPr>
                <w:rFonts w:hint="eastAsia" w:ascii="宋体" w:hAnsi="宋体" w:eastAsia="宋体"/>
                <w:b/>
                <w:color w:val="auto"/>
                <w:kern w:val="2"/>
              </w:rPr>
              <w:t>序号</w:t>
            </w:r>
          </w:p>
        </w:tc>
        <w:tc>
          <w:tcPr>
            <w:tcW w:w="2191" w:type="dxa"/>
            <w:vAlign w:val="center"/>
          </w:tcPr>
          <w:p>
            <w:pPr>
              <w:pStyle w:val="40"/>
              <w:widowControl w:val="0"/>
              <w:spacing w:before="0" w:beforeAutospacing="0" w:after="0" w:afterAutospacing="0" w:line="360" w:lineRule="auto"/>
              <w:rPr>
                <w:rFonts w:ascii="宋体" w:hAnsi="宋体" w:eastAsia="宋体"/>
                <w:bCs w:val="0"/>
                <w:color w:val="auto"/>
                <w:sz w:val="24"/>
              </w:rPr>
            </w:pPr>
            <w:r>
              <w:rPr>
                <w:rFonts w:hint="eastAsia" w:ascii="宋体" w:hAnsi="宋体" w:eastAsia="宋体"/>
                <w:bCs w:val="0"/>
                <w:color w:val="auto"/>
                <w:sz w:val="24"/>
              </w:rPr>
              <w:t>条款名称</w:t>
            </w:r>
          </w:p>
        </w:tc>
        <w:tc>
          <w:tcPr>
            <w:tcW w:w="5913" w:type="dxa"/>
            <w:vAlign w:val="center"/>
          </w:tcPr>
          <w:p>
            <w:pPr>
              <w:pStyle w:val="40"/>
              <w:widowControl w:val="0"/>
              <w:spacing w:before="0" w:beforeAutospacing="0" w:after="0" w:afterAutospacing="0" w:line="360" w:lineRule="auto"/>
              <w:rPr>
                <w:rFonts w:ascii="宋体" w:hAnsi="宋体" w:eastAsia="宋体"/>
                <w:bCs w:val="0"/>
                <w:color w:val="auto"/>
                <w:sz w:val="24"/>
              </w:rPr>
            </w:pPr>
            <w:r>
              <w:rPr>
                <w:rFonts w:hint="eastAsia" w:ascii="宋体" w:hAnsi="宋体" w:eastAsia="宋体"/>
                <w:bCs w:val="0"/>
                <w:color w:val="auto"/>
                <w:sz w:val="24"/>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pPr>
              <w:pStyle w:val="56"/>
              <w:pBdr>
                <w:bottom w:val="none" w:color="auto" w:sz="0" w:space="0"/>
              </w:pBdr>
              <w:tabs>
                <w:tab w:val="clear" w:pos="4153"/>
                <w:tab w:val="clear" w:pos="8306"/>
              </w:tabs>
              <w:adjustRightInd/>
              <w:spacing w:line="240" w:lineRule="auto"/>
              <w:textAlignment w:val="auto"/>
              <w:rPr>
                <w:rFonts w:ascii="宋体" w:hAnsi="宋体" w:eastAsia="宋体"/>
                <w:bCs/>
                <w:color w:val="auto"/>
                <w:kern w:val="2"/>
              </w:rPr>
            </w:pPr>
            <w:r>
              <w:rPr>
                <w:rFonts w:hint="eastAsia" w:ascii="宋体" w:hAnsi="宋体" w:eastAsia="宋体"/>
                <w:bCs/>
                <w:color w:val="auto"/>
                <w:kern w:val="2"/>
              </w:rPr>
              <w:t>1</w:t>
            </w:r>
          </w:p>
        </w:tc>
        <w:tc>
          <w:tcPr>
            <w:tcW w:w="2191" w:type="dxa"/>
            <w:vAlign w:val="center"/>
          </w:tcPr>
          <w:p>
            <w:pPr>
              <w:pStyle w:val="40"/>
              <w:widowControl w:val="0"/>
              <w:spacing w:before="0" w:beforeAutospacing="0" w:after="0" w:afterAutospacing="0" w:line="360" w:lineRule="auto"/>
              <w:rPr>
                <w:rFonts w:ascii="宋体" w:hAnsi="宋体" w:eastAsia="宋体"/>
                <w:b w:val="0"/>
                <w:color w:val="auto"/>
                <w:sz w:val="24"/>
              </w:rPr>
            </w:pPr>
            <w:r>
              <w:rPr>
                <w:rFonts w:hint="eastAsia" w:ascii="宋体" w:hAnsi="宋体" w:eastAsia="宋体"/>
                <w:b w:val="0"/>
                <w:color w:val="auto"/>
                <w:sz w:val="24"/>
              </w:rPr>
              <w:t>付款方式</w:t>
            </w:r>
          </w:p>
        </w:tc>
        <w:tc>
          <w:tcPr>
            <w:tcW w:w="5913" w:type="dxa"/>
            <w:vAlign w:val="center"/>
          </w:tcPr>
          <w:p>
            <w:pPr>
              <w:pStyle w:val="40"/>
              <w:widowControl w:val="0"/>
              <w:spacing w:before="0" w:beforeAutospacing="0" w:after="0" w:afterAutospacing="0" w:line="360" w:lineRule="auto"/>
              <w:jc w:val="both"/>
              <w:rPr>
                <w:rFonts w:ascii="宋体" w:hAnsi="宋体" w:eastAsia="宋体"/>
                <w:b w:val="0"/>
                <w:color w:val="auto"/>
                <w:sz w:val="24"/>
                <w:u w:val="single"/>
              </w:rPr>
            </w:pPr>
            <w:r>
              <w:rPr>
                <w:rFonts w:hint="eastAsia" w:ascii="宋体" w:hAnsi="宋体" w:eastAsia="宋体"/>
                <w:b w:val="0"/>
                <w:color w:val="auto"/>
                <w:sz w:val="24"/>
                <w:u w:val="single"/>
              </w:rPr>
              <w:t xml:space="preserve">项目验收合格后一次性支付结清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pPr>
              <w:pStyle w:val="56"/>
              <w:pBdr>
                <w:bottom w:val="none" w:color="auto" w:sz="0" w:space="0"/>
              </w:pBdr>
              <w:tabs>
                <w:tab w:val="clear" w:pos="4153"/>
                <w:tab w:val="clear" w:pos="8306"/>
              </w:tabs>
              <w:adjustRightInd/>
              <w:spacing w:line="240" w:lineRule="auto"/>
              <w:textAlignment w:val="auto"/>
              <w:rPr>
                <w:rFonts w:ascii="宋体" w:hAnsi="宋体" w:eastAsia="宋体"/>
                <w:bCs/>
                <w:color w:val="auto"/>
                <w:kern w:val="2"/>
              </w:rPr>
            </w:pPr>
            <w:r>
              <w:rPr>
                <w:rFonts w:hint="eastAsia" w:ascii="宋体" w:hAnsi="宋体" w:eastAsia="宋体"/>
                <w:bCs/>
                <w:color w:val="auto"/>
                <w:kern w:val="2"/>
              </w:rPr>
              <w:t>2</w:t>
            </w:r>
          </w:p>
        </w:tc>
        <w:tc>
          <w:tcPr>
            <w:tcW w:w="2191" w:type="dxa"/>
            <w:vAlign w:val="center"/>
          </w:tcPr>
          <w:p>
            <w:pPr>
              <w:pStyle w:val="40"/>
              <w:widowControl w:val="0"/>
              <w:spacing w:before="0" w:beforeAutospacing="0" w:after="0" w:afterAutospacing="0" w:line="360" w:lineRule="auto"/>
              <w:rPr>
                <w:rFonts w:ascii="宋体" w:hAnsi="宋体" w:eastAsia="宋体"/>
                <w:b w:val="0"/>
                <w:color w:val="auto"/>
                <w:sz w:val="24"/>
              </w:rPr>
            </w:pPr>
            <w:r>
              <w:rPr>
                <w:rFonts w:hint="eastAsia" w:ascii="宋体" w:hAnsi="宋体" w:eastAsia="宋体"/>
                <w:b w:val="0"/>
                <w:color w:val="auto"/>
                <w:sz w:val="24"/>
              </w:rPr>
              <w:t>供货及安装地点</w:t>
            </w:r>
          </w:p>
        </w:tc>
        <w:tc>
          <w:tcPr>
            <w:tcW w:w="5913" w:type="dxa"/>
            <w:vAlign w:val="center"/>
          </w:tcPr>
          <w:p>
            <w:pPr>
              <w:pStyle w:val="40"/>
              <w:widowControl w:val="0"/>
              <w:spacing w:before="0" w:beforeAutospacing="0" w:after="0" w:afterAutospacing="0" w:line="360" w:lineRule="auto"/>
              <w:jc w:val="both"/>
              <w:rPr>
                <w:rFonts w:ascii="宋体" w:hAnsi="宋体" w:eastAsia="宋体"/>
                <w:b w:val="0"/>
                <w:color w:val="auto"/>
                <w:sz w:val="24"/>
              </w:rPr>
            </w:pPr>
            <w:r>
              <w:rPr>
                <w:rFonts w:hint="eastAsia" w:ascii="宋体" w:hAnsi="宋体" w:eastAsia="宋体"/>
                <w:b w:val="0"/>
                <w:color w:val="auto"/>
                <w:sz w:val="24"/>
                <w:u w:val="single"/>
              </w:rPr>
              <w:t xml:space="preserve"> 安庆师范大学，采购人指定地点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pPr>
              <w:pStyle w:val="56"/>
              <w:pBdr>
                <w:bottom w:val="none" w:color="auto" w:sz="0" w:space="0"/>
              </w:pBdr>
              <w:tabs>
                <w:tab w:val="clear" w:pos="4153"/>
                <w:tab w:val="clear" w:pos="8306"/>
              </w:tabs>
              <w:adjustRightInd/>
              <w:spacing w:line="240" w:lineRule="auto"/>
              <w:textAlignment w:val="auto"/>
              <w:rPr>
                <w:rFonts w:ascii="宋体" w:hAnsi="宋体" w:eastAsia="宋体"/>
                <w:bCs/>
                <w:color w:val="auto"/>
                <w:kern w:val="2"/>
              </w:rPr>
            </w:pPr>
            <w:r>
              <w:rPr>
                <w:rFonts w:hint="eastAsia" w:ascii="宋体" w:hAnsi="宋体" w:eastAsia="宋体"/>
                <w:bCs/>
                <w:color w:val="auto"/>
                <w:kern w:val="2"/>
              </w:rPr>
              <w:t>3</w:t>
            </w:r>
          </w:p>
        </w:tc>
        <w:tc>
          <w:tcPr>
            <w:tcW w:w="2191" w:type="dxa"/>
            <w:vAlign w:val="center"/>
          </w:tcPr>
          <w:p>
            <w:pPr>
              <w:pStyle w:val="40"/>
              <w:widowControl w:val="0"/>
              <w:spacing w:before="0" w:beforeAutospacing="0" w:after="0" w:afterAutospacing="0" w:line="360" w:lineRule="auto"/>
              <w:rPr>
                <w:rFonts w:ascii="宋体" w:hAnsi="宋体" w:eastAsia="宋体"/>
                <w:b w:val="0"/>
                <w:color w:val="auto"/>
                <w:sz w:val="24"/>
              </w:rPr>
            </w:pPr>
            <w:r>
              <w:rPr>
                <w:rFonts w:hint="eastAsia" w:ascii="宋体" w:hAnsi="宋体" w:eastAsia="宋体"/>
                <w:b w:val="0"/>
                <w:color w:val="auto"/>
                <w:sz w:val="24"/>
              </w:rPr>
              <w:t>供货及安装期限</w:t>
            </w:r>
          </w:p>
        </w:tc>
        <w:tc>
          <w:tcPr>
            <w:tcW w:w="5913" w:type="dxa"/>
            <w:vAlign w:val="center"/>
          </w:tcPr>
          <w:p>
            <w:pPr>
              <w:pStyle w:val="40"/>
              <w:widowControl w:val="0"/>
              <w:spacing w:before="0" w:beforeAutospacing="0" w:after="0" w:afterAutospacing="0" w:line="360" w:lineRule="auto"/>
              <w:jc w:val="both"/>
              <w:rPr>
                <w:rFonts w:ascii="宋体" w:hAnsi="宋体" w:eastAsia="宋体"/>
                <w:b w:val="0"/>
                <w:color w:val="auto"/>
                <w:sz w:val="24"/>
              </w:rPr>
            </w:pPr>
            <w:r>
              <w:rPr>
                <w:rFonts w:hint="eastAsia" w:ascii="宋体" w:hAnsi="宋体" w:eastAsia="宋体"/>
                <w:b w:val="0"/>
                <w:color w:val="auto"/>
                <w:sz w:val="24"/>
              </w:rPr>
              <w:t>合同生效后</w:t>
            </w:r>
            <w:r>
              <w:rPr>
                <w:rFonts w:hint="eastAsia" w:ascii="宋体" w:hAnsi="宋体" w:eastAsia="宋体"/>
                <w:b w:val="0"/>
                <w:color w:val="auto"/>
                <w:sz w:val="24"/>
                <w:u w:val="single"/>
              </w:rPr>
              <w:t>30个日历日完成供货及安装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pPr>
              <w:pStyle w:val="56"/>
              <w:pBdr>
                <w:bottom w:val="none" w:color="auto" w:sz="0" w:space="0"/>
              </w:pBdr>
              <w:tabs>
                <w:tab w:val="clear" w:pos="4153"/>
                <w:tab w:val="clear" w:pos="8306"/>
              </w:tabs>
              <w:adjustRightInd/>
              <w:spacing w:line="240" w:lineRule="auto"/>
              <w:textAlignment w:val="auto"/>
              <w:rPr>
                <w:rFonts w:ascii="宋体" w:hAnsi="宋体" w:eastAsia="宋体"/>
                <w:bCs/>
                <w:color w:val="auto"/>
                <w:kern w:val="2"/>
              </w:rPr>
            </w:pPr>
            <w:r>
              <w:rPr>
                <w:rFonts w:hint="eastAsia" w:ascii="宋体" w:hAnsi="宋体" w:eastAsia="宋体"/>
                <w:bCs/>
                <w:color w:val="auto"/>
                <w:kern w:val="2"/>
              </w:rPr>
              <w:t>4</w:t>
            </w:r>
          </w:p>
        </w:tc>
        <w:tc>
          <w:tcPr>
            <w:tcW w:w="2191" w:type="dxa"/>
            <w:vAlign w:val="center"/>
          </w:tcPr>
          <w:p>
            <w:pPr>
              <w:pStyle w:val="40"/>
              <w:widowControl w:val="0"/>
              <w:spacing w:before="0" w:beforeAutospacing="0" w:after="0" w:afterAutospacing="0" w:line="360" w:lineRule="auto"/>
              <w:rPr>
                <w:rFonts w:ascii="宋体" w:hAnsi="宋体" w:eastAsia="宋体"/>
                <w:b w:val="0"/>
                <w:color w:val="auto"/>
                <w:sz w:val="24"/>
              </w:rPr>
            </w:pPr>
            <w:r>
              <w:rPr>
                <w:rFonts w:hint="eastAsia" w:ascii="宋体" w:hAnsi="宋体" w:eastAsia="宋体"/>
                <w:b w:val="0"/>
                <w:color w:val="auto"/>
                <w:sz w:val="24"/>
              </w:rPr>
              <w:t>免费质保期</w:t>
            </w:r>
          </w:p>
        </w:tc>
        <w:tc>
          <w:tcPr>
            <w:tcW w:w="5913" w:type="dxa"/>
            <w:vAlign w:val="center"/>
          </w:tcPr>
          <w:p>
            <w:pPr>
              <w:pStyle w:val="40"/>
              <w:widowControl w:val="0"/>
              <w:spacing w:before="0" w:beforeAutospacing="0" w:after="0" w:afterAutospacing="0" w:line="360" w:lineRule="auto"/>
              <w:jc w:val="both"/>
              <w:rPr>
                <w:rFonts w:ascii="宋体" w:hAnsi="宋体" w:eastAsia="宋体"/>
                <w:b w:val="0"/>
                <w:color w:val="auto"/>
                <w:sz w:val="24"/>
              </w:rPr>
            </w:pPr>
            <w:r>
              <w:rPr>
                <w:rFonts w:hint="eastAsia" w:ascii="宋体" w:hAnsi="宋体" w:eastAsia="宋体"/>
                <w:b w:val="0"/>
                <w:color w:val="auto"/>
                <w:sz w:val="24"/>
              </w:rPr>
              <w:t>验收合格之日起</w:t>
            </w:r>
            <w:r>
              <w:rPr>
                <w:rFonts w:hint="eastAsia" w:ascii="宋体" w:hAnsi="宋体" w:eastAsia="宋体"/>
                <w:b w:val="0"/>
                <w:color w:val="auto"/>
                <w:sz w:val="24"/>
                <w:u w:val="single"/>
              </w:rPr>
              <w:t xml:space="preserve">2年 </w:t>
            </w:r>
          </w:p>
        </w:tc>
      </w:tr>
    </w:tbl>
    <w:p>
      <w:pPr>
        <w:numPr>
          <w:ilvl w:val="0"/>
          <w:numId w:val="1"/>
        </w:numPr>
        <w:outlineLvl w:val="1"/>
        <w:rPr>
          <w:rFonts w:hint="eastAsia" w:ascii="宋体" w:hAnsi="宋体" w:eastAsia="宋体"/>
          <w:b/>
          <w:bCs/>
          <w:color w:val="auto"/>
          <w:sz w:val="24"/>
          <w:szCs w:val="18"/>
        </w:rPr>
      </w:pPr>
      <w:r>
        <w:rPr>
          <w:rFonts w:hint="eastAsia" w:ascii="宋体" w:hAnsi="宋体" w:eastAsia="宋体"/>
          <w:b/>
          <w:bCs/>
          <w:color w:val="auto"/>
          <w:sz w:val="24"/>
          <w:szCs w:val="18"/>
        </w:rPr>
        <w:t>货物需求</w:t>
      </w:r>
    </w:p>
    <w:p>
      <w:pPr>
        <w:pStyle w:val="159"/>
        <w:spacing w:line="360" w:lineRule="auto"/>
        <w:ind w:firstLine="482"/>
        <w:rPr>
          <w:rFonts w:ascii="宋体" w:hAnsi="宋体" w:eastAsia="宋体"/>
          <w:b/>
          <w:bCs/>
          <w:color w:val="auto"/>
          <w:sz w:val="24"/>
          <w:szCs w:val="24"/>
        </w:rPr>
      </w:pPr>
      <w:r>
        <w:rPr>
          <w:rFonts w:hint="eastAsia" w:ascii="宋体" w:hAnsi="宋体" w:eastAsia="宋体"/>
          <w:b/>
          <w:bCs/>
          <w:color w:val="auto"/>
          <w:sz w:val="24"/>
          <w:szCs w:val="24"/>
        </w:rPr>
        <w:t>下列货物共3种标识（无标识项作为基础指标，★代表重要指标，</w:t>
      </w:r>
      <w:r>
        <w:rPr>
          <w:rFonts w:ascii="宋体" w:hAnsi="宋体" w:eastAsia="宋体"/>
          <w:b/>
          <w:bCs/>
          <w:color w:val="auto"/>
          <w:sz w:val="24"/>
          <w:szCs w:val="24"/>
        </w:rPr>
        <w:t>●代表一般指标</w:t>
      </w:r>
      <w:r>
        <w:rPr>
          <w:rFonts w:hint="eastAsia" w:ascii="宋体" w:hAnsi="宋体" w:eastAsia="宋体"/>
          <w:b/>
          <w:bCs/>
          <w:color w:val="auto"/>
          <w:sz w:val="24"/>
          <w:szCs w:val="24"/>
        </w:rPr>
        <w:t>）。“★”和“</w:t>
      </w:r>
      <w:r>
        <w:rPr>
          <w:rFonts w:ascii="宋体" w:hAnsi="宋体" w:eastAsia="宋体"/>
          <w:b/>
          <w:bCs/>
          <w:color w:val="auto"/>
          <w:sz w:val="24"/>
          <w:szCs w:val="24"/>
        </w:rPr>
        <w:t>●</w:t>
      </w:r>
      <w:r>
        <w:rPr>
          <w:rFonts w:hint="eastAsia" w:ascii="宋体" w:hAnsi="宋体" w:eastAsia="宋体"/>
          <w:b/>
          <w:bCs/>
          <w:color w:val="auto"/>
          <w:sz w:val="24"/>
          <w:szCs w:val="24"/>
        </w:rPr>
        <w:t>”依据评分细则要求相应得分</w:t>
      </w:r>
    </w:p>
    <w:p>
      <w:pPr>
        <w:pStyle w:val="159"/>
        <w:spacing w:line="360" w:lineRule="auto"/>
        <w:ind w:firstLine="482"/>
        <w:rPr>
          <w:color w:val="auto"/>
        </w:rPr>
      </w:pPr>
      <w:r>
        <w:rPr>
          <w:rFonts w:ascii="宋体" w:hAnsi="宋体" w:eastAsia="宋体"/>
          <w:b/>
          <w:bCs/>
          <w:color w:val="auto"/>
          <w:sz w:val="24"/>
          <w:szCs w:val="24"/>
        </w:rPr>
        <w:t>无标识项作为基础指标，</w:t>
      </w:r>
      <w:r>
        <w:rPr>
          <w:rFonts w:hint="eastAsia" w:ascii="宋体" w:hAnsi="宋体" w:eastAsia="宋体"/>
          <w:b/>
          <w:bCs/>
          <w:color w:val="auto"/>
          <w:sz w:val="24"/>
          <w:szCs w:val="24"/>
        </w:rPr>
        <w:t>须完全满足或优于</w:t>
      </w:r>
      <w:r>
        <w:rPr>
          <w:rFonts w:hint="eastAsia" w:ascii="宋体" w:hAnsi="宋体" w:eastAsia="宋体"/>
          <w:b/>
          <w:bCs/>
          <w:color w:val="auto"/>
          <w:sz w:val="24"/>
          <w:szCs w:val="24"/>
          <w:lang w:eastAsia="zh-CN"/>
        </w:rPr>
        <w:t>磋商</w:t>
      </w:r>
      <w:r>
        <w:rPr>
          <w:rFonts w:hint="eastAsia" w:ascii="宋体" w:hAnsi="宋体" w:eastAsia="宋体"/>
          <w:b/>
          <w:bCs/>
          <w:color w:val="auto"/>
          <w:sz w:val="24"/>
          <w:szCs w:val="24"/>
        </w:rPr>
        <w:t>文件要求</w:t>
      </w:r>
      <w:r>
        <w:rPr>
          <w:rFonts w:ascii="宋体" w:hAnsi="宋体" w:eastAsia="宋体"/>
          <w:b/>
          <w:bCs/>
          <w:color w:val="auto"/>
          <w:sz w:val="24"/>
          <w:szCs w:val="24"/>
        </w:rPr>
        <w:t>，</w:t>
      </w:r>
      <w:r>
        <w:rPr>
          <w:rFonts w:hint="eastAsia" w:ascii="宋体" w:hAnsi="宋体" w:eastAsia="宋体"/>
          <w:b/>
          <w:bCs/>
          <w:color w:val="auto"/>
          <w:sz w:val="24"/>
          <w:szCs w:val="24"/>
        </w:rPr>
        <w:t>否则</w:t>
      </w:r>
      <w:r>
        <w:rPr>
          <w:rFonts w:ascii="宋体" w:hAnsi="宋体" w:eastAsia="宋体"/>
          <w:b/>
          <w:bCs/>
          <w:color w:val="auto"/>
          <w:sz w:val="24"/>
          <w:szCs w:val="24"/>
        </w:rPr>
        <w:t>将导致</w:t>
      </w:r>
      <w:r>
        <w:rPr>
          <w:rFonts w:hint="eastAsia" w:ascii="宋体" w:hAnsi="宋体" w:eastAsia="宋体"/>
          <w:b/>
          <w:bCs/>
          <w:color w:val="auto"/>
          <w:sz w:val="24"/>
          <w:szCs w:val="24"/>
          <w:lang w:eastAsia="zh-CN"/>
        </w:rPr>
        <w:t>响应</w:t>
      </w:r>
      <w:r>
        <w:rPr>
          <w:rFonts w:ascii="宋体" w:hAnsi="宋体" w:eastAsia="宋体"/>
          <w:b/>
          <w:bCs/>
          <w:color w:val="auto"/>
          <w:sz w:val="24"/>
          <w:szCs w:val="24"/>
        </w:rPr>
        <w:t>无效</w:t>
      </w:r>
      <w:r>
        <w:rPr>
          <w:rFonts w:hint="eastAsia" w:ascii="宋体" w:hAnsi="宋体" w:eastAsia="宋体"/>
          <w:b/>
          <w:bCs/>
          <w:color w:val="auto"/>
          <w:sz w:val="24"/>
          <w:szCs w:val="24"/>
        </w:rPr>
        <w:t>。</w:t>
      </w:r>
    </w:p>
    <w:tbl>
      <w:tblPr>
        <w:tblStyle w:val="27"/>
        <w:tblW w:w="937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
        <w:gridCol w:w="812"/>
        <w:gridCol w:w="6473"/>
        <w:gridCol w:w="851"/>
        <w:gridCol w:w="85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86" w:type="dxa"/>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宋体" w:hAnsi="宋体" w:eastAsia="宋体" w:cs="宋体"/>
                <w:b/>
                <w:color w:val="auto"/>
                <w:sz w:val="24"/>
                <w:szCs w:val="24"/>
              </w:rPr>
            </w:pPr>
            <w:r>
              <w:rPr>
                <w:rFonts w:hint="eastAsia" w:ascii="宋体" w:hAnsi="宋体" w:eastAsia="宋体" w:cs="宋体"/>
                <w:b/>
                <w:color w:val="auto"/>
                <w:sz w:val="24"/>
                <w:szCs w:val="24"/>
              </w:rPr>
              <w:t>序号</w:t>
            </w:r>
          </w:p>
        </w:tc>
        <w:tc>
          <w:tcPr>
            <w:tcW w:w="812" w:type="dxa"/>
            <w:tcBorders>
              <w:top w:val="doub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color w:val="auto"/>
                <w:sz w:val="24"/>
                <w:szCs w:val="24"/>
              </w:rPr>
            </w:pPr>
            <w:r>
              <w:rPr>
                <w:rFonts w:hint="eastAsia" w:ascii="宋体" w:hAnsi="宋体" w:eastAsia="宋体" w:cs="宋体"/>
                <w:b/>
                <w:color w:val="auto"/>
                <w:sz w:val="24"/>
                <w:szCs w:val="24"/>
              </w:rPr>
              <w:t>名 称</w:t>
            </w:r>
          </w:p>
        </w:tc>
        <w:tc>
          <w:tcPr>
            <w:tcW w:w="6473" w:type="dxa"/>
            <w:tcBorders>
              <w:top w:val="doub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color w:val="auto"/>
                <w:sz w:val="24"/>
                <w:szCs w:val="24"/>
              </w:rPr>
            </w:pPr>
            <w:r>
              <w:rPr>
                <w:rFonts w:hint="eastAsia" w:ascii="宋体" w:hAnsi="宋体" w:eastAsia="宋体" w:cs="宋体"/>
                <w:b/>
                <w:color w:val="auto"/>
                <w:sz w:val="24"/>
                <w:szCs w:val="24"/>
              </w:rPr>
              <w:t>技术参数及要求</w:t>
            </w:r>
          </w:p>
        </w:tc>
        <w:tc>
          <w:tcPr>
            <w:tcW w:w="851" w:type="dxa"/>
            <w:tcBorders>
              <w:top w:val="doub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color w:val="auto"/>
                <w:sz w:val="24"/>
                <w:szCs w:val="24"/>
              </w:rPr>
            </w:pPr>
            <w:r>
              <w:rPr>
                <w:rFonts w:hint="eastAsia" w:ascii="宋体" w:hAnsi="宋体" w:eastAsia="宋体" w:cs="宋体"/>
                <w:b/>
                <w:color w:val="auto"/>
                <w:sz w:val="24"/>
                <w:szCs w:val="24"/>
              </w:rPr>
              <w:t>数量</w:t>
            </w:r>
          </w:p>
        </w:tc>
        <w:tc>
          <w:tcPr>
            <w:tcW w:w="851" w:type="dxa"/>
            <w:tcBorders>
              <w:top w:val="doub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color w:val="auto"/>
                <w:sz w:val="24"/>
                <w:szCs w:val="24"/>
              </w:rPr>
            </w:pPr>
            <w:r>
              <w:rPr>
                <w:rFonts w:hint="eastAsia" w:ascii="宋体" w:hAnsi="宋体" w:eastAsia="宋体" w:cs="宋体"/>
                <w:b/>
                <w:color w:val="auto"/>
                <w:sz w:val="24"/>
                <w:szCs w:val="24"/>
              </w:rPr>
              <w:t>所属行业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86" w:type="dxa"/>
            <w:tcBorders>
              <w:top w:val="single" w:color="auto" w:sz="4" w:space="0"/>
              <w:left w:val="double" w:color="auto" w:sz="4" w:space="0"/>
              <w:bottom w:val="single" w:color="auto" w:sz="4" w:space="0"/>
              <w:right w:val="single" w:color="auto" w:sz="4"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81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▲电力电子与电拖实验装置</w:t>
            </w:r>
          </w:p>
          <w:p>
            <w:pPr>
              <w:autoSpaceDE w:val="0"/>
              <w:autoSpaceDN w:val="0"/>
              <w:adjustRightInd w:val="0"/>
              <w:spacing w:line="360" w:lineRule="auto"/>
              <w:jc w:val="left"/>
              <w:rPr>
                <w:rFonts w:ascii="宋体" w:hAnsi="宋体" w:eastAsia="宋体" w:cs="宋体"/>
                <w:color w:val="auto"/>
                <w:sz w:val="24"/>
                <w:szCs w:val="24"/>
              </w:rPr>
            </w:pPr>
          </w:p>
        </w:tc>
        <w:tc>
          <w:tcPr>
            <w:tcW w:w="6473"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★一、本实验装置涵盖了“电机学”“电力电子技术”和“电机拖动”“运动控制”课程以及相关实训课程开设的实验项目。可扩展支持仿真软件PSIM和快速原型仿真系统；需配备实验指导书。</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★1、系统具有如下功能：</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1）可实现电机学，电力电子技术，运动控制等课程从理论分析、设计、仿真到实做验证完整的教学设计模式，因此需要包含用于电力电子与电机拖动的快速原型仿真及开发系统；</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能够满足电机学，电力电子技术仿真与实验、电力拖动自动控制系统实验、运动控制系统实验、微特电机与控制实验及相关课程设计的需求，综合性和设计性实验的比例不低于50%，所提供的装置中包括的电机应该达到工业驱动电机的标准；</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3）需包含完整的参数显示，测试装置以及波形显示设备，安全保护功能完善；</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随货</w:t>
            </w:r>
            <w:r>
              <w:rPr>
                <w:rFonts w:hint="eastAsia" w:ascii="宋体" w:hAnsi="宋体" w:eastAsia="宋体" w:cs="宋体"/>
                <w:color w:val="auto"/>
                <w:sz w:val="24"/>
                <w:szCs w:val="24"/>
              </w:rPr>
              <w:t>提供完整，详尽的实验教程与实验指导书（学生能够独立按照试验教程完成所有试验）</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随货</w:t>
            </w:r>
            <w:r>
              <w:rPr>
                <w:rFonts w:hint="eastAsia" w:ascii="宋体" w:hAnsi="宋体" w:eastAsia="宋体" w:cs="宋体"/>
                <w:color w:val="auto"/>
                <w:sz w:val="24"/>
                <w:szCs w:val="24"/>
              </w:rPr>
              <w:t>提供教学模组各部分模块电路原理图。</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★2、本实验平台要求采用机柜式结构（放置电力电子技术与运动控制课程实验模块，电机学课程实验平台），单个机柜尺寸不得超过长≤0.75m，宽≤0.8m，高≤1.8m，</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CN"/>
              </w:rPr>
              <w:t>响应文件中</w:t>
            </w:r>
            <w:r>
              <w:rPr>
                <w:rFonts w:hint="eastAsia" w:ascii="宋体" w:hAnsi="宋体" w:eastAsia="宋体" w:cs="宋体"/>
                <w:b/>
                <w:bCs/>
                <w:color w:val="auto"/>
                <w:sz w:val="24"/>
                <w:szCs w:val="24"/>
              </w:rPr>
              <w:t>提供原厂产品彩页或外观及功能截图）</w:t>
            </w:r>
            <w:r>
              <w:rPr>
                <w:rFonts w:hint="eastAsia" w:ascii="宋体" w:hAnsi="宋体" w:eastAsia="宋体" w:cs="宋体"/>
                <w:color w:val="auto"/>
                <w:sz w:val="24"/>
                <w:szCs w:val="24"/>
              </w:rPr>
              <w:t>可移动工作平台投影尺寸不超过1.2×0.8m；由隔离电源（保护）模块、负载电阻模块、示波器及数据观察记录模块、电机对拖平台、快速原型仿真及开发模块等组成，包含有丰富的各类电机，所有电机均达到工业驱动标准。</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二、技术参数：</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1、电源供应器：三相四线，380V±10%，50Hz，功率不小于2kW；要求至少包含4组输出，包括： 1组隔离三相电压输出电压0V-380V连续可调；2组三相整流后输出直流电压50V-220V电压连续可调直流电源，最大电流不低于3A，转换效率≥85%(满功率时)，输出电压纹波＜2%，保护包括输入过压、输出过压、过流保护，通过外接电位器调整电压输出；1组输出直流电压固定值220V，最大电流不低于0.6A；1组24V输出，最大电流不低于10A。隔离电源中需集成电压型、电流型漏电保护装置、三相电源短路保护、缺相指示、相序检测及过压指示。</w:t>
            </w:r>
          </w:p>
          <w:p>
            <w:pPr>
              <w:pStyle w:val="22"/>
              <w:shd w:val="clear" w:color="auto" w:fill="FFFFFF"/>
              <w:spacing w:before="0" w:beforeAutospacing="0" w:after="0" w:afterAutospacing="0" w:line="360" w:lineRule="auto"/>
              <w:rPr>
                <w:rFonts w:eastAsia="宋体"/>
                <w:color w:val="auto"/>
                <w:kern w:val="2"/>
                <w:szCs w:val="24"/>
              </w:rPr>
            </w:pPr>
            <w:r>
              <w:rPr>
                <w:rFonts w:hint="eastAsia" w:eastAsia="宋体"/>
                <w:color w:val="auto"/>
                <w:kern w:val="2"/>
                <w:szCs w:val="24"/>
              </w:rPr>
              <w:t>★2、实验测试仪表：整个实验装置需配备三相数显电压电流测试仪表一块（测量范围：0~5A，0~220V，测量精度：1%±2个字）；电机学实验相关仪表需配置最低数量有：</w:t>
            </w:r>
          </w:p>
          <w:p>
            <w:pPr>
              <w:pStyle w:val="22"/>
              <w:shd w:val="clear" w:color="auto" w:fill="FFFFFF"/>
              <w:spacing w:before="0" w:beforeAutospacing="0" w:after="0" w:afterAutospacing="0" w:line="360" w:lineRule="auto"/>
              <w:rPr>
                <w:rFonts w:eastAsia="宋体"/>
                <w:color w:val="auto"/>
                <w:kern w:val="2"/>
                <w:szCs w:val="24"/>
              </w:rPr>
            </w:pPr>
            <w:r>
              <w:rPr>
                <w:rFonts w:hint="eastAsia" w:eastAsia="宋体"/>
                <w:color w:val="auto"/>
                <w:kern w:val="2"/>
                <w:szCs w:val="24"/>
              </w:rPr>
              <w:t>1） 隔离型 电压电流双显表 两块（测量范围：0~600V,0~5A，测量精度：1%±2）；2） 隔离型单相交流电压电流双显表一块，（测量范围：0~5A，0~500V，测量精度：1%±2）；</w:t>
            </w:r>
          </w:p>
          <w:p>
            <w:pPr>
              <w:pStyle w:val="22"/>
              <w:shd w:val="clear" w:color="auto" w:fill="FFFFFF"/>
              <w:spacing w:before="0" w:beforeAutospacing="0" w:after="0" w:afterAutospacing="0" w:line="360" w:lineRule="auto"/>
              <w:rPr>
                <w:rFonts w:eastAsia="宋体"/>
                <w:color w:val="auto"/>
                <w:kern w:val="2"/>
                <w:szCs w:val="24"/>
              </w:rPr>
            </w:pPr>
            <w:r>
              <w:rPr>
                <w:rFonts w:hint="eastAsia" w:eastAsia="宋体"/>
                <w:color w:val="auto"/>
                <w:kern w:val="2"/>
                <w:szCs w:val="24"/>
              </w:rPr>
              <w:t>3） 直流高精度电流表两块（测量范围：0~2A，测量精度：±0.02%+2）；4）单相交流多功能仪表一块 （电压范围0V~600V，电流范围0~10A，精度：1%±2）；</w:t>
            </w:r>
          </w:p>
          <w:p>
            <w:pPr>
              <w:pStyle w:val="22"/>
              <w:shd w:val="clear" w:color="auto" w:fill="FFFFFF"/>
              <w:spacing w:before="0" w:beforeAutospacing="0" w:after="0" w:afterAutospacing="0" w:line="360" w:lineRule="auto"/>
              <w:rPr>
                <w:rFonts w:eastAsia="宋体"/>
                <w:color w:val="auto"/>
                <w:kern w:val="2"/>
                <w:szCs w:val="24"/>
              </w:rPr>
            </w:pPr>
            <w:r>
              <w:rPr>
                <w:rFonts w:hint="eastAsia" w:eastAsia="宋体"/>
                <w:color w:val="auto"/>
                <w:kern w:val="2"/>
                <w:szCs w:val="24"/>
              </w:rPr>
              <w:t>电力电子和运动控制实验系统需配置最低数量仪表：1）隔离型 电压电流双显表 两块（测量范围：0~600V,0~5A，测量精度：1%±2），2）隔离型单相交流电压电流双显表一块，（测量范围：0~5A，0~500V，测量精度：1%±2），3）直流高精度电流表一块（测量范围：0~2A，测量精度：±0.02%+2）。</w:t>
            </w:r>
          </w:p>
          <w:p>
            <w:pPr>
              <w:pStyle w:val="22"/>
              <w:shd w:val="clear" w:color="auto" w:fill="FFFFFF"/>
              <w:spacing w:before="0" w:beforeAutospacing="0" w:after="0" w:afterAutospacing="0" w:line="360" w:lineRule="auto"/>
              <w:rPr>
                <w:rFonts w:eastAsia="宋体"/>
                <w:color w:val="auto"/>
                <w:kern w:val="2"/>
                <w:szCs w:val="24"/>
              </w:rPr>
            </w:pPr>
            <w:r>
              <w:rPr>
                <w:rFonts w:hint="eastAsia" w:eastAsia="宋体"/>
                <w:color w:val="auto"/>
                <w:kern w:val="2"/>
                <w:szCs w:val="24"/>
              </w:rPr>
              <w:t>★3、实验装置需具有隔离电压电流采样模块：要求至少具有电压/电流隔离6通道采样模块：测试带宽：0-6KHz；电压衰减倍数：*10、*100；精确度： 2.5%；电压输入范围：≦59VP-P （*10档）; ≦590VP-P （*100档）;输入阻抗：&gt;40kΩ；</w:t>
            </w:r>
            <w:r>
              <w:rPr>
                <w:rFonts w:hint="eastAsia" w:eastAsia="宋体"/>
                <w:b/>
                <w:bCs/>
                <w:color w:val="auto"/>
                <w:kern w:val="2"/>
                <w:szCs w:val="24"/>
              </w:rPr>
              <w:t>响应文件中提供产品彩页扫描件；</w:t>
            </w:r>
          </w:p>
          <w:p>
            <w:pPr>
              <w:pStyle w:val="160"/>
              <w:widowControl/>
              <w:adjustRightInd w:val="0"/>
              <w:snapToGrid w:val="0"/>
              <w:spacing w:after="200"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4、实验装置需具有测量，测试工作站:要求内置双通道电源输出，电压不低于5V，0.1V连续调节，输出电流不低于1A；纹波不小于50mVrms.具有数据记录功能，至少可连续录96小时波形图像或数据，四个隔离通道；通过模拟通道可进行串行总线的触发、解码功能，支持I2C、SPI和UART/CAN/LIN。等性能双通道任意波，频率25MHz，采样率200MSa/s , 垂直分辨率14位，输出电压范围20mV~5 Vpp。双通道具有耦合、跟踪、相位、AM/FM/FSK/SWEEP等组合功能。可以输出标准波形正弦波，方波，脉冲波，三角波，直流，噪声波等；测试带宽不低于200MHz，4000位独立数字显示，可以独立直接测试交流电压，交流电流，直流电压，直流电流，电阻，二极管，温度等参数。16通道数字逻辑分析功能,每通道采样率不低于1GSa/s，带宽不低于200MHz；记录长度每通道不低于8M，总存储不低于2G；输入电压不低于±40V, 最小驱动电压不低于±250mV, 垂直分辨率1bit；要求具有多种触发类型。</w:t>
            </w:r>
          </w:p>
          <w:p>
            <w:pPr>
              <w:pStyle w:val="160"/>
              <w:widowControl/>
              <w:adjustRightInd w:val="0"/>
              <w:snapToGrid w:val="0"/>
              <w:spacing w:after="200"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5、所有模块均采取模块化设计，主要功率器件需采取插拔式设计；支持电机模拟控制模块，该模块支持学生通过由全模拟器件构成的运算放大器和相应的R,C电路进行接线组合，搭建PID控制器，完成电机的单闭环和双闭环调速实验、H桥实验等；数字控制模块要求实现双电机对拖控制，即一控制转速一控制转矩，实现动静态平衡，保证控制的稳定、快速；基于数字控制器（TMS320F28335系列）模块的交流调速系统，具有电流、电压、电机转子位置信号检测、调理等功能，预留模拟信号和数字信号接口，提供控制程序源代码（包括：异步电机恒压频比控制、PMSM和BLDC电流滞环调制方式、id=0、SVPWM调制方式）和相应的MATLAB/simulink模型库，并能在PSIM及MATLAB环境下一键实现DSP代码生成和下载到DSP控制器中进行控制的过程。在数控模块驱动下，对拖负载电机控制应达到：短路能力：符合IEC439指标，65kA；效率；额定功率时达到国标要求；噪音水平： 不大于75db（A）；电磁干扰：电磁干扰符合EN61800-3+Amendment All（2000）中第二环境（工业环境）中规定的电磁兼容性的标准；测功机控制： 可进行转矩控制，速度控制；转矩控制：转矩阶跃上升时间≤5ms、速度控制：静态精度0.1%；动态精度0.5%，总的谐波畸变率符合IEEE519-92国际标准。</w:t>
            </w:r>
          </w:p>
          <w:p>
            <w:pPr>
              <w:pStyle w:val="160"/>
              <w:widowControl/>
              <w:adjustRightInd w:val="0"/>
              <w:snapToGrid w:val="0"/>
              <w:spacing w:after="200"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6、该实验装置必须包含多种电机对拖平台与阻感负载模块，以支持电机学，电机拖动以及运动控制课程的实验要求。电机对拖平台由对拖台、负载电机（直流有刷测功机或者永磁伺服电机等，功率不低于300W）、多种实验电机（电励磁他励直流有刷电动机、电励磁他励直流有刷发电机、鼠笼式三相异步电机、绕线式三相异步电动机、永磁无刷直流电动机、永磁同步电动机等，功率不低于120W，不高于220W）。转速实时可视其数据由品牌光电编码器获取。对拖平台的负载电机可闭环控制，达到动态调负载过程中过渡时间小于5ms，超调量小于3.5%，可实现无静差控制和有静差控制（静差率低于4%）。上述所有电机中心高必须保持一致，做过动平衡测试，并为每个电机提供和实验电机完全一致的教学电机模型（或者透明电机模型，或者电机解剖分析模型），所有电机均有出厂型式试验的具体参数，电机应达到工业驱动电机的绝缘、防尘等标准，可在额定状态下持续工作6H。电机可快速安装拆卸、并采取弹性膜片联轴器进行连接。可选配动态转矩传感器，并能实时显示数值。</w:t>
            </w:r>
          </w:p>
          <w:p>
            <w:pPr>
              <w:pStyle w:val="160"/>
              <w:widowControl/>
              <w:adjustRightInd w:val="0"/>
              <w:snapToGrid w:val="0"/>
              <w:spacing w:after="200"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负载阻感模块由阻值连续可调的功率电阻若干个(分为0~180Ω可调和0~1800Ω可调，单个电阻150W)和可调电感组成（0mH-800mH连续可调或者至少不少于4档可调），每组可调大功率电阻或电感均有独立的限流保护，额定电流不低于0.5A，并需对应一个过流故障状态灯装置，当故障灯亮，指示阻感回路断路。</w:t>
            </w:r>
          </w:p>
          <w:p>
            <w:pPr>
              <w:pStyle w:val="160"/>
              <w:widowControl/>
              <w:adjustRightInd w:val="0"/>
              <w:snapToGrid w:val="0"/>
              <w:spacing w:after="200"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7、安全保护体系要求：1）三相四线制电源输入后经隔离输出（浮地设计），总电源由三相钥匙开关控制，设有三相带灯熔断器作为断相指示。控制屏电源由接触器通过起、停按钮进行控制。屏上装有两套电压型漏电保护装置，一套电流型漏电保护装置，控制屏内、外或强电输出若有漏电现象，即告警并切断总电源，确保实验安全；2）三相调压器输出处设有过流保护装置，相间、线间过电流或直接短路均能自动保护。各种电源及各种仪表均有完善的保护功能。</w:t>
            </w:r>
          </w:p>
          <w:p>
            <w:pPr>
              <w:autoSpaceDE w:val="0"/>
              <w:autoSpaceDN w:val="0"/>
              <w:adjustRightInd w:val="0"/>
              <w:spacing w:line="360" w:lineRule="auto"/>
              <w:ind w:firstLine="120" w:firstLineChars="50"/>
              <w:jc w:val="left"/>
              <w:rPr>
                <w:rFonts w:ascii="宋体" w:hAnsi="宋体" w:eastAsia="宋体" w:cs="宋体"/>
                <w:color w:val="auto"/>
                <w:sz w:val="24"/>
                <w:szCs w:val="24"/>
              </w:rPr>
            </w:pPr>
            <w:r>
              <w:rPr>
                <w:rFonts w:hint="eastAsia" w:ascii="宋体" w:hAnsi="宋体" w:eastAsia="宋体" w:cs="宋体"/>
                <w:color w:val="auto"/>
                <w:sz w:val="24"/>
                <w:szCs w:val="24"/>
              </w:rPr>
              <w:t>★电力电子与电拖实验实训模块与电力电子与电拖实验装置须为同一生产厂家；成交供应商在</w:t>
            </w:r>
            <w:r>
              <w:rPr>
                <w:rFonts w:hint="eastAsia" w:ascii="宋体" w:hAnsi="宋体" w:eastAsia="宋体" w:cs="宋体"/>
                <w:color w:val="auto"/>
                <w:sz w:val="24"/>
                <w:szCs w:val="24"/>
                <w:lang w:eastAsia="zh-CN"/>
              </w:rPr>
              <w:t>合同签订</w:t>
            </w:r>
            <w:r>
              <w:rPr>
                <w:rFonts w:hint="eastAsia" w:ascii="宋体" w:hAnsi="宋体" w:eastAsia="宋体" w:cs="宋体"/>
                <w:color w:val="auto"/>
                <w:sz w:val="24"/>
                <w:szCs w:val="24"/>
              </w:rPr>
              <w:t>后</w:t>
            </w:r>
            <w:r>
              <w:rPr>
                <w:rFonts w:ascii="宋体" w:hAnsi="宋体" w:eastAsia="宋体" w:cs="宋体"/>
                <w:color w:val="auto"/>
                <w:sz w:val="24"/>
                <w:szCs w:val="24"/>
              </w:rPr>
              <w:t>3个工作日提供样机演示标书性能指标。</w:t>
            </w:r>
          </w:p>
        </w:tc>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eastAsia="宋体" w:cs="宋体"/>
                <w:color w:val="auto"/>
                <w:sz w:val="24"/>
                <w:szCs w:val="24"/>
              </w:rPr>
            </w:pPr>
          </w:p>
          <w:p>
            <w:pPr>
              <w:autoSpaceDE w:val="0"/>
              <w:autoSpaceDN w:val="0"/>
              <w:adjustRightInd w:val="0"/>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6套</w:t>
            </w:r>
          </w:p>
        </w:tc>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86" w:type="dxa"/>
            <w:tcBorders>
              <w:top w:val="single" w:color="auto" w:sz="4" w:space="0"/>
              <w:left w:val="double" w:color="auto" w:sz="4" w:space="0"/>
              <w:bottom w:val="single" w:color="auto" w:sz="4" w:space="0"/>
              <w:right w:val="single" w:color="auto" w:sz="4"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2</w:t>
            </w:r>
          </w:p>
        </w:tc>
        <w:tc>
          <w:tcPr>
            <w:tcW w:w="81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auto"/>
                <w:sz w:val="24"/>
                <w:szCs w:val="24"/>
              </w:rPr>
            </w:pPr>
          </w:p>
          <w:p>
            <w:pPr>
              <w:spacing w:line="360" w:lineRule="auto"/>
              <w:rPr>
                <w:rFonts w:ascii="宋体" w:hAnsi="宋体" w:eastAsia="宋体" w:cs="宋体"/>
                <w:color w:val="auto"/>
                <w:sz w:val="24"/>
                <w:szCs w:val="24"/>
              </w:rPr>
            </w:pPr>
          </w:p>
          <w:p>
            <w:pPr>
              <w:spacing w:line="360" w:lineRule="auto"/>
              <w:rPr>
                <w:rFonts w:ascii="宋体" w:hAnsi="宋体" w:eastAsia="宋体" w:cs="宋体"/>
                <w:color w:val="auto"/>
                <w:sz w:val="24"/>
                <w:szCs w:val="24"/>
              </w:rPr>
            </w:pPr>
          </w:p>
          <w:p>
            <w:pPr>
              <w:spacing w:line="360" w:lineRule="auto"/>
              <w:rPr>
                <w:rFonts w:ascii="宋体" w:hAnsi="宋体" w:eastAsia="宋体" w:cs="宋体"/>
                <w:color w:val="auto"/>
                <w:sz w:val="24"/>
                <w:szCs w:val="24"/>
              </w:rPr>
            </w:pPr>
          </w:p>
          <w:p>
            <w:pPr>
              <w:spacing w:line="360" w:lineRule="auto"/>
              <w:rPr>
                <w:rFonts w:ascii="宋体" w:hAnsi="宋体" w:eastAsia="宋体" w:cs="宋体"/>
                <w:color w:val="auto"/>
                <w:sz w:val="24"/>
                <w:szCs w:val="24"/>
              </w:rPr>
            </w:pP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电力电子与电拖实验实训模块</w:t>
            </w:r>
          </w:p>
          <w:p>
            <w:pPr>
              <w:spacing w:line="360" w:lineRule="auto"/>
              <w:rPr>
                <w:rFonts w:ascii="宋体" w:hAnsi="宋体" w:eastAsia="宋体" w:cs="宋体"/>
                <w:color w:val="auto"/>
                <w:sz w:val="24"/>
                <w:szCs w:val="24"/>
              </w:rPr>
            </w:pPr>
          </w:p>
        </w:tc>
        <w:tc>
          <w:tcPr>
            <w:tcW w:w="6473"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★1、电机认知实验：认识直流电机实验中所用到的组件及使用方法等；学习电机实验的基本要求与安全操作注意事项；熟悉他励电动机(并励电动机按他励方式)的接线、起动、改变电机转向与调速的方法。</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2、直流发电机实验：掌握测量直流发电机的各种运行特性的实验方法，并根据所测得的运行特性评定被试电机的有关性能；通过实验观察并励发电机的自励过程，熟悉自励条件。</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3、直流并励电动机实验：掌握测量直流并励电动机的工作特性和机械特性的实验方法；掌握直流并励电动机的调速方法。</w:t>
            </w:r>
          </w:p>
          <w:p>
            <w:pPr>
              <w:pStyle w:val="160"/>
              <w:widowControl/>
              <w:adjustRightInd w:val="0"/>
              <w:snapToGrid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4、直流他励电动机实验：掌握测量他励电动机工作特性和机械特性的实验方法；掌握他励电动机起动、调速及改变转向的方法。</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5、单相变压器实验：掌握通过空载和短路实验测量变压器的变比和参数的实验方法；掌握通过负载实验测取变压器的运行特性的实验方法。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★6、三相变压器实验：掌握通过空载和短路实验测量三相组式变压器的变比和参数的实验方法；掌握通过负载实验测取三相组式变压器的运行特性的实验方法。可选配三相芯式变压器，并进行相关实验。</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7、三相鼠笼异步电动机的工作特性：掌握三相异步电动机的空载、堵转和负载试验的实验方法；掌握用直接负载法测取三相鼠笼式异步电动机工作特性的实验方法；掌握测量三相鼠笼式异步电动机和三相绕线式异步电动机参数的实验方法；</w:t>
            </w:r>
          </w:p>
          <w:p>
            <w:pPr>
              <w:pStyle w:val="160"/>
              <w:widowControl/>
              <w:adjustRightInd w:val="0"/>
              <w:snapToGrid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★8、三相异步电动机的起动与调速：掌握三相鼠笼式异步电动机起动和调速的方法；掌握三相绕线式异步电机动机起动和调速的方法。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9、晶闸管三相桥式整流电路实验</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10、晶闸管单相交流调压实验</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11、直流斩波电路（6种基本电路）实验</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12、器件（SCR、GTO、MOSFET、IGBT）特性测试实验</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13、单闭环不可逆直流电机调速实验：包括电压单闭环、电流单闭环和转速单闭环。控制器应由学生基于运算放大器、R、C等连线组成的PID控制器实现，驱动器由晶闸管三相桥式整流电路构成。学生可以实践单闭环系统的接线和控制器的调试步骤、方法及参数的整定，研究系统的静态和动态性能指标。</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14、双闭环不可逆直流电机调速实验：包括电流内环和转速外环。内外环控制器均由学生基于运算放大器、R、C等连线组成的PID控制器实现，驱动器由晶闸管三相桥式整流电路构成。学生可以实践双闭环系统的接线和控制器的调试步骤、方法及参数的整定，研究系统的静态和动态性能指标。</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15、直流电机可逆脉宽调速实验：基于H桥实现直流电机的可逆调速，包括单闭环和双闭环，所有控制器应由学生基于运算放大器、R、C等连线组成的PID控制器实现，驱动器由H桥电路构成。学生可以实践单闭环、双闭环可逆直流 PWM 调速系统的调试步骤、方法及参数的整定；研究双闭环直流调速系统的静态和动态性能指标。</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16、直流电机可逆脉宽数控调速实验：驱动器基于IGBT模块、控制器基于DSP28335开发；学生看初步掌握CCS基本操作和TMS320F28335的基本使用；掌握直流电机控制单、双闭环的调试步骤及方法；研究系统的静态特性和动态特性，进一步理解直流电机控制系统中电流环和转速环的作用。</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17、三相异步电机恒压频比控制实验：驱动器基于IGBT模块、控制器基于DSP28335开发；了解掌握三相异步电机恒压频比控制基本原理；掌握CCS基本操作和TMS320F28335的基本使用；掌握恒压频比控制双闭环的调试步骤及方法；研究系统的静态特性和动态特性。</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18、三相鼠笼式异步电机SVPWM调速实验：驱动器基于IGBT模块、控制器基于DSP28335开发；了解掌握三相鼠笼式异步电机SVPWM基本原理；掌握CCS基本操作和TMS320F28335的基本使用；掌握恒压频比控制双闭环的调试步骤及方法；研究系统的静态特性和动态特性。</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19、直流他励电动机在各种运转状态下的机械特性：掌握测量他励直流电动机在各种运转状态的机械特性的实验方法。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20、三相异步电动机在各种运行状态下的机械特性：掌握测量三相鼠笼式异步电动机和三相绕线式异步电动机在各种运行状态下的机械特性的实验方法。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★21、DC/DC模拟电路实验：掌握Buck、Boost、Cuk变换器基本原理；掌握DC/DC电路的PWM控制方法；掌握DC/DC电路的调试步骤及方法；研究DC/DC电路工作原理，观测输出电压与 PWM控制信号占空比的关系，观测电感电流变化与PWM控制信号的关系，进一步理解PWM控制在DC/DC中的作用。参数：输入电压：24V；占空比调节范围0～0.7，负载电流0～0.5A；MOSFET开关频率：30kHz（实验者可调整）。</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22、半桥隔离DC/DC电路实验：掌握带高频变压器的DC/DC变换器基本原理；掌握设计方法高频变压器和高频电感设计和绕制方法；掌握半桥隔离DC/DC电路的调试步骤及方法； 研究DC/DC闭环控制原理。参数：输入电压：24V；输出：48V/0.5A（实验者可调整）；MOSFET开关频率：40kHz（实验者可调整），调制控制方法：电位器输入</w:t>
            </w:r>
          </w:p>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color w:val="auto"/>
                <w:sz w:val="24"/>
                <w:szCs w:val="24"/>
              </w:rPr>
              <w:t>23、三相DC/AC数字控制实验：掌握数字控制三相DC/AC变换器基本原理；掌握CCS基本操作和TMS320F28335的基本使用；掌握三相DC/AC的PWM控制波形产生方法；研究三相DC/AC的变频控制方法和策略。参数：输入电压：24V；输出：三相正弦波（实验者可调整输出频率）；MOSFET开关频率：14kHz（实验者可在一定范围内调整）。</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24、三相绕线式异步电动机调速实验：驱动器基于IGBT模块、控制器基于DSP28335开发；了解掌握三相绕线式异步电机SVPWM基本原理；掌握CCS基本操作和TMS320F28335的基本使用；掌握恒压频比控制双闭环的调试步骤及方法；研究系统的静态特性和动态特性。</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25、PMSM调速实验：驱动器基于IGBT模块、控制器基于DSP28335开发；了解掌握PMSM矢量控制的基本原理；掌握CCS基本操作和TMS320F28335的基本使用；掌握矢量控制中SV、滞环等调制方法的调试步骤及方法；研究系统的静态特性和动态特性。</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25、BLDC调速实验：驱动器基于IGBT模块、控制器基于DSP28335开发；了解掌握BLDC控制的基本原理；掌握CCS基本操作和TMS320F28335的基本使用；掌握BLDC基于霍尔传感器的控制和光电编码器的矢量控制的调试步骤及方法；研究系统的静态特性和动态特性。</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27、基于MATLAB/Simulink和Psim的直流电机调速实验：控制模型和算法在MATLAB/Simulink和Psim建模，并基于RCP的思路，快速生成代码，并下载至控制器。主要研究控制算法调试。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26、基于MATLAB/Simulink/Psim的三相鼠笼式异步电动机调速实验：控制模型和算法在MATLAB/Simulink和Psim建模，并基于RCP的思路，快速生成代码，并下载至控制器。主要研究控制算法调试。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27、基于MATLAB/Simulink/Psim的三相绕线式异步电动机调速实验：控制模型和算法在MATLAB/Simulink和Psim建模，并基于RCP的思路，快速生成代码，并下载至控制器。主要研究控制算法调试。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28、基于MATLAB/Simulink/Psim的PMSM调速实验：控制模型和算法在MATLAB/Simulink和Psim建模，并基于RCP的思路，快速生成代码，并下载至控制器。主要研究控制算法调试。</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29、基于MATLAB/Simulink/Psim的BLDC调速实验：控制模型和算法在MATLAB/Simulink和Psim建模，并基于RCP的思路，快速生成代码，并下载至控制器。主要研究控制算法调试。</w:t>
            </w:r>
          </w:p>
          <w:p>
            <w:pPr>
              <w:pStyle w:val="160"/>
              <w:widowControl/>
              <w:adjustRightInd w:val="0"/>
              <w:snapToGrid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30、基于MATLAB/Simulink/Psim的电机对拖调速实验：控制模型和算法在MATLAB/Simulink和Psim建模，并基于RCP的思路，快速生成代码，并下载至控制器。主要研究控制算法调试。</w:t>
            </w:r>
          </w:p>
          <w:p>
            <w:pPr>
              <w:autoSpaceDE w:val="0"/>
              <w:autoSpaceDN w:val="0"/>
              <w:adjustRightInd w:val="0"/>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★电力电子与电拖实验实训模块与电力电子与电拖实验装置须为同一生产厂家；成交供应商在</w:t>
            </w:r>
            <w:r>
              <w:rPr>
                <w:rFonts w:hint="eastAsia" w:ascii="宋体" w:hAnsi="宋体" w:eastAsia="宋体" w:cs="宋体"/>
                <w:color w:val="auto"/>
                <w:sz w:val="24"/>
                <w:szCs w:val="24"/>
                <w:lang w:eastAsia="zh-CN"/>
              </w:rPr>
              <w:t>合同签订</w:t>
            </w:r>
            <w:r>
              <w:rPr>
                <w:rFonts w:hint="eastAsia" w:ascii="宋体" w:hAnsi="宋体" w:eastAsia="宋体" w:cs="宋体"/>
                <w:color w:val="auto"/>
                <w:sz w:val="24"/>
                <w:szCs w:val="24"/>
              </w:rPr>
              <w:t>后</w:t>
            </w:r>
            <w:r>
              <w:rPr>
                <w:rFonts w:ascii="宋体" w:hAnsi="宋体" w:eastAsia="宋体" w:cs="宋体"/>
                <w:color w:val="auto"/>
                <w:sz w:val="24"/>
                <w:szCs w:val="24"/>
              </w:rPr>
              <w:t>3个工作日提供样机演示标书性能指标。</w:t>
            </w:r>
          </w:p>
        </w:tc>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eastAsia="宋体" w:cs="宋体"/>
                <w:color w:val="auto"/>
                <w:sz w:val="24"/>
                <w:szCs w:val="24"/>
              </w:rPr>
            </w:pPr>
          </w:p>
          <w:p>
            <w:pPr>
              <w:autoSpaceDE w:val="0"/>
              <w:autoSpaceDN w:val="0"/>
              <w:adjustRightInd w:val="0"/>
              <w:spacing w:line="360" w:lineRule="auto"/>
              <w:jc w:val="left"/>
              <w:rPr>
                <w:rFonts w:ascii="宋体" w:hAnsi="宋体" w:eastAsia="宋体" w:cs="宋体"/>
                <w:color w:val="auto"/>
                <w:sz w:val="24"/>
                <w:szCs w:val="24"/>
              </w:rPr>
            </w:pPr>
          </w:p>
          <w:p>
            <w:pPr>
              <w:autoSpaceDE w:val="0"/>
              <w:autoSpaceDN w:val="0"/>
              <w:adjustRightInd w:val="0"/>
              <w:spacing w:line="360" w:lineRule="auto"/>
              <w:jc w:val="left"/>
              <w:rPr>
                <w:rFonts w:ascii="宋体" w:hAnsi="宋体" w:eastAsia="宋体" w:cs="宋体"/>
                <w:color w:val="auto"/>
                <w:sz w:val="24"/>
                <w:szCs w:val="24"/>
              </w:rPr>
            </w:pPr>
          </w:p>
          <w:p>
            <w:pPr>
              <w:autoSpaceDE w:val="0"/>
              <w:autoSpaceDN w:val="0"/>
              <w:adjustRightInd w:val="0"/>
              <w:spacing w:line="360" w:lineRule="auto"/>
              <w:jc w:val="left"/>
              <w:rPr>
                <w:rFonts w:ascii="宋体" w:hAnsi="宋体" w:eastAsia="宋体" w:cs="宋体"/>
                <w:color w:val="auto"/>
                <w:sz w:val="24"/>
                <w:szCs w:val="24"/>
              </w:rPr>
            </w:pPr>
          </w:p>
          <w:p>
            <w:pPr>
              <w:autoSpaceDE w:val="0"/>
              <w:autoSpaceDN w:val="0"/>
              <w:adjustRightInd w:val="0"/>
              <w:spacing w:line="360" w:lineRule="auto"/>
              <w:jc w:val="left"/>
              <w:rPr>
                <w:rFonts w:ascii="宋体" w:hAnsi="宋体" w:eastAsia="宋体" w:cs="宋体"/>
                <w:color w:val="auto"/>
                <w:sz w:val="24"/>
                <w:szCs w:val="24"/>
              </w:rPr>
            </w:pPr>
          </w:p>
          <w:p>
            <w:pPr>
              <w:autoSpaceDE w:val="0"/>
              <w:autoSpaceDN w:val="0"/>
              <w:adjustRightInd w:val="0"/>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6套</w:t>
            </w:r>
          </w:p>
        </w:tc>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工业</w:t>
            </w:r>
          </w:p>
        </w:tc>
      </w:tr>
    </w:tbl>
    <w:p>
      <w:pPr>
        <w:spacing w:line="360" w:lineRule="auto"/>
        <w:ind w:firstLine="437"/>
        <w:outlineLvl w:val="1"/>
        <w:rPr>
          <w:rFonts w:ascii="宋体" w:hAnsi="宋体" w:eastAsia="宋体"/>
          <w:b/>
          <w:bCs/>
          <w:color w:val="auto"/>
          <w:sz w:val="24"/>
          <w:szCs w:val="18"/>
        </w:rPr>
      </w:pPr>
      <w:r>
        <w:rPr>
          <w:rFonts w:hint="eastAsia" w:ascii="宋体" w:hAnsi="宋体" w:eastAsia="宋体"/>
          <w:b/>
          <w:bCs/>
          <w:color w:val="auto"/>
          <w:sz w:val="24"/>
          <w:szCs w:val="18"/>
        </w:rPr>
        <w:t>三、报价要求</w:t>
      </w:r>
    </w:p>
    <w:p>
      <w:pPr>
        <w:spacing w:line="360" w:lineRule="auto"/>
        <w:ind w:firstLine="437"/>
        <w:rPr>
          <w:rFonts w:ascii="宋体" w:hAnsi="宋体" w:eastAsia="宋体"/>
          <w:b/>
          <w:bCs/>
          <w:color w:val="auto"/>
          <w:sz w:val="24"/>
          <w:szCs w:val="18"/>
        </w:rPr>
      </w:pPr>
      <w:r>
        <w:rPr>
          <w:rFonts w:hint="eastAsia" w:ascii="宋体" w:hAnsi="宋体" w:eastAsia="宋体"/>
          <w:b/>
          <w:bCs/>
          <w:color w:val="auto"/>
          <w:sz w:val="24"/>
          <w:szCs w:val="18"/>
        </w:rPr>
        <w:t>本项目报总价，供应商的报价包含但不限于材料、安装、运输劳务、利润、税金、政策性文件规定及合同包含的所有风险、责任、义务等，即为完成磋商文件要求的供货内容所包含的一切应有费用，成交价一次性包死，采购人后期不再追加费用，供应商自行考虑风险。</w:t>
      </w:r>
    </w:p>
    <w:p>
      <w:pPr>
        <w:spacing w:line="360" w:lineRule="auto"/>
        <w:rPr>
          <w:rFonts w:hint="default"/>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Helvetica Neue">
    <w:altName w:val="Segoe Print"/>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3A8058"/>
    <w:multiLevelType w:val="singleLevel"/>
    <w:tmpl w:val="3F3A805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03A"/>
    <w:rsid w:val="001050AF"/>
    <w:rsid w:val="00151EBC"/>
    <w:rsid w:val="001A6198"/>
    <w:rsid w:val="001B7BF4"/>
    <w:rsid w:val="00291F72"/>
    <w:rsid w:val="002A5925"/>
    <w:rsid w:val="00342BD5"/>
    <w:rsid w:val="0036572F"/>
    <w:rsid w:val="0046403A"/>
    <w:rsid w:val="004D2BA2"/>
    <w:rsid w:val="005148CD"/>
    <w:rsid w:val="005C55D1"/>
    <w:rsid w:val="005D6BE7"/>
    <w:rsid w:val="007125D0"/>
    <w:rsid w:val="00762162"/>
    <w:rsid w:val="00784F9F"/>
    <w:rsid w:val="00797A92"/>
    <w:rsid w:val="0082017A"/>
    <w:rsid w:val="00854E98"/>
    <w:rsid w:val="00861565"/>
    <w:rsid w:val="008E3A64"/>
    <w:rsid w:val="009B01D0"/>
    <w:rsid w:val="009E06AE"/>
    <w:rsid w:val="009E082E"/>
    <w:rsid w:val="009E3238"/>
    <w:rsid w:val="009F1ABB"/>
    <w:rsid w:val="00A043DB"/>
    <w:rsid w:val="00A94770"/>
    <w:rsid w:val="00A95115"/>
    <w:rsid w:val="00AB4838"/>
    <w:rsid w:val="00B714EA"/>
    <w:rsid w:val="00BD64A3"/>
    <w:rsid w:val="00BE0B16"/>
    <w:rsid w:val="00C63D37"/>
    <w:rsid w:val="00C94378"/>
    <w:rsid w:val="00CA016A"/>
    <w:rsid w:val="00CA5ECC"/>
    <w:rsid w:val="00E15C7B"/>
    <w:rsid w:val="00E57881"/>
    <w:rsid w:val="00E94221"/>
    <w:rsid w:val="00ED6D82"/>
    <w:rsid w:val="00EF53E4"/>
    <w:rsid w:val="00F71B0B"/>
    <w:rsid w:val="00FD5864"/>
    <w:rsid w:val="022277D6"/>
    <w:rsid w:val="0FB14052"/>
    <w:rsid w:val="10D36442"/>
    <w:rsid w:val="1A1856B0"/>
    <w:rsid w:val="25CC4654"/>
    <w:rsid w:val="296B24DB"/>
    <w:rsid w:val="2F9D673C"/>
    <w:rsid w:val="33CA263D"/>
    <w:rsid w:val="34910C5D"/>
    <w:rsid w:val="37046469"/>
    <w:rsid w:val="3E8F7A51"/>
    <w:rsid w:val="48505DC4"/>
    <w:rsid w:val="515533E3"/>
    <w:rsid w:val="52C453FF"/>
    <w:rsid w:val="583C0F09"/>
    <w:rsid w:val="59275455"/>
    <w:rsid w:val="5B9C77EE"/>
    <w:rsid w:val="608B21F4"/>
    <w:rsid w:val="6A462AD3"/>
    <w:rsid w:val="6FDE3B7A"/>
    <w:rsid w:val="74AF0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qFormat="1" w:uiPriority="0"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47"/>
    <w:qFormat/>
    <w:uiPriority w:val="9"/>
    <w:pPr>
      <w:keepNext/>
      <w:keepLines/>
      <w:spacing w:before="340" w:after="330" w:line="578" w:lineRule="auto"/>
      <w:outlineLvl w:val="0"/>
    </w:pPr>
    <w:rPr>
      <w:rFonts w:ascii="@仿宋_GB2312" w:hAnsi="@仿宋_GB2312" w:eastAsia="@仿宋_GB2312" w:cs="@仿宋_GB2312"/>
      <w:b/>
      <w:bCs/>
      <w:kern w:val="44"/>
      <w:sz w:val="44"/>
      <w:szCs w:val="44"/>
    </w:rPr>
  </w:style>
  <w:style w:type="paragraph" w:styleId="4">
    <w:name w:val="heading 2"/>
    <w:basedOn w:val="1"/>
    <w:next w:val="1"/>
    <w:link w:val="38"/>
    <w:unhideWhenUsed/>
    <w:qFormat/>
    <w:uiPriority w:val="9"/>
    <w:pPr>
      <w:keepNext/>
      <w:keepLines/>
      <w:spacing w:before="260" w:after="260" w:line="412" w:lineRule="auto"/>
      <w:ind w:firstLine="628"/>
      <w:jc w:val="center"/>
      <w:outlineLvl w:val="1"/>
    </w:pPr>
    <w:rPr>
      <w:rFonts w:ascii="Arial" w:hAnsi="Arial" w:eastAsia="黑体"/>
      <w:sz w:val="32"/>
    </w:rPr>
  </w:style>
  <w:style w:type="paragraph" w:styleId="5">
    <w:name w:val="heading 3"/>
    <w:basedOn w:val="1"/>
    <w:next w:val="1"/>
    <w:link w:val="48"/>
    <w:unhideWhenUsed/>
    <w:qFormat/>
    <w:uiPriority w:val="9"/>
    <w:pPr>
      <w:keepNext/>
      <w:keepLines/>
      <w:spacing w:before="260" w:after="260" w:line="416" w:lineRule="auto"/>
      <w:outlineLvl w:val="2"/>
    </w:pPr>
    <w:rPr>
      <w:rFonts w:ascii="@仿宋_GB2312" w:hAnsi="@仿宋_GB2312" w:eastAsia="@仿宋_GB2312" w:cs="@仿宋_GB2312"/>
      <w:b/>
      <w:bCs/>
      <w:sz w:val="32"/>
      <w:szCs w:val="32"/>
    </w:rPr>
  </w:style>
  <w:style w:type="paragraph" w:styleId="6">
    <w:name w:val="heading 4"/>
    <w:basedOn w:val="1"/>
    <w:next w:val="1"/>
    <w:link w:val="68"/>
    <w:qFormat/>
    <w:uiPriority w:val="0"/>
    <w:pPr>
      <w:keepNext/>
      <w:keepLines/>
      <w:spacing w:before="280" w:after="290" w:line="376" w:lineRule="auto"/>
      <w:outlineLvl w:val="3"/>
    </w:pPr>
    <w:rPr>
      <w:rFonts w:ascii="@仿宋_GB2312" w:hAnsi="@仿宋_GB2312" w:eastAsia="@仿宋_GB2312" w:cs="@仿宋_GB2312"/>
      <w:b/>
      <w:bCs/>
      <w:sz w:val="28"/>
      <w:szCs w:val="28"/>
    </w:rPr>
  </w:style>
  <w:style w:type="paragraph" w:styleId="7">
    <w:name w:val="heading 7"/>
    <w:basedOn w:val="1"/>
    <w:next w:val="1"/>
    <w:link w:val="41"/>
    <w:semiHidden/>
    <w:unhideWhenUsed/>
    <w:qFormat/>
    <w:uiPriority w:val="9"/>
    <w:pPr>
      <w:keepNext/>
      <w:keepLines/>
      <w:spacing w:before="240" w:after="64" w:line="320" w:lineRule="auto"/>
      <w:outlineLvl w:val="6"/>
    </w:pPr>
    <w:rPr>
      <w:b/>
      <w:bCs/>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ascii="宋体"/>
      <w:kern w:val="0"/>
      <w:sz w:val="24"/>
    </w:rPr>
  </w:style>
  <w:style w:type="paragraph" w:styleId="8">
    <w:name w:val="Document Map"/>
    <w:basedOn w:val="1"/>
    <w:link w:val="50"/>
    <w:semiHidden/>
    <w:qFormat/>
    <w:uiPriority w:val="0"/>
    <w:pPr>
      <w:shd w:val="clear" w:color="auto" w:fill="000080"/>
    </w:pPr>
  </w:style>
  <w:style w:type="paragraph" w:styleId="9">
    <w:name w:val="annotation text"/>
    <w:basedOn w:val="1"/>
    <w:link w:val="44"/>
    <w:qFormat/>
    <w:uiPriority w:val="0"/>
    <w:pPr>
      <w:jc w:val="left"/>
    </w:pPr>
    <w:rPr>
      <w:rFonts w:ascii="@仿宋_GB2312" w:hAnsi="@仿宋_GB2312" w:eastAsia="@仿宋_GB2312" w:cs="@仿宋_GB2312"/>
    </w:rPr>
  </w:style>
  <w:style w:type="paragraph" w:styleId="10">
    <w:name w:val="Body Text"/>
    <w:basedOn w:val="1"/>
    <w:next w:val="1"/>
    <w:qFormat/>
    <w:uiPriority w:val="0"/>
    <w:pPr>
      <w:spacing w:after="120"/>
    </w:pPr>
    <w:rPr>
      <w:rFonts w:ascii="@微软简标宋" w:hAnsi="@微软简标宋" w:eastAsia="@微软简标宋" w:cs="@微软简标宋"/>
      <w:szCs w:val="24"/>
      <w:lang w:val="zh-CN"/>
    </w:rPr>
  </w:style>
  <w:style w:type="paragraph" w:styleId="11">
    <w:name w:val="Body Text Indent"/>
    <w:basedOn w:val="1"/>
    <w:next w:val="12"/>
    <w:link w:val="51"/>
    <w:qFormat/>
    <w:uiPriority w:val="0"/>
    <w:pPr>
      <w:ind w:firstLine="645"/>
    </w:pPr>
    <w:rPr>
      <w:rFonts w:ascii="@仿宋_GB2312" w:hAnsi="@仿宋_GB2312" w:eastAsia="@仿宋_GB2312" w:cs="@仿宋_GB2312"/>
      <w:sz w:val="32"/>
    </w:rPr>
  </w:style>
  <w:style w:type="paragraph" w:styleId="12">
    <w:name w:val="envelope return"/>
    <w:basedOn w:val="1"/>
    <w:qFormat/>
    <w:uiPriority w:val="0"/>
    <w:pPr>
      <w:snapToGrid w:val="0"/>
    </w:pPr>
    <w:rPr>
      <w:rFonts w:ascii="Arial" w:hAnsi="Arial"/>
    </w:rPr>
  </w:style>
  <w:style w:type="paragraph" w:styleId="13">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4">
    <w:name w:val="Plain Text"/>
    <w:basedOn w:val="1"/>
    <w:link w:val="52"/>
    <w:qFormat/>
    <w:uiPriority w:val="99"/>
    <w:rPr>
      <w:rFonts w:ascii="宋体" w:hAnsi="Courier New" w:eastAsiaTheme="minorEastAsia" w:cstheme="minorBidi"/>
      <w:szCs w:val="22"/>
    </w:rPr>
  </w:style>
  <w:style w:type="paragraph" w:styleId="15">
    <w:name w:val="Date"/>
    <w:basedOn w:val="1"/>
    <w:next w:val="1"/>
    <w:link w:val="53"/>
    <w:qFormat/>
    <w:uiPriority w:val="0"/>
    <w:rPr>
      <w:rFonts w:ascii="Arial" w:hAnsi="Arial" w:cs="Arial"/>
      <w:b/>
      <w:sz w:val="28"/>
    </w:rPr>
  </w:style>
  <w:style w:type="paragraph" w:styleId="16">
    <w:name w:val="Balloon Text"/>
    <w:basedOn w:val="1"/>
    <w:link w:val="45"/>
    <w:unhideWhenUsed/>
    <w:qFormat/>
    <w:uiPriority w:val="99"/>
    <w:rPr>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0">
    <w:name w:val="toc 6"/>
    <w:basedOn w:val="1"/>
    <w:next w:val="1"/>
    <w:unhideWhenUsed/>
    <w:qFormat/>
    <w:uiPriority w:val="0"/>
    <w:pPr>
      <w:ind w:left="420"/>
      <w:jc w:val="center"/>
    </w:pPr>
    <w:rPr>
      <w:szCs w:val="21"/>
    </w:rPr>
  </w:style>
  <w:style w:type="paragraph" w:styleId="21">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2">
    <w:name w:val="Normal (Web)"/>
    <w:basedOn w:val="1"/>
    <w:unhideWhenUsed/>
    <w:qFormat/>
    <w:uiPriority w:val="99"/>
    <w:rPr>
      <w:sz w:val="24"/>
      <w:szCs w:val="24"/>
    </w:rPr>
  </w:style>
  <w:style w:type="paragraph" w:styleId="23">
    <w:name w:val="index 1"/>
    <w:basedOn w:val="1"/>
    <w:next w:val="1"/>
    <w:qFormat/>
    <w:uiPriority w:val="0"/>
    <w:pPr>
      <w:jc w:val="center"/>
    </w:pPr>
    <w:rPr>
      <w:rFonts w:ascii="Arial" w:hAnsi="Arial" w:eastAsia="Arial" w:cs="Arial"/>
      <w:b/>
      <w:bCs/>
      <w:sz w:val="28"/>
    </w:rPr>
  </w:style>
  <w:style w:type="paragraph" w:styleId="24">
    <w:name w:val="annotation subject"/>
    <w:basedOn w:val="9"/>
    <w:next w:val="9"/>
    <w:link w:val="54"/>
    <w:semiHidden/>
    <w:unhideWhenUsed/>
    <w:qFormat/>
    <w:uiPriority w:val="0"/>
    <w:rPr>
      <w:b/>
      <w:bCs/>
    </w:rPr>
  </w:style>
  <w:style w:type="paragraph" w:styleId="25">
    <w:name w:val="Body Text First Indent"/>
    <w:basedOn w:val="10"/>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24"/>
    </w:rPr>
  </w:style>
  <w:style w:type="paragraph" w:styleId="26">
    <w:name w:val="Body Text First Indent 2"/>
    <w:basedOn w:val="11"/>
    <w:next w:val="25"/>
    <w:qFormat/>
    <w:uiPriority w:val="0"/>
    <w:pPr>
      <w:widowControl/>
      <w:tabs>
        <w:tab w:val="left" w:pos="0"/>
        <w:tab w:val="left" w:pos="993"/>
        <w:tab w:val="left" w:pos="1134"/>
      </w:tabs>
      <w:ind w:left="1395" w:firstLine="420"/>
      <w:jc w:val="both"/>
    </w:pPr>
    <w:rPr>
      <w:rFonts w:ascii="Calibri" w:hAnsi="Calibri" w:eastAsia="@仿宋_GB2312" w:cs="@仿宋_GB2312"/>
      <w:kern w:val="2"/>
      <w:sz w:val="20"/>
      <w:szCs w:val="20"/>
      <w:lang w:val="en-US" w:eastAsia="zh-CN" w:bidi="ar-SA"/>
    </w:rPr>
  </w:style>
  <w:style w:type="table" w:styleId="28">
    <w:name w:val="Table Grid"/>
    <w:basedOn w:val="27"/>
    <w:unhideWhenUsed/>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bCs/>
    </w:rPr>
  </w:style>
  <w:style w:type="character" w:styleId="31">
    <w:name w:val="FollowedHyperlink"/>
    <w:unhideWhenUsed/>
    <w:qFormat/>
    <w:uiPriority w:val="99"/>
    <w:rPr>
      <w:color w:val="800080"/>
      <w:u w:val="single"/>
    </w:rPr>
  </w:style>
  <w:style w:type="character" w:styleId="32">
    <w:name w:val="Hyperlink"/>
    <w:basedOn w:val="29"/>
    <w:unhideWhenUsed/>
    <w:qFormat/>
    <w:uiPriority w:val="99"/>
    <w:rPr>
      <w:color w:val="0000FF" w:themeColor="hyperlink"/>
      <w:u w:val="single"/>
      <w14:textFill>
        <w14:solidFill>
          <w14:schemeClr w14:val="hlink"/>
        </w14:solidFill>
      </w14:textFill>
    </w:rPr>
  </w:style>
  <w:style w:type="character" w:styleId="33">
    <w:name w:val="annotation reference"/>
    <w:semiHidden/>
    <w:qFormat/>
    <w:uiPriority w:val="0"/>
    <w:rPr>
      <w:sz w:val="21"/>
      <w:szCs w:val="21"/>
    </w:rPr>
  </w:style>
  <w:style w:type="paragraph" w:customStyle="1" w:styleId="34">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35">
    <w:name w:val="首行缩进"/>
    <w:basedOn w:val="1"/>
    <w:qFormat/>
    <w:uiPriority w:val="0"/>
    <w:pPr>
      <w:ind w:firstLine="480" w:firstLineChars="200"/>
    </w:pPr>
    <w:rPr>
      <w:szCs w:val="20"/>
      <w:lang w:val="zh-CN"/>
    </w:rPr>
  </w:style>
  <w:style w:type="character" w:customStyle="1" w:styleId="36">
    <w:name w:val="页眉 Char"/>
    <w:basedOn w:val="29"/>
    <w:link w:val="18"/>
    <w:qFormat/>
    <w:uiPriority w:val="99"/>
    <w:rPr>
      <w:sz w:val="18"/>
      <w:szCs w:val="18"/>
    </w:rPr>
  </w:style>
  <w:style w:type="character" w:customStyle="1" w:styleId="37">
    <w:name w:val="页脚 Char"/>
    <w:basedOn w:val="29"/>
    <w:link w:val="17"/>
    <w:qFormat/>
    <w:uiPriority w:val="99"/>
    <w:rPr>
      <w:sz w:val="18"/>
      <w:szCs w:val="18"/>
    </w:rPr>
  </w:style>
  <w:style w:type="character" w:customStyle="1" w:styleId="38">
    <w:name w:val="标题 2 Char"/>
    <w:basedOn w:val="29"/>
    <w:link w:val="4"/>
    <w:qFormat/>
    <w:uiPriority w:val="9"/>
    <w:rPr>
      <w:rFonts w:ascii="Arial" w:hAnsi="Arial" w:eastAsia="黑体" w:cs="Times New Roman"/>
      <w:sz w:val="32"/>
      <w:szCs w:val="20"/>
    </w:rPr>
  </w:style>
  <w:style w:type="paragraph" w:customStyle="1" w:styleId="39">
    <w:name w:val="Char Char Char Char Char Char Char1 Char"/>
    <w:basedOn w:val="1"/>
    <w:qFormat/>
    <w:uiPriority w:val="0"/>
    <w:rPr>
      <w:rFonts w:ascii="Tahoma" w:hAnsi="Tahoma"/>
      <w:sz w:val="24"/>
    </w:rPr>
  </w:style>
  <w:style w:type="paragraph" w:customStyle="1" w:styleId="40">
    <w:name w:val="xl31"/>
    <w:basedOn w:val="1"/>
    <w:qFormat/>
    <w:uiPriority w:val="0"/>
    <w:pPr>
      <w:widowControl/>
      <w:spacing w:before="100" w:beforeAutospacing="1" w:after="100" w:afterAutospacing="1"/>
      <w:jc w:val="center"/>
    </w:pPr>
    <w:rPr>
      <w:rFonts w:ascii="宋体" w:hAnsi="宋体"/>
      <w:b/>
      <w:bCs/>
      <w:kern w:val="0"/>
      <w:sz w:val="28"/>
      <w:szCs w:val="28"/>
    </w:rPr>
  </w:style>
  <w:style w:type="character" w:customStyle="1" w:styleId="41">
    <w:name w:val="标题 7 Char"/>
    <w:basedOn w:val="29"/>
    <w:link w:val="7"/>
    <w:qFormat/>
    <w:uiPriority w:val="0"/>
    <w:rPr>
      <w:rFonts w:ascii="Times New Roman" w:hAnsi="Times New Roman" w:eastAsia="宋体" w:cs="Times New Roman"/>
      <w:b/>
      <w:bCs/>
      <w:sz w:val="24"/>
      <w:szCs w:val="24"/>
    </w:rPr>
  </w:style>
  <w:style w:type="paragraph" w:customStyle="1" w:styleId="42">
    <w:name w:val="列出段落1"/>
    <w:basedOn w:val="1"/>
    <w:qFormat/>
    <w:uiPriority w:val="0"/>
    <w:pPr>
      <w:adjustRightInd w:val="0"/>
      <w:spacing w:line="360" w:lineRule="atLeast"/>
      <w:ind w:firstLine="420" w:firstLineChars="200"/>
      <w:jc w:val="left"/>
    </w:pPr>
    <w:rPr>
      <w:rFonts w:ascii="@仿宋_GB2312" w:hAnsi="@仿宋_GB2312" w:eastAsia="@仿宋_GB2312" w:cs="@仿宋_GB2312"/>
      <w:kern w:val="0"/>
      <w:sz w:val="24"/>
    </w:rPr>
  </w:style>
  <w:style w:type="character" w:customStyle="1" w:styleId="43">
    <w:name w:val="批注文字 Char"/>
    <w:basedOn w:val="29"/>
    <w:semiHidden/>
    <w:qFormat/>
    <w:uiPriority w:val="0"/>
    <w:rPr>
      <w:rFonts w:ascii="Times New Roman" w:hAnsi="Times New Roman" w:eastAsia="宋体" w:cs="Times New Roman"/>
      <w:szCs w:val="20"/>
    </w:rPr>
  </w:style>
  <w:style w:type="character" w:customStyle="1" w:styleId="44">
    <w:name w:val="批注文字 Char1"/>
    <w:link w:val="9"/>
    <w:qFormat/>
    <w:uiPriority w:val="0"/>
    <w:rPr>
      <w:rFonts w:ascii="@仿宋_GB2312" w:hAnsi="@仿宋_GB2312" w:eastAsia="@仿宋_GB2312" w:cs="@仿宋_GB2312"/>
      <w:szCs w:val="20"/>
    </w:rPr>
  </w:style>
  <w:style w:type="character" w:customStyle="1" w:styleId="45">
    <w:name w:val="批注框文本 Char"/>
    <w:basedOn w:val="29"/>
    <w:link w:val="16"/>
    <w:qFormat/>
    <w:uiPriority w:val="99"/>
    <w:rPr>
      <w:rFonts w:ascii="Times New Roman" w:hAnsi="Times New Roman" w:eastAsia="宋体" w:cs="Times New Roman"/>
      <w:sz w:val="18"/>
      <w:szCs w:val="18"/>
    </w:rPr>
  </w:style>
  <w:style w:type="character" w:customStyle="1" w:styleId="46">
    <w:name w:val="封面日期 Char Char1"/>
    <w:qFormat/>
    <w:locked/>
    <w:uiPriority w:val="0"/>
    <w:rPr>
      <w:rFonts w:eastAsia="宋体"/>
      <w:b/>
      <w:kern w:val="2"/>
      <w:sz w:val="28"/>
      <w:lang w:val="en-US" w:eastAsia="zh-CN" w:bidi="ar-SA"/>
    </w:rPr>
  </w:style>
  <w:style w:type="character" w:customStyle="1" w:styleId="47">
    <w:name w:val="标题 1 Char"/>
    <w:basedOn w:val="29"/>
    <w:link w:val="3"/>
    <w:qFormat/>
    <w:uiPriority w:val="9"/>
    <w:rPr>
      <w:rFonts w:ascii="@仿宋_GB2312" w:hAnsi="@仿宋_GB2312" w:eastAsia="@仿宋_GB2312" w:cs="@仿宋_GB2312"/>
      <w:b/>
      <w:bCs/>
      <w:kern w:val="44"/>
      <w:sz w:val="44"/>
      <w:szCs w:val="44"/>
    </w:rPr>
  </w:style>
  <w:style w:type="character" w:customStyle="1" w:styleId="48">
    <w:name w:val="标题 3 Char"/>
    <w:basedOn w:val="29"/>
    <w:link w:val="5"/>
    <w:qFormat/>
    <w:uiPriority w:val="9"/>
    <w:rPr>
      <w:rFonts w:ascii="@仿宋_GB2312" w:hAnsi="@仿宋_GB2312" w:eastAsia="@仿宋_GB2312" w:cs="@仿宋_GB2312"/>
      <w:b/>
      <w:bCs/>
      <w:sz w:val="32"/>
      <w:szCs w:val="32"/>
    </w:rPr>
  </w:style>
  <w:style w:type="character" w:customStyle="1" w:styleId="49">
    <w:name w:val="标题 4 Char"/>
    <w:basedOn w:val="29"/>
    <w:qFormat/>
    <w:uiPriority w:val="0"/>
    <w:rPr>
      <w:rFonts w:asciiTheme="majorHAnsi" w:hAnsiTheme="majorHAnsi" w:eastAsiaTheme="majorEastAsia" w:cstheme="majorBidi"/>
      <w:b/>
      <w:bCs/>
      <w:sz w:val="28"/>
      <w:szCs w:val="28"/>
    </w:rPr>
  </w:style>
  <w:style w:type="character" w:customStyle="1" w:styleId="50">
    <w:name w:val="文档结构图 Char"/>
    <w:basedOn w:val="29"/>
    <w:link w:val="8"/>
    <w:semiHidden/>
    <w:qFormat/>
    <w:uiPriority w:val="0"/>
    <w:rPr>
      <w:rFonts w:ascii="Times New Roman" w:hAnsi="Times New Roman" w:eastAsia="宋体" w:cs="Times New Roman"/>
      <w:szCs w:val="20"/>
      <w:shd w:val="clear" w:color="auto" w:fill="000080"/>
    </w:rPr>
  </w:style>
  <w:style w:type="character" w:customStyle="1" w:styleId="51">
    <w:name w:val="正文文本缩进 Char"/>
    <w:basedOn w:val="29"/>
    <w:link w:val="11"/>
    <w:qFormat/>
    <w:uiPriority w:val="0"/>
    <w:rPr>
      <w:rFonts w:ascii="@仿宋_GB2312" w:hAnsi="@仿宋_GB2312" w:eastAsia="@仿宋_GB2312" w:cs="@仿宋_GB2312"/>
      <w:sz w:val="32"/>
      <w:szCs w:val="20"/>
    </w:rPr>
  </w:style>
  <w:style w:type="character" w:customStyle="1" w:styleId="52">
    <w:name w:val="纯文本 Char"/>
    <w:basedOn w:val="29"/>
    <w:link w:val="14"/>
    <w:qFormat/>
    <w:uiPriority w:val="0"/>
    <w:rPr>
      <w:rFonts w:ascii="宋体" w:hAnsi="Courier New"/>
    </w:rPr>
  </w:style>
  <w:style w:type="character" w:customStyle="1" w:styleId="53">
    <w:name w:val="日期 Char"/>
    <w:basedOn w:val="29"/>
    <w:link w:val="15"/>
    <w:qFormat/>
    <w:uiPriority w:val="0"/>
    <w:rPr>
      <w:rFonts w:ascii="Arial" w:hAnsi="Arial" w:eastAsia="宋体" w:cs="Arial"/>
      <w:b/>
      <w:sz w:val="28"/>
      <w:szCs w:val="20"/>
    </w:rPr>
  </w:style>
  <w:style w:type="character" w:customStyle="1" w:styleId="54">
    <w:name w:val="批注主题 Char"/>
    <w:basedOn w:val="44"/>
    <w:link w:val="24"/>
    <w:semiHidden/>
    <w:qFormat/>
    <w:uiPriority w:val="0"/>
    <w:rPr>
      <w:rFonts w:ascii="@仿宋_GB2312" w:hAnsi="@仿宋_GB2312" w:eastAsia="@仿宋_GB2312" w:cs="@仿宋_GB2312"/>
      <w:b/>
      <w:bCs/>
      <w:szCs w:val="20"/>
    </w:rPr>
  </w:style>
  <w:style w:type="paragraph" w:customStyle="1" w:styleId="55">
    <w:name w:val="正文（缩进）"/>
    <w:basedOn w:val="1"/>
    <w:qFormat/>
    <w:uiPriority w:val="0"/>
    <w:pPr>
      <w:widowControl/>
      <w:spacing w:before="156" w:after="156"/>
      <w:ind w:firstLine="480" w:firstLineChars="200"/>
      <w:jc w:val="left"/>
    </w:pPr>
    <w:rPr>
      <w:rFonts w:ascii="@仿宋_GB2312" w:hAnsi="@仿宋_GB2312" w:eastAsia="@仿宋_GB2312" w:cs="@仿宋_GB2312"/>
      <w:kern w:val="0"/>
      <w:sz w:val="24"/>
      <w:szCs w:val="24"/>
    </w:rPr>
  </w:style>
  <w:style w:type="paragraph" w:customStyle="1" w:styleId="56">
    <w:name w:val="D&amp;L"/>
    <w:basedOn w:val="18"/>
    <w:qFormat/>
    <w:uiPriority w:val="0"/>
    <w:pPr>
      <w:pBdr>
        <w:bottom w:val="thinThickSmallGap" w:color="auto" w:sz="18" w:space="1"/>
      </w:pBdr>
      <w:adjustRightInd w:val="0"/>
      <w:snapToGrid/>
      <w:spacing w:line="240" w:lineRule="atLeast"/>
      <w:textAlignment w:val="baseline"/>
    </w:pPr>
    <w:rPr>
      <w:rFonts w:ascii="@仿宋_GB2312" w:hAnsi="@仿宋_GB2312" w:eastAsia="@仿宋_GB2312" w:cs="@仿宋_GB2312"/>
      <w:kern w:val="0"/>
      <w:sz w:val="24"/>
      <w:szCs w:val="20"/>
    </w:rPr>
  </w:style>
  <w:style w:type="character" w:customStyle="1" w:styleId="57">
    <w:name w:val="纯文本 字符1"/>
    <w:basedOn w:val="29"/>
    <w:semiHidden/>
    <w:qFormat/>
    <w:uiPriority w:val="99"/>
    <w:rPr>
      <w:rFonts w:hAnsi="Courier New" w:cs="Courier New" w:asciiTheme="minorEastAsia"/>
      <w:szCs w:val="20"/>
    </w:rPr>
  </w:style>
  <w:style w:type="character" w:customStyle="1" w:styleId="58">
    <w:name w:val="未处理的提及1"/>
    <w:basedOn w:val="29"/>
    <w:semiHidden/>
    <w:unhideWhenUsed/>
    <w:qFormat/>
    <w:uiPriority w:val="99"/>
    <w:rPr>
      <w:color w:val="605E5C"/>
      <w:shd w:val="clear" w:color="auto" w:fill="E1DFDD"/>
    </w:rPr>
  </w:style>
  <w:style w:type="paragraph" w:styleId="59">
    <w:name w:val="List Paragraph"/>
    <w:basedOn w:val="1"/>
    <w:qFormat/>
    <w:uiPriority w:val="99"/>
    <w:pPr>
      <w:ind w:firstLine="420" w:firstLineChars="200"/>
    </w:pPr>
    <w:rPr>
      <w:rFonts w:ascii="@仿宋_GB2312" w:hAnsi="@仿宋_GB2312" w:eastAsia="@仿宋_GB2312" w:cs="@仿宋_GB2312"/>
    </w:rPr>
  </w:style>
  <w:style w:type="table" w:customStyle="1" w:styleId="60">
    <w:name w:val="网格表 1 浅色1"/>
    <w:basedOn w:val="27"/>
    <w:qFormat/>
    <w:uiPriority w:val="46"/>
    <w:rPr>
      <w:kern w:val="0"/>
      <w:sz w:val="20"/>
      <w:szCs w:val="20"/>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61">
    <w:name w:val="日期 字符"/>
    <w:basedOn w:val="29"/>
    <w:semiHidden/>
    <w:qFormat/>
    <w:uiPriority w:val="99"/>
    <w:rPr>
      <w:rFonts w:ascii="@仿宋_GB2312" w:hAnsi="@仿宋_GB2312" w:eastAsia="@仿宋_GB2312" w:cs="@仿宋_GB2312"/>
      <w:szCs w:val="20"/>
    </w:rPr>
  </w:style>
  <w:style w:type="character" w:customStyle="1" w:styleId="62">
    <w:name w:val="纯文本 Char1"/>
    <w:qFormat/>
    <w:locked/>
    <w:uiPriority w:val="99"/>
    <w:rPr>
      <w:rFonts w:ascii="Arial" w:hAnsi="Arial" w:eastAsia="Arial"/>
      <w:kern w:val="2"/>
      <w:sz w:val="21"/>
      <w:lang w:val="en-US" w:eastAsia="zh-CN" w:bidi="ar-SA"/>
    </w:rPr>
  </w:style>
  <w:style w:type="paragraph" w:customStyle="1" w:styleId="63">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64">
    <w:name w:val="fontstyle01"/>
    <w:basedOn w:val="29"/>
    <w:qFormat/>
    <w:uiPriority w:val="0"/>
    <w:rPr>
      <w:rFonts w:hint="eastAsia" w:ascii="宋体" w:hAnsi="宋体" w:eastAsia="宋体"/>
      <w:color w:val="000000"/>
      <w:sz w:val="22"/>
      <w:szCs w:val="22"/>
    </w:rPr>
  </w:style>
  <w:style w:type="character" w:customStyle="1" w:styleId="65">
    <w:name w:val="fontstyle21"/>
    <w:basedOn w:val="29"/>
    <w:qFormat/>
    <w:uiPriority w:val="0"/>
    <w:rPr>
      <w:rFonts w:hint="default" w:ascii="TimesNewRomanPSMT" w:hAnsi="TimesNewRomanPSMT"/>
      <w:color w:val="000000"/>
      <w:sz w:val="22"/>
      <w:szCs w:val="22"/>
    </w:rPr>
  </w:style>
  <w:style w:type="character" w:customStyle="1" w:styleId="66">
    <w:name w:val="正文文本 (2) + Sylfaen2"/>
    <w:qFormat/>
    <w:uiPriority w:val="99"/>
    <w:rPr>
      <w:rFonts w:ascii="Sylfaen" w:hAnsi="Sylfaen" w:eastAsia="MingLiU" w:cs="Sylfaen"/>
      <w:spacing w:val="0"/>
      <w:sz w:val="23"/>
      <w:szCs w:val="23"/>
      <w:shd w:val="clear" w:color="auto" w:fill="FFFFFF"/>
      <w:lang w:val="en-US" w:eastAsia="en-US"/>
    </w:rPr>
  </w:style>
  <w:style w:type="character" w:customStyle="1" w:styleId="67">
    <w:name w:val="标题 4 字符"/>
    <w:basedOn w:val="29"/>
    <w:semiHidden/>
    <w:qFormat/>
    <w:uiPriority w:val="9"/>
    <w:rPr>
      <w:rFonts w:asciiTheme="majorHAnsi" w:hAnsiTheme="majorHAnsi" w:eastAsiaTheme="majorEastAsia" w:cstheme="majorBidi"/>
      <w:b/>
      <w:bCs/>
      <w:sz w:val="28"/>
      <w:szCs w:val="28"/>
    </w:rPr>
  </w:style>
  <w:style w:type="character" w:customStyle="1" w:styleId="68">
    <w:name w:val="标题 4 Char1"/>
    <w:link w:val="6"/>
    <w:qFormat/>
    <w:uiPriority w:val="0"/>
    <w:rPr>
      <w:rFonts w:ascii="@仿宋_GB2312" w:hAnsi="@仿宋_GB2312" w:eastAsia="@仿宋_GB2312" w:cs="@仿宋_GB2312"/>
      <w:b/>
      <w:bCs/>
      <w:sz w:val="28"/>
      <w:szCs w:val="28"/>
    </w:rPr>
  </w:style>
  <w:style w:type="table" w:customStyle="1" w:styleId="69">
    <w:name w:val="网格型1"/>
    <w:basedOn w:val="27"/>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0">
    <w:name w:val="网格型2"/>
    <w:basedOn w:val="27"/>
    <w:qFormat/>
    <w:uiPriority w:val="0"/>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1">
    <w:name w:val="Char Char Char Char Char Char Char Char Char Char"/>
    <w:basedOn w:val="1"/>
    <w:qFormat/>
    <w:uiPriority w:val="0"/>
    <w:rPr>
      <w:rFonts w:ascii="Tahoma" w:hAnsi="Tahoma" w:cs="仿宋_GB2312"/>
      <w:sz w:val="24"/>
    </w:rPr>
  </w:style>
  <w:style w:type="paragraph" w:customStyle="1" w:styleId="72">
    <w:name w:val="Char Char Char Char Char Char Char Char Char Char1"/>
    <w:basedOn w:val="1"/>
    <w:qFormat/>
    <w:uiPriority w:val="0"/>
    <w:rPr>
      <w:rFonts w:ascii="Tahoma" w:hAnsi="Tahoma" w:cs="仿宋_GB2312"/>
      <w:sz w:val="24"/>
    </w:rPr>
  </w:style>
  <w:style w:type="table" w:customStyle="1" w:styleId="73">
    <w:name w:val="网格型11"/>
    <w:basedOn w:val="27"/>
    <w:qFormat/>
    <w:uiPriority w:val="59"/>
    <w:rPr>
      <w:rFonts w:ascii="Calibri" w:hAnsi="Calibri"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74">
    <w:name w:val="网格型21"/>
    <w:basedOn w:val="27"/>
    <w:qFormat/>
    <w:uiPriority w:val="59"/>
    <w:rPr>
      <w:rFonts w:ascii="Calibri" w:hAnsi="Calibri"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5">
    <w:name w:val="Char16"/>
    <w:basedOn w:val="1"/>
    <w:qFormat/>
    <w:uiPriority w:val="0"/>
    <w:rPr>
      <w:rFonts w:ascii="Tahoma" w:hAnsi="Tahoma" w:eastAsia="仿宋_GB2312"/>
      <w:sz w:val="24"/>
    </w:rPr>
  </w:style>
  <w:style w:type="paragraph" w:customStyle="1" w:styleId="76">
    <w:name w:val="Table Paragraph"/>
    <w:basedOn w:val="1"/>
    <w:qFormat/>
    <w:uiPriority w:val="1"/>
    <w:pPr>
      <w:jc w:val="left"/>
    </w:pPr>
    <w:rPr>
      <w:rFonts w:ascii="Calibri" w:hAnsi="Calibri"/>
      <w:kern w:val="0"/>
      <w:sz w:val="22"/>
      <w:szCs w:val="22"/>
      <w:lang w:eastAsia="en-US"/>
    </w:rPr>
  </w:style>
  <w:style w:type="paragraph" w:customStyle="1" w:styleId="77">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7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9">
    <w:name w:val="font6"/>
    <w:basedOn w:val="1"/>
    <w:qFormat/>
    <w:uiPriority w:val="0"/>
    <w:pPr>
      <w:widowControl/>
      <w:spacing w:before="100" w:beforeAutospacing="1" w:after="100" w:afterAutospacing="1"/>
      <w:jc w:val="left"/>
    </w:pPr>
    <w:rPr>
      <w:rFonts w:ascii="仿宋_GB2312" w:hAnsi="仿宋_GB2312" w:eastAsia="仿宋_GB2312" w:cs="宋体"/>
      <w:kern w:val="0"/>
      <w:sz w:val="18"/>
      <w:szCs w:val="18"/>
    </w:rPr>
  </w:style>
  <w:style w:type="paragraph" w:customStyle="1" w:styleId="80">
    <w:name w:val="font7"/>
    <w:basedOn w:val="1"/>
    <w:qFormat/>
    <w:uiPriority w:val="0"/>
    <w:pPr>
      <w:widowControl/>
      <w:spacing w:before="100" w:beforeAutospacing="1" w:after="100" w:afterAutospacing="1"/>
      <w:jc w:val="left"/>
    </w:pPr>
    <w:rPr>
      <w:rFonts w:ascii="仿宋_GB2312" w:hAnsi="仿宋_GB2312" w:eastAsia="仿宋_GB2312" w:cs="宋体"/>
      <w:kern w:val="0"/>
      <w:sz w:val="18"/>
      <w:szCs w:val="18"/>
    </w:rPr>
  </w:style>
  <w:style w:type="paragraph" w:customStyle="1" w:styleId="81">
    <w:name w:val="xl97"/>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8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8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5">
    <w:name w:val="xl101"/>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86">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仿宋_GB2312" w:eastAsia="仿宋_GB2312" w:cs="宋体"/>
      <w:kern w:val="0"/>
      <w:sz w:val="18"/>
      <w:szCs w:val="18"/>
    </w:rPr>
  </w:style>
  <w:style w:type="paragraph" w:customStyle="1" w:styleId="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_GB2312" w:hAnsi="仿宋_GB2312" w:eastAsia="仿宋_GB2312" w:cs="宋体"/>
      <w:kern w:val="0"/>
      <w:sz w:val="18"/>
      <w:szCs w:val="18"/>
    </w:rPr>
  </w:style>
  <w:style w:type="paragraph" w:customStyle="1" w:styleId="8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0">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91">
    <w:name w:val="xl1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2">
    <w:name w:val="xl108"/>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_GB2312" w:hAnsi="仿宋_GB2312" w:eastAsia="仿宋_GB2312" w:cs="宋体"/>
      <w:kern w:val="0"/>
      <w:sz w:val="18"/>
      <w:szCs w:val="18"/>
    </w:rPr>
  </w:style>
  <w:style w:type="paragraph" w:customStyle="1" w:styleId="93">
    <w:name w:val="xl1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仿宋_GB2312" w:eastAsia="仿宋_GB2312" w:cs="宋体"/>
      <w:kern w:val="0"/>
      <w:sz w:val="18"/>
      <w:szCs w:val="18"/>
    </w:rPr>
  </w:style>
  <w:style w:type="paragraph" w:customStyle="1" w:styleId="94">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5">
    <w:name w:val="xl11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18"/>
      <w:szCs w:val="18"/>
    </w:rPr>
  </w:style>
  <w:style w:type="paragraph" w:customStyle="1" w:styleId="97">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18"/>
      <w:szCs w:val="18"/>
    </w:rPr>
  </w:style>
  <w:style w:type="paragraph" w:customStyle="1" w:styleId="98">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9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0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kern w:val="0"/>
      <w:sz w:val="18"/>
      <w:szCs w:val="18"/>
    </w:rPr>
  </w:style>
  <w:style w:type="paragraph" w:customStyle="1" w:styleId="101">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02">
    <w:name w:val="xl11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3">
    <w:name w:val="xl119"/>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04">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kern w:val="0"/>
      <w:sz w:val="18"/>
      <w:szCs w:val="18"/>
    </w:rPr>
  </w:style>
  <w:style w:type="paragraph" w:customStyle="1" w:styleId="105">
    <w:name w:val="xl121"/>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06">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07">
    <w:name w:val="xl12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08">
    <w:name w:val="xl12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09">
    <w:name w:val="xl12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1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11">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12">
    <w:name w:val="xl128"/>
    <w:basedOn w:val="1"/>
    <w:qFormat/>
    <w:uiPriority w:val="0"/>
    <w:pPr>
      <w:widowControl/>
      <w:pBdr>
        <w:top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13">
    <w:name w:val="xl129"/>
    <w:basedOn w:val="1"/>
    <w:qFormat/>
    <w:uiPriority w:val="0"/>
    <w:pPr>
      <w:widowControl/>
      <w:pBdr>
        <w:top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kern w:val="0"/>
      <w:sz w:val="18"/>
      <w:szCs w:val="18"/>
    </w:rPr>
  </w:style>
  <w:style w:type="paragraph" w:customStyle="1" w:styleId="114">
    <w:name w:val="xl130"/>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15">
    <w:name w:val="xl13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16">
    <w:name w:val="xl13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17">
    <w:name w:val="xl133"/>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18">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18"/>
      <w:szCs w:val="18"/>
    </w:rPr>
  </w:style>
  <w:style w:type="paragraph" w:customStyle="1" w:styleId="119">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120">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18"/>
      <w:szCs w:val="18"/>
    </w:rPr>
  </w:style>
  <w:style w:type="paragraph" w:customStyle="1" w:styleId="121">
    <w:name w:val="xl13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22">
    <w:name w:val="xl13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123">
    <w:name w:val="xl13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4">
    <w:name w:val="xl14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25">
    <w:name w:val="xl14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26">
    <w:name w:val="xl14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27">
    <w:name w:val="xl14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8">
    <w:name w:val="xl14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29">
    <w:name w:val="xl14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130">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1">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32">
    <w:name w:val="xl148"/>
    <w:basedOn w:val="1"/>
    <w:qFormat/>
    <w:uiPriority w:val="0"/>
    <w:pPr>
      <w:widowControl/>
      <w:pBdr>
        <w:top w:val="single" w:color="auto" w:sz="4" w:space="0"/>
        <w:left w:val="single" w:color="auto" w:sz="4" w:space="0"/>
        <w:bottom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33">
    <w:name w:val="xl149"/>
    <w:basedOn w:val="1"/>
    <w:qFormat/>
    <w:uiPriority w:val="0"/>
    <w:pPr>
      <w:widowControl/>
      <w:pBdr>
        <w:top w:val="single" w:color="auto" w:sz="4" w:space="0"/>
        <w:left w:val="single" w:color="auto" w:sz="4" w:space="0"/>
        <w:bottom w:val="single" w:color="auto" w:sz="4" w:space="0"/>
      </w:pBdr>
      <w:shd w:val="clear" w:color="000000" w:fill="00B0F0"/>
      <w:spacing w:before="100" w:beforeAutospacing="1" w:after="100" w:afterAutospacing="1"/>
      <w:jc w:val="left"/>
    </w:pPr>
    <w:rPr>
      <w:rFonts w:ascii="宋体" w:hAnsi="宋体" w:cs="宋体"/>
      <w:kern w:val="0"/>
      <w:sz w:val="18"/>
      <w:szCs w:val="18"/>
    </w:rPr>
  </w:style>
  <w:style w:type="paragraph" w:customStyle="1" w:styleId="134">
    <w:name w:val="xl150"/>
    <w:basedOn w:val="1"/>
    <w:qFormat/>
    <w:uiPriority w:val="0"/>
    <w:pPr>
      <w:widowControl/>
      <w:pBdr>
        <w:top w:val="single" w:color="auto" w:sz="4" w:space="0"/>
        <w:bottom w:val="single" w:color="auto" w:sz="4" w:space="0"/>
      </w:pBdr>
      <w:shd w:val="clear" w:color="000000" w:fill="00B0F0"/>
      <w:spacing w:before="100" w:beforeAutospacing="1" w:after="100" w:afterAutospacing="1"/>
      <w:jc w:val="center"/>
    </w:pPr>
    <w:rPr>
      <w:rFonts w:ascii="宋体" w:hAnsi="宋体" w:cs="宋体"/>
      <w:kern w:val="0"/>
      <w:sz w:val="18"/>
      <w:szCs w:val="18"/>
    </w:rPr>
  </w:style>
  <w:style w:type="paragraph" w:customStyle="1" w:styleId="135">
    <w:name w:val="xl15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_GB2312" w:hAnsi="仿宋_GB2312" w:eastAsia="仿宋_GB2312" w:cs="宋体"/>
      <w:kern w:val="0"/>
      <w:sz w:val="18"/>
      <w:szCs w:val="18"/>
    </w:rPr>
  </w:style>
  <w:style w:type="paragraph" w:customStyle="1" w:styleId="136">
    <w:name w:val="xl15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仿宋_GB2312" w:hAnsi="仿宋_GB2312" w:eastAsia="仿宋_GB2312" w:cs="宋体"/>
      <w:kern w:val="0"/>
      <w:sz w:val="18"/>
      <w:szCs w:val="18"/>
    </w:rPr>
  </w:style>
  <w:style w:type="paragraph" w:customStyle="1" w:styleId="137">
    <w:name w:val="xl15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8">
    <w:name w:val="xl15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139">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140">
    <w:name w:val="xl15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_GB2312" w:hAnsi="仿宋_GB2312" w:eastAsia="仿宋_GB2312" w:cs="宋体"/>
      <w:color w:val="FF0000"/>
      <w:kern w:val="0"/>
      <w:sz w:val="18"/>
      <w:szCs w:val="18"/>
    </w:rPr>
  </w:style>
  <w:style w:type="paragraph" w:customStyle="1" w:styleId="141">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仿宋_GB2312" w:eastAsia="仿宋_GB2312" w:cs="宋体"/>
      <w:color w:val="FF0000"/>
      <w:kern w:val="0"/>
      <w:sz w:val="18"/>
      <w:szCs w:val="18"/>
    </w:rPr>
  </w:style>
  <w:style w:type="paragraph" w:customStyle="1" w:styleId="142">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_GB2312" w:hAnsi="仿宋_GB2312" w:eastAsia="仿宋_GB2312" w:cs="宋体"/>
      <w:color w:val="FF0000"/>
      <w:kern w:val="0"/>
      <w:sz w:val="18"/>
      <w:szCs w:val="18"/>
    </w:rPr>
  </w:style>
  <w:style w:type="paragraph" w:customStyle="1" w:styleId="143">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44">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FF0000"/>
      <w:kern w:val="0"/>
      <w:sz w:val="18"/>
      <w:szCs w:val="18"/>
    </w:rPr>
  </w:style>
  <w:style w:type="paragraph" w:customStyle="1" w:styleId="145">
    <w:name w:val="xl16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6">
    <w:name w:val="xl162"/>
    <w:basedOn w:val="1"/>
    <w:qFormat/>
    <w:uiPriority w:val="0"/>
    <w:pPr>
      <w:widowControl/>
      <w:spacing w:before="100" w:beforeAutospacing="1" w:after="100" w:afterAutospacing="1"/>
      <w:jc w:val="left"/>
    </w:pPr>
    <w:rPr>
      <w:rFonts w:ascii="宋体" w:hAnsi="宋体" w:cs="宋体"/>
      <w:kern w:val="0"/>
      <w:sz w:val="18"/>
      <w:szCs w:val="18"/>
    </w:rPr>
  </w:style>
  <w:style w:type="paragraph" w:styleId="147">
    <w:name w:val="No Spacing"/>
    <w:link w:val="148"/>
    <w:qFormat/>
    <w:uiPriority w:val="1"/>
    <w:rPr>
      <w:rFonts w:ascii="Calibri" w:hAnsi="Calibri" w:eastAsia="宋体" w:cs="Times New Roman"/>
      <w:kern w:val="0"/>
      <w:sz w:val="22"/>
      <w:szCs w:val="22"/>
      <w:lang w:val="en-US" w:eastAsia="zh-CN" w:bidi="ar-SA"/>
    </w:rPr>
  </w:style>
  <w:style w:type="character" w:customStyle="1" w:styleId="148">
    <w:name w:val="无间隔 Char"/>
    <w:link w:val="147"/>
    <w:qFormat/>
    <w:uiPriority w:val="1"/>
    <w:rPr>
      <w:rFonts w:ascii="Calibri" w:hAnsi="Calibri" w:eastAsia="宋体" w:cs="Times New Roman"/>
      <w:kern w:val="0"/>
      <w:sz w:val="22"/>
    </w:rPr>
  </w:style>
  <w:style w:type="character" w:customStyle="1" w:styleId="149">
    <w:name w:val="font81"/>
    <w:basedOn w:val="29"/>
    <w:qFormat/>
    <w:uiPriority w:val="0"/>
    <w:rPr>
      <w:rFonts w:hint="eastAsia" w:ascii="宋体" w:hAnsi="宋体" w:eastAsia="宋体" w:cs="宋体"/>
      <w:color w:val="000000"/>
      <w:sz w:val="22"/>
      <w:szCs w:val="22"/>
      <w:u w:val="none"/>
    </w:rPr>
  </w:style>
  <w:style w:type="character" w:customStyle="1" w:styleId="150">
    <w:name w:val="font61"/>
    <w:basedOn w:val="29"/>
    <w:qFormat/>
    <w:uiPriority w:val="0"/>
    <w:rPr>
      <w:rFonts w:ascii="Arial" w:hAnsi="Arial" w:cs="Arial"/>
      <w:color w:val="000000"/>
      <w:sz w:val="22"/>
      <w:szCs w:val="22"/>
      <w:u w:val="none"/>
    </w:rPr>
  </w:style>
  <w:style w:type="character" w:customStyle="1" w:styleId="151">
    <w:name w:val="font31"/>
    <w:basedOn w:val="29"/>
    <w:qFormat/>
    <w:uiPriority w:val="0"/>
    <w:rPr>
      <w:rFonts w:hint="default" w:ascii="Arial" w:hAnsi="Arial" w:cs="Arial"/>
      <w:color w:val="000000"/>
      <w:sz w:val="18"/>
      <w:szCs w:val="18"/>
      <w:u w:val="none"/>
    </w:rPr>
  </w:style>
  <w:style w:type="character" w:customStyle="1" w:styleId="152">
    <w:name w:val="font51"/>
    <w:basedOn w:val="29"/>
    <w:qFormat/>
    <w:uiPriority w:val="0"/>
    <w:rPr>
      <w:rFonts w:hint="eastAsia" w:ascii="宋体" w:hAnsi="宋体" w:eastAsia="宋体" w:cs="宋体"/>
      <w:color w:val="000000"/>
      <w:sz w:val="18"/>
      <w:szCs w:val="18"/>
      <w:u w:val="none"/>
    </w:rPr>
  </w:style>
  <w:style w:type="paragraph" w:customStyle="1" w:styleId="153">
    <w:name w:val="_Style 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等线" w:cs="宋体"/>
      <w:kern w:val="0"/>
    </w:rPr>
  </w:style>
  <w:style w:type="paragraph" w:customStyle="1" w:styleId="154">
    <w:name w:val="默认"/>
    <w:qFormat/>
    <w:uiPriority w:val="0"/>
    <w:pPr>
      <w:framePr w:wrap="around" w:vAnchor="margin" w:hAnchor="text" w:y="1"/>
    </w:pPr>
    <w:rPr>
      <w:rFonts w:hint="eastAsia" w:ascii="Arial Unicode MS" w:hAnsi="Arial Unicode MS" w:eastAsia="Helvetica Neue" w:cs="Arial Unicode MS"/>
      <w:color w:val="000000"/>
      <w:kern w:val="0"/>
      <w:sz w:val="22"/>
      <w:szCs w:val="22"/>
      <w:lang w:val="zh-CN" w:eastAsia="zh-CN" w:bidi="ar-SA"/>
    </w:rPr>
  </w:style>
  <w:style w:type="table" w:customStyle="1" w:styleId="155">
    <w:name w:val="网格型3"/>
    <w:basedOn w:val="27"/>
    <w:qFormat/>
    <w:uiPriority w:val="0"/>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6">
    <w:name w:val="表格文字"/>
    <w:basedOn w:val="1"/>
    <w:qFormat/>
    <w:uiPriority w:val="0"/>
    <w:rPr>
      <w:rFonts w:ascii="Times New Roman" w:hAnsi="Times New Roman" w:cs="宋体"/>
    </w:rPr>
  </w:style>
  <w:style w:type="paragraph" w:customStyle="1" w:styleId="157">
    <w:name w:val="GW-正文"/>
    <w:basedOn w:val="1"/>
    <w:qFormat/>
    <w:uiPriority w:val="0"/>
    <w:pPr>
      <w:tabs>
        <w:tab w:val="left" w:pos="3255"/>
      </w:tabs>
      <w:spacing w:before="120" w:after="120"/>
      <w:ind w:firstLine="480"/>
      <w:jc w:val="left"/>
    </w:pPr>
    <w:rPr>
      <w:rFonts w:eastAsiaTheme="minorEastAsia"/>
      <w:kern w:val="0"/>
      <w:szCs w:val="24"/>
    </w:rPr>
  </w:style>
  <w:style w:type="paragraph" w:customStyle="1" w:styleId="158">
    <w:name w:val="国标3级"/>
    <w:basedOn w:val="1"/>
    <w:semiHidden/>
    <w:qFormat/>
    <w:uiPriority w:val="0"/>
    <w:pPr>
      <w:snapToGrid w:val="0"/>
      <w:spacing w:line="312" w:lineRule="exact"/>
    </w:pPr>
    <w:rPr>
      <w:rFonts w:ascii="宋体" w:hAnsi="宋体" w:cs="Times New Roman"/>
      <w:color w:val="000000"/>
    </w:rPr>
  </w:style>
  <w:style w:type="paragraph" w:customStyle="1" w:styleId="159">
    <w:name w:val="_Style 4"/>
    <w:basedOn w:val="1"/>
    <w:qFormat/>
    <w:uiPriority w:val="34"/>
    <w:pPr>
      <w:ind w:firstLine="420" w:firstLineChars="200"/>
    </w:pPr>
    <w:rPr>
      <w:rFonts w:asciiTheme="minorHAnsi" w:hAnsiTheme="minorHAnsi" w:eastAsiaTheme="minorEastAsia" w:cstheme="minorBidi"/>
    </w:rPr>
  </w:style>
  <w:style w:type="paragraph" w:customStyle="1" w:styleId="160">
    <w:name w:val="_Style 9"/>
    <w:basedOn w:val="1"/>
    <w:next w:val="59"/>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3</Words>
  <Characters>20</Characters>
  <Lines>1</Lines>
  <Paragraphs>1</Paragraphs>
  <TotalTime>0</TotalTime>
  <ScaleCrop>false</ScaleCrop>
  <LinksUpToDate>false</LinksUpToDate>
  <CharactersWithSpaces>22</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2018-04-24T08:32:00Z</dcterms:created>
  <dc:creator>NTKO</dc:creator>
  <cp:lastModifiedBy>user01</cp:lastModifiedBy>
  <dcterms:modified xsi:type="dcterms:W3CDTF">2021-09-03T07:29:28Z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