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B516E6">
      <w:pPr>
        <w:adjustRightInd w:val="0"/>
        <w:snapToGrid w:val="0"/>
        <w:spacing w:before="936" w:beforeLines="300"/>
        <w:jc w:val="center"/>
        <w:rPr>
          <w:rFonts w:ascii="黑体" w:eastAsia="黑体"/>
          <w:b/>
          <w:color w:val="000000" w:themeColor="text1"/>
          <w:kern w:val="44"/>
          <w:sz w:val="48"/>
          <w:szCs w:val="20"/>
          <w14:textFill>
            <w14:solidFill>
              <w14:schemeClr w14:val="tx1"/>
            </w14:solidFill>
          </w14:textFill>
        </w:rPr>
      </w:pPr>
      <w:r>
        <w:rPr>
          <w:rFonts w:hint="eastAsia" w:ascii="黑体" w:eastAsia="黑体"/>
          <w:b/>
          <w:color w:val="000000" w:themeColor="text1"/>
          <w:kern w:val="44"/>
          <w:sz w:val="48"/>
          <w:szCs w:val="20"/>
          <w14:textFill>
            <w14:solidFill>
              <w14:schemeClr w14:val="tx1"/>
            </w14:solidFill>
          </w14:textFill>
        </w:rPr>
        <w:t>第八部分  采购需求</w:t>
      </w:r>
      <w:r>
        <w:rPr>
          <w:rFonts w:ascii="黑体" w:eastAsia="黑体"/>
          <w:b/>
          <w:color w:val="000000" w:themeColor="text1"/>
          <w:kern w:val="44"/>
          <w:sz w:val="48"/>
          <w:szCs w:val="20"/>
          <w14:textFill>
            <w14:solidFill>
              <w14:schemeClr w14:val="tx1"/>
            </w14:solidFill>
          </w14:textFill>
        </w:rPr>
        <w:br w:type="page"/>
      </w:r>
    </w:p>
    <w:p w14:paraId="215BACE8">
      <w:pPr>
        <w:adjustRightInd w:val="0"/>
        <w:snapToGrid w:val="0"/>
        <w:jc w:val="center"/>
        <w:rPr>
          <w:rFonts w:ascii="宋体" w:hAnsi="宋体"/>
          <w:b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一、货物需求一览表</w:t>
      </w:r>
    </w:p>
    <w:p w14:paraId="3DD831F9">
      <w:pPr>
        <w:adjustRightInd w:val="0"/>
        <w:snapToGrid w:val="0"/>
        <w:jc w:val="center"/>
        <w:rPr>
          <w:rFonts w:ascii="宋体" w:hAnsi="宋体"/>
          <w:b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</w:p>
    <w:tbl>
      <w:tblPr>
        <w:tblStyle w:val="6"/>
        <w:tblW w:w="8741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704"/>
        <w:gridCol w:w="1878"/>
        <w:gridCol w:w="1122"/>
        <w:gridCol w:w="1011"/>
        <w:gridCol w:w="1567"/>
        <w:gridCol w:w="2459"/>
      </w:tblGrid>
      <w:tr w14:paraId="4D80DAD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02" w:hRule="atLeast"/>
          <w:jc w:val="center"/>
        </w:trPr>
        <w:tc>
          <w:tcPr>
            <w:tcW w:w="704" w:type="dxa"/>
            <w:vAlign w:val="center"/>
          </w:tcPr>
          <w:p w14:paraId="59B01A64">
            <w:pPr>
              <w:jc w:val="center"/>
              <w:rPr>
                <w:rFonts w:ascii="宋体" w:hAnsi="Bookman Old Style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Bookman Old Style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包号</w:t>
            </w:r>
          </w:p>
        </w:tc>
        <w:tc>
          <w:tcPr>
            <w:tcW w:w="1878" w:type="dxa"/>
            <w:vAlign w:val="center"/>
          </w:tcPr>
          <w:p w14:paraId="48AB1885">
            <w:pPr>
              <w:jc w:val="center"/>
              <w:rPr>
                <w:rFonts w:ascii="宋体" w:hAnsi="Bookman Old Style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Bookman Old Style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货物名称</w:t>
            </w:r>
          </w:p>
        </w:tc>
        <w:tc>
          <w:tcPr>
            <w:tcW w:w="1122" w:type="dxa"/>
            <w:vAlign w:val="center"/>
          </w:tcPr>
          <w:p w14:paraId="64D128DF">
            <w:pPr>
              <w:jc w:val="center"/>
              <w:rPr>
                <w:rFonts w:ascii="宋体" w:hAnsi="Bookman Old Style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Bookman Old Style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数量</w:t>
            </w:r>
          </w:p>
        </w:tc>
        <w:tc>
          <w:tcPr>
            <w:tcW w:w="1011" w:type="dxa"/>
            <w:vAlign w:val="center"/>
          </w:tcPr>
          <w:p w14:paraId="3FFD3FD7">
            <w:pPr>
              <w:jc w:val="center"/>
              <w:rPr>
                <w:rFonts w:ascii="宋体" w:hAnsi="Bookman Old Style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Bookman Old Style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交货期</w:t>
            </w:r>
          </w:p>
        </w:tc>
        <w:tc>
          <w:tcPr>
            <w:tcW w:w="1567" w:type="dxa"/>
            <w:vAlign w:val="center"/>
          </w:tcPr>
          <w:p w14:paraId="15852C65">
            <w:pPr>
              <w:jc w:val="center"/>
              <w:rPr>
                <w:rFonts w:ascii="宋体" w:hAnsi="Bookman Old Style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Bookman Old Style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指定到货港</w:t>
            </w:r>
          </w:p>
        </w:tc>
        <w:tc>
          <w:tcPr>
            <w:tcW w:w="2459" w:type="dxa"/>
            <w:vAlign w:val="center"/>
          </w:tcPr>
          <w:p w14:paraId="2F9EE142">
            <w:pPr>
              <w:jc w:val="center"/>
              <w:rPr>
                <w:rFonts w:ascii="宋体" w:hAnsi="Bookman Old Style"/>
                <w:color w:val="000000" w:themeColor="text1"/>
                <w:sz w:val="24"/>
                <w:shd w:val="pct10" w:color="auto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Bookman Old Style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项目现场（交货地点）</w:t>
            </w:r>
          </w:p>
        </w:tc>
      </w:tr>
      <w:tr w14:paraId="668A330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63" w:hRule="atLeast"/>
          <w:jc w:val="center"/>
        </w:trPr>
        <w:tc>
          <w:tcPr>
            <w:tcW w:w="704" w:type="dxa"/>
            <w:vAlign w:val="center"/>
          </w:tcPr>
          <w:p w14:paraId="66B3617C">
            <w:pPr>
              <w:jc w:val="center"/>
              <w:rPr>
                <w:rFonts w:asci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878" w:type="dxa"/>
            <w:vAlign w:val="center"/>
          </w:tcPr>
          <w:p w14:paraId="62B0CD9A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高温扫描隧道显微镜</w:t>
            </w:r>
          </w:p>
        </w:tc>
        <w:tc>
          <w:tcPr>
            <w:tcW w:w="1122" w:type="dxa"/>
            <w:vAlign w:val="center"/>
          </w:tcPr>
          <w:p w14:paraId="0577CF05">
            <w:pPr>
              <w:jc w:val="center"/>
              <w:rPr>
                <w:rFonts w:ascii="宋体" w:hAnsi="Bookman Old Style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  <w:tc>
          <w:tcPr>
            <w:tcW w:w="5037" w:type="dxa"/>
            <w:gridSpan w:val="3"/>
            <w:vAlign w:val="center"/>
          </w:tcPr>
          <w:p w14:paraId="589DCB74">
            <w:pPr>
              <w:jc w:val="center"/>
              <w:rPr>
                <w:rFonts w:ascii="宋体" w:hAnsi="Bookman Old Style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Bookman Old Style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详见具体技术规格</w:t>
            </w:r>
          </w:p>
        </w:tc>
      </w:tr>
    </w:tbl>
    <w:p w14:paraId="61A77D5F">
      <w:pPr>
        <w:adjustRightInd w:val="0"/>
        <w:snapToGrid w:val="0"/>
        <w:jc w:val="center"/>
        <w:rPr>
          <w:rFonts w:ascii="宋体" w:hAnsi="宋体"/>
          <w:b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</w:p>
    <w:p w14:paraId="5326082F">
      <w:pPr>
        <w:adjustRightInd w:val="0"/>
        <w:snapToGrid w:val="0"/>
        <w:jc w:val="center"/>
        <w:rPr>
          <w:rFonts w:ascii="宋体" w:hAnsi="宋体"/>
          <w:b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</w:p>
    <w:p w14:paraId="14A3F293">
      <w:pPr>
        <w:adjustRightInd w:val="0"/>
        <w:snapToGrid w:val="0"/>
        <w:jc w:val="center"/>
        <w:rPr>
          <w:rFonts w:ascii="宋体" w:hAnsi="宋体"/>
          <w:b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</w:p>
    <w:p w14:paraId="6C85DE65">
      <w:pPr>
        <w:rPr>
          <w:rFonts w:ascii="Bookman Old Style" w:hAnsi="Bookman Old Style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注：投标人须对上述投标内容中完整的一包或几包进行投标，</w:t>
      </w:r>
      <w:r>
        <w:rPr>
          <w:rFonts w:hint="eastAsia" w:ascii="Bookman Old Style" w:hAnsi="Bookman Old Style"/>
          <w:color w:val="000000" w:themeColor="text1"/>
          <w:sz w:val="24"/>
          <w14:textFill>
            <w14:solidFill>
              <w14:schemeClr w14:val="tx1"/>
            </w14:solidFill>
          </w14:textFill>
        </w:rPr>
        <w:t>不完整的投标将视为非响应性投标予以拒绝。</w:t>
      </w:r>
    </w:p>
    <w:p w14:paraId="3BE9D6E2">
      <w:pPr>
        <w:adjustRightInd w:val="0"/>
        <w:snapToGrid w:val="0"/>
        <w:rPr>
          <w:rFonts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 w14:paraId="77BC702A">
      <w:pPr>
        <w:adjustRightInd w:val="0"/>
        <w:snapToGrid w:val="0"/>
        <w:rPr>
          <w:rFonts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 w14:paraId="78716385">
      <w:pPr>
        <w:adjustRightInd w:val="0"/>
        <w:snapToGrid w:val="0"/>
        <w:rPr>
          <w:rFonts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 w14:paraId="3B3FB0FC">
      <w:pPr>
        <w:adjustRightInd w:val="0"/>
        <w:snapToGrid w:val="0"/>
        <w:rPr>
          <w:rFonts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 w14:paraId="1D496B8B">
      <w:pPr>
        <w:adjustRightInd w:val="0"/>
        <w:snapToGrid w:val="0"/>
        <w:rPr>
          <w:rFonts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 w14:paraId="23F0ECF2">
      <w:pPr>
        <w:adjustRightInd w:val="0"/>
        <w:snapToGrid w:val="0"/>
        <w:rPr>
          <w:rFonts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 w14:paraId="05190DA7">
      <w:pPr>
        <w:adjustRightInd w:val="0"/>
        <w:snapToGrid w:val="0"/>
        <w:rPr>
          <w:rFonts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 w14:paraId="4A21DE12">
      <w:pPr>
        <w:adjustRightInd w:val="0"/>
        <w:snapToGrid w:val="0"/>
        <w:rPr>
          <w:rFonts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 w14:paraId="6EEC3EA3">
      <w:pPr>
        <w:adjustRightInd w:val="0"/>
        <w:snapToGrid w:val="0"/>
        <w:rPr>
          <w:rFonts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 w14:paraId="75A10CDF">
      <w:pPr>
        <w:adjustRightInd w:val="0"/>
        <w:snapToGrid w:val="0"/>
        <w:rPr>
          <w:rFonts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 w14:paraId="7E66D1C2">
      <w:pPr>
        <w:adjustRightInd w:val="0"/>
        <w:snapToGrid w:val="0"/>
        <w:rPr>
          <w:rFonts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 w14:paraId="2BF0C21B">
      <w:pPr>
        <w:adjustRightInd w:val="0"/>
        <w:snapToGrid w:val="0"/>
        <w:rPr>
          <w:rFonts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 w14:paraId="10A07B64">
      <w:pPr>
        <w:tabs>
          <w:tab w:val="left" w:pos="720"/>
        </w:tabs>
        <w:adjustRightInd w:val="0"/>
        <w:snapToGrid w:val="0"/>
        <w:jc w:val="center"/>
        <w:rPr>
          <w:rFonts w:ascii="宋体" w:hAnsi="宋体"/>
          <w:b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ascii="宋体" w:hAnsi="宋体"/>
          <w:b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br w:type="page"/>
      </w:r>
      <w:r>
        <w:rPr>
          <w:rFonts w:hint="eastAsia" w:ascii="宋体" w:hAnsi="宋体"/>
          <w:b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二、总则</w:t>
      </w:r>
    </w:p>
    <w:p w14:paraId="35B1F370">
      <w:pPr>
        <w:spacing w:before="156" w:beforeLines="50" w:after="156" w:afterLines="50" w:line="360" w:lineRule="auto"/>
        <w:ind w:left="601" w:hanging="601"/>
        <w:rPr>
          <w:rFonts w:ascii="宋体" w:hAnsi="宋体"/>
          <w:b/>
          <w:color w:val="000000" w:themeColor="text1"/>
          <w:sz w:val="28"/>
          <w14:textFill>
            <w14:solidFill>
              <w14:schemeClr w14:val="tx1"/>
            </w14:solidFill>
          </w14:textFill>
        </w:rPr>
      </w:pPr>
      <w:r>
        <w:rPr>
          <w:rFonts w:ascii="宋体" w:hAnsi="宋体"/>
          <w:b/>
          <w:color w:val="000000" w:themeColor="text1"/>
          <w:sz w:val="28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宋体" w:hAnsi="宋体"/>
          <w:b/>
          <w:color w:val="000000" w:themeColor="text1"/>
          <w:sz w:val="28"/>
          <w14:textFill>
            <w14:solidFill>
              <w14:schemeClr w14:val="tx1"/>
            </w14:solidFill>
          </w14:textFill>
        </w:rPr>
        <w:t>、投标要求</w:t>
      </w:r>
    </w:p>
    <w:p w14:paraId="51AA07AE">
      <w:pPr>
        <w:spacing w:line="360" w:lineRule="auto"/>
        <w:ind w:left="554" w:hanging="554" w:hangingChars="231"/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1.1 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投标人在准备投标书时，务必在所提供的商品的技术规格文件中，标明型号、商标名称、目录号。</w:t>
      </w:r>
    </w:p>
    <w:p w14:paraId="53E40AD6">
      <w:pPr>
        <w:spacing w:line="360" w:lineRule="auto"/>
        <w:ind w:left="554" w:hanging="554" w:hangingChars="231"/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1.2  投标人提供的货物须是成熟的全新的产品，其技术规格应符合招标文件的要求。如与招标文件的技术规格有偏差，应提供技术规格偏差的量值或说明（偏离表）。如投标人有意隐瞒对规格要求的偏差或在开标后提出新的偏差，买方有权扣留其投标保证金或/并拒绝其投标。</w:t>
      </w:r>
    </w:p>
    <w:p w14:paraId="3ADC628A">
      <w:pPr>
        <w:spacing w:line="360" w:lineRule="auto"/>
        <w:ind w:left="554" w:hanging="554" w:hangingChars="231"/>
        <w:rPr>
          <w:rFonts w:asci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1.3  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投标人提供的</w:t>
      </w:r>
      <w:r>
        <w:rPr>
          <w:rFonts w:hint="eastAsia" w:asci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产品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样本，必须是“原件”而非复印件，</w:t>
      </w:r>
      <w:r>
        <w:rPr>
          <w:rFonts w:hint="eastAsia" w:asci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图表、简图、电路图以及印刷电路板图等都应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清晰易读。买方有权</w:t>
      </w:r>
      <w:r>
        <w:rPr>
          <w:rFonts w:hint="eastAsia" w:asci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不付任何附加费用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复制这些资料</w:t>
      </w:r>
      <w:r>
        <w:rPr>
          <w:rFonts w:hint="eastAsia" w:asci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以供参考。</w:t>
      </w:r>
    </w:p>
    <w:p w14:paraId="01DBD467">
      <w:pPr>
        <w:spacing w:line="360" w:lineRule="auto"/>
        <w:ind w:left="554" w:hanging="554" w:hangingChars="231"/>
        <w:rPr>
          <w:rFonts w:asci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1.4  投标人的投标产品应符合国家有关部门规定的相应技术、计量、节能、安全和环保法规及标准；如国家有关部门对投标人的投标产品有强制性规定或要求的，则投标人的投标产品必须符合相应规定或要求，投标人须提供相关证明文件的复印件。</w:t>
      </w:r>
    </w:p>
    <w:p w14:paraId="65373BB1">
      <w:pPr>
        <w:spacing w:before="156" w:beforeLines="50" w:after="156" w:afterLines="50" w:line="360" w:lineRule="auto"/>
        <w:ind w:left="601" w:hanging="601"/>
        <w:rPr>
          <w:rFonts w:ascii="宋体" w:hAnsi="宋体"/>
          <w:b/>
          <w:color w:val="000000" w:themeColor="text1"/>
          <w:sz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/>
          <w:color w:val="000000" w:themeColor="text1"/>
          <w:sz w:val="28"/>
          <w14:textFill>
            <w14:solidFill>
              <w14:schemeClr w14:val="tx1"/>
            </w14:solidFill>
          </w14:textFill>
        </w:rPr>
        <w:t>2、评标标准</w:t>
      </w:r>
    </w:p>
    <w:p w14:paraId="39E20E24">
      <w:pPr>
        <w:spacing w:line="360" w:lineRule="auto"/>
        <w:ind w:left="554" w:hanging="554" w:hangingChars="231"/>
        <w:rPr>
          <w:rFonts w:asci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2.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1  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除招标文件中指定的附件和专用工具外，</w:t>
      </w:r>
      <w:r>
        <w:rPr>
          <w:rFonts w:hint="eastAsia" w:asci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投标人应提供仪器设备的正常运行和常规保养所需的全套标准附件、专用工具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和消耗品</w:t>
      </w:r>
      <w:r>
        <w:rPr>
          <w:rFonts w:hint="eastAsia" w:asci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。投标人在投标书中需列出这些附件和工具的数量和单价的清单，这些附件和工具的报价的总值需计入投标价中。</w:t>
      </w:r>
    </w:p>
    <w:p w14:paraId="38155474">
      <w:pPr>
        <w:spacing w:line="360" w:lineRule="auto"/>
        <w:ind w:left="554" w:hanging="554" w:hangingChars="231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2.2  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对于标书</w:t>
      </w:r>
      <w:r>
        <w:rPr>
          <w:rFonts w:hint="eastAsia" w:asci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技术规范中已列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出的作为查询选件的附件、零配件、专用工具和消耗品，投标书中</w:t>
      </w:r>
      <w:r>
        <w:rPr>
          <w:rFonts w:hint="eastAsia" w:asci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应列明其数量、单价、总价供买方参考。投标人也可推荐买方没有要求的附件或专用工具作为选件，并列明其数量、单价、总价供买方参考。选件价格不计入评标价中。</w:t>
      </w:r>
    </w:p>
    <w:p w14:paraId="4105AE38">
      <w:pPr>
        <w:spacing w:line="360" w:lineRule="auto"/>
        <w:ind w:left="554" w:hanging="554" w:hangingChars="231"/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2.3  为便于用户进行接收仪器的准备工作，卖方应在合同生效后</w:t>
      </w:r>
      <w:r>
        <w:rPr>
          <w:rFonts w:hint="eastAsia" w:ascii="宋体" w:hAnsi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60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天内向用户提供一套完整的使用说明书、操作手册、维修及安装说明等文件。另一套完整上述资料应在交货时随货包装提供给用户，这些费用应计入投标价中。</w:t>
      </w:r>
    </w:p>
    <w:p w14:paraId="78348E49">
      <w:pPr>
        <w:spacing w:line="360" w:lineRule="auto"/>
        <w:ind w:left="554" w:hanging="554" w:hangingChars="231"/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2</w:t>
      </w:r>
      <w:r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4</w:t>
      </w:r>
      <w:r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关于设备的安装调试，如果有必要的安装准备条件，卖方应在合同生效后一个月内向买方提出详细的要求或计划。安装调试的费用应计入投标价中，并应单独列出，供评标使用。</w:t>
      </w:r>
    </w:p>
    <w:p w14:paraId="0A7077E5">
      <w:pPr>
        <w:spacing w:line="360" w:lineRule="auto"/>
        <w:ind w:left="554" w:hanging="554" w:hangingChars="231"/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2.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5  制造厂家提供的培训指的是涉及货物的基本原理、操作使用和保养维修等有关内容的培训。培训教员的培训费、旅费、食宿费等费用和培训场地费及培训资料费均应由卖方支付。</w:t>
      </w:r>
    </w:p>
    <w:p w14:paraId="0479D8D3">
      <w:pPr>
        <w:spacing w:before="156" w:beforeLines="50" w:after="156" w:afterLines="50" w:line="360" w:lineRule="auto"/>
        <w:ind w:left="601" w:hanging="601"/>
        <w:rPr>
          <w:rFonts w:ascii="宋体" w:hAnsi="宋体"/>
          <w:b/>
          <w:color w:val="000000" w:themeColor="text1"/>
          <w:sz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/>
          <w:color w:val="000000" w:themeColor="text1"/>
          <w:sz w:val="28"/>
          <w14:textFill>
            <w14:solidFill>
              <w14:schemeClr w14:val="tx1"/>
            </w14:solidFill>
          </w14:textFill>
        </w:rPr>
        <w:t>3、工作条件</w:t>
      </w:r>
    </w:p>
    <w:p w14:paraId="7842FE23">
      <w:pPr>
        <w:spacing w:after="312" w:afterLines="100" w:line="360" w:lineRule="auto"/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除非在技术规格中另有说明，所有仪器、设备和系统都应符合下列要求：</w:t>
      </w:r>
      <w:r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</w:t>
      </w:r>
    </w:p>
    <w:p w14:paraId="03E44E2D">
      <w:pPr>
        <w:spacing w:line="360" w:lineRule="auto"/>
        <w:ind w:left="554" w:hanging="554" w:hangingChars="231"/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3.1  适于在气温为摄氏</w:t>
      </w:r>
      <w:r>
        <w:rPr>
          <w:rFonts w:ascii="宋体" w:hAnsi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-40</w:t>
      </w:r>
      <w:r>
        <w:rPr>
          <w:rFonts w:hint="eastAsia" w:ascii="宋体" w:hAnsi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℃～＋</w:t>
      </w:r>
      <w:r>
        <w:rPr>
          <w:rFonts w:ascii="宋体" w:hAnsi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50</w:t>
      </w:r>
      <w:r>
        <w:rPr>
          <w:rFonts w:hint="eastAsia" w:ascii="宋体" w:hAnsi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℃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和相对湿度为</w:t>
      </w:r>
      <w:r>
        <w:rPr>
          <w:rFonts w:ascii="宋体" w:hAnsi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90</w:t>
      </w:r>
      <w:r>
        <w:rPr>
          <w:rFonts w:hint="eastAsia" w:ascii="宋体" w:hAnsi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％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的环境条件下运输和贮存。</w:t>
      </w:r>
    </w:p>
    <w:p w14:paraId="2BD170AF">
      <w:pPr>
        <w:spacing w:line="360" w:lineRule="auto"/>
        <w:ind w:left="554" w:hanging="554" w:hangingChars="231"/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3.2  适于在电源</w:t>
      </w:r>
      <w:r>
        <w:rPr>
          <w:rFonts w:ascii="宋体" w:hAnsi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220V</w:t>
      </w:r>
      <w:r>
        <w:rPr>
          <w:rFonts w:hint="eastAsia" w:ascii="宋体" w:hAnsi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（</w:t>
      </w:r>
      <w:r>
        <w:rPr>
          <w:rFonts w:ascii="宋体" w:hAnsi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sym w:font="Symbol" w:char="F0B1"/>
      </w:r>
      <w:r>
        <w:rPr>
          <w:rFonts w:ascii="宋体" w:hAnsi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10</w:t>
      </w:r>
      <w:r>
        <w:rPr>
          <w:rFonts w:hint="eastAsia" w:ascii="宋体" w:hAnsi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％）</w:t>
      </w:r>
      <w:r>
        <w:rPr>
          <w:rFonts w:ascii="宋体" w:hAnsi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/50Hz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、气温摄氏</w:t>
      </w:r>
      <w:r>
        <w:rPr>
          <w:rFonts w:hint="eastAsia" w:ascii="宋体" w:hAnsi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＋1</w:t>
      </w:r>
      <w:r>
        <w:rPr>
          <w:rFonts w:ascii="宋体" w:hAnsi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5</w:t>
      </w:r>
      <w:r>
        <w:rPr>
          <w:rFonts w:hint="eastAsia" w:ascii="宋体" w:hAnsi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℃～＋3</w:t>
      </w:r>
      <w:r>
        <w:rPr>
          <w:rFonts w:ascii="宋体" w:hAnsi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0</w:t>
      </w:r>
      <w:r>
        <w:rPr>
          <w:rFonts w:hint="eastAsia" w:ascii="宋体" w:hAnsi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℃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和相对湿度小于</w:t>
      </w:r>
      <w:r>
        <w:rPr>
          <w:rFonts w:ascii="宋体" w:hAnsi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8</w:t>
      </w:r>
      <w:r>
        <w:rPr>
          <w:rFonts w:hint="eastAsia" w:ascii="宋体" w:hAnsi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0％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的环境条件下运行。</w:t>
      </w:r>
      <w:r>
        <w:rPr>
          <w:rFonts w:hint="eastAsia" w:ascii="宋体" w:hAnsi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能够连续正常工作。</w:t>
      </w:r>
    </w:p>
    <w:p w14:paraId="146F2C59">
      <w:pPr>
        <w:spacing w:line="360" w:lineRule="auto"/>
        <w:ind w:left="554" w:hanging="554" w:hangingChars="231"/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3.3  配置符合中国有关标准要求的插头，如果没有这样的插头，则需</w:t>
      </w:r>
      <w:r>
        <w:rPr>
          <w:rFonts w:hint="eastAsia" w:asci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提供适当的转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换插座。</w:t>
      </w:r>
    </w:p>
    <w:p w14:paraId="62870156">
      <w:pPr>
        <w:spacing w:line="360" w:lineRule="auto"/>
        <w:ind w:left="554" w:hanging="554" w:hangingChars="231"/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3.4  如产品达不到上述要求，投标人应注明其偏差。如仪器设备需要特殊工作条件（如水、电源、磁场强度、温度、湿度、动强度等）投标人应在投标书中加以说明。</w:t>
      </w:r>
    </w:p>
    <w:p w14:paraId="54C894F8">
      <w:pPr>
        <w:rPr>
          <w:rFonts w:eastAsia="黑体"/>
          <w:b/>
          <w:bCs/>
          <w:color w:val="000000" w:themeColor="text1"/>
          <w:kern w:val="44"/>
          <w:sz w:val="24"/>
          <w14:textFill>
            <w14:solidFill>
              <w14:schemeClr w14:val="tx1"/>
            </w14:solidFill>
          </w14:textFill>
        </w:rPr>
      </w:pPr>
    </w:p>
    <w:p w14:paraId="7B2C90BD">
      <w:pPr>
        <w:spacing w:before="156" w:beforeLines="50" w:after="156" w:afterLines="50" w:line="360" w:lineRule="auto"/>
        <w:ind w:left="601" w:hanging="601"/>
        <w:rPr>
          <w:rFonts w:ascii="宋体" w:hAnsi="宋体"/>
          <w:b/>
          <w:color w:val="000000" w:themeColor="text1"/>
          <w:sz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/>
          <w:color w:val="000000" w:themeColor="text1"/>
          <w:sz w:val="28"/>
          <w14:textFill>
            <w14:solidFill>
              <w14:schemeClr w14:val="tx1"/>
            </w14:solidFill>
          </w14:textFill>
        </w:rPr>
        <w:t>4、验收标准</w:t>
      </w:r>
    </w:p>
    <w:p w14:paraId="427E42E9">
      <w:pPr>
        <w:spacing w:after="312" w:afterLines="100" w:line="360" w:lineRule="auto"/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除非在技术规格中另有说明，所有仪器、设备和系统按下列要求进行验收：</w:t>
      </w:r>
      <w:r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</w:t>
      </w:r>
    </w:p>
    <w:p w14:paraId="0A04CB33">
      <w:pPr>
        <w:spacing w:line="360" w:lineRule="auto"/>
        <w:ind w:left="554" w:hanging="554" w:hangingChars="231"/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4.1  仪器设备运抵安装现场后，买方将与卖方共同开箱验收</w:t>
      </w:r>
      <w:r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, 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如卖方届时不派人来</w:t>
      </w:r>
      <w:r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, 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则验收结果应以买方的验收报告为最终验收结果。验收时发现短缺、破损</w:t>
      </w:r>
      <w:r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, 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买方有权要求卖方负责更换。</w:t>
      </w:r>
    </w:p>
    <w:p w14:paraId="60E4BEDA">
      <w:pPr>
        <w:spacing w:line="360" w:lineRule="auto"/>
        <w:ind w:left="554" w:hanging="554" w:hangingChars="231"/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4.2  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验收标准以中标人提供的投标文件中所列的指标为准（该指标应不低于招标文件所要求的指标）。任何虚假指标响应一经发现即作废标，卖方必须承担由此给买方带来的一切经济损失和其它相关责任。</w:t>
      </w:r>
    </w:p>
    <w:p w14:paraId="7F9404F8">
      <w:pPr>
        <w:spacing w:line="360" w:lineRule="auto"/>
        <w:ind w:left="554" w:hanging="554" w:hangingChars="231"/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4.3  </w:t>
      </w:r>
      <w:r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验收由采购人、中标人及相关人员依国家有关标准、合同及有关附件要求进行，验收完毕由采购人及中标人在验收报告上签名。</w:t>
      </w:r>
    </w:p>
    <w:p w14:paraId="5AA56BC4">
      <w:pPr>
        <w:pStyle w:val="2"/>
        <w:spacing w:line="360" w:lineRule="auto"/>
        <w:ind w:left="410" w:hanging="410" w:hangingChars="170"/>
        <w:rPr>
          <w:rFonts w:hAnsi="宋体"/>
          <w:b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 w14:paraId="634673F8">
      <w:pPr>
        <w:pStyle w:val="2"/>
        <w:spacing w:line="360" w:lineRule="auto"/>
        <w:ind w:left="410" w:hanging="410" w:hangingChars="170"/>
        <w:rPr>
          <w:rFonts w:hAnsi="宋体"/>
          <w:b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hAnsi="宋体"/>
          <w:b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5、本技术规格书中标注“*”号的为实质性要求，不满足其投标将被拒绝。</w:t>
      </w:r>
    </w:p>
    <w:p w14:paraId="227C9E2F">
      <w:pPr>
        <w:pStyle w:val="2"/>
        <w:spacing w:line="360" w:lineRule="auto"/>
        <w:rPr>
          <w:rFonts w:hAnsi="宋体"/>
          <w:b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hAnsi="宋体"/>
          <w:b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6、如在具体技术规格中有本总则不一致之处，以具体技术规格中的要求为准。</w:t>
      </w:r>
    </w:p>
    <w:p w14:paraId="19D44355">
      <w:pPr>
        <w:spacing w:after="156" w:afterLines="50"/>
        <w:ind w:left="601" w:hanging="601"/>
        <w:rPr>
          <w:rFonts w:ascii="宋体" w:hAnsi="宋体"/>
          <w:b/>
          <w:color w:val="000000" w:themeColor="text1"/>
          <w:sz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/>
          <w:color w:val="000000" w:themeColor="text1"/>
          <w:sz w:val="28"/>
          <w14:textFill>
            <w14:solidFill>
              <w14:schemeClr w14:val="tx1"/>
            </w14:solidFill>
          </w14:textFill>
        </w:rPr>
        <w:t>三、具体技术规格</w:t>
      </w:r>
    </w:p>
    <w:p w14:paraId="1FF9CFD3">
      <w:pP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 w14:paraId="461A2594">
      <w:pPr>
        <w:jc w:val="center"/>
        <w:rPr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第1包 </w:t>
      </w:r>
      <w:r>
        <w:rPr>
          <w:rFonts w:hint="eastAsia" w:ascii="宋体" w:hAnsi="宋体" w:cs="宋体"/>
          <w:b/>
          <w:bCs/>
          <w:color w:val="000000" w:themeColor="text1"/>
          <w:kern w:val="0"/>
          <w:sz w:val="24"/>
          <w14:textFill>
            <w14:solidFill>
              <w14:schemeClr w14:val="tx1"/>
            </w14:solidFill>
          </w14:textFill>
        </w:rPr>
        <w:t>高温扫描隧道显微镜</w:t>
      </w:r>
    </w:p>
    <w:p w14:paraId="5D46A118">
      <w:pPr>
        <w:rPr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 w14:paraId="3E7566C0">
      <w:pPr>
        <w:rPr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 w14:paraId="598C7027">
      <w:pPr>
        <w:numPr>
          <w:ilvl w:val="0"/>
          <w:numId w:val="1"/>
        </w:numPr>
        <w:rPr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技术要求：</w:t>
      </w:r>
    </w:p>
    <w:p w14:paraId="47A5F2EC">
      <w:pPr>
        <w:rPr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 w14:paraId="2F11855F">
      <w:pPr>
        <w:numPr>
          <w:ilvl w:val="0"/>
          <w:numId w:val="2"/>
        </w:numPr>
        <w:spacing w:line="360" w:lineRule="auto"/>
        <w:rPr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工作条件：</w:t>
      </w:r>
    </w:p>
    <w:p w14:paraId="533886BD">
      <w:pPr>
        <w:spacing w:line="360" w:lineRule="auto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1.1工作电压220V、50Hz，温度：5-30oC，相对湿度：&lt;40%。</w:t>
      </w:r>
    </w:p>
    <w:p w14:paraId="43B8DFF9">
      <w:pPr>
        <w:spacing w:line="360" w:lineRule="auto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1.2 地面震动：&lt; 3 µm/s (0…3 Hz),  &lt; 10 µm/s (3…9 Hz),  &lt; 30 µm/s (10 Hz以上)</w:t>
      </w:r>
    </w:p>
    <w:p w14:paraId="5495DE2E">
      <w:pPr>
        <w:spacing w:line="360" w:lineRule="auto"/>
        <w:ind w:left="435" w:firstLine="24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 w14:paraId="275FF100">
      <w:pPr>
        <w:numPr>
          <w:ilvl w:val="0"/>
          <w:numId w:val="2"/>
        </w:numPr>
        <w:spacing w:line="360" w:lineRule="auto"/>
        <w:rPr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设备用途：</w:t>
      </w:r>
    </w:p>
    <w:p w14:paraId="08BC2E17">
      <w:pPr>
        <w:spacing w:line="360" w:lineRule="auto"/>
        <w:ind w:firstLine="480" w:firstLineChars="20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催化反应通常发生在较高温度，在高温条件下催化剂结构往往会发生变化，检测温度引起的结构演变过程，对于理解催化剂稳定性，获得催化剂构效关系十分重要。高温STM设备，可以实现样品在高温条件下的原位检测，获得样品在不同温度下的结构动态演变信息。</w:t>
      </w:r>
    </w:p>
    <w:p w14:paraId="0DCC041A">
      <w:pPr>
        <w:spacing w:line="360" w:lineRule="auto"/>
        <w:ind w:firstLine="480" w:firstLineChars="20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 w14:paraId="45BD92AC">
      <w:pPr>
        <w:numPr>
          <w:ilvl w:val="0"/>
          <w:numId w:val="2"/>
        </w:numPr>
        <w:spacing w:line="360" w:lineRule="auto"/>
        <w:rPr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技术规格：</w:t>
      </w:r>
    </w:p>
    <w:p w14:paraId="205699EA">
      <w:pPr>
        <w:spacing w:line="360" w:lineRule="auto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3.1 腔体结构</w:t>
      </w:r>
    </w:p>
    <w:p w14:paraId="3F117C93">
      <w:pPr>
        <w:spacing w:line="360" w:lineRule="auto"/>
        <w:ind w:firstLine="48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*3.1.1 配置不锈钢STM分析腔，配备分子泵、机械泵、真空规等泵抽系统，背景真空优于1*10</w:t>
      </w:r>
      <w:r>
        <w:rPr>
          <w:color w:val="000000" w:themeColor="text1"/>
          <w:sz w:val="24"/>
          <w:vertAlign w:val="superscript"/>
          <w14:textFill>
            <w14:solidFill>
              <w14:schemeClr w14:val="tx1"/>
            </w14:solidFill>
          </w14:textFill>
        </w:rPr>
        <w:t>-9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mbar</w:t>
      </w:r>
    </w:p>
    <w:p w14:paraId="6F0A7D51">
      <w:pPr>
        <w:spacing w:line="360" w:lineRule="auto"/>
        <w:ind w:firstLine="48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*3.1.2 配备不锈钢快速进样室，配备泵抽系统，背景真空优于5*10</w:t>
      </w:r>
      <w:r>
        <w:rPr>
          <w:color w:val="000000" w:themeColor="text1"/>
          <w:sz w:val="24"/>
          <w:vertAlign w:val="superscript"/>
          <w14:textFill>
            <w14:solidFill>
              <w14:schemeClr w14:val="tx1"/>
            </w14:solidFill>
          </w14:textFill>
        </w:rPr>
        <w:t>-8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mbar</w:t>
      </w:r>
    </w:p>
    <w:p w14:paraId="794C895E">
      <w:pPr>
        <w:spacing w:line="360" w:lineRule="auto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3.2 高温扫描头</w:t>
      </w:r>
    </w:p>
    <w:p w14:paraId="3D3D4EF9">
      <w:pPr>
        <w:spacing w:line="360" w:lineRule="auto"/>
        <w:ind w:firstLine="48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3.2.1 扫描头集成在分析腔上，设计包含弹簧悬挂和涡流阻尼系统，以隔绝噪音。</w:t>
      </w:r>
    </w:p>
    <w:p w14:paraId="71FF9BCB">
      <w:pPr>
        <w:spacing w:line="360" w:lineRule="auto"/>
        <w:ind w:firstLine="48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#3.2.2 可进行液氮降温及辐照加热，工作温度范围不小于150K—1300K，可实现在不同温度下实时得到STM图像。</w:t>
      </w:r>
    </w:p>
    <w:p w14:paraId="34FAE33A">
      <w:pPr>
        <w:spacing w:line="360" w:lineRule="auto"/>
        <w:ind w:firstLine="48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#3.2.3 扫描头温度达到平衡后，读数精度的长期稳定性（T＞180K）：≤±2K/h</w:t>
      </w:r>
    </w:p>
    <w:p w14:paraId="1891697A">
      <w:pPr>
        <w:spacing w:line="360" w:lineRule="auto"/>
        <w:ind w:firstLine="48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*3.2.4最大扫描范围不小于1.0 μm x 1.0 μm。</w:t>
      </w:r>
    </w:p>
    <w:p w14:paraId="599DAE0C">
      <w:pPr>
        <w:spacing w:line="360" w:lineRule="auto"/>
        <w:ind w:firstLine="48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3.2.5  X/Y方向的补偿范围：≥±1000nm。Z方向≥±150nm。</w:t>
      </w:r>
    </w:p>
    <w:p w14:paraId="2DBBA165">
      <w:pPr>
        <w:spacing w:line="360" w:lineRule="auto"/>
        <w:ind w:firstLine="48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#3.2.6 图像漂移速率（室温以下）：≤0.05nm/min (垂直方向)，≤0.15nm/min (水平方向)。</w:t>
      </w:r>
    </w:p>
    <w:p w14:paraId="09D2884F">
      <w:pPr>
        <w:spacing w:line="360" w:lineRule="auto"/>
        <w:ind w:firstLine="48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#3.2.7扫描头机械稳定性（针尖固定位置不动，在恒压恒流模式下，Z中噪音的峰峰值：≤ 5 pm。</w:t>
      </w:r>
    </w:p>
    <w:p w14:paraId="6485D62B">
      <w:pPr>
        <w:spacing w:line="360" w:lineRule="auto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3.3 STM控制器</w:t>
      </w:r>
    </w:p>
    <w:p w14:paraId="7E54152D">
      <w:pPr>
        <w:spacing w:line="360" w:lineRule="auto"/>
        <w:ind w:firstLine="48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3.3.1 匹配前放增益1V/nA。</w:t>
      </w:r>
    </w:p>
    <w:p w14:paraId="3838646F">
      <w:pPr>
        <w:spacing w:line="360" w:lineRule="auto"/>
        <w:ind w:firstLine="48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3.3.2 隧穿电流范围：不小于0.01nA–50nA。</w:t>
      </w:r>
    </w:p>
    <w:p w14:paraId="07B05538">
      <w:pPr>
        <w:spacing w:line="360" w:lineRule="auto"/>
        <w:ind w:firstLine="48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#3.3.3 具有快速扫描功能，数据获取速度：不低于1000000像素/秒。</w:t>
      </w:r>
    </w:p>
    <w:p w14:paraId="7E31C316">
      <w:pPr>
        <w:spacing w:line="360" w:lineRule="auto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3.4 针尖刻蚀离子源</w:t>
      </w:r>
    </w:p>
    <w:p w14:paraId="5266EB2C">
      <w:pPr>
        <w:spacing w:line="360" w:lineRule="auto"/>
        <w:ind w:firstLine="48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3.4.1用于针尖原位处理，离子能量范围最大：不小于5 keV。</w:t>
      </w:r>
    </w:p>
    <w:p w14:paraId="1EFC0162">
      <w:pPr>
        <w:spacing w:line="360" w:lineRule="auto"/>
        <w:ind w:firstLine="48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3.4.2离子束流（Ar气）最大值：≥ 20 μA。</w:t>
      </w:r>
    </w:p>
    <w:p w14:paraId="48EB6495">
      <w:pPr>
        <w:spacing w:line="360" w:lineRule="auto"/>
        <w:ind w:firstLine="48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 w14:paraId="6358F988">
      <w:pPr>
        <w:numPr>
          <w:ilvl w:val="0"/>
          <w:numId w:val="2"/>
        </w:numPr>
        <w:spacing w:line="360" w:lineRule="auto"/>
        <w:rPr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产品配置要求</w:t>
      </w:r>
    </w:p>
    <w:p w14:paraId="295DAABE">
      <w:pPr>
        <w:numPr>
          <w:ilvl w:val="1"/>
          <w:numId w:val="3"/>
        </w:numPr>
        <w:spacing w:line="360" w:lineRule="auto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产品主体部分说明</w:t>
      </w:r>
    </w:p>
    <w:p w14:paraId="1AF742C8">
      <w:pPr>
        <w:spacing w:line="360" w:lineRule="auto"/>
        <w:ind w:firstLine="480" w:firstLineChars="20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4.1.1</w:t>
      </w: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STM分析腔</w:t>
      </w:r>
    </w:p>
    <w:p w14:paraId="0F747478">
      <w:pPr>
        <w:spacing w:line="360" w:lineRule="auto"/>
        <w:ind w:firstLine="480" w:firstLineChars="20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4.1.2 快速进样室</w:t>
      </w:r>
    </w:p>
    <w:p w14:paraId="06A523F5">
      <w:pPr>
        <w:spacing w:line="360" w:lineRule="auto"/>
        <w:ind w:firstLine="480" w:firstLineChars="20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4</w:t>
      </w: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.1.3</w:t>
      </w: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STM高温扫描头</w:t>
      </w:r>
    </w:p>
    <w:p w14:paraId="24775148">
      <w:pPr>
        <w:spacing w:line="360" w:lineRule="auto"/>
        <w:ind w:firstLine="480" w:firstLineChars="20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4</w:t>
      </w: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.1.4</w:t>
      </w: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STM控制单元</w:t>
      </w:r>
    </w:p>
    <w:p w14:paraId="59E2A4F8">
      <w:pPr>
        <w:spacing w:line="360" w:lineRule="auto"/>
        <w:ind w:firstLine="480" w:firstLineChars="20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4</w:t>
      </w: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.1.5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数据处理系统</w:t>
      </w:r>
    </w:p>
    <w:p w14:paraId="14C29870">
      <w:pPr>
        <w:spacing w:line="360" w:lineRule="auto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4.2 要求的附件、专用工具和消耗品</w:t>
      </w:r>
    </w:p>
    <w:p w14:paraId="59E77758">
      <w:pPr>
        <w:spacing w:line="360" w:lineRule="auto"/>
        <w:ind w:firstLine="480" w:firstLineChars="20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4</w:t>
      </w: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.2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.</w:t>
      </w: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1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针尖刻蚀离子源</w:t>
      </w:r>
    </w:p>
    <w:p w14:paraId="4194632F">
      <w:pPr>
        <w:spacing w:line="360" w:lineRule="auto"/>
        <w:ind w:left="420" w:firstLine="24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 w14:paraId="4065B3B7">
      <w:pPr>
        <w:spacing w:line="360" w:lineRule="auto"/>
        <w:rPr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5</w:t>
      </w:r>
      <w:r>
        <w:rPr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. </w:t>
      </w:r>
      <w:r>
        <w:rPr>
          <w:rFonts w:hint="eastAsia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选购附件、备件及消耗品</w:t>
      </w:r>
    </w:p>
    <w:p w14:paraId="7A38D3BA">
      <w:pPr>
        <w:spacing w:line="360" w:lineRule="auto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无         </w:t>
      </w:r>
    </w:p>
    <w:p w14:paraId="2D1468D6">
      <w:pPr>
        <w:tabs>
          <w:tab w:val="left" w:pos="540"/>
        </w:tabs>
        <w:spacing w:line="360" w:lineRule="auto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  </w:t>
      </w:r>
    </w:p>
    <w:p w14:paraId="78BAC441">
      <w:pPr>
        <w:tabs>
          <w:tab w:val="left" w:pos="540"/>
        </w:tabs>
        <w:spacing w:line="360" w:lineRule="auto"/>
        <w:rPr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6.  技术文件：</w:t>
      </w:r>
    </w:p>
    <w:p w14:paraId="3A0321D9">
      <w:pPr>
        <w:spacing w:line="360" w:lineRule="auto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6.1 请参考总则第1.2条。</w:t>
      </w:r>
    </w:p>
    <w:p w14:paraId="3E402425">
      <w:pPr>
        <w:spacing w:line="360" w:lineRule="auto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6.2 请参考总则第2.3条。</w:t>
      </w:r>
    </w:p>
    <w:p w14:paraId="2F51DD1F">
      <w:pPr>
        <w:spacing w:line="360" w:lineRule="auto"/>
        <w:ind w:firstLine="480" w:firstLineChars="20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 w14:paraId="5E00A2AB">
      <w:pPr>
        <w:spacing w:line="360" w:lineRule="auto"/>
        <w:rPr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（二）质保及售后服务：</w:t>
      </w:r>
    </w:p>
    <w:p w14:paraId="678F575D">
      <w:pPr>
        <w:spacing w:line="360" w:lineRule="auto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1.1 设备安装调试</w:t>
      </w:r>
    </w:p>
    <w:p w14:paraId="1B0853A1">
      <w:pPr>
        <w:spacing w:line="360" w:lineRule="auto"/>
        <w:ind w:firstLine="480" w:firstLineChars="20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1.1.1 为方便买方设备的正常接收及顺利开展安装前期准备工作，中标人须配合用户提供安装条件，电气要求等。</w:t>
      </w:r>
    </w:p>
    <w:p w14:paraId="789082A9">
      <w:pPr>
        <w:spacing w:line="360" w:lineRule="auto"/>
        <w:ind w:firstLine="480" w:firstLineChars="20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1.1.2 仪器到达用户使用现场后，由中标人派出工程师与用户共同开箱清点验收后免费安装、调试。</w:t>
      </w:r>
    </w:p>
    <w:p w14:paraId="098C3735">
      <w:pPr>
        <w:spacing w:line="360" w:lineRule="auto"/>
        <w:ind w:firstLine="480" w:firstLineChars="20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1.1.3 由厂家工程师负责设备的安装调试，实现各项技术指标达到投标要求。</w:t>
      </w:r>
    </w:p>
    <w:p w14:paraId="750564A5">
      <w:pPr>
        <w:spacing w:line="360" w:lineRule="auto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1.2  技术培训 </w:t>
      </w:r>
    </w:p>
    <w:p w14:paraId="3A98D047">
      <w:pPr>
        <w:spacing w:line="360" w:lineRule="auto"/>
        <w:ind w:firstLine="480" w:firstLineChars="200"/>
        <w:rPr>
          <w:rFonts w:asci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1.2.1 在仪器安装完成后，由中标人派专业工程师对使用人员免费进行技术培训。包括仪器基本原理和结构介绍、仪器操作方法、仪器基本保养维护程序等内容。根据用户实际需求，双方协商时间，参加培训的人员数量由用户自行确定。</w:t>
      </w:r>
    </w:p>
    <w:p w14:paraId="4C831ECB">
      <w:pPr>
        <w:spacing w:line="360" w:lineRule="auto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1.3 保修期：1年</w:t>
      </w:r>
    </w:p>
    <w:p w14:paraId="01B48B5F">
      <w:pPr>
        <w:spacing w:line="360" w:lineRule="auto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1.4 维修响应时间：质量保证期间如货物出现质量问题，中标人应在接到采购人通知后4小时内响应，3天内确定维修方案，7天内免费派人维修，如遇重大故障，国内工程师无法解决的，需1个月内跟工厂确定维修方案。</w:t>
      </w:r>
    </w:p>
    <w:p w14:paraId="45C27A57">
      <w:pPr>
        <w:spacing w:line="360" w:lineRule="auto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1.5 要求卖方提供的其它技术服务内容：软件终身免费升级</w:t>
      </w:r>
    </w:p>
    <w:p w14:paraId="0CE93D91">
      <w:pPr>
        <w:spacing w:line="360" w:lineRule="auto"/>
        <w:rPr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 w14:paraId="6B2811BA">
      <w:pPr>
        <w:spacing w:line="360" w:lineRule="auto"/>
        <w:rPr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（三） 订货数量：</w:t>
      </w:r>
    </w:p>
    <w:p w14:paraId="11E3C2EF">
      <w:pPr>
        <w:spacing w:line="360" w:lineRule="auto"/>
        <w:ind w:firstLine="240" w:firstLineChars="10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1套</w:t>
      </w:r>
    </w:p>
    <w:p w14:paraId="222D3775">
      <w:pPr>
        <w:spacing w:line="360" w:lineRule="auto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 w14:paraId="6F834A4D">
      <w:pPr>
        <w:spacing w:line="360" w:lineRule="auto"/>
        <w:rPr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（四） 交货地：</w:t>
      </w:r>
    </w:p>
    <w:p w14:paraId="7E0DB4D7">
      <w:pPr>
        <w:spacing w:line="360" w:lineRule="auto"/>
        <w:ind w:firstLine="24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用户指定地点</w:t>
      </w:r>
    </w:p>
    <w:p w14:paraId="14546A66">
      <w:pPr>
        <w:spacing w:line="360" w:lineRule="auto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 w14:paraId="41E6AB66">
      <w:pPr>
        <w:numPr>
          <w:ilvl w:val="0"/>
          <w:numId w:val="4"/>
        </w:numPr>
        <w:spacing w:line="360" w:lineRule="auto"/>
        <w:rPr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交货日期：</w:t>
      </w:r>
    </w:p>
    <w:p w14:paraId="02D03C75">
      <w:pPr>
        <w:spacing w:line="360" w:lineRule="auto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  签订合同后10个月内交付      </w:t>
      </w:r>
    </w:p>
    <w:p w14:paraId="44C056F3">
      <w:pPr>
        <w:spacing w:line="360" w:lineRule="auto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 w14:paraId="417952D6">
      <w:pPr>
        <w:numPr>
          <w:ilvl w:val="0"/>
          <w:numId w:val="4"/>
        </w:numPr>
        <w:spacing w:line="360" w:lineRule="auto"/>
        <w:rPr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执行的相关标准：</w:t>
      </w:r>
    </w:p>
    <w:p w14:paraId="300C9420">
      <w:pPr>
        <w:spacing w:line="360" w:lineRule="auto"/>
        <w:ind w:firstLine="480"/>
        <w:rPr>
          <w:rFonts w:ascii="inherit" w:hAnsi="inherit" w:cs="宋体"/>
          <w:color w:val="000000" w:themeColor="text1"/>
          <w:kern w:val="0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inherit" w:hAnsi="inherit" w:cs="宋体"/>
          <w:color w:val="000000" w:themeColor="text1"/>
          <w:kern w:val="0"/>
          <w:sz w:val="24"/>
          <w14:textFill>
            <w14:solidFill>
              <w14:schemeClr w14:val="tx1"/>
            </w14:solidFill>
          </w14:textFill>
        </w:rPr>
        <w:t>执行制造商出厂标准</w:t>
      </w:r>
    </w:p>
    <w:p w14:paraId="7933BA41">
      <w:pPr>
        <w:spacing w:line="360" w:lineRule="auto"/>
        <w:ind w:firstLine="480"/>
        <w:rPr>
          <w:rFonts w:ascii="inherit" w:hAnsi="inherit" w:cs="宋体"/>
          <w:color w:val="000000" w:themeColor="text1"/>
          <w:kern w:val="0"/>
          <w:sz w:val="24"/>
          <w14:textFill>
            <w14:solidFill>
              <w14:schemeClr w14:val="tx1"/>
            </w14:solidFill>
          </w14:textFill>
        </w:rPr>
      </w:pPr>
    </w:p>
    <w:p w14:paraId="04167AAD">
      <w:pPr>
        <w:numPr>
          <w:ilvl w:val="0"/>
          <w:numId w:val="4"/>
        </w:numPr>
        <w:spacing w:line="360" w:lineRule="auto"/>
        <w:rPr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预期交货情况</w:t>
      </w:r>
    </w:p>
    <w:p w14:paraId="1FAD9FBC">
      <w:pPr>
        <w:spacing w:line="360" w:lineRule="auto"/>
        <w:ind w:firstLine="480" w:firstLineChars="20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除人力不可抗力原因外（战争、洪水、地震、出口审核等），中标人逾期交货的，每延迟7个日历日，中标人需向招标人支付合同总额0.5%的违约金，违约金上限为合同总额的5%。中标人在合同约定的交货日期届满后10周内仍不能交货的，招标人有权解除合同，中标人应向招标人退还已支付货款。</w:t>
      </w:r>
    </w:p>
    <w:p w14:paraId="383BAACD">
      <w:pPr>
        <w:spacing w:line="360" w:lineRule="auto"/>
        <w:rPr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 w14:paraId="352ADBDC">
      <w:pPr>
        <w:widowControl/>
        <w:spacing w:line="360" w:lineRule="atLeast"/>
        <w:rPr>
          <w:rFonts w:ascii="宋体" w:hAnsi="宋体"/>
          <w:b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</w:p>
    <w:p w14:paraId="60A94B4C">
      <w:bookmarkStart w:id="0" w:name="_GoBack"/>
      <w:bookmarkEnd w:id="0"/>
    </w:p>
    <w:sectPr>
      <w:footerReference r:id="rId5" w:type="first"/>
      <w:headerReference r:id="rId3" w:type="default"/>
      <w:footerReference r:id="rId4" w:type="default"/>
      <w:pgSz w:w="11906" w:h="16838"/>
      <w:pgMar w:top="1418" w:right="1418" w:bottom="1418" w:left="1418" w:header="851" w:footer="992" w:gutter="0"/>
      <w:pgNumType w:start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Bookman Old Style">
    <w:panose1 w:val="02050604050505020204"/>
    <w:charset w:val="00"/>
    <w:family w:val="roman"/>
    <w:pitch w:val="default"/>
    <w:sig w:usb0="00000287" w:usb1="00000000" w:usb2="00000000" w:usb3="00000000" w:csb0="2000009F" w:csb1="DFD70000"/>
  </w:font>
  <w:font w:name="inherit">
    <w:altName w:val="微软雅黑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242A01A">
    <w:pPr>
      <w:pStyle w:val="3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26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6B85991">
    <w:pPr>
      <w:pStyle w:val="3"/>
      <w:jc w:val="center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AEE2007">
    <w:pPr>
      <w:pStyle w:val="4"/>
      <w:jc w:val="both"/>
    </w:pPr>
    <w:r>
      <w:rPr>
        <w:rFonts w:hint="eastAsia"/>
        <w:i/>
      </w:rPr>
      <w:t>东方国际招标有限责任公司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3E494D"/>
    <w:multiLevelType w:val="singleLevel"/>
    <w:tmpl w:val="AA3E494D"/>
    <w:lvl w:ilvl="0" w:tentative="0">
      <w:start w:val="5"/>
      <w:numFmt w:val="chineseCounting"/>
      <w:suff w:val="space"/>
      <w:lvlText w:val="（%1）"/>
      <w:lvlJc w:val="left"/>
      <w:rPr>
        <w:rFonts w:hint="eastAsia"/>
      </w:rPr>
    </w:lvl>
  </w:abstractNum>
  <w:abstractNum w:abstractNumId="1">
    <w:nsid w:val="D785B104"/>
    <w:multiLevelType w:val="singleLevel"/>
    <w:tmpl w:val="D785B104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2">
    <w:nsid w:val="340F57DF"/>
    <w:multiLevelType w:val="multilevel"/>
    <w:tmpl w:val="340F57DF"/>
    <w:lvl w:ilvl="0" w:tentative="0">
      <w:start w:val="4"/>
      <w:numFmt w:val="decimal"/>
      <w:lvlText w:val="%1"/>
      <w:lvlJc w:val="left"/>
      <w:pPr>
        <w:tabs>
          <w:tab w:val="left" w:pos="360"/>
        </w:tabs>
        <w:ind w:left="360" w:hanging="360"/>
      </w:pPr>
      <w:rPr>
        <w:rFonts w:hint="eastAsia"/>
      </w:rPr>
    </w:lvl>
    <w:lvl w:ilvl="1" w:tentative="0">
      <w:start w:val="1"/>
      <w:numFmt w:val="decimal"/>
      <w:lvlText w:val="%1.%2"/>
      <w:lvlJc w:val="left"/>
      <w:pPr>
        <w:tabs>
          <w:tab w:val="left" w:pos="360"/>
        </w:tabs>
        <w:ind w:left="360" w:hanging="360"/>
      </w:pPr>
      <w:rPr>
        <w:rFonts w:hint="eastAsia"/>
      </w:rPr>
    </w:lvl>
    <w:lvl w:ilvl="2" w:tentative="0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80"/>
        </w:tabs>
        <w:ind w:left="1080" w:hanging="108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080"/>
        </w:tabs>
        <w:ind w:left="1080" w:hanging="1080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800"/>
        </w:tabs>
        <w:ind w:left="1800" w:hanging="1800"/>
      </w:pPr>
      <w:rPr>
        <w:rFonts w:hint="eastAsia"/>
      </w:rPr>
    </w:lvl>
  </w:abstractNum>
  <w:abstractNum w:abstractNumId="3">
    <w:nsid w:val="4E5B42B3"/>
    <w:multiLevelType w:val="multilevel"/>
    <w:tmpl w:val="4E5B42B3"/>
    <w:lvl w:ilvl="0" w:tentative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Q1MjBlY2VkMDE4YjBhY2ZjYTRjODk0ZGRjODJmNzMifQ=="/>
  </w:docVars>
  <w:rsids>
    <w:rsidRoot w:val="00000000"/>
    <w:rsid w:val="079A1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qFormat="1" w:unhideWhenUsed="0" w:uiPriority="99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ascii="宋体" w:hAnsi="Courier New"/>
      <w:szCs w:val="20"/>
    </w:rPr>
  </w:style>
  <w:style w:type="paragraph" w:styleId="3">
    <w:name w:val="footer"/>
    <w:basedOn w:val="1"/>
    <w:next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next w:val="5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toc 4"/>
    <w:basedOn w:val="1"/>
    <w:next w:val="1"/>
    <w:qFormat/>
    <w:uiPriority w:val="99"/>
    <w:pPr>
      <w:ind w:left="1260" w:leftChars="6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2024-11-11T12:01:16Z</dcterms:created>
  <dc:creator>yzjia</dc:creator>
  <cp:lastModifiedBy>godjiao</cp:lastModifiedBy>
  <dcterms:modified xsi:type="dcterms:W3CDTF">2024-11-11T12:01:29Z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21D7A99015F44356B8FB776045D4FA17_12</vt:lpwstr>
  </property>
</Properties>
</file>