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AC37D">
      <w:pPr>
        <w:numPr>
          <w:ilvl w:val="0"/>
          <w:numId w:val="0"/>
        </w:numPr>
        <w:spacing w:line="400" w:lineRule="exact"/>
        <w:ind w:right="210" w:rightChars="100"/>
        <w:jc w:val="both"/>
        <w:outlineLvl w:val="1"/>
        <w:rPr>
          <w:rFonts w:hint="eastAsia"/>
          <w:b/>
          <w:bCs/>
          <w:color w:val="auto"/>
          <w:sz w:val="28"/>
          <w:szCs w:val="28"/>
          <w:highlight w:val="none"/>
          <w:lang w:val="en-US" w:eastAsia="zh-CN"/>
        </w:rPr>
      </w:pPr>
      <w:bookmarkStart w:id="0" w:name="_GoBack"/>
      <w:bookmarkEnd w:id="0"/>
      <w:r>
        <w:rPr>
          <w:rFonts w:hint="eastAsia"/>
          <w:b/>
          <w:bCs/>
          <w:color w:val="auto"/>
          <w:sz w:val="28"/>
          <w:szCs w:val="28"/>
          <w:highlight w:val="none"/>
          <w:lang w:val="en-US" w:eastAsia="zh-CN"/>
        </w:rPr>
        <w:t xml:space="preserve">附件： </w:t>
      </w:r>
    </w:p>
    <w:p w14:paraId="47BF7851">
      <w:pPr>
        <w:spacing w:line="500" w:lineRule="exact"/>
        <w:ind w:right="210" w:rightChars="100" w:firstLine="562" w:firstLineChars="200"/>
        <w:outlineLvl w:val="1"/>
        <w:rPr>
          <w:rFonts w:hint="eastAsia" w:ascii="FangSong" w:hAnsi="FangSong" w:eastAsia="FangSong" w:cs="FangSong"/>
          <w:b/>
          <w:sz w:val="28"/>
          <w:szCs w:val="28"/>
        </w:rPr>
      </w:pPr>
      <w:r>
        <w:rPr>
          <w:rFonts w:hint="eastAsia" w:ascii="FangSong" w:hAnsi="FangSong" w:eastAsia="FangSong" w:cs="FangSong"/>
          <w:b/>
          <w:sz w:val="28"/>
          <w:szCs w:val="28"/>
        </w:rPr>
        <w:t>一、采购清单</w:t>
      </w:r>
    </w:p>
    <w:p w14:paraId="4E23FA60">
      <w:pPr>
        <w:spacing w:line="500" w:lineRule="exact"/>
        <w:rPr>
          <w:rFonts w:hint="eastAsia" w:ascii="FangSong" w:hAnsi="FangSong" w:eastAsia="FangSong" w:cs="FangSong"/>
          <w:vanish/>
          <w:sz w:val="28"/>
          <w:szCs w:val="28"/>
        </w:rPr>
      </w:pPr>
    </w:p>
    <w:tbl>
      <w:tblPr>
        <w:tblStyle w:val="16"/>
        <w:tblW w:w="10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5103"/>
        <w:gridCol w:w="1678"/>
        <w:gridCol w:w="1678"/>
      </w:tblGrid>
      <w:tr w14:paraId="5E4D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596" w:type="dxa"/>
            <w:noWrap w:val="0"/>
            <w:vAlign w:val="center"/>
          </w:tcPr>
          <w:p w14:paraId="25536AA1">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包号</w:t>
            </w:r>
          </w:p>
        </w:tc>
        <w:tc>
          <w:tcPr>
            <w:tcW w:w="5103" w:type="dxa"/>
            <w:noWrap w:val="0"/>
            <w:vAlign w:val="center"/>
          </w:tcPr>
          <w:p w14:paraId="173EC476">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产品名称/标的名称</w:t>
            </w:r>
          </w:p>
        </w:tc>
        <w:tc>
          <w:tcPr>
            <w:tcW w:w="1678" w:type="dxa"/>
            <w:noWrap w:val="0"/>
            <w:vAlign w:val="center"/>
          </w:tcPr>
          <w:p w14:paraId="016B6047">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数量</w:t>
            </w:r>
          </w:p>
        </w:tc>
        <w:tc>
          <w:tcPr>
            <w:tcW w:w="1678" w:type="dxa"/>
            <w:noWrap w:val="0"/>
            <w:vAlign w:val="center"/>
          </w:tcPr>
          <w:p w14:paraId="593D2638">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单位</w:t>
            </w:r>
          </w:p>
        </w:tc>
      </w:tr>
      <w:tr w14:paraId="62F33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596" w:type="dxa"/>
            <w:noWrap w:val="0"/>
            <w:vAlign w:val="center"/>
          </w:tcPr>
          <w:p w14:paraId="5C0A3D9C">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01</w:t>
            </w:r>
          </w:p>
        </w:tc>
        <w:tc>
          <w:tcPr>
            <w:tcW w:w="5103" w:type="dxa"/>
            <w:noWrap w:val="0"/>
            <w:vAlign w:val="center"/>
          </w:tcPr>
          <w:p w14:paraId="3126EABB">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超高效纳流液相色谱</w:t>
            </w:r>
          </w:p>
        </w:tc>
        <w:tc>
          <w:tcPr>
            <w:tcW w:w="1678" w:type="dxa"/>
            <w:noWrap w:val="0"/>
            <w:vAlign w:val="center"/>
          </w:tcPr>
          <w:p w14:paraId="5978DA64">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1</w:t>
            </w:r>
          </w:p>
        </w:tc>
        <w:tc>
          <w:tcPr>
            <w:tcW w:w="1678" w:type="dxa"/>
            <w:noWrap w:val="0"/>
            <w:vAlign w:val="center"/>
          </w:tcPr>
          <w:p w14:paraId="2C851C3D">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套</w:t>
            </w:r>
          </w:p>
        </w:tc>
      </w:tr>
    </w:tbl>
    <w:p w14:paraId="3328F27A">
      <w:pPr>
        <w:spacing w:line="500" w:lineRule="exact"/>
        <w:ind w:right="210" w:rightChars="100" w:firstLine="562" w:firstLineChars="200"/>
        <w:outlineLvl w:val="1"/>
        <w:rPr>
          <w:rFonts w:hint="eastAsia" w:ascii="FangSong" w:hAnsi="FangSong" w:eastAsia="FangSong" w:cs="FangSong"/>
          <w:b/>
          <w:sz w:val="28"/>
          <w:szCs w:val="28"/>
          <w:lang w:val="en-GB"/>
        </w:rPr>
      </w:pPr>
      <w:r>
        <w:rPr>
          <w:rFonts w:hint="eastAsia" w:ascii="FangSong" w:hAnsi="FangSong" w:eastAsia="FangSong" w:cs="FangSong"/>
          <w:b/>
          <w:sz w:val="28"/>
          <w:szCs w:val="28"/>
          <w:lang w:val="en-GB"/>
        </w:rPr>
        <w:t>二、设备功能需求及技术参数</w:t>
      </w:r>
    </w:p>
    <w:p w14:paraId="16F17C0D">
      <w:pPr>
        <w:adjustRightInd w:val="0"/>
        <w:snapToGrid w:val="0"/>
        <w:spacing w:line="500" w:lineRule="exact"/>
        <w:ind w:firstLine="562" w:firstLineChars="200"/>
        <w:outlineLvl w:val="3"/>
        <w:rPr>
          <w:rFonts w:hint="eastAsia" w:ascii="FangSong" w:hAnsi="FangSong" w:eastAsia="FangSong" w:cs="FangSong"/>
          <w:b/>
          <w:sz w:val="28"/>
          <w:szCs w:val="28"/>
        </w:rPr>
      </w:pPr>
      <w:r>
        <w:rPr>
          <w:rFonts w:hint="eastAsia" w:ascii="FangSong" w:hAnsi="FangSong" w:eastAsia="FangSong" w:cs="FangSong"/>
          <w:b/>
          <w:sz w:val="28"/>
          <w:szCs w:val="28"/>
        </w:rPr>
        <w:t>▲（一）实质性要求：</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9342"/>
      </w:tblGrid>
      <w:tr w14:paraId="54F4F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noWrap w:val="0"/>
            <w:vAlign w:val="center"/>
          </w:tcPr>
          <w:p w14:paraId="5967EEBB">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序号</w:t>
            </w:r>
          </w:p>
        </w:tc>
        <w:tc>
          <w:tcPr>
            <w:tcW w:w="4689" w:type="pct"/>
            <w:noWrap w:val="0"/>
            <w:vAlign w:val="center"/>
          </w:tcPr>
          <w:p w14:paraId="5318EDA9">
            <w:pPr>
              <w:adjustRightInd w:val="0"/>
              <w:snapToGrid w:val="0"/>
              <w:jc w:val="center"/>
              <w:rPr>
                <w:rFonts w:hint="eastAsia" w:ascii="FangSong" w:hAnsi="FangSong" w:eastAsia="FangSong" w:cs="FangSong"/>
                <w:sz w:val="24"/>
                <w:szCs w:val="24"/>
              </w:rPr>
            </w:pPr>
            <w:r>
              <w:rPr>
                <w:rFonts w:hint="eastAsia" w:ascii="FangSong" w:hAnsi="FangSong" w:eastAsia="FangSong" w:cs="FangSong"/>
                <w:b/>
                <w:sz w:val="24"/>
                <w:szCs w:val="24"/>
              </w:rPr>
              <w:t>实质性要求</w:t>
            </w:r>
          </w:p>
        </w:tc>
      </w:tr>
      <w:tr w14:paraId="3CB1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noWrap w:val="0"/>
            <w:vAlign w:val="center"/>
          </w:tcPr>
          <w:p w14:paraId="61876D22">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1</w:t>
            </w:r>
          </w:p>
        </w:tc>
        <w:tc>
          <w:tcPr>
            <w:tcW w:w="4689" w:type="pct"/>
            <w:noWrap w:val="0"/>
            <w:vAlign w:val="top"/>
          </w:tcPr>
          <w:p w14:paraId="514CFCAF">
            <w:pPr>
              <w:adjustRightInd w:val="0"/>
              <w:snapToGrid w:val="0"/>
              <w:rPr>
                <w:rFonts w:hint="eastAsia" w:ascii="FangSong" w:hAnsi="FangSong" w:eastAsia="FangSong" w:cs="FangSong"/>
                <w:sz w:val="24"/>
                <w:szCs w:val="24"/>
              </w:rPr>
            </w:pPr>
            <w:r>
              <w:rPr>
                <w:rFonts w:hint="eastAsia" w:ascii="FangSong" w:hAnsi="FangSong" w:eastAsia="FangSong" w:cs="FangSong"/>
                <w:sz w:val="24"/>
                <w:szCs w:val="24"/>
              </w:rPr>
              <w:t>用途</w:t>
            </w:r>
          </w:p>
          <w:p w14:paraId="46633A92">
            <w:pPr>
              <w:adjustRightInd w:val="0"/>
              <w:snapToGrid w:val="0"/>
              <w:rPr>
                <w:rFonts w:hint="eastAsia" w:ascii="FangSong" w:hAnsi="FangSong" w:eastAsia="FangSong" w:cs="FangSong"/>
                <w:sz w:val="24"/>
                <w:szCs w:val="24"/>
              </w:rPr>
            </w:pPr>
            <w:r>
              <w:rPr>
                <w:rFonts w:hint="eastAsia" w:ascii="FangSong" w:hAnsi="FangSong" w:eastAsia="FangSong" w:cs="FangSong"/>
                <w:sz w:val="24"/>
                <w:szCs w:val="24"/>
              </w:rPr>
              <w:t>超高效纳流液相色谱仪，作为质谱分离设备使用，应用于蛋白质组学中蛋白鉴定、翻译后修饰和蛋白定量研究。</w:t>
            </w:r>
          </w:p>
        </w:tc>
      </w:tr>
      <w:tr w14:paraId="269D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noWrap w:val="0"/>
            <w:vAlign w:val="center"/>
          </w:tcPr>
          <w:p w14:paraId="494A949E">
            <w:pPr>
              <w:adjustRightInd w:val="0"/>
              <w:snapToGrid w:val="0"/>
              <w:jc w:val="center"/>
              <w:rPr>
                <w:rFonts w:hint="eastAsia" w:ascii="FangSong" w:hAnsi="FangSong" w:eastAsia="FangSong" w:cs="FangSong"/>
                <w:sz w:val="24"/>
                <w:szCs w:val="24"/>
              </w:rPr>
            </w:pPr>
            <w:r>
              <w:rPr>
                <w:rFonts w:hint="eastAsia" w:ascii="FangSong" w:hAnsi="FangSong" w:eastAsia="FangSong" w:cs="FangSong"/>
                <w:sz w:val="24"/>
                <w:szCs w:val="24"/>
              </w:rPr>
              <w:t>2</w:t>
            </w:r>
          </w:p>
        </w:tc>
        <w:tc>
          <w:tcPr>
            <w:tcW w:w="4689" w:type="pct"/>
            <w:noWrap w:val="0"/>
            <w:vAlign w:val="top"/>
          </w:tcPr>
          <w:p w14:paraId="70B6A635">
            <w:pPr>
              <w:adjustRightInd w:val="0"/>
              <w:snapToGrid w:val="0"/>
              <w:rPr>
                <w:rFonts w:hint="eastAsia" w:ascii="FangSong" w:hAnsi="FangSong" w:eastAsia="FangSong" w:cs="FangSong"/>
                <w:sz w:val="24"/>
                <w:szCs w:val="24"/>
              </w:rPr>
            </w:pPr>
            <w:r>
              <w:rPr>
                <w:rFonts w:hint="eastAsia" w:ascii="FangSong" w:hAnsi="FangSong" w:eastAsia="FangSong" w:cs="FangSong"/>
                <w:sz w:val="24"/>
                <w:szCs w:val="24"/>
              </w:rPr>
              <w:t>配置</w:t>
            </w:r>
          </w:p>
          <w:p w14:paraId="284655EA">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1</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超高效纳流液相主机 1套</w:t>
            </w:r>
          </w:p>
          <w:p w14:paraId="5650D7F8">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2</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超高效纳流液相自动进样器 1套</w:t>
            </w:r>
          </w:p>
          <w:p w14:paraId="2A544A3F">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3</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柱温箱 1套</w:t>
            </w:r>
          </w:p>
          <w:p w14:paraId="4110CF18">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4</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可视化显示器 1套</w:t>
            </w:r>
          </w:p>
          <w:p w14:paraId="5411238B">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5</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超高效纳流液相离子源 1套</w:t>
            </w:r>
          </w:p>
          <w:p w14:paraId="2C05B7FF">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6</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软件系统 1套</w:t>
            </w:r>
          </w:p>
          <w:p w14:paraId="1A401FA8">
            <w:pPr>
              <w:numPr>
                <w:ilvl w:val="0"/>
                <w:numId w:val="0"/>
              </w:numPr>
              <w:adjustRightInd w:val="0"/>
              <w:snapToGrid w:val="0"/>
              <w:ind w:left="0" w:leftChars="0" w:firstLine="0" w:firstLineChars="0"/>
              <w:rPr>
                <w:rFonts w:hint="eastAsia" w:ascii="FangSong" w:hAnsi="FangSong" w:eastAsia="FangSong" w:cs="FangSong"/>
                <w:sz w:val="24"/>
                <w:szCs w:val="24"/>
              </w:rPr>
            </w:pPr>
            <w:r>
              <w:rPr>
                <w:rFonts w:hint="eastAsia" w:ascii="FangSong" w:hAnsi="FangSong" w:eastAsia="FangSong" w:cs="FangSong"/>
                <w:sz w:val="24"/>
                <w:szCs w:val="24"/>
                <w:lang w:val="en-US" w:eastAsia="zh-CN" w:bidi="ar-SA"/>
              </w:rPr>
              <w:t>7</w:t>
            </w:r>
            <w:r>
              <w:rPr>
                <w:rFonts w:hint="default" w:ascii="FangSong" w:hAnsi="FangSong" w:eastAsia="FangSong" w:cs="FangSong"/>
                <w:sz w:val="24"/>
                <w:szCs w:val="24"/>
                <w:lang w:val="en-US" w:eastAsia="zh-CN" w:bidi="ar-SA"/>
              </w:rPr>
              <w:t>、</w:t>
            </w:r>
            <w:r>
              <w:rPr>
                <w:rFonts w:hint="eastAsia" w:ascii="FangSong" w:hAnsi="FangSong" w:eastAsia="FangSong" w:cs="FangSong"/>
                <w:sz w:val="24"/>
                <w:szCs w:val="24"/>
              </w:rPr>
              <w:t>色谱柱 20根</w:t>
            </w:r>
          </w:p>
        </w:tc>
      </w:tr>
    </w:tbl>
    <w:p w14:paraId="1041387E">
      <w:pPr>
        <w:adjustRightInd w:val="0"/>
        <w:snapToGrid w:val="0"/>
        <w:spacing w:line="500" w:lineRule="exact"/>
        <w:ind w:firstLine="562" w:firstLineChars="200"/>
        <w:outlineLvl w:val="3"/>
        <w:rPr>
          <w:rFonts w:hint="eastAsia" w:ascii="FangSong" w:hAnsi="FangSong" w:eastAsia="FangSong" w:cs="FangSong"/>
          <w:b/>
          <w:sz w:val="28"/>
          <w:szCs w:val="28"/>
        </w:rPr>
      </w:pPr>
      <w:r>
        <w:rPr>
          <w:rFonts w:hint="eastAsia" w:ascii="FangSong" w:hAnsi="FangSong" w:eastAsia="FangSong" w:cs="FangSong"/>
          <w:b/>
          <w:sz w:val="28"/>
          <w:szCs w:val="28"/>
        </w:rPr>
        <w:t>（二）参数要求：</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9241"/>
      </w:tblGrid>
      <w:tr w14:paraId="0532D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5CB8F731">
            <w:pPr>
              <w:widowControl/>
              <w:adjustRightInd w:val="0"/>
              <w:snapToGrid w:val="0"/>
              <w:jc w:val="left"/>
              <w:rPr>
                <w:rFonts w:hint="eastAsia" w:ascii="FangSong" w:hAnsi="FangSong" w:eastAsia="FangSong" w:cs="FangSong"/>
                <w:b/>
                <w:sz w:val="24"/>
                <w:szCs w:val="24"/>
              </w:rPr>
            </w:pPr>
          </w:p>
        </w:tc>
        <w:tc>
          <w:tcPr>
            <w:tcW w:w="4638" w:type="pct"/>
            <w:noWrap w:val="0"/>
            <w:vAlign w:val="top"/>
          </w:tcPr>
          <w:p w14:paraId="1FB2F0CE">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b/>
                <w:i/>
                <w:sz w:val="24"/>
                <w:szCs w:val="24"/>
              </w:rPr>
              <w:t xml:space="preserve">1纳流泵 </w:t>
            </w:r>
          </w:p>
        </w:tc>
      </w:tr>
      <w:tr w14:paraId="11B2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03A97B57">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3FB488F">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 xml:space="preserve">1.1 泵型及工作原理：带主动流量控制的高压二元梯度泵； </w:t>
            </w:r>
          </w:p>
        </w:tc>
      </w:tr>
      <w:tr w14:paraId="5406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7E5BD8A6">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0CAE8C0D">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1.2 ★压力范围：150 MPa， (1500 bar，21,750 psi)；若不满足需加配2套超高效纳流液相色谱用于提高分离效率</w:t>
            </w:r>
          </w:p>
        </w:tc>
      </w:tr>
      <w:tr w14:paraId="76BF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40A067EC">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C8AFBB3">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1.3 可设定流速范围：1 nL/min–100 µL/min, 1 nL 增量；</w:t>
            </w:r>
          </w:p>
        </w:tc>
      </w:tr>
      <w:tr w14:paraId="02FA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6DCBA3CF">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50278DEF">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1.4 ★流速范围：100 nL/min–100 µL/min；若不满足需加配2套超高效纳流液相色谱用于提高分离效率</w:t>
            </w:r>
          </w:p>
        </w:tc>
      </w:tr>
      <w:tr w14:paraId="4B5C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1F6F4762">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4609380">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1.5 泵溶剂通道：2 个（每个泵一个）； 预校准：100% 乙腈、100% 水、80/20 乙腈/水 (%, v/v)、90/10 甲醇/水 (%, v/v)；（注意：有指导的定制溶剂校准程序可用于校准其他溶剂）</w:t>
            </w:r>
          </w:p>
        </w:tc>
      </w:tr>
      <w:tr w14:paraId="1360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31D1ADC5">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7DA770FB">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1.6 泵对系统梯度的延迟体积：&lt;25 nL；</w:t>
            </w:r>
          </w:p>
        </w:tc>
      </w:tr>
      <w:tr w14:paraId="70F89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507855ED">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4916381E">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1.7生物兼容性：兼容；</w:t>
            </w:r>
          </w:p>
        </w:tc>
      </w:tr>
      <w:tr w14:paraId="7944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19E8C5B9">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13C0B132">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1.8 梯度延迟体积：&lt;0.5 µL (20 µm 内径管路，纳流/毛细流 direct injection进样方式)；&lt;2.0 µL (50 µm 内径管路，微流 direct injection进样方式)；</w:t>
            </w:r>
          </w:p>
        </w:tc>
      </w:tr>
      <w:tr w14:paraId="5B38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1907BE07">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45F81CC8">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1.9 pH 范围：2-10</w:t>
            </w:r>
          </w:p>
        </w:tc>
      </w:tr>
      <w:tr w14:paraId="2426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2EE40464">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2FC05D7E">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 xml:space="preserve">1.10用户界面（系统控制器和显示器）：系统监控；直接系统控制；在系统中诊断和故障排除； </w:t>
            </w:r>
          </w:p>
        </w:tc>
      </w:tr>
      <w:tr w14:paraId="73AF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1FFE9105">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15F6CD41">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1.11 安全特性：内置泄漏检测和安全泄漏处理：超压监测、温度监测；</w:t>
            </w:r>
          </w:p>
        </w:tc>
      </w:tr>
      <w:tr w14:paraId="07AED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1467B4E3">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0AC82BF">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1.12环境操作条件：温度5–35 °C；20-80% 相对湿度 (非冷凝) ；最大限度海拔 2000 m；</w:t>
            </w:r>
          </w:p>
        </w:tc>
      </w:tr>
      <w:tr w14:paraId="0101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3341F228">
            <w:pPr>
              <w:widowControl/>
              <w:adjustRightInd w:val="0"/>
              <w:snapToGrid w:val="0"/>
              <w:jc w:val="left"/>
              <w:rPr>
                <w:rFonts w:hint="eastAsia" w:ascii="FangSong" w:hAnsi="FangSong" w:eastAsia="FangSong" w:cs="FangSong"/>
                <w:b/>
                <w:sz w:val="24"/>
                <w:szCs w:val="24"/>
              </w:rPr>
            </w:pPr>
          </w:p>
        </w:tc>
        <w:tc>
          <w:tcPr>
            <w:tcW w:w="4638" w:type="pct"/>
            <w:noWrap w:val="0"/>
            <w:vAlign w:val="top"/>
          </w:tcPr>
          <w:p w14:paraId="27859253">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b/>
                <w:i/>
                <w:sz w:val="24"/>
                <w:szCs w:val="24"/>
              </w:rPr>
              <w:t xml:space="preserve">2自动进样器 </w:t>
            </w:r>
          </w:p>
        </w:tc>
      </w:tr>
      <w:tr w14:paraId="46ED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09021509">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3035BBFC">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2.1进样体积范围：标配: 0.01–25 μL, min 步长 0.01 μL  ；</w:t>
            </w:r>
          </w:p>
        </w:tc>
      </w:tr>
      <w:tr w14:paraId="121E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142F1B40">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48C28EB">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2.2自动进样器控温：4–40 ℃, 在 &lt;80% 相对湿度下，低于环境温度 ≥23 K；</w:t>
            </w:r>
          </w:p>
        </w:tc>
      </w:tr>
      <w:tr w14:paraId="3837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601019E2">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596FD3DB">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2.3样品盘温度稳定性：±1 °C；</w:t>
            </w:r>
          </w:p>
        </w:tc>
      </w:tr>
      <w:tr w14:paraId="50BF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6D8AEF0C">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51914201">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2.4 样品盘和容量：1.5ml样品瓶最多能放216个；可支持3个及以上96孔板和384孔板；</w:t>
            </w:r>
          </w:p>
        </w:tc>
      </w:tr>
      <w:tr w14:paraId="01305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35D79878">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29783AB6">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2.6 瓶底检测技术：有, 带有样品瓶底部检测和推荐样品瓶，可以吸取3µL中的2.5µL；</w:t>
            </w:r>
          </w:p>
        </w:tc>
      </w:tr>
      <w:tr w14:paraId="0A839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6F39E539">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1948F205">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2.7 有SmartInject 技术，带主动压力监测；</w:t>
            </w:r>
          </w:p>
        </w:tc>
      </w:tr>
      <w:tr w14:paraId="34AE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4C12E70A">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B7A01CC">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 xml:space="preserve">2.8进样方式：带loop环内联的直接进样；带有离线loop环的直接进样；Trap-and-elute 进样，带有反吹或前冲洗脱；加热的trap-and-elute 进样，带反吹或前冲洗脱（需要带一个 2 位 6 通切换阀的柱温箱） </w:t>
            </w:r>
          </w:p>
        </w:tc>
      </w:tr>
      <w:tr w14:paraId="5EBA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0D1D0945">
            <w:pPr>
              <w:widowControl/>
              <w:adjustRightInd w:val="0"/>
              <w:snapToGrid w:val="0"/>
              <w:jc w:val="left"/>
              <w:rPr>
                <w:rFonts w:hint="eastAsia" w:ascii="FangSong" w:hAnsi="FangSong" w:eastAsia="FangSong" w:cs="FangSong"/>
                <w:b/>
                <w:sz w:val="24"/>
                <w:szCs w:val="24"/>
              </w:rPr>
            </w:pPr>
          </w:p>
        </w:tc>
        <w:tc>
          <w:tcPr>
            <w:tcW w:w="4638" w:type="pct"/>
            <w:noWrap w:val="0"/>
            <w:vAlign w:val="top"/>
          </w:tcPr>
          <w:p w14:paraId="01D42164">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b/>
                <w:i/>
                <w:sz w:val="24"/>
                <w:szCs w:val="24"/>
              </w:rPr>
              <w:t>3</w:t>
            </w:r>
            <w:r>
              <w:rPr>
                <w:rFonts w:hint="eastAsia" w:ascii="FangSong" w:hAnsi="FangSong" w:eastAsia="FangSong" w:cs="FangSong"/>
                <w:b/>
                <w:bCs/>
                <w:i/>
                <w:sz w:val="24"/>
                <w:szCs w:val="24"/>
              </w:rPr>
              <w:t xml:space="preserve">柱温箱 </w:t>
            </w:r>
          </w:p>
        </w:tc>
      </w:tr>
      <w:tr w14:paraId="5D32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05A3A085">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0300A448">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3.1 温控范围：最低: 高于室温5 K；最高: 80℃；</w:t>
            </w:r>
          </w:p>
        </w:tc>
      </w:tr>
      <w:tr w14:paraId="22129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747F63DC">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3CE8F4EB">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3.2 温度精度：±0.1 K；</w:t>
            </w:r>
          </w:p>
        </w:tc>
      </w:tr>
      <w:tr w14:paraId="5EBF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4F623826">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30D7B86D">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3.3 加热时间：从 35 °C 到 65 °C ±1 K≤ 12 分钟；</w:t>
            </w:r>
          </w:p>
        </w:tc>
      </w:tr>
      <w:tr w14:paraId="04DA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4291172B">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31B73A93">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3.4 温度准确度：±0.5 K （在 50 ˚C 设定点）；</w:t>
            </w:r>
          </w:p>
        </w:tc>
      </w:tr>
      <w:tr w14:paraId="3EA5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5691CBD9">
            <w:pPr>
              <w:widowControl/>
              <w:numPr>
                <w:ilvl w:val="0"/>
                <w:numId w:val="1"/>
              </w:numPr>
              <w:adjustRightInd w:val="0"/>
              <w:snapToGrid w:val="0"/>
              <w:ind w:left="0" w:firstLine="0"/>
              <w:jc w:val="left"/>
              <w:rPr>
                <w:rFonts w:hint="eastAsia" w:ascii="FangSong" w:hAnsi="FangSong" w:eastAsia="FangSong" w:cs="FangSong"/>
                <w:b/>
                <w:sz w:val="24"/>
                <w:szCs w:val="24"/>
              </w:rPr>
            </w:pPr>
            <w:r>
              <w:rPr>
                <w:rFonts w:hint="eastAsia" w:ascii="FangSong" w:hAnsi="FangSong" w:eastAsia="FangSong" w:cs="FangSong"/>
                <w:b/>
                <w:sz w:val="24"/>
                <w:szCs w:val="24"/>
              </w:rPr>
              <w:t xml:space="preserve"> </w:t>
            </w:r>
          </w:p>
        </w:tc>
        <w:tc>
          <w:tcPr>
            <w:tcW w:w="4638" w:type="pct"/>
            <w:noWrap w:val="0"/>
            <w:vAlign w:val="top"/>
          </w:tcPr>
          <w:p w14:paraId="0B369691">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3.5 柱容量：最大可用线性色谱柱加上接头长度为：300 mm；</w:t>
            </w:r>
          </w:p>
        </w:tc>
      </w:tr>
      <w:tr w14:paraId="5D72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4C3BE0C7">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218AD211">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3.6 切换阀：可选配，在柱温箱内，接地；最多 2 个阀门；</w:t>
            </w:r>
          </w:p>
        </w:tc>
      </w:tr>
      <w:tr w14:paraId="5E2A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671B3FDE">
            <w:pPr>
              <w:widowControl/>
              <w:adjustRightInd w:val="0"/>
              <w:snapToGrid w:val="0"/>
              <w:jc w:val="left"/>
              <w:rPr>
                <w:rFonts w:hint="eastAsia" w:ascii="FangSong" w:hAnsi="FangSong" w:eastAsia="FangSong" w:cs="FangSong"/>
                <w:b/>
                <w:sz w:val="24"/>
                <w:szCs w:val="24"/>
              </w:rPr>
            </w:pPr>
          </w:p>
        </w:tc>
        <w:tc>
          <w:tcPr>
            <w:tcW w:w="4638" w:type="pct"/>
            <w:noWrap w:val="0"/>
            <w:vAlign w:val="top"/>
          </w:tcPr>
          <w:p w14:paraId="4BEEF3E3">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b/>
                <w:bCs/>
                <w:i/>
                <w:sz w:val="24"/>
                <w:szCs w:val="24"/>
              </w:rPr>
              <w:t>4纳流离子源</w:t>
            </w:r>
          </w:p>
        </w:tc>
      </w:tr>
      <w:tr w14:paraId="42DB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74DE019E">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02F06220">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4.1★有光源、摄像头、显示器等便于监测喷雾状况；可以从上下-左右-前后三个方向调节喷雾位置。</w:t>
            </w:r>
          </w:p>
        </w:tc>
      </w:tr>
      <w:tr w14:paraId="1B73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40FA5BD4">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3F8F7B3F">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4.2可直接连接不锈钢发射器，具有快速灵活地离子化途径。</w:t>
            </w:r>
          </w:p>
        </w:tc>
      </w:tr>
      <w:tr w14:paraId="6C66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509D360A">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5EECC2E5">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4.3每个套件都包含立即安装所需的所有附件和工具。使用灵活的直连适配器，可以轻松地组建所有在线纳升应用程序，与在线纳升LC分离技术兼容。</w:t>
            </w:r>
          </w:p>
        </w:tc>
      </w:tr>
      <w:tr w14:paraId="6F3B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 w:type="pct"/>
            <w:noWrap w:val="0"/>
            <w:vAlign w:val="top"/>
          </w:tcPr>
          <w:p w14:paraId="2B0313D7">
            <w:pPr>
              <w:widowControl/>
              <w:numPr>
                <w:ilvl w:val="0"/>
                <w:numId w:val="1"/>
              </w:numPr>
              <w:adjustRightInd w:val="0"/>
              <w:snapToGrid w:val="0"/>
              <w:ind w:left="0" w:firstLine="0"/>
              <w:jc w:val="left"/>
              <w:rPr>
                <w:rFonts w:hint="eastAsia" w:ascii="FangSong" w:hAnsi="FangSong" w:eastAsia="FangSong" w:cs="FangSong"/>
                <w:b/>
                <w:sz w:val="24"/>
                <w:szCs w:val="24"/>
              </w:rPr>
            </w:pPr>
          </w:p>
        </w:tc>
        <w:tc>
          <w:tcPr>
            <w:tcW w:w="4638" w:type="pct"/>
            <w:noWrap w:val="0"/>
            <w:vAlign w:val="top"/>
          </w:tcPr>
          <w:p w14:paraId="6D0BD617">
            <w:pPr>
              <w:widowControl/>
              <w:adjustRightInd w:val="0"/>
              <w:snapToGrid w:val="0"/>
              <w:jc w:val="left"/>
              <w:rPr>
                <w:rFonts w:hint="eastAsia" w:ascii="FangSong" w:hAnsi="FangSong" w:eastAsia="FangSong" w:cs="FangSong"/>
                <w:b/>
                <w:sz w:val="24"/>
                <w:szCs w:val="24"/>
              </w:rPr>
            </w:pPr>
            <w:r>
              <w:rPr>
                <w:rFonts w:hint="eastAsia" w:ascii="FangSong" w:hAnsi="FangSong" w:eastAsia="FangSong" w:cs="FangSong"/>
                <w:sz w:val="24"/>
                <w:szCs w:val="24"/>
              </w:rPr>
              <w:t>4.4开放式离子源，自制色谱柱可与之匹配，采用高压液体接头连接器和易于操作的零死体积连接。</w:t>
            </w:r>
          </w:p>
        </w:tc>
      </w:tr>
    </w:tbl>
    <w:p w14:paraId="7943076B">
      <w:pPr>
        <w:adjustRightInd w:val="0"/>
        <w:snapToGrid w:val="0"/>
        <w:spacing w:line="500" w:lineRule="exact"/>
        <w:ind w:firstLine="562" w:firstLineChars="200"/>
        <w:outlineLvl w:val="1"/>
        <w:rPr>
          <w:rFonts w:hint="eastAsia" w:ascii="FangSong" w:hAnsi="FangSong" w:eastAsia="FangSong" w:cs="FangSong"/>
          <w:b/>
          <w:bCs/>
          <w:sz w:val="28"/>
          <w:szCs w:val="28"/>
        </w:rPr>
      </w:pPr>
      <w:r>
        <w:rPr>
          <w:rFonts w:hint="eastAsia" w:ascii="FangSong" w:hAnsi="FangSong" w:eastAsia="FangSong" w:cs="FangSong"/>
          <w:b/>
          <w:sz w:val="28"/>
          <w:szCs w:val="28"/>
        </w:rPr>
        <w:t>▲三、商务要求（实质性要求）</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9244"/>
      </w:tblGrid>
      <w:tr w14:paraId="46D1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37C74ED2">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序号</w:t>
            </w:r>
          </w:p>
        </w:tc>
        <w:tc>
          <w:tcPr>
            <w:tcW w:w="9244" w:type="dxa"/>
            <w:noWrap w:val="0"/>
            <w:vAlign w:val="center"/>
          </w:tcPr>
          <w:p w14:paraId="4C148FCB">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商务要求</w:t>
            </w:r>
          </w:p>
        </w:tc>
      </w:tr>
      <w:tr w14:paraId="6B36A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47422BE6">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1</w:t>
            </w:r>
          </w:p>
        </w:tc>
        <w:tc>
          <w:tcPr>
            <w:tcW w:w="9244" w:type="dxa"/>
            <w:noWrap w:val="0"/>
            <w:vAlign w:val="top"/>
          </w:tcPr>
          <w:p w14:paraId="1F4EE055">
            <w:pPr>
              <w:adjustRightInd w:val="0"/>
              <w:snapToGrid w:val="0"/>
              <w:rPr>
                <w:rFonts w:hint="eastAsia" w:ascii="FangSong" w:hAnsi="FangSong" w:eastAsia="FangSong" w:cs="FangSong"/>
                <w:b/>
                <w:sz w:val="24"/>
                <w:szCs w:val="24"/>
              </w:rPr>
            </w:pPr>
            <w:r>
              <w:rPr>
                <w:rFonts w:hint="eastAsia" w:ascii="FangSong" w:hAnsi="FangSong" w:eastAsia="FangSong" w:cs="FangSong"/>
                <w:bCs/>
                <w:sz w:val="24"/>
                <w:szCs w:val="24"/>
              </w:rPr>
              <w:t>交付时间:</w:t>
            </w:r>
            <w:r>
              <w:rPr>
                <w:rFonts w:hint="eastAsia" w:ascii="FangSong" w:hAnsi="FangSong" w:eastAsia="FangSong" w:cs="FangSong"/>
                <w:b/>
                <w:bCs/>
                <w:sz w:val="24"/>
                <w:szCs w:val="24"/>
              </w:rPr>
              <w:t>合同签订后90个自然日内</w:t>
            </w:r>
            <w:r>
              <w:rPr>
                <w:rFonts w:hint="eastAsia" w:ascii="FangSong" w:hAnsi="FangSong" w:eastAsia="FangSong" w:cs="FangSong"/>
                <w:bCs/>
                <w:sz w:val="24"/>
                <w:szCs w:val="24"/>
              </w:rPr>
              <w:t>，未按照合同约定时间及时完成产品交货及安装的,每延迟一天，中标供应商应向医院支付本项目合同货款总价的0.5‰的违约金，延期30日,医院有权单方面解除合同，并要求中标供应商赔偿全部经济损失。</w:t>
            </w:r>
          </w:p>
        </w:tc>
      </w:tr>
      <w:tr w14:paraId="59A1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67E0AD14">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2</w:t>
            </w:r>
          </w:p>
        </w:tc>
        <w:tc>
          <w:tcPr>
            <w:tcW w:w="9244" w:type="dxa"/>
            <w:noWrap w:val="0"/>
            <w:vAlign w:val="top"/>
          </w:tcPr>
          <w:p w14:paraId="74201F1E">
            <w:pPr>
              <w:adjustRightInd w:val="0"/>
              <w:snapToGrid w:val="0"/>
              <w:rPr>
                <w:rFonts w:hint="eastAsia" w:ascii="FangSong" w:hAnsi="FangSong" w:eastAsia="FangSong" w:cs="FangSong"/>
                <w:b/>
                <w:sz w:val="24"/>
                <w:szCs w:val="24"/>
              </w:rPr>
            </w:pPr>
            <w:r>
              <w:rPr>
                <w:rFonts w:hint="eastAsia" w:ascii="FangSong" w:hAnsi="FangSong" w:eastAsia="FangSong" w:cs="FangSong"/>
                <w:bCs/>
                <w:sz w:val="24"/>
                <w:szCs w:val="24"/>
              </w:rPr>
              <w:t>交付地点:医院指定的地点</w:t>
            </w:r>
          </w:p>
        </w:tc>
      </w:tr>
      <w:tr w14:paraId="45A8A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6A8AA062">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3</w:t>
            </w:r>
          </w:p>
        </w:tc>
        <w:tc>
          <w:tcPr>
            <w:tcW w:w="9244" w:type="dxa"/>
            <w:noWrap w:val="0"/>
            <w:vAlign w:val="top"/>
          </w:tcPr>
          <w:p w14:paraId="0EB79121">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付款方式:</w:t>
            </w:r>
          </w:p>
          <w:p w14:paraId="2A2CA29E">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中标供应商应按照《中华人民共和国发票管理办法》的规定开具真实、合法、有效的发票，发票内容应开具齐全、正确，商品品名、规格型号与合同保持一致。验收合格后应及时开票,并注明开票人的全名。公司名称和银行账户信息发生变更，必须以书面方式及时通知医院方。</w:t>
            </w:r>
          </w:p>
          <w:p w14:paraId="15DB3E01">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医院方在货到验收合格，同时收到中标供应商开具符合要求的发票后:30日内支付中标供应商验收合格设备总价的90%，在设备正常使用半年后并在中标供应商提出申请后向中标供应商付清尾款。</w:t>
            </w:r>
          </w:p>
          <w:p w14:paraId="5524975B">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不满足上述付款条件的，医院有权延期付款且不承担任何责任，中标供应商应继续履行合同义务，合同另有约定的除外。</w:t>
            </w:r>
          </w:p>
          <w:p w14:paraId="500AD1C0">
            <w:pPr>
              <w:adjustRightInd w:val="0"/>
              <w:snapToGrid w:val="0"/>
              <w:rPr>
                <w:rFonts w:hint="eastAsia" w:ascii="FangSong" w:hAnsi="FangSong" w:eastAsia="FangSong" w:cs="FangSong"/>
                <w:b/>
                <w:sz w:val="24"/>
                <w:szCs w:val="24"/>
              </w:rPr>
            </w:pPr>
          </w:p>
        </w:tc>
      </w:tr>
      <w:tr w14:paraId="41CC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05941969">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4</w:t>
            </w:r>
          </w:p>
        </w:tc>
        <w:tc>
          <w:tcPr>
            <w:tcW w:w="9244" w:type="dxa"/>
            <w:noWrap w:val="0"/>
            <w:vAlign w:val="top"/>
          </w:tcPr>
          <w:p w14:paraId="755E2264">
            <w:pPr>
              <w:adjustRightInd w:val="0"/>
              <w:snapToGrid w:val="0"/>
              <w:rPr>
                <w:rFonts w:hint="eastAsia" w:ascii="FangSong" w:hAnsi="FangSong" w:eastAsia="FangSong" w:cs="FangSong"/>
                <w:b/>
                <w:sz w:val="24"/>
                <w:szCs w:val="24"/>
              </w:rPr>
            </w:pPr>
            <w:r>
              <w:rPr>
                <w:rFonts w:hint="eastAsia" w:ascii="FangSong" w:hAnsi="FangSong" w:eastAsia="FangSong" w:cs="FangSong"/>
                <w:bCs/>
                <w:sz w:val="24"/>
                <w:szCs w:val="24"/>
              </w:rPr>
              <w:t>保密:双方均同意对合同执行期间对方提供的资料信息以及履行合同过程中获知的技术信息、财务信息、患者信息及其他未公开信息予以保密，并在合同终止后长期保密，不得擅自使用、公开或泄露给第三方。若因一方擅自使用、公开或泄露另一方的保密信息而造成的损失，由违约方承担全部赔偿责任（包括但不限于因主张权利而产生的交通费、住宿费、律师费、诉讼费、调查费等)。</w:t>
            </w:r>
          </w:p>
        </w:tc>
      </w:tr>
      <w:tr w14:paraId="48307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726D2D19">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5</w:t>
            </w:r>
          </w:p>
        </w:tc>
        <w:tc>
          <w:tcPr>
            <w:tcW w:w="9244" w:type="dxa"/>
            <w:noWrap w:val="0"/>
            <w:vAlign w:val="top"/>
          </w:tcPr>
          <w:p w14:paraId="19E52335">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验收方案</w:t>
            </w:r>
          </w:p>
          <w:p w14:paraId="67EC70E0">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l、中标供应商将设备运送至医院方约定地点，运输费用由中标供应商承担。医院方验收合格前中标供应商负责本项目相关产品的安全;凡因包装、运输及储存不当造成货品损失的，由中标供应商全部负责。中标供应商可根据具体情况自费办理运输保险。同时中标供应商必须清理设备外包装等垃圾，由此产生的费用由中标供应商承担。</w:t>
            </w:r>
          </w:p>
          <w:p w14:paraId="1DC9101B">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2、中标供应商所交的设备不符合合同约定的，医院有权要求中标供应商达到合同要求，并且中标供应商需向医院支付合同总价30%的违约金，且医院有权解除合同并要求中标供应商在合同解除后5个工作日内退回医院全部货款。</w:t>
            </w:r>
          </w:p>
          <w:p w14:paraId="24722161">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3、开箱验收时必须有医院使用科室、医学装备保障部和中标供应商代表在场，按合同点货。</w:t>
            </w:r>
          </w:p>
          <w:p w14:paraId="6ACBD457">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4、中标供应商需提供全新的设备（含零部件、配件等），表面无划痕、无碰撞痕迹、产权清晰。验收时如发现设备有短装、次品、损坏或其它不符合标准，中标供应商应按医院要求的时间内补充和更换损坏部件，由此产生的时间延误与有关费用由中标供应商承担，交付、验收期限不顺延。</w:t>
            </w:r>
          </w:p>
          <w:p w14:paraId="40EB1335">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5、中标供应商负责仪器的安装调试，正常运行后并负责出具安装报告，报告上应有医院使用科室、医学装备保障部、中标供应商代表的签字。</w:t>
            </w:r>
          </w:p>
          <w:p w14:paraId="7E34F7B3">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6、中标供应商负责对医院技术人员进行技术培训（可多次培训），并出具培训报告，由医院被培训的人员签字和中标供应商代表签字;中标供应商将安装验收报告、培训报告、合格证或报关单（仅限于进口设备）交医院医学装备保障部后视为验收合格。(培训费用包含在报价内)</w:t>
            </w:r>
          </w:p>
          <w:p w14:paraId="061376DB">
            <w:pPr>
              <w:adjustRightInd w:val="0"/>
              <w:snapToGrid w:val="0"/>
              <w:rPr>
                <w:rFonts w:hint="eastAsia" w:ascii="FangSong" w:hAnsi="FangSong" w:eastAsia="FangSong" w:cs="FangSong"/>
                <w:bCs/>
                <w:sz w:val="24"/>
                <w:szCs w:val="24"/>
              </w:rPr>
            </w:pPr>
            <w:r>
              <w:rPr>
                <w:rFonts w:hint="eastAsia" w:ascii="FangSong" w:hAnsi="FangSong" w:eastAsia="FangSong" w:cs="FangSong"/>
                <w:bCs/>
                <w:sz w:val="24"/>
                <w:szCs w:val="24"/>
              </w:rPr>
              <w:t>7、中标供应商应配合因医院科室变动、医院搬迁等造成的设备使用地址搬动。</w:t>
            </w:r>
          </w:p>
          <w:p w14:paraId="643FAB05">
            <w:pPr>
              <w:adjustRightInd w:val="0"/>
              <w:snapToGrid w:val="0"/>
              <w:rPr>
                <w:rFonts w:hint="eastAsia" w:ascii="FangSong" w:hAnsi="FangSong" w:eastAsia="FangSong" w:cs="FangSong"/>
                <w:b/>
                <w:sz w:val="24"/>
                <w:szCs w:val="24"/>
              </w:rPr>
            </w:pPr>
            <w:r>
              <w:rPr>
                <w:rFonts w:hint="eastAsia" w:ascii="FangSong" w:hAnsi="FangSong" w:eastAsia="FangSong" w:cs="FangSong"/>
                <w:bCs/>
                <w:sz w:val="24"/>
                <w:szCs w:val="24"/>
              </w:rPr>
              <w:t>8、未尽事项以医院装备部《验收依据审核制度》、《设备安装、验收制度》解释为准。</w:t>
            </w:r>
          </w:p>
        </w:tc>
      </w:tr>
      <w:tr w14:paraId="3AC90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30561AE0">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6</w:t>
            </w:r>
          </w:p>
        </w:tc>
        <w:tc>
          <w:tcPr>
            <w:tcW w:w="9244" w:type="dxa"/>
            <w:noWrap w:val="0"/>
            <w:vAlign w:val="top"/>
          </w:tcPr>
          <w:p w14:paraId="627EE3F9">
            <w:pPr>
              <w:adjustRightInd w:val="0"/>
              <w:snapToGrid w:val="0"/>
              <w:rPr>
                <w:rFonts w:hint="eastAsia" w:ascii="FangSong" w:hAnsi="FangSong" w:eastAsia="FangSong" w:cs="FangSong"/>
                <w:b/>
                <w:sz w:val="24"/>
                <w:szCs w:val="24"/>
              </w:rPr>
            </w:pPr>
            <w:r>
              <w:rPr>
                <w:rFonts w:hint="eastAsia" w:ascii="FangSong" w:hAnsi="FangSong" w:eastAsia="FangSong" w:cs="FangSong"/>
                <w:sz w:val="24"/>
                <w:szCs w:val="24"/>
              </w:rPr>
              <w:t>质保需提供原厂质保，提供生产厂家授权函或国内总代承诺函（仅限于进口设备）。</w:t>
            </w:r>
          </w:p>
        </w:tc>
      </w:tr>
      <w:tr w14:paraId="4DBB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5422E9C0">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7</w:t>
            </w:r>
          </w:p>
        </w:tc>
        <w:tc>
          <w:tcPr>
            <w:tcW w:w="9244" w:type="dxa"/>
            <w:noWrap w:val="0"/>
            <w:vAlign w:val="top"/>
          </w:tcPr>
          <w:p w14:paraId="309266A5">
            <w:pPr>
              <w:adjustRightInd w:val="0"/>
              <w:snapToGrid w:val="0"/>
              <w:rPr>
                <w:rFonts w:hint="eastAsia" w:ascii="FangSong" w:hAnsi="FangSong" w:eastAsia="FangSong" w:cs="FangSong"/>
                <w:sz w:val="24"/>
                <w:szCs w:val="24"/>
              </w:rPr>
            </w:pPr>
            <w:r>
              <w:rPr>
                <w:rFonts w:hint="eastAsia" w:ascii="FangSong" w:hAnsi="FangSong" w:eastAsia="FangSong" w:cs="FangSong"/>
                <w:sz w:val="24"/>
                <w:szCs w:val="24"/>
              </w:rPr>
              <w:t>从设备安装调试验收合格之日起计算，整机免费质保期:_≥1_年(不在整机质保范围内的明细,需要在合同中明确;如未明确视为均在质保范围内）。</w:t>
            </w:r>
          </w:p>
        </w:tc>
      </w:tr>
      <w:tr w14:paraId="00E9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3F63C57C">
            <w:pPr>
              <w:adjustRightInd w:val="0"/>
              <w:snapToGrid w:val="0"/>
              <w:jc w:val="center"/>
              <w:rPr>
                <w:rFonts w:hint="eastAsia" w:ascii="FangSong" w:hAnsi="FangSong" w:eastAsia="FangSong" w:cs="FangSong"/>
                <w:b/>
                <w:sz w:val="24"/>
                <w:szCs w:val="24"/>
              </w:rPr>
            </w:pPr>
            <w:r>
              <w:rPr>
                <w:rFonts w:hint="eastAsia" w:ascii="FangSong" w:hAnsi="FangSong" w:eastAsia="FangSong" w:cs="FangSong"/>
                <w:b/>
                <w:sz w:val="24"/>
                <w:szCs w:val="24"/>
              </w:rPr>
              <w:t>8</w:t>
            </w:r>
          </w:p>
        </w:tc>
        <w:tc>
          <w:tcPr>
            <w:tcW w:w="9244" w:type="dxa"/>
            <w:noWrap w:val="0"/>
            <w:vAlign w:val="top"/>
          </w:tcPr>
          <w:p w14:paraId="2C0A7D30">
            <w:pPr>
              <w:adjustRightInd w:val="0"/>
              <w:snapToGrid w:val="0"/>
              <w:rPr>
                <w:rFonts w:hint="eastAsia" w:ascii="FangSong" w:hAnsi="FangSong" w:eastAsia="FangSong" w:cs="FangSong"/>
                <w:sz w:val="24"/>
                <w:szCs w:val="24"/>
              </w:rPr>
            </w:pPr>
            <w:r>
              <w:rPr>
                <w:rFonts w:hint="eastAsia" w:ascii="FangSong" w:hAnsi="FangSong" w:eastAsia="FangSong" w:cs="FangSong"/>
                <w:sz w:val="24"/>
                <w:szCs w:val="24"/>
              </w:rPr>
              <w:t>项目中涉及的软件，需提供终身软件维护服务，包括升级，开放接口等，其费用包含在报价中。</w:t>
            </w:r>
          </w:p>
        </w:tc>
      </w:tr>
    </w:tbl>
    <w:p w14:paraId="77B846CD">
      <w:pPr>
        <w:adjustRightInd w:val="0"/>
        <w:snapToGrid w:val="0"/>
        <w:spacing w:line="500" w:lineRule="exact"/>
        <w:ind w:firstLine="562" w:firstLineChars="200"/>
        <w:outlineLvl w:val="1"/>
        <w:rPr>
          <w:rFonts w:hint="eastAsia" w:ascii="FangSong" w:hAnsi="FangSong" w:eastAsia="FangSong" w:cs="FangSong"/>
          <w:b/>
          <w:bCs/>
          <w:sz w:val="28"/>
          <w:szCs w:val="28"/>
        </w:rPr>
      </w:pPr>
      <w:r>
        <w:rPr>
          <w:rFonts w:hint="eastAsia" w:ascii="FangSong" w:hAnsi="FangSong" w:eastAsia="FangSong" w:cs="FangSong"/>
          <w:b/>
          <w:bCs/>
          <w:sz w:val="28"/>
          <w:szCs w:val="28"/>
        </w:rPr>
        <w:t>四、项目售后服务：</w:t>
      </w:r>
    </w:p>
    <w:tbl>
      <w:tblPr>
        <w:tblStyle w:val="1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9253"/>
      </w:tblGrid>
      <w:tr w14:paraId="2135E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3" w:type="pct"/>
            <w:noWrap w:val="0"/>
            <w:vAlign w:val="top"/>
          </w:tcPr>
          <w:p w14:paraId="78A3A075">
            <w:pPr>
              <w:rPr>
                <w:rFonts w:hint="eastAsia" w:ascii="FangSong" w:hAnsi="FangSong" w:eastAsia="FangSong" w:cs="FangSong"/>
                <w:b/>
                <w:sz w:val="24"/>
                <w:szCs w:val="24"/>
              </w:rPr>
            </w:pPr>
            <w:r>
              <w:rPr>
                <w:rFonts w:hint="eastAsia" w:ascii="FangSong" w:hAnsi="FangSong" w:eastAsia="FangSong" w:cs="FangSong"/>
                <w:b/>
                <w:sz w:val="24"/>
                <w:szCs w:val="24"/>
              </w:rPr>
              <w:t>序号</w:t>
            </w:r>
          </w:p>
        </w:tc>
        <w:tc>
          <w:tcPr>
            <w:tcW w:w="4646" w:type="pct"/>
            <w:noWrap w:val="0"/>
            <w:vAlign w:val="top"/>
          </w:tcPr>
          <w:p w14:paraId="1DCF4BB0">
            <w:pPr>
              <w:rPr>
                <w:rFonts w:hint="eastAsia" w:ascii="FangSong" w:hAnsi="FangSong" w:eastAsia="FangSong" w:cs="FangSong"/>
                <w:b/>
                <w:sz w:val="24"/>
                <w:szCs w:val="24"/>
              </w:rPr>
            </w:pPr>
            <w:r>
              <w:rPr>
                <w:rFonts w:hint="eastAsia" w:ascii="FangSong" w:hAnsi="FangSong" w:eastAsia="FangSong" w:cs="FangSong"/>
                <w:b/>
                <w:sz w:val="24"/>
                <w:szCs w:val="24"/>
              </w:rPr>
              <w:t>售后服务要求</w:t>
            </w:r>
          </w:p>
        </w:tc>
      </w:tr>
      <w:tr w14:paraId="154A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 w:type="pct"/>
            <w:noWrap w:val="0"/>
            <w:vAlign w:val="center"/>
          </w:tcPr>
          <w:p w14:paraId="1554E70B">
            <w:pPr>
              <w:jc w:val="center"/>
              <w:rPr>
                <w:rFonts w:hint="eastAsia" w:ascii="FangSong" w:hAnsi="FangSong" w:eastAsia="FangSong" w:cs="FangSong"/>
                <w:b/>
                <w:sz w:val="24"/>
                <w:szCs w:val="24"/>
              </w:rPr>
            </w:pPr>
            <w:r>
              <w:rPr>
                <w:rFonts w:hint="eastAsia" w:ascii="FangSong" w:hAnsi="FangSong" w:eastAsia="FangSong" w:cs="FangSong"/>
                <w:b/>
                <w:sz w:val="24"/>
                <w:szCs w:val="24"/>
              </w:rPr>
              <w:t>1</w:t>
            </w:r>
          </w:p>
        </w:tc>
        <w:tc>
          <w:tcPr>
            <w:tcW w:w="4646" w:type="pct"/>
            <w:noWrap w:val="0"/>
            <w:vAlign w:val="top"/>
          </w:tcPr>
          <w:p w14:paraId="0CE3C21C">
            <w:pPr>
              <w:rPr>
                <w:rFonts w:hint="eastAsia" w:ascii="FangSong" w:hAnsi="FangSong" w:eastAsia="FangSong" w:cs="FangSong"/>
                <w:b/>
                <w:sz w:val="24"/>
                <w:szCs w:val="24"/>
              </w:rPr>
            </w:pPr>
            <w:r>
              <w:rPr>
                <w:rFonts w:hint="eastAsia" w:ascii="FangSong" w:hAnsi="FangSong" w:eastAsia="FangSong" w:cs="FangSong"/>
                <w:sz w:val="24"/>
                <w:szCs w:val="24"/>
              </w:rPr>
              <w:t>质保期内，中标供应商对设备质量出现问题的设备承诺三包（包修、包换、包退)，费用由中标供应商承担。如设备中标供应商2次维修仍不能达到合同约定的质量标准，无法满足正常使用的情况，医院有权追究中标供应商违约责任，同时医院有权单方面解除合同进行退货，中标供应商应当退还医院已付的全部款项。</w:t>
            </w:r>
          </w:p>
        </w:tc>
      </w:tr>
      <w:tr w14:paraId="6AB5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 w:type="pct"/>
            <w:noWrap w:val="0"/>
            <w:vAlign w:val="center"/>
          </w:tcPr>
          <w:p w14:paraId="78A2E099">
            <w:pPr>
              <w:jc w:val="center"/>
              <w:rPr>
                <w:rFonts w:hint="eastAsia" w:ascii="FangSong" w:hAnsi="FangSong" w:eastAsia="FangSong" w:cs="FangSong"/>
                <w:b/>
                <w:sz w:val="24"/>
                <w:szCs w:val="24"/>
              </w:rPr>
            </w:pPr>
            <w:r>
              <w:rPr>
                <w:rFonts w:hint="eastAsia" w:ascii="FangSong" w:hAnsi="FangSong" w:eastAsia="FangSong" w:cs="FangSong"/>
                <w:b/>
                <w:sz w:val="24"/>
                <w:szCs w:val="24"/>
              </w:rPr>
              <w:t>2</w:t>
            </w:r>
          </w:p>
        </w:tc>
        <w:tc>
          <w:tcPr>
            <w:tcW w:w="4646" w:type="pct"/>
            <w:noWrap w:val="0"/>
            <w:vAlign w:val="top"/>
          </w:tcPr>
          <w:p w14:paraId="58377085">
            <w:pPr>
              <w:rPr>
                <w:rFonts w:hint="eastAsia" w:ascii="FangSong" w:hAnsi="FangSong" w:eastAsia="FangSong" w:cs="FangSong"/>
                <w:b/>
                <w:sz w:val="24"/>
                <w:szCs w:val="24"/>
              </w:rPr>
            </w:pPr>
            <w:r>
              <w:rPr>
                <w:rFonts w:hint="eastAsia" w:ascii="FangSong" w:hAnsi="FangSong" w:eastAsia="FangSong" w:cs="FangSong"/>
                <w:sz w:val="24"/>
                <w:szCs w:val="24"/>
              </w:rPr>
              <w:t>在质保期内，若中标供应商接到医院方维保、报修通知后4小时内未响应，每延迟1小时，中标供应商将支付医院方合同总价的0.1‰作为违约金;延迟达10小时的，医院有权委托第三方进行维保，由此产生的全部费用由中标供应商承担;如中标供应商2次出现未响应的情况，医院有权追究中标供应商违约责任，同时医院有权单方面解除合同进行退货，中标供应商应当退还医院已付的全部款项。</w:t>
            </w:r>
          </w:p>
        </w:tc>
      </w:tr>
    </w:tbl>
    <w:p w14:paraId="076F3B6B">
      <w:pPr>
        <w:pStyle w:val="20"/>
        <w:adjustRightInd w:val="0"/>
        <w:snapToGrid w:val="0"/>
        <w:spacing w:before="0" w:after="0" w:line="500" w:lineRule="exact"/>
        <w:ind w:firstLine="562" w:firstLineChars="200"/>
        <w:outlineLvl w:val="1"/>
        <w:rPr>
          <w:rFonts w:hint="eastAsia" w:ascii="FangSong" w:hAnsi="FangSong" w:eastAsia="FangSong" w:cs="FangSong"/>
          <w:sz w:val="28"/>
        </w:rPr>
      </w:pPr>
      <w:r>
        <w:rPr>
          <w:rFonts w:hint="eastAsia" w:ascii="FangSong" w:hAnsi="FangSong" w:eastAsia="FangSong" w:cs="FangSong"/>
          <w:sz w:val="28"/>
        </w:rPr>
        <w:t>五、项目其他要求</w:t>
      </w:r>
    </w:p>
    <w:p w14:paraId="761078CC">
      <w:pPr>
        <w:autoSpaceDE w:val="0"/>
        <w:adjustRightInd w:val="0"/>
        <w:snapToGrid w:val="0"/>
        <w:spacing w:line="500" w:lineRule="exact"/>
        <w:ind w:firstLine="560" w:firstLineChars="200"/>
        <w:rPr>
          <w:rFonts w:hint="eastAsia" w:ascii="FangSong" w:hAnsi="FangSong" w:eastAsia="FangSong" w:cs="FangSong"/>
          <w:bCs/>
          <w:sz w:val="28"/>
          <w:szCs w:val="28"/>
        </w:rPr>
      </w:pPr>
      <w:r>
        <w:rPr>
          <w:rFonts w:hint="eastAsia" w:ascii="FangSong" w:hAnsi="FangSong" w:eastAsia="FangSong" w:cs="FangSong"/>
          <w:sz w:val="28"/>
          <w:szCs w:val="28"/>
        </w:rPr>
        <w:t>供应商需提供</w:t>
      </w:r>
      <w:r>
        <w:rPr>
          <w:rFonts w:hint="eastAsia" w:ascii="FangSong" w:hAnsi="FangSong" w:eastAsia="FangSong" w:cs="FangSong"/>
          <w:sz w:val="28"/>
          <w:szCs w:val="28"/>
          <w:lang w:val="zh-CN"/>
        </w:rPr>
        <w:t>制造厂商综合情况、履约能力、售后服务</w:t>
      </w:r>
      <w:r>
        <w:rPr>
          <w:rFonts w:hint="eastAsia" w:ascii="FangSong" w:hAnsi="FangSong" w:eastAsia="FangSong" w:cs="FangSong"/>
          <w:sz w:val="28"/>
          <w:szCs w:val="28"/>
        </w:rPr>
        <w:t>等证明材料，具体要求详见评分标准。</w:t>
      </w:r>
    </w:p>
    <w:p w14:paraId="03986A30">
      <w:pPr>
        <w:pStyle w:val="21"/>
      </w:pPr>
    </w:p>
    <w:p w14:paraId="686B1180">
      <w:pPr>
        <w:pStyle w:val="21"/>
        <w:spacing w:line="500" w:lineRule="exact"/>
        <w:rPr>
          <w:rFonts w:hint="default"/>
          <w:color w:val="auto"/>
          <w:highlight w:val="none"/>
          <w:lang w:val="en-US" w:eastAsia="zh-CN"/>
        </w:rPr>
      </w:pPr>
      <w:r>
        <w:rPr>
          <w:rFonts w:hint="eastAsia" w:ascii="FangSong" w:hAnsi="FangSong" w:eastAsia="FangSong" w:cs="FangSong"/>
          <w:b/>
          <w:bCs/>
          <w:sz w:val="28"/>
          <w:szCs w:val="28"/>
        </w:rPr>
        <w:t>注：1、</w:t>
      </w:r>
      <w:r>
        <w:rPr>
          <w:rFonts w:hint="eastAsia" w:ascii="FangSong" w:hAnsi="FangSong" w:eastAsia="FangSong" w:cs="FangSong"/>
          <w:b/>
          <w:kern w:val="2"/>
          <w:sz w:val="28"/>
          <w:szCs w:val="28"/>
        </w:rPr>
        <w:t>若技术要求中指定或变相指定品牌、型号、产地等均不作为招标要求。</w:t>
      </w:r>
      <w:r>
        <w:rPr>
          <w:rFonts w:hint="eastAsia" w:ascii="FangSong" w:hAnsi="FangSong" w:eastAsia="FangSong" w:cs="FangSong"/>
          <w:b/>
          <w:kern w:val="2"/>
          <w:sz w:val="28"/>
        </w:rPr>
        <w:t>2</w:t>
      </w:r>
      <w:r>
        <w:rPr>
          <w:rFonts w:hint="eastAsia" w:ascii="FangSong" w:hAnsi="FangSong" w:eastAsia="FangSong" w:cs="FangSong"/>
          <w:b/>
          <w:kern w:val="2"/>
          <w:sz w:val="28"/>
          <w:szCs w:val="28"/>
        </w:rPr>
        <w:t>、“▲”为实质性要求，不满足做无效投标处理，“</w:t>
      </w:r>
      <w:r>
        <w:rPr>
          <w:rFonts w:hint="eastAsia" w:ascii="FangSong" w:hAnsi="FangSong" w:eastAsia="FangSong" w:cs="FangSong"/>
          <w:sz w:val="24"/>
          <w:szCs w:val="24"/>
        </w:rPr>
        <w:t>★</w:t>
      </w:r>
      <w:r>
        <w:rPr>
          <w:rFonts w:hint="eastAsia" w:ascii="FangSong" w:hAnsi="FangSong" w:eastAsia="FangSong" w:cs="FangSong"/>
          <w:b/>
          <w:kern w:val="2"/>
          <w:sz w:val="28"/>
          <w:szCs w:val="28"/>
        </w:rPr>
        <w:t>”为重要参数，不满足做重点扣分处理。</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_GB2312">
    <w:altName w:val="FangSong"/>
    <w:panose1 w:val="02010609030101010101"/>
    <w:charset w:val="86"/>
    <w:family w:val="modern"/>
    <w:pitch w:val="default"/>
    <w:sig w:usb0="00000000" w:usb1="00000000" w:usb2="00000000" w:usb3="00000000" w:csb0="00040000" w:csb1="00000000"/>
  </w:font>
  <w:font w:name="等线">
    <w:altName w:val="Microsoft YaHei"/>
    <w:panose1 w:val="02010600030101010101"/>
    <w:charset w:val="86"/>
    <w:family w:val="auto"/>
    <w:pitch w:val="default"/>
    <w:sig w:usb0="00000000" w:usb1="00000000" w:usb2="00000016" w:usb3="00000000" w:csb0="0004000F" w:csb1="00000000"/>
  </w:font>
  <w:font w:name="FangSong">
    <w:panose1 w:val="02010609060101010101"/>
    <w:charset w:val="86"/>
    <w:family w:val="auto"/>
    <w:pitch w:val="default"/>
    <w:sig w:usb0="800002BF" w:usb1="38CF7CFA" w:usb2="00000016" w:usb3="00000000" w:csb0="00040001" w:csb1="00000000"/>
  </w:font>
  <w:font w:name="华文中宋">
    <w:altName w:val="SimSun"/>
    <w:panose1 w:val="02010600040101010101"/>
    <w:charset w:val="86"/>
    <w:family w:val="auto"/>
    <w:pitch w:val="default"/>
    <w:sig w:usb0="00000000" w:usb1="00000000" w:usb2="00000000" w:usb3="00000000" w:csb0="0004009F" w:csb1="DFD70000"/>
  </w:font>
  <w:font w:name="Gulim">
    <w:panose1 w:val="020B0600000101010101"/>
    <w:charset w:val="81"/>
    <w:family w:val="auto"/>
    <w:pitch w:val="default"/>
    <w:sig w:usb0="B00002AF" w:usb1="69D77CFB" w:usb2="00000030" w:usb3="00000000" w:csb0="4008009F" w:csb1="DFD70000"/>
  </w:font>
  <w:font w:name="Microsoft YaHei">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B85DD">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D006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ABA13B"/>
    <w:multiLevelType w:val="singleLevel"/>
    <w:tmpl w:val="5BABA13B"/>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wYmJlNzJmNTAxYjUxM2FhOGU4MzJmOWJhY2Y2NTAifQ=="/>
  </w:docVars>
  <w:rsids>
    <w:rsidRoot w:val="00172A27"/>
    <w:rsid w:val="006D03EC"/>
    <w:rsid w:val="008B09D2"/>
    <w:rsid w:val="00D348C5"/>
    <w:rsid w:val="01024F49"/>
    <w:rsid w:val="01651535"/>
    <w:rsid w:val="01691121"/>
    <w:rsid w:val="02C24BF1"/>
    <w:rsid w:val="02FA63BF"/>
    <w:rsid w:val="03353333"/>
    <w:rsid w:val="0353454B"/>
    <w:rsid w:val="03D34A61"/>
    <w:rsid w:val="043F299D"/>
    <w:rsid w:val="04A406E7"/>
    <w:rsid w:val="04AB0032"/>
    <w:rsid w:val="058D5311"/>
    <w:rsid w:val="05A01219"/>
    <w:rsid w:val="05FF44C6"/>
    <w:rsid w:val="06857284"/>
    <w:rsid w:val="07043A2A"/>
    <w:rsid w:val="07E04497"/>
    <w:rsid w:val="083E18C6"/>
    <w:rsid w:val="08514A4D"/>
    <w:rsid w:val="08E8156F"/>
    <w:rsid w:val="091C4820"/>
    <w:rsid w:val="0A391C3C"/>
    <w:rsid w:val="0B6B3FE4"/>
    <w:rsid w:val="0C5B40EC"/>
    <w:rsid w:val="0C92295F"/>
    <w:rsid w:val="0CBC3A2C"/>
    <w:rsid w:val="0CEA100E"/>
    <w:rsid w:val="0D2D0C59"/>
    <w:rsid w:val="0D894C89"/>
    <w:rsid w:val="0E116CC5"/>
    <w:rsid w:val="0EB80D7A"/>
    <w:rsid w:val="0EFD148A"/>
    <w:rsid w:val="0F096E0C"/>
    <w:rsid w:val="0FC24485"/>
    <w:rsid w:val="0FDA6399"/>
    <w:rsid w:val="107F4935"/>
    <w:rsid w:val="12060336"/>
    <w:rsid w:val="12107727"/>
    <w:rsid w:val="1252532D"/>
    <w:rsid w:val="125C471A"/>
    <w:rsid w:val="12687563"/>
    <w:rsid w:val="12702EE7"/>
    <w:rsid w:val="12FF2D02"/>
    <w:rsid w:val="136B4FBA"/>
    <w:rsid w:val="13BC56DC"/>
    <w:rsid w:val="13EA48D0"/>
    <w:rsid w:val="14BD1DC5"/>
    <w:rsid w:val="176B31B4"/>
    <w:rsid w:val="17707E2F"/>
    <w:rsid w:val="183C645E"/>
    <w:rsid w:val="185319F9"/>
    <w:rsid w:val="186428AD"/>
    <w:rsid w:val="197B2E94"/>
    <w:rsid w:val="19A178A8"/>
    <w:rsid w:val="19E35721"/>
    <w:rsid w:val="1A0A1C0B"/>
    <w:rsid w:val="1AA71DF0"/>
    <w:rsid w:val="1BB345EE"/>
    <w:rsid w:val="1BCD477C"/>
    <w:rsid w:val="1BD5585F"/>
    <w:rsid w:val="1BE03643"/>
    <w:rsid w:val="1C0F15A4"/>
    <w:rsid w:val="1C0F2145"/>
    <w:rsid w:val="1C4A499B"/>
    <w:rsid w:val="1C5367B6"/>
    <w:rsid w:val="1D073BBF"/>
    <w:rsid w:val="1D5C5F16"/>
    <w:rsid w:val="1D7506F5"/>
    <w:rsid w:val="1DBA49EB"/>
    <w:rsid w:val="1DE008F5"/>
    <w:rsid w:val="1DE32193"/>
    <w:rsid w:val="1E7033C9"/>
    <w:rsid w:val="1EDA3FF2"/>
    <w:rsid w:val="1F190B23"/>
    <w:rsid w:val="1FED3EFF"/>
    <w:rsid w:val="1FF25B8F"/>
    <w:rsid w:val="203F17EF"/>
    <w:rsid w:val="213276BA"/>
    <w:rsid w:val="21705BE6"/>
    <w:rsid w:val="21BF7C03"/>
    <w:rsid w:val="221B1BBB"/>
    <w:rsid w:val="222B5EB7"/>
    <w:rsid w:val="22502F2F"/>
    <w:rsid w:val="22941CAE"/>
    <w:rsid w:val="22A76D57"/>
    <w:rsid w:val="241D4568"/>
    <w:rsid w:val="242417BD"/>
    <w:rsid w:val="244720DC"/>
    <w:rsid w:val="246A53BC"/>
    <w:rsid w:val="24A11588"/>
    <w:rsid w:val="24D75C38"/>
    <w:rsid w:val="24F7627F"/>
    <w:rsid w:val="25B763DF"/>
    <w:rsid w:val="25CF6C64"/>
    <w:rsid w:val="26101006"/>
    <w:rsid w:val="27DF5779"/>
    <w:rsid w:val="27E64B9D"/>
    <w:rsid w:val="281D01E4"/>
    <w:rsid w:val="28244A04"/>
    <w:rsid w:val="28846321"/>
    <w:rsid w:val="28B1167C"/>
    <w:rsid w:val="291937B0"/>
    <w:rsid w:val="2B1C3729"/>
    <w:rsid w:val="2B451554"/>
    <w:rsid w:val="2C607B59"/>
    <w:rsid w:val="2C856E86"/>
    <w:rsid w:val="2C8965FC"/>
    <w:rsid w:val="2C90003D"/>
    <w:rsid w:val="2CA660EE"/>
    <w:rsid w:val="2CB74AF7"/>
    <w:rsid w:val="2D3D0B3B"/>
    <w:rsid w:val="2D483DC1"/>
    <w:rsid w:val="2D686211"/>
    <w:rsid w:val="2E347837"/>
    <w:rsid w:val="2E7B3D22"/>
    <w:rsid w:val="2E954DE4"/>
    <w:rsid w:val="2F6E3A63"/>
    <w:rsid w:val="2FD1415E"/>
    <w:rsid w:val="2FFA23FD"/>
    <w:rsid w:val="302E3742"/>
    <w:rsid w:val="30566FD0"/>
    <w:rsid w:val="30616DBB"/>
    <w:rsid w:val="306233EC"/>
    <w:rsid w:val="30784CC3"/>
    <w:rsid w:val="30F93D50"/>
    <w:rsid w:val="31004CB5"/>
    <w:rsid w:val="312361E3"/>
    <w:rsid w:val="31320EB6"/>
    <w:rsid w:val="31611634"/>
    <w:rsid w:val="323B5CA2"/>
    <w:rsid w:val="339B5CEC"/>
    <w:rsid w:val="3437468E"/>
    <w:rsid w:val="344863F2"/>
    <w:rsid w:val="345159B3"/>
    <w:rsid w:val="34930017"/>
    <w:rsid w:val="34DB53BF"/>
    <w:rsid w:val="35767B03"/>
    <w:rsid w:val="35B41941"/>
    <w:rsid w:val="35D84FD6"/>
    <w:rsid w:val="37195161"/>
    <w:rsid w:val="373106EE"/>
    <w:rsid w:val="37353608"/>
    <w:rsid w:val="3757310C"/>
    <w:rsid w:val="386F4EAC"/>
    <w:rsid w:val="391A78E1"/>
    <w:rsid w:val="396E4BAF"/>
    <w:rsid w:val="3B660D01"/>
    <w:rsid w:val="3BF30E6F"/>
    <w:rsid w:val="3C0B0DDB"/>
    <w:rsid w:val="3C246007"/>
    <w:rsid w:val="3D0347C9"/>
    <w:rsid w:val="3DB124C2"/>
    <w:rsid w:val="3E5021D3"/>
    <w:rsid w:val="3EBC3BE3"/>
    <w:rsid w:val="3F9D41C3"/>
    <w:rsid w:val="404B45DD"/>
    <w:rsid w:val="40A055E4"/>
    <w:rsid w:val="410D0279"/>
    <w:rsid w:val="4175643F"/>
    <w:rsid w:val="41797DF0"/>
    <w:rsid w:val="417E204F"/>
    <w:rsid w:val="43146527"/>
    <w:rsid w:val="435B1210"/>
    <w:rsid w:val="43F15DC2"/>
    <w:rsid w:val="444C5A43"/>
    <w:rsid w:val="44703E94"/>
    <w:rsid w:val="447D214A"/>
    <w:rsid w:val="45886FF9"/>
    <w:rsid w:val="46965919"/>
    <w:rsid w:val="46E6047B"/>
    <w:rsid w:val="46E82445"/>
    <w:rsid w:val="46FC3137"/>
    <w:rsid w:val="475A633F"/>
    <w:rsid w:val="47B33D64"/>
    <w:rsid w:val="4B8D35BB"/>
    <w:rsid w:val="4C63126C"/>
    <w:rsid w:val="4C637D9C"/>
    <w:rsid w:val="4CD77B1B"/>
    <w:rsid w:val="4D5A746B"/>
    <w:rsid w:val="4D5C7C4A"/>
    <w:rsid w:val="4D9B404E"/>
    <w:rsid w:val="4DDC4C8C"/>
    <w:rsid w:val="4E0329AC"/>
    <w:rsid w:val="4E0F02B7"/>
    <w:rsid w:val="4FA20F4F"/>
    <w:rsid w:val="4FE614EB"/>
    <w:rsid w:val="4FFB1593"/>
    <w:rsid w:val="501B4920"/>
    <w:rsid w:val="502C3333"/>
    <w:rsid w:val="50656A43"/>
    <w:rsid w:val="515D58AC"/>
    <w:rsid w:val="5208412D"/>
    <w:rsid w:val="520A1843"/>
    <w:rsid w:val="52354064"/>
    <w:rsid w:val="53555A56"/>
    <w:rsid w:val="53A77A38"/>
    <w:rsid w:val="53D224B3"/>
    <w:rsid w:val="543C6BD8"/>
    <w:rsid w:val="545474B1"/>
    <w:rsid w:val="54547F90"/>
    <w:rsid w:val="54F31330"/>
    <w:rsid w:val="558A0274"/>
    <w:rsid w:val="561D2540"/>
    <w:rsid w:val="56282A48"/>
    <w:rsid w:val="56DF008F"/>
    <w:rsid w:val="57080C0F"/>
    <w:rsid w:val="57F70649"/>
    <w:rsid w:val="57FE4EC6"/>
    <w:rsid w:val="583271E7"/>
    <w:rsid w:val="58386519"/>
    <w:rsid w:val="588C0756"/>
    <w:rsid w:val="58C05C20"/>
    <w:rsid w:val="59423723"/>
    <w:rsid w:val="597F3196"/>
    <w:rsid w:val="59D847E8"/>
    <w:rsid w:val="5A475E8D"/>
    <w:rsid w:val="5A5F05EA"/>
    <w:rsid w:val="5A7B6CD4"/>
    <w:rsid w:val="5B9C117D"/>
    <w:rsid w:val="5C7834CB"/>
    <w:rsid w:val="5C84672A"/>
    <w:rsid w:val="5CF07506"/>
    <w:rsid w:val="5D283143"/>
    <w:rsid w:val="5E4E3A4B"/>
    <w:rsid w:val="5ECA5F08"/>
    <w:rsid w:val="604E233C"/>
    <w:rsid w:val="60CD1047"/>
    <w:rsid w:val="61211191"/>
    <w:rsid w:val="6156418A"/>
    <w:rsid w:val="621974FF"/>
    <w:rsid w:val="62487671"/>
    <w:rsid w:val="62701944"/>
    <w:rsid w:val="63135732"/>
    <w:rsid w:val="63170FCA"/>
    <w:rsid w:val="63A804B5"/>
    <w:rsid w:val="642E7236"/>
    <w:rsid w:val="64A3242D"/>
    <w:rsid w:val="651E7E2D"/>
    <w:rsid w:val="6615622F"/>
    <w:rsid w:val="6680501B"/>
    <w:rsid w:val="67030D6B"/>
    <w:rsid w:val="671D6DDB"/>
    <w:rsid w:val="67F97798"/>
    <w:rsid w:val="67FC76A6"/>
    <w:rsid w:val="690507DD"/>
    <w:rsid w:val="69334257"/>
    <w:rsid w:val="694E41B4"/>
    <w:rsid w:val="69967EAB"/>
    <w:rsid w:val="69A7361C"/>
    <w:rsid w:val="6A1D308C"/>
    <w:rsid w:val="6AB466D0"/>
    <w:rsid w:val="6BC124C3"/>
    <w:rsid w:val="6C03799C"/>
    <w:rsid w:val="6C0D3D2E"/>
    <w:rsid w:val="6D27740D"/>
    <w:rsid w:val="6D7E0B5E"/>
    <w:rsid w:val="6DF71419"/>
    <w:rsid w:val="6E470F4F"/>
    <w:rsid w:val="6E914D8E"/>
    <w:rsid w:val="70016545"/>
    <w:rsid w:val="70DD3194"/>
    <w:rsid w:val="70F128AA"/>
    <w:rsid w:val="71B26ED5"/>
    <w:rsid w:val="71FF1D0A"/>
    <w:rsid w:val="72034A70"/>
    <w:rsid w:val="72617B57"/>
    <w:rsid w:val="72B03567"/>
    <w:rsid w:val="72E26D38"/>
    <w:rsid w:val="735C12CB"/>
    <w:rsid w:val="739F3DE2"/>
    <w:rsid w:val="73A7019D"/>
    <w:rsid w:val="73B202C7"/>
    <w:rsid w:val="73E54550"/>
    <w:rsid w:val="74367A9C"/>
    <w:rsid w:val="747800B5"/>
    <w:rsid w:val="7488772B"/>
    <w:rsid w:val="74B50298"/>
    <w:rsid w:val="750413C3"/>
    <w:rsid w:val="752E10BB"/>
    <w:rsid w:val="758445C1"/>
    <w:rsid w:val="764C4EE8"/>
    <w:rsid w:val="77A93851"/>
    <w:rsid w:val="78857244"/>
    <w:rsid w:val="79F20909"/>
    <w:rsid w:val="7A7C4677"/>
    <w:rsid w:val="7A943F88"/>
    <w:rsid w:val="7B460161"/>
    <w:rsid w:val="7BD67F6B"/>
    <w:rsid w:val="7BF619AE"/>
    <w:rsid w:val="7D221505"/>
    <w:rsid w:val="7DD31408"/>
    <w:rsid w:val="7DF56AAC"/>
    <w:rsid w:val="7DFA08E4"/>
    <w:rsid w:val="7F914720"/>
    <w:rsid w:val="7FA73FAF"/>
    <w:rsid w:val="7FB12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SimHei" w:cs="Arial"/>
      <w:b/>
      <w:bCs/>
      <w:sz w:val="32"/>
      <w:szCs w:val="32"/>
    </w:rPr>
  </w:style>
  <w:style w:type="paragraph" w:styleId="4">
    <w:name w:val="heading 4"/>
    <w:basedOn w:val="1"/>
    <w:next w:val="5"/>
    <w:qFormat/>
    <w:uiPriority w:val="0"/>
    <w:pPr>
      <w:keepNext/>
      <w:keepLines/>
      <w:spacing w:before="280" w:after="290" w:line="372" w:lineRule="auto"/>
      <w:ind w:firstLine="200" w:firstLineChars="200"/>
      <w:outlineLvl w:val="3"/>
    </w:pPr>
    <w:rPr>
      <w:rFonts w:ascii="Arial" w:hAnsi="Arial" w:eastAsia="SimHei"/>
      <w:b/>
      <w:kern w:val="2"/>
      <w:sz w:val="24"/>
      <w:szCs w:val="24"/>
    </w:rPr>
  </w:style>
  <w:style w:type="paragraph" w:styleId="6">
    <w:name w:val="heading 5"/>
    <w:basedOn w:val="1"/>
    <w:next w:val="5"/>
    <w:qFormat/>
    <w:uiPriority w:val="0"/>
    <w:pPr>
      <w:keepNext/>
      <w:keepLines/>
      <w:tabs>
        <w:tab w:val="left" w:pos="2100"/>
      </w:tabs>
      <w:spacing w:before="280" w:after="290" w:line="372" w:lineRule="auto"/>
      <w:ind w:left="2100" w:firstLine="200" w:firstLineChars="200"/>
      <w:outlineLvl w:val="4"/>
    </w:pPr>
    <w:rPr>
      <w:rFonts w:ascii="Verdana" w:hAnsi="Verdana" w:eastAsia="仿宋_GB2312"/>
      <w:b/>
      <w:bCs/>
      <w:kern w:val="2"/>
      <w:sz w:val="28"/>
      <w:szCs w:val="28"/>
      <w:lang w:eastAsia="en-US"/>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next w:val="1"/>
    <w:unhideWhenUsed/>
    <w:qFormat/>
    <w:uiPriority w:val="0"/>
    <w:pPr>
      <w:spacing w:beforeLines="0" w:afterLines="0"/>
      <w:ind w:firstLine="200" w:firstLineChars="200"/>
    </w:pPr>
    <w:rPr>
      <w:rFonts w:hint="eastAsia" w:ascii="Times New Roman" w:eastAsia="Times New Roman"/>
      <w:kern w:val="2"/>
      <w:sz w:val="21"/>
    </w:rPr>
  </w:style>
  <w:style w:type="paragraph" w:styleId="7">
    <w:name w:val="annotation text"/>
    <w:basedOn w:val="1"/>
    <w:unhideWhenUsed/>
    <w:qFormat/>
    <w:uiPriority w:val="0"/>
    <w:pPr>
      <w:jc w:val="left"/>
    </w:pPr>
    <w:rPr>
      <w:rFonts w:ascii="Times New Roman"/>
      <w:kern w:val="2"/>
      <w:sz w:val="21"/>
      <w:szCs w:val="24"/>
    </w:rPr>
  </w:style>
  <w:style w:type="paragraph" w:styleId="8">
    <w:name w:val="Body Text"/>
    <w:basedOn w:val="1"/>
    <w:next w:val="9"/>
    <w:unhideWhenUsed/>
    <w:qFormat/>
    <w:uiPriority w:val="0"/>
    <w:pPr>
      <w:widowControl w:val="0"/>
      <w:spacing w:after="120"/>
      <w:jc w:val="both"/>
    </w:pPr>
    <w:rPr>
      <w:rFonts w:ascii="Times New Roman" w:hAnsi="Times New Roman" w:eastAsia="SimSun" w:cs="Times New Roman"/>
      <w:kern w:val="2"/>
      <w:sz w:val="21"/>
      <w:szCs w:val="24"/>
      <w:lang w:val="en-US" w:eastAsia="zh-CN" w:bidi="ar-SA"/>
    </w:rPr>
  </w:style>
  <w:style w:type="paragraph" w:styleId="9">
    <w:name w:val="Body Text First Indent"/>
    <w:basedOn w:val="8"/>
    <w:unhideWhenUsed/>
    <w:qFormat/>
    <w:uiPriority w:val="99"/>
    <w:pPr>
      <w:spacing w:line="440" w:lineRule="exact"/>
      <w:ind w:firstLine="420" w:firstLineChars="200"/>
    </w:pPr>
    <w:rPr>
      <w:szCs w:val="20"/>
    </w:rPr>
  </w:style>
  <w:style w:type="paragraph" w:styleId="10">
    <w:name w:val="Body Text Indent"/>
    <w:basedOn w:val="1"/>
    <w:unhideWhenUsed/>
    <w:qFormat/>
    <w:uiPriority w:val="99"/>
    <w:pPr>
      <w:ind w:firstLine="630"/>
    </w:pPr>
    <w:rPr>
      <w:rFonts w:ascii="Calibri"/>
      <w:kern w:val="2"/>
      <w:sz w:val="32"/>
      <w:szCs w:val="20"/>
    </w:rPr>
  </w:style>
  <w:style w:type="paragraph" w:styleId="11">
    <w:name w:val="Plain Text"/>
    <w:basedOn w:val="1"/>
    <w:next w:val="1"/>
    <w:qFormat/>
    <w:uiPriority w:val="0"/>
    <w:rPr>
      <w:rFonts w:ascii="SimSun" w:hAnsi="Courier New" w:eastAsiaTheme="minorEastAsia" w:cstheme="minorBidi"/>
      <w:szCs w:val="22"/>
    </w:rPr>
  </w:style>
  <w:style w:type="paragraph" w:styleId="12">
    <w:name w:val="footer"/>
    <w:basedOn w:val="1"/>
    <w:unhideWhenUsed/>
    <w:qFormat/>
    <w:uiPriority w:val="0"/>
    <w:pPr>
      <w:tabs>
        <w:tab w:val="center" w:pos="4153"/>
        <w:tab w:val="right" w:pos="8306"/>
      </w:tabs>
      <w:snapToGrid w:val="0"/>
      <w:spacing w:beforeLines="0" w:afterLines="0"/>
      <w:jc w:val="left"/>
    </w:pPr>
    <w:rPr>
      <w:rFonts w:hint="default" w:ascii="Calibri"/>
      <w:kern w:val="2"/>
      <w:sz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rFonts w:ascii="Times New Roman"/>
      <w:kern w:val="2"/>
      <w:sz w:val="18"/>
      <w:szCs w:val="20"/>
    </w:rPr>
  </w:style>
  <w:style w:type="paragraph" w:styleId="14">
    <w:name w:val="toc 1"/>
    <w:basedOn w:val="1"/>
    <w:next w:val="1"/>
    <w:unhideWhenUsed/>
    <w:qFormat/>
    <w:uiPriority w:val="39"/>
    <w:rPr>
      <w:rFonts w:ascii="SimSun" w:hAnsi="Times New Roman"/>
      <w:kern w:val="0"/>
      <w:sz w:val="34"/>
      <w:szCs w:val="20"/>
    </w:rPr>
  </w:style>
  <w:style w:type="paragraph" w:styleId="15">
    <w:name w:val="Subtitle"/>
    <w:basedOn w:val="1"/>
    <w:next w:val="1"/>
    <w:unhideWhenUsed/>
    <w:qFormat/>
    <w:uiPriority w:val="0"/>
    <w:pPr>
      <w:spacing w:before="240" w:beforeLines="0" w:after="60" w:afterLines="0" w:line="312" w:lineRule="auto"/>
      <w:ind w:left="200" w:leftChars="200" w:firstLine="200" w:firstLineChars="200"/>
      <w:jc w:val="center"/>
      <w:outlineLvl w:val="1"/>
    </w:pPr>
    <w:rPr>
      <w:rFonts w:hint="eastAsia" w:ascii="Times New Roman" w:eastAsia="Times New Roman"/>
      <w:b/>
      <w:kern w:val="28"/>
      <w:sz w:val="20"/>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unhideWhenUsed/>
    <w:qFormat/>
    <w:uiPriority w:val="99"/>
    <w:rPr>
      <w:sz w:val="21"/>
      <w:szCs w:val="21"/>
    </w:rPr>
  </w:style>
  <w:style w:type="paragraph" w:customStyle="1" w:styleId="20">
    <w:name w:val="标题 5（有编号）（绿盟科技）"/>
    <w:basedOn w:val="1"/>
    <w:next w:val="21"/>
    <w:qFormat/>
    <w:uiPriority w:val="99"/>
    <w:pPr>
      <w:keepNext/>
      <w:keepLines/>
      <w:spacing w:before="280" w:after="156" w:line="377" w:lineRule="auto"/>
      <w:jc w:val="left"/>
      <w:outlineLvl w:val="4"/>
    </w:pPr>
    <w:rPr>
      <w:rFonts w:ascii="Arial" w:hAnsi="Arial" w:eastAsia="SimHei"/>
      <w:b/>
      <w:sz w:val="24"/>
      <w:szCs w:val="28"/>
    </w:rPr>
  </w:style>
  <w:style w:type="paragraph" w:customStyle="1" w:styleId="21">
    <w:name w:val="正文（绿盟科技）"/>
    <w:qFormat/>
    <w:uiPriority w:val="99"/>
    <w:pPr>
      <w:spacing w:line="300" w:lineRule="auto"/>
    </w:pPr>
    <w:rPr>
      <w:rFonts w:ascii="Arial" w:hAnsi="Arial" w:eastAsia="SimSun" w:cs="Times New Roman"/>
      <w:sz w:val="21"/>
      <w:szCs w:val="21"/>
      <w:lang w:val="en-US" w:eastAsia="zh-CN" w:bidi="ar-SA"/>
    </w:rPr>
  </w:style>
  <w:style w:type="paragraph" w:customStyle="1" w:styleId="22">
    <w:name w:val="Default"/>
    <w:qFormat/>
    <w:uiPriority w:val="0"/>
    <w:pPr>
      <w:widowControl w:val="0"/>
      <w:autoSpaceDE w:val="0"/>
      <w:autoSpaceDN w:val="0"/>
      <w:adjustRightInd w:val="0"/>
    </w:pPr>
    <w:rPr>
      <w:rFonts w:ascii="SimSun" w:hAnsi="Times New Roman" w:eastAsia="SimSun" w:cs="SimSun"/>
      <w:color w:val="000000"/>
      <w:sz w:val="24"/>
      <w:szCs w:val="24"/>
      <w:lang w:val="en-US" w:eastAsia="zh-CN" w:bidi="ar-SA"/>
    </w:rPr>
  </w:style>
  <w:style w:type="paragraph" w:styleId="23">
    <w:name w:val="List Paragraph"/>
    <w:basedOn w:val="1"/>
    <w:qFormat/>
    <w:uiPriority w:val="34"/>
    <w:pPr>
      <w:ind w:firstLine="420" w:firstLineChars="200"/>
    </w:pPr>
  </w:style>
  <w:style w:type="paragraph" w:customStyle="1" w:styleId="24">
    <w:name w:val="宋体5号"/>
    <w:unhideWhenUsed/>
    <w:qFormat/>
    <w:uiPriority w:val="0"/>
    <w:pPr>
      <w:widowControl w:val="0"/>
      <w:spacing w:beforeLines="0" w:afterLines="0"/>
      <w:ind w:firstLine="420"/>
      <w:jc w:val="both"/>
    </w:pPr>
    <w:rPr>
      <w:rFonts w:hint="default" w:ascii="Calibri" w:hAnsi="Calibri" w:eastAsia="等线" w:cs="Times New Roman"/>
      <w:sz w:val="21"/>
      <w:szCs w:val="22"/>
      <w:lang w:val="en-US" w:eastAsia="zh-CN" w:bidi="ar-SA"/>
    </w:rPr>
  </w:style>
  <w:style w:type="paragraph" w:customStyle="1" w:styleId="25">
    <w:name w:val="样式"/>
    <w:unhideWhenUsed/>
    <w:qFormat/>
    <w:uiPriority w:val="0"/>
    <w:pPr>
      <w:widowControl w:val="0"/>
      <w:autoSpaceDE w:val="0"/>
      <w:autoSpaceDN w:val="0"/>
      <w:adjustRightInd w:val="0"/>
      <w:spacing w:beforeLines="0" w:afterLines="0"/>
    </w:pPr>
    <w:rPr>
      <w:rFonts w:hint="eastAsia" w:ascii="SimSun" w:hAnsi="SimSun" w:eastAsia="SimSun" w:cs="Times New Roman"/>
      <w:sz w:val="24"/>
      <w:lang w:val="en-US" w:eastAsia="zh-CN"/>
    </w:rPr>
  </w:style>
  <w:style w:type="character" w:customStyle="1" w:styleId="26">
    <w:name w:val="无"/>
    <w:qFormat/>
    <w:uiPriority w:val="0"/>
  </w:style>
  <w:style w:type="character" w:customStyle="1" w:styleId="27">
    <w:name w:val="font01"/>
    <w:basedOn w:val="18"/>
    <w:qFormat/>
    <w:uiPriority w:val="0"/>
    <w:rPr>
      <w:rFonts w:hint="eastAsia" w:ascii="SimSun" w:hAnsi="SimSun" w:eastAsia="SimSun" w:cs="SimSun"/>
      <w:b/>
      <w:color w:val="000000"/>
      <w:sz w:val="18"/>
      <w:szCs w:val="18"/>
      <w:u w:val="none"/>
    </w:rPr>
  </w:style>
  <w:style w:type="paragraph" w:customStyle="1" w:styleId="28">
    <w:name w:val="纯文本1"/>
    <w:basedOn w:val="1"/>
    <w:qFormat/>
    <w:uiPriority w:val="0"/>
    <w:rPr>
      <w:rFonts w:ascii="SimSun" w:hAnsi="Courier New" w:eastAsia="SimSun" w:cs="Courier New"/>
      <w:szCs w:val="21"/>
    </w:rPr>
  </w:style>
  <w:style w:type="paragraph" w:customStyle="1" w:styleId="29">
    <w:name w:val="列出段落1"/>
    <w:basedOn w:val="1"/>
    <w:qFormat/>
    <w:uiPriority w:val="99"/>
    <w:pPr>
      <w:ind w:firstLine="420" w:firstLineChars="200"/>
    </w:pPr>
    <w:rPr>
      <w:rFonts w:ascii="Times New Roman"/>
      <w:kern w:val="2"/>
      <w:sz w:val="21"/>
    </w:rPr>
  </w:style>
  <w:style w:type="paragraph" w:customStyle="1" w:styleId="30">
    <w:name w:val="正文1"/>
    <w:qFormat/>
    <w:uiPriority w:val="0"/>
    <w:pPr>
      <w:widowControl w:val="0"/>
      <w:adjustRightInd w:val="0"/>
      <w:spacing w:line="312" w:lineRule="atLeast"/>
      <w:jc w:val="both"/>
      <w:textAlignment w:val="baseline"/>
    </w:pPr>
    <w:rPr>
      <w:rFonts w:ascii="SimSun" w:hAnsi="Times New Roman" w:eastAsia="SimSun" w:cs="Times New Roman"/>
      <w:sz w:val="34"/>
      <w:lang w:val="en-US" w:eastAsia="zh-CN" w:bidi="ar-SA"/>
    </w:rPr>
  </w:style>
  <w:style w:type="paragraph" w:customStyle="1" w:styleId="31">
    <w:name w:val="!BECC正文"/>
    <w:basedOn w:val="1"/>
    <w:qFormat/>
    <w:uiPriority w:val="0"/>
    <w:pPr>
      <w:tabs>
        <w:tab w:val="left" w:pos="0"/>
      </w:tabs>
      <w:spacing w:beforeLines="50" w:line="360" w:lineRule="auto"/>
      <w:ind w:firstLine="200" w:firstLineChars="200"/>
      <w:contextualSpacing/>
    </w:pPr>
    <w:rPr>
      <w:kern w:val="0"/>
      <w:sz w:val="24"/>
      <w:szCs w:val="24"/>
    </w:rPr>
  </w:style>
  <w:style w:type="paragraph" w:customStyle="1" w:styleId="32">
    <w:name w:val="样式 正文缩进 + 首行缩进:  2 字符"/>
    <w:basedOn w:val="5"/>
    <w:qFormat/>
    <w:uiPriority w:val="0"/>
    <w:pPr>
      <w:spacing w:before="280" w:after="290" w:line="360" w:lineRule="auto"/>
      <w:ind w:left="-1" w:leftChars="-1" w:firstLine="200" w:firstLineChars="200"/>
    </w:pPr>
    <w:rPr>
      <w:rFonts w:ascii="Times New Roman" w:hAnsi="Times New Roman" w:cs="SimSun"/>
      <w:sz w:val="24"/>
      <w:szCs w:val="20"/>
      <w:lang w:val="en-US"/>
    </w:rPr>
  </w:style>
  <w:style w:type="paragraph" w:customStyle="1" w:styleId="33">
    <w:name w:val="￥正文"/>
    <w:basedOn w:val="1"/>
    <w:qFormat/>
    <w:uiPriority w:val="0"/>
    <w:pPr>
      <w:spacing w:line="360" w:lineRule="auto"/>
      <w:ind w:firstLine="200" w:firstLineChars="200"/>
    </w:pPr>
    <w:rPr>
      <w:rFonts w:ascii="Times New Roman" w:hAnsi="Times New Roman" w:eastAsia="SimSun" w:cs="Times New Roman"/>
      <w:kern w:val="0"/>
      <w:sz w:val="24"/>
      <w:szCs w:val="20"/>
    </w:rPr>
  </w:style>
  <w:style w:type="paragraph" w:customStyle="1" w:styleId="34">
    <w:name w:val="正文首行缩进两字符"/>
    <w:basedOn w:val="1"/>
    <w:qFormat/>
    <w:uiPriority w:val="0"/>
    <w:pPr>
      <w:spacing w:line="360" w:lineRule="auto"/>
      <w:ind w:firstLine="200" w:firstLineChars="200"/>
    </w:pPr>
    <w:rPr>
      <w:rFonts w:ascii="Times New Roman"/>
      <w:kern w:val="2"/>
      <w:sz w:val="21"/>
      <w:szCs w:val="24"/>
    </w:rPr>
  </w:style>
  <w:style w:type="character" w:customStyle="1" w:styleId="35">
    <w:name w:val="font21"/>
    <w:basedOn w:val="18"/>
    <w:qFormat/>
    <w:uiPriority w:val="0"/>
    <w:rPr>
      <w:rFonts w:hint="eastAsia" w:ascii="SimSun" w:hAnsi="SimSun" w:eastAsia="SimSun" w:cs="SimSun"/>
      <w:color w:val="000000"/>
      <w:kern w:val="0"/>
      <w:sz w:val="20"/>
      <w:szCs w:val="20"/>
      <w:u w:val="none"/>
      <w:lang w:eastAsia="en-US"/>
    </w:rPr>
  </w:style>
  <w:style w:type="character" w:customStyle="1" w:styleId="36">
    <w:name w:val="font31"/>
    <w:basedOn w:val="18"/>
    <w:qFormat/>
    <w:uiPriority w:val="0"/>
    <w:rPr>
      <w:rFonts w:hint="eastAsia" w:ascii="SimSun" w:hAnsi="SimSun" w:eastAsia="SimSun" w:cs="SimSun"/>
      <w:color w:val="000000"/>
      <w:kern w:val="0"/>
      <w:sz w:val="22"/>
      <w:szCs w:val="22"/>
      <w:u w:val="none"/>
      <w:lang w:eastAsia="en-US"/>
    </w:rPr>
  </w:style>
  <w:style w:type="character" w:customStyle="1" w:styleId="37">
    <w:name w:val="font11"/>
    <w:basedOn w:val="18"/>
    <w:qFormat/>
    <w:uiPriority w:val="0"/>
    <w:rPr>
      <w:rFonts w:hint="eastAsia" w:ascii="SimSun" w:hAnsi="SimSun" w:eastAsia="SimSun" w:cs="SimSun"/>
      <w:color w:val="000000"/>
      <w:kern w:val="0"/>
      <w:sz w:val="20"/>
      <w:szCs w:val="20"/>
      <w:u w:val="none"/>
      <w:lang w:eastAsia="en-US"/>
    </w:rPr>
  </w:style>
  <w:style w:type="character" w:customStyle="1" w:styleId="38">
    <w:name w:val="font41"/>
    <w:basedOn w:val="18"/>
    <w:qFormat/>
    <w:uiPriority w:val="0"/>
    <w:rPr>
      <w:rFonts w:hint="eastAsia" w:ascii="Times New Roman" w:hAnsi="Times New Roman" w:eastAsia="仿宋_GB2312" w:cs="Times New Roman"/>
      <w:b/>
      <w:color w:val="000000"/>
      <w:kern w:val="0"/>
      <w:sz w:val="24"/>
      <w:szCs w:val="24"/>
      <w:u w:val="none"/>
      <w:lang w:eastAsia="en-US"/>
    </w:rPr>
  </w:style>
  <w:style w:type="character" w:customStyle="1" w:styleId="39">
    <w:name w:val="font71"/>
    <w:basedOn w:val="18"/>
    <w:qFormat/>
    <w:uiPriority w:val="0"/>
    <w:rPr>
      <w:rFonts w:hint="default" w:ascii="Times New Roman" w:hAnsi="Times New Roman" w:eastAsia="仿宋_GB2312" w:cs="Times New Roman"/>
      <w:color w:val="000000"/>
      <w:kern w:val="0"/>
      <w:sz w:val="20"/>
      <w:szCs w:val="20"/>
      <w:u w:val="none"/>
      <w:lang w:eastAsia="en-US"/>
    </w:rPr>
  </w:style>
  <w:style w:type="character" w:customStyle="1" w:styleId="40">
    <w:name w:val="font51"/>
    <w:basedOn w:val="18"/>
    <w:qFormat/>
    <w:uiPriority w:val="0"/>
    <w:rPr>
      <w:rFonts w:hint="eastAsia" w:ascii="SimSun" w:hAnsi="SimSun" w:eastAsia="SimSun" w:cs="SimSun"/>
      <w:color w:val="000000"/>
      <w:kern w:val="0"/>
      <w:sz w:val="20"/>
      <w:szCs w:val="20"/>
      <w:u w:val="none"/>
      <w:lang w:eastAsia="en-US"/>
    </w:rPr>
  </w:style>
  <w:style w:type="paragraph" w:customStyle="1" w:styleId="41">
    <w:name w:val="列出段落3"/>
    <w:basedOn w:val="1"/>
    <w:qFormat/>
    <w:uiPriority w:val="0"/>
    <w:pPr>
      <w:spacing w:line="440" w:lineRule="exact"/>
      <w:ind w:firstLine="420" w:firstLineChars="200"/>
    </w:pPr>
    <w:rPr>
      <w:rFonts w:hAnsi="Times New Roman"/>
      <w:szCs w:val="20"/>
    </w:rPr>
  </w:style>
  <w:style w:type="paragraph" w:customStyle="1" w:styleId="4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4162</Words>
  <Characters>4648</Characters>
  <Lines>0</Lines>
  <Paragraphs>0</Paragraphs>
  <TotalTime>8</TotalTime>
  <ScaleCrop>false</ScaleCrop>
  <LinksUpToDate>false</LinksUpToDate>
  <CharactersWithSpaces>4872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zyzbzkb</cp:lastModifiedBy>
  <cp:lastPrinted>2023-07-06T01:34:00Z</cp:lastPrinted>
  <dcterms:modified xsi:type="dcterms:W3CDTF">2024-09-13T09:44:19Z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E837CA103C6442A5AA750943DCC4626F_13</vt:lpwstr>
  </property>
</Properties>
</file>