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12FA71">
      <w:pPr>
        <w:adjustRightInd w:val="0"/>
        <w:snapToGrid w:val="0"/>
        <w:spacing w:before="936" w:beforeLines="300"/>
        <w:jc w:val="center"/>
        <w:rPr>
          <w:rFonts w:hint="eastAsia"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p w14:paraId="28A7B8AA">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14:paraId="6A07FA8B">
      <w:pPr>
        <w:adjustRightInd w:val="0"/>
        <w:snapToGrid w:val="0"/>
        <w:jc w:val="center"/>
        <w:rPr>
          <w:rFonts w:hint="eastAsia" w:ascii="宋体" w:hAnsi="宋体"/>
          <w:b/>
          <w:sz w:val="30"/>
          <w:szCs w:val="30"/>
        </w:rPr>
      </w:pPr>
    </w:p>
    <w:tbl>
      <w:tblPr>
        <w:tblStyle w:val="5"/>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14:paraId="645B9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5E489839">
            <w:pPr>
              <w:jc w:val="center"/>
              <w:rPr>
                <w:rFonts w:ascii="宋体" w:hAnsi="Bookman Old Style"/>
                <w:sz w:val="24"/>
              </w:rPr>
            </w:pPr>
            <w:r>
              <w:rPr>
                <w:rFonts w:hint="eastAsia" w:ascii="宋体" w:hAnsi="Bookman Old Style"/>
                <w:sz w:val="24"/>
              </w:rPr>
              <w:t>包号</w:t>
            </w:r>
          </w:p>
        </w:tc>
        <w:tc>
          <w:tcPr>
            <w:tcW w:w="2640" w:type="dxa"/>
            <w:noWrap w:val="0"/>
            <w:vAlign w:val="center"/>
          </w:tcPr>
          <w:p w14:paraId="04F6DA58">
            <w:pPr>
              <w:jc w:val="center"/>
              <w:rPr>
                <w:rFonts w:ascii="宋体" w:hAnsi="Bookman Old Style"/>
                <w:sz w:val="24"/>
              </w:rPr>
            </w:pPr>
            <w:r>
              <w:rPr>
                <w:rFonts w:hint="eastAsia" w:ascii="宋体" w:hAnsi="Bookman Old Style"/>
                <w:sz w:val="24"/>
              </w:rPr>
              <w:t>货物名称</w:t>
            </w:r>
          </w:p>
        </w:tc>
        <w:tc>
          <w:tcPr>
            <w:tcW w:w="635" w:type="dxa"/>
            <w:noWrap w:val="0"/>
            <w:vAlign w:val="center"/>
          </w:tcPr>
          <w:p w14:paraId="726447A3">
            <w:pPr>
              <w:jc w:val="center"/>
              <w:rPr>
                <w:sz w:val="24"/>
              </w:rPr>
            </w:pPr>
            <w:r>
              <w:rPr>
                <w:sz w:val="24"/>
              </w:rPr>
              <w:t>数量</w:t>
            </w:r>
          </w:p>
          <w:p w14:paraId="1533FA3D">
            <w:pPr>
              <w:jc w:val="center"/>
              <w:rPr>
                <w:rFonts w:ascii="宋体" w:hAnsi="Bookman Old Style"/>
                <w:sz w:val="24"/>
              </w:rPr>
            </w:pPr>
            <w:r>
              <w:rPr>
                <w:sz w:val="24"/>
              </w:rPr>
              <w:t>（台/套）</w:t>
            </w:r>
          </w:p>
        </w:tc>
        <w:tc>
          <w:tcPr>
            <w:tcW w:w="1320" w:type="dxa"/>
            <w:noWrap w:val="0"/>
            <w:vAlign w:val="center"/>
          </w:tcPr>
          <w:p w14:paraId="0C70B61E">
            <w:pPr>
              <w:jc w:val="center"/>
              <w:rPr>
                <w:rFonts w:ascii="宋体" w:hAnsi="Bookman Old Style"/>
                <w:sz w:val="24"/>
              </w:rPr>
            </w:pPr>
            <w:r>
              <w:rPr>
                <w:sz w:val="24"/>
              </w:rPr>
              <w:t>交货期</w:t>
            </w:r>
          </w:p>
        </w:tc>
        <w:tc>
          <w:tcPr>
            <w:tcW w:w="1765" w:type="dxa"/>
            <w:noWrap w:val="0"/>
            <w:vAlign w:val="center"/>
          </w:tcPr>
          <w:p w14:paraId="41639F8A">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14:paraId="06AB617B">
            <w:pPr>
              <w:jc w:val="center"/>
              <w:rPr>
                <w:rFonts w:ascii="宋体" w:hAnsi="Bookman Old Style"/>
                <w:sz w:val="24"/>
                <w:shd w:val="pct10" w:color="auto" w:fill="FFFFFF"/>
              </w:rPr>
            </w:pPr>
            <w:r>
              <w:rPr>
                <w:rFonts w:hint="eastAsia" w:ascii="宋体" w:hAnsi="Bookman Old Style"/>
                <w:sz w:val="24"/>
              </w:rPr>
              <w:t>项目现场（交货地点）</w:t>
            </w:r>
          </w:p>
        </w:tc>
      </w:tr>
      <w:tr w14:paraId="58478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14:paraId="2294EA11">
            <w:pPr>
              <w:jc w:val="center"/>
              <w:rPr>
                <w:rFonts w:hint="eastAsia" w:ascii="宋体"/>
                <w:sz w:val="24"/>
              </w:rPr>
            </w:pPr>
            <w:r>
              <w:rPr>
                <w:rFonts w:hint="eastAsia" w:ascii="宋体"/>
                <w:sz w:val="24"/>
              </w:rPr>
              <w:t>1</w:t>
            </w:r>
          </w:p>
        </w:tc>
        <w:tc>
          <w:tcPr>
            <w:tcW w:w="2640" w:type="dxa"/>
            <w:noWrap w:val="0"/>
            <w:vAlign w:val="center"/>
          </w:tcPr>
          <w:p w14:paraId="66B1DF90">
            <w:pPr>
              <w:jc w:val="center"/>
              <w:rPr>
                <w:rFonts w:hint="eastAsia" w:ascii="宋体" w:hAnsi="Bookman Old Style"/>
                <w:sz w:val="24"/>
              </w:rPr>
            </w:pPr>
            <w:r>
              <w:rPr>
                <w:rFonts w:hint="eastAsia" w:ascii="宋体" w:hAnsi="Bookman Old Style"/>
                <w:sz w:val="24"/>
              </w:rPr>
              <w:t>表面纳米质谱仪</w:t>
            </w:r>
          </w:p>
        </w:tc>
        <w:tc>
          <w:tcPr>
            <w:tcW w:w="635" w:type="dxa"/>
            <w:noWrap w:val="0"/>
            <w:vAlign w:val="center"/>
          </w:tcPr>
          <w:p w14:paraId="53656FEF">
            <w:pPr>
              <w:jc w:val="center"/>
              <w:rPr>
                <w:rFonts w:ascii="宋体" w:hAnsi="Bookman Old Style"/>
                <w:sz w:val="24"/>
              </w:rPr>
            </w:pPr>
            <w:r>
              <w:rPr>
                <w:sz w:val="24"/>
              </w:rPr>
              <w:t>1</w:t>
            </w:r>
          </w:p>
        </w:tc>
        <w:tc>
          <w:tcPr>
            <w:tcW w:w="1320" w:type="dxa"/>
            <w:noWrap w:val="0"/>
            <w:vAlign w:val="center"/>
          </w:tcPr>
          <w:p w14:paraId="139941D1">
            <w:pPr>
              <w:jc w:val="center"/>
              <w:rPr>
                <w:rFonts w:hint="eastAsia" w:ascii="宋体" w:hAnsi="Bookman Old Style"/>
                <w:sz w:val="24"/>
              </w:rPr>
            </w:pPr>
            <w:r>
              <w:rPr>
                <w:rFonts w:hint="eastAsia"/>
                <w:sz w:val="24"/>
              </w:rPr>
              <w:t>合同签订后十个月内</w:t>
            </w:r>
          </w:p>
        </w:tc>
        <w:tc>
          <w:tcPr>
            <w:tcW w:w="1765" w:type="dxa"/>
            <w:noWrap w:val="0"/>
            <w:vAlign w:val="center"/>
          </w:tcPr>
          <w:p w14:paraId="1A97CA61">
            <w:pPr>
              <w:jc w:val="center"/>
              <w:rPr>
                <w:sz w:val="24"/>
              </w:rPr>
            </w:pPr>
            <w:r>
              <w:rPr>
                <w:rFonts w:hint="eastAsia"/>
                <w:sz w:val="24"/>
              </w:rPr>
              <w:t>北京</w:t>
            </w:r>
          </w:p>
        </w:tc>
        <w:tc>
          <w:tcPr>
            <w:tcW w:w="2520" w:type="dxa"/>
            <w:noWrap w:val="0"/>
            <w:vAlign w:val="center"/>
          </w:tcPr>
          <w:p w14:paraId="5C82A159">
            <w:pPr>
              <w:jc w:val="center"/>
              <w:rPr>
                <w:rFonts w:hint="eastAsia" w:ascii="宋体" w:hAnsi="Bookman Old Style"/>
                <w:sz w:val="24"/>
              </w:rPr>
            </w:pPr>
            <w:r>
              <w:rPr>
                <w:rFonts w:hint="eastAsia" w:ascii="宋体" w:hAnsi="Bookman Old Style"/>
                <w:sz w:val="24"/>
              </w:rPr>
              <w:t>北京市怀柔区怀北镇怀北庄380号, 中国科学院大学雁栖湖东校区学园三</w:t>
            </w:r>
          </w:p>
        </w:tc>
      </w:tr>
    </w:tbl>
    <w:p w14:paraId="46321443">
      <w:pPr>
        <w:adjustRightInd w:val="0"/>
        <w:snapToGrid w:val="0"/>
        <w:rPr>
          <w:rFonts w:hint="eastAsia" w:ascii="宋体" w:hAnsi="宋体"/>
          <w:b/>
          <w:sz w:val="30"/>
          <w:szCs w:val="30"/>
        </w:rPr>
      </w:pPr>
    </w:p>
    <w:p w14:paraId="621527BD">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5078113F">
      <w:pPr>
        <w:adjustRightInd w:val="0"/>
        <w:snapToGrid w:val="0"/>
        <w:rPr>
          <w:rFonts w:hint="eastAsia" w:ascii="宋体" w:hAnsi="宋体"/>
          <w:szCs w:val="21"/>
        </w:rPr>
      </w:pPr>
    </w:p>
    <w:p w14:paraId="7D96672A">
      <w:pPr>
        <w:adjustRightInd w:val="0"/>
        <w:snapToGrid w:val="0"/>
        <w:rPr>
          <w:rFonts w:hint="eastAsia" w:ascii="宋体" w:hAnsi="宋体"/>
          <w:szCs w:val="21"/>
        </w:rPr>
      </w:pPr>
    </w:p>
    <w:p w14:paraId="17BBBEF6">
      <w:pPr>
        <w:adjustRightInd w:val="0"/>
        <w:snapToGrid w:val="0"/>
        <w:rPr>
          <w:rFonts w:hint="eastAsia" w:ascii="宋体" w:hAnsi="宋体"/>
          <w:szCs w:val="21"/>
        </w:rPr>
      </w:pPr>
    </w:p>
    <w:p w14:paraId="47D77D88">
      <w:pPr>
        <w:adjustRightInd w:val="0"/>
        <w:snapToGrid w:val="0"/>
        <w:rPr>
          <w:rFonts w:hint="eastAsia" w:ascii="宋体" w:hAnsi="宋体"/>
          <w:szCs w:val="21"/>
        </w:rPr>
      </w:pPr>
    </w:p>
    <w:p w14:paraId="14D29CD2">
      <w:pPr>
        <w:adjustRightInd w:val="0"/>
        <w:snapToGrid w:val="0"/>
        <w:rPr>
          <w:rFonts w:hint="eastAsia" w:ascii="宋体" w:hAnsi="宋体"/>
          <w:szCs w:val="21"/>
        </w:rPr>
      </w:pPr>
    </w:p>
    <w:p w14:paraId="4F569B1A">
      <w:pPr>
        <w:adjustRightInd w:val="0"/>
        <w:snapToGrid w:val="0"/>
        <w:rPr>
          <w:rFonts w:hint="eastAsia" w:ascii="宋体" w:hAnsi="宋体"/>
          <w:szCs w:val="21"/>
        </w:rPr>
      </w:pPr>
    </w:p>
    <w:p w14:paraId="6B4F78E8">
      <w:pPr>
        <w:adjustRightInd w:val="0"/>
        <w:snapToGrid w:val="0"/>
        <w:rPr>
          <w:rFonts w:hint="eastAsia" w:ascii="宋体" w:hAnsi="宋体"/>
          <w:szCs w:val="21"/>
        </w:rPr>
      </w:pPr>
    </w:p>
    <w:p w14:paraId="107FC80F">
      <w:pPr>
        <w:adjustRightInd w:val="0"/>
        <w:snapToGrid w:val="0"/>
        <w:rPr>
          <w:rFonts w:hint="eastAsia" w:ascii="宋体" w:hAnsi="宋体"/>
          <w:szCs w:val="21"/>
        </w:rPr>
      </w:pPr>
    </w:p>
    <w:p w14:paraId="7B4766F3">
      <w:pPr>
        <w:adjustRightInd w:val="0"/>
        <w:snapToGrid w:val="0"/>
        <w:rPr>
          <w:rFonts w:hint="eastAsia" w:ascii="宋体" w:hAnsi="宋体"/>
          <w:szCs w:val="21"/>
        </w:rPr>
      </w:pPr>
    </w:p>
    <w:p w14:paraId="44B18A72">
      <w:pPr>
        <w:adjustRightInd w:val="0"/>
        <w:snapToGrid w:val="0"/>
        <w:rPr>
          <w:rFonts w:hint="eastAsia" w:ascii="宋体" w:hAnsi="宋体"/>
          <w:szCs w:val="21"/>
        </w:rPr>
      </w:pPr>
    </w:p>
    <w:p w14:paraId="0FE0D62C">
      <w:pPr>
        <w:adjustRightInd w:val="0"/>
        <w:snapToGrid w:val="0"/>
        <w:rPr>
          <w:rFonts w:hint="eastAsia" w:ascii="宋体" w:hAnsi="宋体"/>
          <w:szCs w:val="21"/>
        </w:rPr>
      </w:pPr>
    </w:p>
    <w:p w14:paraId="4BB18C1A">
      <w:pPr>
        <w:adjustRightInd w:val="0"/>
        <w:snapToGrid w:val="0"/>
        <w:rPr>
          <w:rFonts w:hint="eastAsia" w:ascii="宋体" w:hAnsi="宋体"/>
          <w:szCs w:val="21"/>
        </w:rPr>
      </w:pPr>
    </w:p>
    <w:p w14:paraId="28FB97C2">
      <w:pPr>
        <w:adjustRightInd w:val="0"/>
        <w:snapToGrid w:val="0"/>
        <w:rPr>
          <w:rFonts w:hint="eastAsia" w:ascii="宋体" w:hAnsi="宋体"/>
          <w:b/>
          <w:sz w:val="30"/>
          <w:szCs w:val="30"/>
        </w:rPr>
      </w:pPr>
      <w:r>
        <w:rPr>
          <w:rFonts w:ascii="宋体" w:hAnsi="宋体"/>
          <w:b/>
          <w:sz w:val="30"/>
          <w:szCs w:val="30"/>
        </w:rPr>
        <w:br w:type="page"/>
      </w:r>
    </w:p>
    <w:p w14:paraId="2C879662">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总则</w:t>
      </w:r>
    </w:p>
    <w:p w14:paraId="7C89D3FE">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14:paraId="24D42B05">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4D4818E2">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7DFF817C">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2FB3D982">
      <w:pPr>
        <w:spacing w:line="360" w:lineRule="auto"/>
        <w:ind w:left="554" w:hanging="554" w:hangingChars="231"/>
        <w:rPr>
          <w:rFonts w:hint="eastAsia"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A4C2753">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14:paraId="44080080">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13A8E383">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669BB357">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5395C49A">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75FDA708">
      <w:pPr>
        <w:spacing w:line="360" w:lineRule="auto"/>
        <w:ind w:left="554" w:hanging="554" w:hangingChars="231"/>
        <w:rPr>
          <w:rFonts w:ascii="宋体" w:hAnsi="宋体"/>
          <w:color w:val="FF0000"/>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7A10B194">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14:paraId="433A7FFF">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52BB9382">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56FFBB38">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509CB3A9">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32BCA51E">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4DA24B3D">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14:paraId="44CB8B0D">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3D5329B9">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0F4F4E06">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543BAA78">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72838CDB">
      <w:pPr>
        <w:pStyle w:val="2"/>
        <w:spacing w:before="156" w:beforeLines="50"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14:paraId="45281ED7">
      <w:pPr>
        <w:pStyle w:val="2"/>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14:paraId="5247CC8A">
      <w:pPr>
        <w:spacing w:after="156" w:afterLines="50"/>
        <w:ind w:left="601" w:hanging="601"/>
        <w:rPr>
          <w:b/>
          <w:sz w:val="28"/>
        </w:rPr>
      </w:pPr>
      <w:r>
        <w:rPr>
          <w:rFonts w:ascii="宋体" w:hAnsi="宋体"/>
          <w:b/>
          <w:sz w:val="28"/>
        </w:rPr>
        <w:br w:type="page"/>
      </w:r>
      <w:r>
        <w:rPr>
          <w:rFonts w:hint="eastAsia" w:ascii="宋体" w:hAnsi="宋体"/>
          <w:b/>
          <w:sz w:val="28"/>
        </w:rPr>
        <w:t>三、具体技术规格</w:t>
      </w:r>
    </w:p>
    <w:p w14:paraId="1AE11479">
      <w:pPr>
        <w:adjustRightInd w:val="0"/>
        <w:snapToGrid w:val="0"/>
        <w:spacing w:line="360" w:lineRule="auto"/>
        <w:jc w:val="center"/>
        <w:rPr>
          <w:rFonts w:hint="eastAsia" w:ascii="宋体" w:hAnsi="宋体" w:cs="宋体"/>
          <w:b/>
          <w:sz w:val="24"/>
        </w:rPr>
      </w:pPr>
      <w:r>
        <w:rPr>
          <w:rFonts w:hint="eastAsia" w:ascii="宋体" w:hAnsi="宋体" w:cs="宋体"/>
          <w:b/>
          <w:sz w:val="24"/>
        </w:rPr>
        <w:t>表面纳米质谱仪</w:t>
      </w:r>
    </w:p>
    <w:p w14:paraId="544702B3">
      <w:pPr>
        <w:autoSpaceDE w:val="0"/>
        <w:autoSpaceDN w:val="0"/>
        <w:adjustRightInd w:val="0"/>
        <w:spacing w:line="360" w:lineRule="auto"/>
        <w:rPr>
          <w:rFonts w:hint="eastAsia" w:ascii="宋体" w:hAnsi="宋体" w:cs="宋体"/>
          <w:b/>
          <w:sz w:val="24"/>
        </w:rPr>
      </w:pPr>
      <w:r>
        <w:rPr>
          <w:rFonts w:hint="eastAsia" w:ascii="宋体" w:hAnsi="宋体" w:cs="宋体"/>
          <w:b/>
          <w:sz w:val="24"/>
        </w:rPr>
        <w:t>一、用途</w:t>
      </w:r>
    </w:p>
    <w:p w14:paraId="30844A10">
      <w:pPr>
        <w:snapToGrid w:val="0"/>
        <w:spacing w:line="360" w:lineRule="auto"/>
        <w:ind w:firstLine="360"/>
        <w:rPr>
          <w:rFonts w:hint="eastAsia" w:ascii="宋体" w:hAnsi="宋体" w:cs="宋体"/>
          <w:sz w:val="24"/>
        </w:rPr>
      </w:pPr>
      <w:r>
        <w:rPr>
          <w:rFonts w:hint="eastAsia" w:ascii="宋体" w:hAnsi="宋体" w:cs="宋体"/>
          <w:sz w:val="24"/>
        </w:rPr>
        <w:t>高分辨表面纳米质谱仪，使用一次脉冲离子入射固体材料表面，通过表面激发出的二次离子的飞行时间测量其质量, 以表征材料表面的元素成分（H~U）、同位素、分子结构、分子键等信息。表面纳米质谱仪可以分析所有的导体、半导体、绝缘材料，分析深度2nm左右，横向空间分辨率≤50nm; 能鉴别高质量数的有机大分子；探测灵敏度很高，可以达到ppb量级；可进行2D和3D成像来表征成分的分布；对于材料表面成分及分布、表面多层结构/镀膜成分、表面异物残留(污染物、颗粒物、腐蚀物等)、表面痕量掺杂、表面改性和表面缺陷（划痕、凸起等）等有很好的表征能力。</w:t>
      </w:r>
    </w:p>
    <w:p w14:paraId="789ED89B">
      <w:pPr>
        <w:autoSpaceDE w:val="0"/>
        <w:autoSpaceDN w:val="0"/>
        <w:adjustRightInd w:val="0"/>
        <w:spacing w:line="360" w:lineRule="auto"/>
        <w:ind w:left="1134"/>
        <w:rPr>
          <w:rFonts w:hint="eastAsia" w:ascii="宋体" w:hAnsi="宋体" w:cs="宋体"/>
          <w:b/>
          <w:sz w:val="24"/>
        </w:rPr>
      </w:pPr>
    </w:p>
    <w:p w14:paraId="64BEFE59">
      <w:pPr>
        <w:autoSpaceDE w:val="0"/>
        <w:autoSpaceDN w:val="0"/>
        <w:adjustRightInd w:val="0"/>
        <w:spacing w:line="360" w:lineRule="auto"/>
        <w:rPr>
          <w:rFonts w:hint="eastAsia" w:ascii="宋体" w:hAnsi="宋体" w:cs="宋体"/>
          <w:b/>
          <w:sz w:val="24"/>
        </w:rPr>
      </w:pPr>
      <w:r>
        <w:rPr>
          <w:rFonts w:hint="eastAsia" w:ascii="宋体" w:hAnsi="宋体" w:cs="宋体"/>
          <w:b/>
          <w:sz w:val="24"/>
        </w:rPr>
        <w:t>二、 技术要求</w:t>
      </w:r>
    </w:p>
    <w:p w14:paraId="7742ECE7">
      <w:pPr>
        <w:autoSpaceDE w:val="0"/>
        <w:autoSpaceDN w:val="0"/>
        <w:adjustRightInd w:val="0"/>
        <w:spacing w:line="360" w:lineRule="auto"/>
        <w:rPr>
          <w:b/>
          <w:sz w:val="24"/>
        </w:rPr>
      </w:pPr>
      <w:r>
        <w:rPr>
          <w:b/>
          <w:sz w:val="24"/>
        </w:rPr>
        <w:t>1、工作条件</w:t>
      </w:r>
    </w:p>
    <w:p w14:paraId="68FD63DC">
      <w:pPr>
        <w:spacing w:line="360" w:lineRule="auto"/>
        <w:rPr>
          <w:sz w:val="24"/>
        </w:rPr>
      </w:pPr>
      <w:r>
        <w:rPr>
          <w:sz w:val="24"/>
        </w:rPr>
        <w:t xml:space="preserve">   1.1电源：AC 220 V，50 Hz</w:t>
      </w:r>
    </w:p>
    <w:p w14:paraId="731BE442">
      <w:pPr>
        <w:pStyle w:val="7"/>
        <w:spacing w:line="360" w:lineRule="auto"/>
        <w:ind w:firstLine="0" w:firstLineChars="0"/>
        <w:rPr>
          <w:rFonts w:ascii="Times New Roman" w:hAnsi="Times New Roman"/>
          <w:sz w:val="24"/>
          <w:szCs w:val="24"/>
        </w:rPr>
      </w:pPr>
      <w:r>
        <w:rPr>
          <w:rFonts w:ascii="Times New Roman" w:hAnsi="Times New Roman"/>
          <w:sz w:val="24"/>
          <w:szCs w:val="24"/>
        </w:rPr>
        <w:t xml:space="preserve">   1.2 环境温度：5~40℃</w:t>
      </w:r>
    </w:p>
    <w:p w14:paraId="78E472C6">
      <w:pPr>
        <w:spacing w:line="360" w:lineRule="auto"/>
        <w:ind w:left="240"/>
        <w:rPr>
          <w:sz w:val="24"/>
        </w:rPr>
      </w:pPr>
      <w:r>
        <w:rPr>
          <w:sz w:val="24"/>
        </w:rPr>
        <w:t xml:space="preserve"> 1.3相对湿度：10~80%</w:t>
      </w:r>
    </w:p>
    <w:p w14:paraId="2ABF84F6">
      <w:pPr>
        <w:spacing w:line="360" w:lineRule="auto"/>
        <w:rPr>
          <w:b/>
          <w:sz w:val="24"/>
        </w:rPr>
      </w:pPr>
      <w:r>
        <w:rPr>
          <w:b/>
          <w:sz w:val="24"/>
        </w:rPr>
        <w:t>2、主要核心技术要求、指标参数和规格</w:t>
      </w:r>
    </w:p>
    <w:p w14:paraId="5B7AC22A">
      <w:pPr>
        <w:spacing w:line="360" w:lineRule="auto"/>
        <w:ind w:left="360"/>
        <w:contextualSpacing/>
        <w:rPr>
          <w:b/>
          <w:sz w:val="24"/>
          <w:lang w:val="en-GB"/>
        </w:rPr>
      </w:pPr>
      <w:r>
        <w:rPr>
          <w:b/>
          <w:sz w:val="24"/>
          <w:lang w:val="en-GB"/>
        </w:rPr>
        <w:t>2.1三重聚焦飞行时间质量分析器</w:t>
      </w:r>
    </w:p>
    <w:p w14:paraId="5471D748">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2.1.1 三扇形聚焦质量分析器，飞行距离</w:t>
      </w:r>
      <w:r>
        <w:rPr>
          <w:rFonts w:ascii="Times New Roman" w:hAnsi="Times New Roman"/>
          <w:bCs/>
          <w:kern w:val="0"/>
          <w:sz w:val="24"/>
        </w:rPr>
        <w:t>≥</w:t>
      </w:r>
      <w:r>
        <w:rPr>
          <w:rFonts w:ascii="Times New Roman" w:hAnsi="Times New Roman"/>
          <w:sz w:val="24"/>
          <w:lang w:val="en-GB"/>
        </w:rPr>
        <w:t>2m；</w:t>
      </w:r>
    </w:p>
    <w:p w14:paraId="46DC00AA">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2.1.2 低质量时质量分辨率：m/z = 28 (Si</w:t>
      </w:r>
      <w:r>
        <w:rPr>
          <w:rFonts w:ascii="Times New Roman" w:hAnsi="Times New Roman"/>
          <w:sz w:val="24"/>
          <w:vertAlign w:val="superscript"/>
          <w:lang w:val="en-GB"/>
        </w:rPr>
        <w:t>+</w:t>
      </w:r>
      <w:r>
        <w:rPr>
          <w:rFonts w:ascii="Times New Roman" w:hAnsi="Times New Roman"/>
          <w:sz w:val="24"/>
          <w:lang w:val="en-GB"/>
        </w:rPr>
        <w:t>)的m/∆</w:t>
      </w:r>
      <w:r>
        <w:rPr>
          <w:rFonts w:ascii="Times New Roman" w:hAnsi="Times New Roman"/>
          <w:bCs/>
          <w:kern w:val="0"/>
          <w:sz w:val="24"/>
        </w:rPr>
        <w:t>m ≥ 14,000</w:t>
      </w:r>
    </w:p>
    <w:p w14:paraId="4B96E819">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2.1.3 高质量时质量分辨率：</w:t>
      </w:r>
      <w:r>
        <w:rPr>
          <w:rFonts w:ascii="Times New Roman" w:hAnsi="Times New Roman"/>
          <w:kern w:val="0"/>
          <w:sz w:val="24"/>
        </w:rPr>
        <w:t>m/z &gt; 200的</w:t>
      </w:r>
      <w:r>
        <w:rPr>
          <w:rFonts w:ascii="Times New Roman" w:hAnsi="Times New Roman"/>
          <w:bCs/>
          <w:kern w:val="0"/>
          <w:sz w:val="24"/>
        </w:rPr>
        <w:t>m/∆m ≥ 16,000</w:t>
      </w:r>
    </w:p>
    <w:p w14:paraId="30E48EE6">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2.1.4 绝缘材料质量分辨率：</w:t>
      </w:r>
      <w:r>
        <w:rPr>
          <w:rFonts w:ascii="Times New Roman" w:hAnsi="Times New Roman"/>
          <w:kern w:val="0"/>
          <w:sz w:val="24"/>
        </w:rPr>
        <w:t>PET标准样品m/z = 104的</w:t>
      </w:r>
      <w:r>
        <w:rPr>
          <w:rFonts w:ascii="Times New Roman" w:hAnsi="Times New Roman"/>
          <w:bCs/>
          <w:kern w:val="0"/>
          <w:sz w:val="24"/>
        </w:rPr>
        <w:t>m/∆m ≥ 14,000</w:t>
      </w:r>
    </w:p>
    <w:p w14:paraId="658E0C57">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 xml:space="preserve">2.1.5 质量精度：m &lt; 100 u </w:t>
      </w:r>
      <w:r>
        <w:rPr>
          <w:rFonts w:hint="eastAsia" w:ascii="Times New Roman" w:hAnsi="Times New Roman"/>
          <w:sz w:val="24"/>
          <w:lang w:val="en-GB"/>
        </w:rPr>
        <w:t>时质量精度为</w:t>
      </w:r>
      <w:r>
        <w:rPr>
          <w:rFonts w:ascii="Times New Roman" w:hAnsi="Times New Roman"/>
          <w:sz w:val="24"/>
          <w:lang w:val="en-GB"/>
        </w:rPr>
        <w:t>&lt; 1 mu; m &gt; 100 u</w:t>
      </w:r>
      <w:r>
        <w:rPr>
          <w:rFonts w:hint="eastAsia" w:ascii="Times New Roman" w:hAnsi="Times New Roman"/>
          <w:sz w:val="24"/>
          <w:lang w:val="en-GB"/>
        </w:rPr>
        <w:t>时质量精度为</w:t>
      </w:r>
      <w:r>
        <w:rPr>
          <w:rFonts w:ascii="Times New Roman" w:hAnsi="Times New Roman"/>
          <w:sz w:val="24"/>
          <w:lang w:val="en-GB"/>
        </w:rPr>
        <w:t>&lt; 10 ppm ;</w:t>
      </w:r>
    </w:p>
    <w:p w14:paraId="57ABD5F7">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2.1.6</w:t>
      </w:r>
      <w:r>
        <w:rPr>
          <w:rFonts w:ascii="Times New Roman" w:hAnsi="Times New Roman"/>
          <w:sz w:val="24"/>
        </w:rPr>
        <w:t xml:space="preserve"> 空间分辨率</w:t>
      </w:r>
      <w:r>
        <w:rPr>
          <w:rFonts w:ascii="Times New Roman" w:hAnsi="Times New Roman"/>
          <w:sz w:val="24"/>
          <w:lang w:val="en-GB"/>
        </w:rPr>
        <w:t>：≤ 50nm；</w:t>
      </w:r>
    </w:p>
    <w:p w14:paraId="5F5BE3B2">
      <w:pPr>
        <w:pStyle w:val="7"/>
        <w:numPr>
          <w:ilvl w:val="1"/>
          <w:numId w:val="0"/>
        </w:numPr>
        <w:spacing w:after="120" w:line="360" w:lineRule="auto"/>
        <w:ind w:left="720" w:hanging="360"/>
        <w:contextualSpacing/>
        <w:rPr>
          <w:rFonts w:ascii="Times New Roman" w:hAnsi="Times New Roman"/>
          <w:sz w:val="24"/>
        </w:rPr>
      </w:pPr>
      <w:r>
        <w:rPr>
          <w:rFonts w:ascii="Times New Roman" w:hAnsi="Times New Roman"/>
          <w:sz w:val="24"/>
        </w:rPr>
        <w:t># 2.1.7二次离子接收角 ：≥21º；</w:t>
      </w:r>
    </w:p>
    <w:p w14:paraId="777633B9">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2.1.8 灵敏度：≥ 5.5 × 10</w:t>
      </w:r>
      <w:r>
        <w:rPr>
          <w:rFonts w:ascii="Times New Roman" w:hAnsi="Times New Roman"/>
          <w:sz w:val="24"/>
          <w:vertAlign w:val="superscript"/>
          <w:lang w:val="en-GB"/>
        </w:rPr>
        <w:t>8</w:t>
      </w:r>
      <w:r>
        <w:rPr>
          <w:rFonts w:ascii="Times New Roman" w:hAnsi="Times New Roman"/>
          <w:sz w:val="24"/>
          <w:lang w:val="en-GB"/>
        </w:rPr>
        <w:t xml:space="preserve"> Al</w:t>
      </w:r>
      <w:r>
        <w:rPr>
          <w:rFonts w:ascii="Times New Roman" w:hAnsi="Times New Roman"/>
          <w:sz w:val="24"/>
          <w:vertAlign w:val="superscript"/>
          <w:lang w:val="en-GB"/>
        </w:rPr>
        <w:t>+</w:t>
      </w:r>
      <w:r>
        <w:rPr>
          <w:rFonts w:ascii="Times New Roman" w:hAnsi="Times New Roman"/>
          <w:sz w:val="24"/>
          <w:lang w:val="en-GB"/>
        </w:rPr>
        <w:t xml:space="preserve"> cts / nanocoulomb</w:t>
      </w:r>
    </w:p>
    <w:p w14:paraId="08B9C84D">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2.1.9信噪比：对m/z 28.5背底计数比，信噪比≥ 2 × 10</w:t>
      </w:r>
      <w:r>
        <w:rPr>
          <w:rFonts w:ascii="Times New Roman" w:hAnsi="Times New Roman"/>
          <w:sz w:val="24"/>
          <w:vertAlign w:val="superscript"/>
          <w:lang w:val="en-GB"/>
        </w:rPr>
        <w:t>5</w:t>
      </w:r>
      <w:r>
        <w:rPr>
          <w:rFonts w:ascii="Times New Roman" w:hAnsi="Times New Roman"/>
          <w:sz w:val="24"/>
          <w:lang w:val="en-GB"/>
        </w:rPr>
        <w:t>（28Si</w:t>
      </w:r>
      <w:r>
        <w:rPr>
          <w:rFonts w:ascii="Times New Roman" w:hAnsi="Times New Roman"/>
          <w:sz w:val="24"/>
          <w:vertAlign w:val="superscript"/>
          <w:lang w:val="en-GB"/>
        </w:rPr>
        <w:t>+</w:t>
      </w:r>
      <w:r>
        <w:rPr>
          <w:rFonts w:ascii="Times New Roman" w:hAnsi="Times New Roman"/>
          <w:sz w:val="24"/>
          <w:lang w:val="en-GB"/>
        </w:rPr>
        <w:t>）；</w:t>
      </w:r>
    </w:p>
    <w:p w14:paraId="35EB9344">
      <w:pPr>
        <w:pStyle w:val="7"/>
        <w:numPr>
          <w:ilvl w:val="1"/>
          <w:numId w:val="0"/>
        </w:numPr>
        <w:spacing w:after="120" w:line="360" w:lineRule="auto"/>
        <w:ind w:left="720" w:hanging="360"/>
        <w:contextualSpacing/>
        <w:rPr>
          <w:rFonts w:hint="eastAsia" w:ascii="Times New Roman" w:hAnsi="Times New Roman"/>
          <w:sz w:val="24"/>
        </w:rPr>
      </w:pPr>
      <w:r>
        <w:rPr>
          <w:rFonts w:hint="eastAsia" w:ascii="Times New Roman" w:hAnsi="Times New Roman"/>
          <w:sz w:val="24"/>
        </w:rPr>
        <w:t># 2.1.</w:t>
      </w:r>
      <w:r>
        <w:rPr>
          <w:rFonts w:ascii="Times New Roman" w:hAnsi="Times New Roman"/>
          <w:sz w:val="24"/>
        </w:rPr>
        <w:t>10</w:t>
      </w:r>
      <w:r>
        <w:rPr>
          <w:rFonts w:hint="eastAsia" w:ascii="Times New Roman" w:hAnsi="Times New Roman"/>
          <w:sz w:val="24"/>
        </w:rPr>
        <w:t xml:space="preserve">对于导电样品景深： </w:t>
      </w:r>
      <w:r>
        <w:rPr>
          <w:rFonts w:ascii="Times New Roman" w:hAnsi="Times New Roman"/>
          <w:sz w:val="24"/>
        </w:rPr>
        <w:t>≥ 140 μm；对于绝缘样品景深：≥200 μm</w:t>
      </w:r>
      <w:r>
        <w:rPr>
          <w:rFonts w:hint="eastAsia" w:ascii="Times New Roman" w:hAnsi="Times New Roman"/>
          <w:sz w:val="24"/>
        </w:rPr>
        <w:t>；</w:t>
      </w:r>
    </w:p>
    <w:p w14:paraId="3B51CBF1">
      <w:pPr>
        <w:spacing w:line="360" w:lineRule="auto"/>
        <w:ind w:firstLine="360"/>
        <w:contextualSpacing/>
        <w:rPr>
          <w:b/>
          <w:sz w:val="24"/>
          <w:lang w:val="en-GB"/>
        </w:rPr>
      </w:pPr>
      <w:r>
        <w:rPr>
          <w:b/>
          <w:sz w:val="24"/>
          <w:lang w:val="en-GB"/>
        </w:rPr>
        <w:t>2.2液态金属铋离子源 LMIG</w:t>
      </w:r>
    </w:p>
    <w:p w14:paraId="6AFA3861">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2.2.1离子束能量范围：15 ~ 30 keV；</w:t>
      </w:r>
    </w:p>
    <w:p w14:paraId="25EE3150">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 xml:space="preserve">2.2.2最大离子束流： Bi初级离子源≥ 30 nA； </w:t>
      </w:r>
    </w:p>
    <w:p w14:paraId="6648F59D">
      <w:pPr>
        <w:pStyle w:val="7"/>
        <w:numPr>
          <w:ilvl w:val="1"/>
          <w:numId w:val="0"/>
        </w:numPr>
        <w:spacing w:after="120" w:line="360" w:lineRule="auto"/>
        <w:ind w:left="720" w:hanging="360"/>
        <w:contextualSpacing/>
        <w:rPr>
          <w:rFonts w:ascii="Times New Roman" w:hAnsi="Times New Roman"/>
          <w:sz w:val="24"/>
          <w:lang w:val="en-GB"/>
        </w:rPr>
      </w:pPr>
      <w:bookmarkStart w:id="0" w:name="_Hlk182229518"/>
      <w:r>
        <w:rPr>
          <w:rFonts w:ascii="Segoe UI Symbol" w:hAnsi="Segoe UI Symbol" w:cs="Segoe UI Symbol"/>
          <w:sz w:val="24"/>
        </w:rPr>
        <w:t>★</w:t>
      </w:r>
      <w:bookmarkEnd w:id="0"/>
      <w:r>
        <w:rPr>
          <w:rFonts w:ascii="Times New Roman" w:hAnsi="Times New Roman"/>
          <w:sz w:val="24"/>
          <w:lang w:val="en-GB"/>
        </w:rPr>
        <w:t>2.2.3 最小束斑直径：Bi</w:t>
      </w:r>
      <w:r>
        <w:rPr>
          <w:rFonts w:ascii="Times New Roman" w:hAnsi="Times New Roman"/>
          <w:sz w:val="24"/>
          <w:vertAlign w:val="superscript"/>
          <w:lang w:val="en-GB"/>
        </w:rPr>
        <w:t>+</w:t>
      </w:r>
      <w:r>
        <w:rPr>
          <w:rFonts w:ascii="Times New Roman" w:hAnsi="Times New Roman"/>
          <w:sz w:val="24"/>
          <w:lang w:val="en-GB"/>
        </w:rPr>
        <w:t xml:space="preserve"> 或Bi</w:t>
      </w:r>
      <w:r>
        <w:rPr>
          <w:rFonts w:ascii="Times New Roman" w:hAnsi="Times New Roman"/>
          <w:sz w:val="24"/>
          <w:vertAlign w:val="subscript"/>
          <w:lang w:val="en-GB"/>
        </w:rPr>
        <w:t>3</w:t>
      </w:r>
      <w:r>
        <w:rPr>
          <w:rFonts w:ascii="Times New Roman" w:hAnsi="Times New Roman"/>
          <w:sz w:val="24"/>
          <w:vertAlign w:val="superscript"/>
          <w:lang w:val="en-GB"/>
        </w:rPr>
        <w:t>++</w:t>
      </w:r>
      <w:r>
        <w:rPr>
          <w:rFonts w:ascii="Times New Roman" w:hAnsi="Times New Roman"/>
          <w:sz w:val="24"/>
          <w:lang w:val="en-GB"/>
        </w:rPr>
        <w:t>初级离子束，脉冲模式≤ 50 nm, 聚束模式≤ 0.5 µm；</w:t>
      </w:r>
    </w:p>
    <w:p w14:paraId="46393CDE">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2.2.4 H峰的脉冲宽度：使用聚束Bi+初级离子源FWHM ≤ 700 ps；</w:t>
      </w:r>
    </w:p>
    <w:p w14:paraId="52B28395">
      <w:pPr>
        <w:spacing w:line="360" w:lineRule="auto"/>
        <w:ind w:firstLine="360"/>
        <w:contextualSpacing/>
        <w:rPr>
          <w:sz w:val="24"/>
          <w:lang w:val="en-GB"/>
        </w:rPr>
      </w:pPr>
      <w:r>
        <w:rPr>
          <w:b/>
          <w:sz w:val="24"/>
          <w:lang w:val="en-GB"/>
        </w:rPr>
        <w:t>2.3样品观察及操控系统</w:t>
      </w:r>
    </w:p>
    <w:p w14:paraId="07F7C8FC">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2.3.1 样品台：计算机控制全自动5-轴样品台</w:t>
      </w:r>
    </w:p>
    <w:p w14:paraId="01F8F99D">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2.3.2样品台移动行程：X轴：≥100 mm ；Y轴：≥100 mm ；Z轴：≥ 20 mm； T倾斜轴：+15º ~ -15 º ；R旋转轴：+180 º ~ -180 º 旋转</w:t>
      </w:r>
    </w:p>
    <w:p w14:paraId="2061E0D5">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2.3.3样品最大厚度：</w:t>
      </w:r>
      <w:r>
        <w:rPr>
          <w:rFonts w:ascii="Times New Roman" w:hAnsi="Times New Roman"/>
          <w:bCs/>
          <w:kern w:val="0"/>
          <w:sz w:val="24"/>
        </w:rPr>
        <w:t>≥</w:t>
      </w:r>
      <w:r>
        <w:rPr>
          <w:rFonts w:ascii="Times New Roman" w:hAnsi="Times New Roman"/>
          <w:sz w:val="24"/>
          <w:lang w:val="en-GB"/>
        </w:rPr>
        <w:t>22 mm</w:t>
      </w:r>
    </w:p>
    <w:p w14:paraId="1F55F1DC">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 2.3.4 样品托尺寸：</w:t>
      </w:r>
      <w:r>
        <w:rPr>
          <w:rFonts w:ascii="Times New Roman" w:hAnsi="Times New Roman"/>
          <w:bCs/>
          <w:kern w:val="0"/>
          <w:sz w:val="24"/>
        </w:rPr>
        <w:t>≥</w:t>
      </w:r>
      <w:r>
        <w:rPr>
          <w:rFonts w:ascii="Times New Roman" w:hAnsi="Times New Roman"/>
          <w:sz w:val="24"/>
          <w:lang w:val="en-GB"/>
        </w:rPr>
        <w:t>100mm ×100mm</w:t>
      </w:r>
    </w:p>
    <w:p w14:paraId="54B595FA">
      <w:pPr>
        <w:pStyle w:val="7"/>
        <w:numPr>
          <w:ilvl w:val="1"/>
          <w:numId w:val="0"/>
        </w:numPr>
        <w:spacing w:after="120" w:line="360" w:lineRule="auto"/>
        <w:ind w:left="720" w:hanging="360"/>
        <w:contextualSpacing/>
        <w:rPr>
          <w:rFonts w:ascii="Times New Roman" w:hAnsi="Times New Roman"/>
          <w:b/>
          <w:sz w:val="24"/>
          <w:lang w:val="en-GB"/>
        </w:rPr>
      </w:pPr>
      <w:r>
        <w:rPr>
          <w:rFonts w:ascii="Times New Roman" w:hAnsi="Times New Roman"/>
          <w:sz w:val="24"/>
          <w:lang w:val="en-GB"/>
        </w:rPr>
        <w:t># 2.3.5全自动进样方式：无需借助样品传送杆；</w:t>
      </w:r>
    </w:p>
    <w:p w14:paraId="6B47D9F5">
      <w:pPr>
        <w:spacing w:line="360" w:lineRule="auto"/>
        <w:ind w:firstLine="360"/>
        <w:contextualSpacing/>
        <w:rPr>
          <w:sz w:val="24"/>
          <w:lang w:val="en-GB"/>
        </w:rPr>
      </w:pPr>
      <w:r>
        <w:rPr>
          <w:b/>
          <w:sz w:val="24"/>
          <w:lang w:val="en-GB"/>
        </w:rPr>
        <w:t>2.4 UHV 超高真空系统</w:t>
      </w:r>
    </w:p>
    <w:p w14:paraId="432F55DE">
      <w:pPr>
        <w:pStyle w:val="7"/>
        <w:numPr>
          <w:ilvl w:val="1"/>
          <w:numId w:val="0"/>
        </w:numPr>
        <w:spacing w:after="120" w:line="360" w:lineRule="auto"/>
        <w:ind w:left="720" w:hanging="360"/>
        <w:contextualSpacing/>
        <w:rPr>
          <w:rFonts w:ascii="Times New Roman" w:hAnsi="Times New Roman"/>
          <w:b/>
          <w:sz w:val="24"/>
        </w:rPr>
      </w:pPr>
      <w:r>
        <w:rPr>
          <w:rFonts w:ascii="Times New Roman" w:hAnsi="Times New Roman"/>
          <w:sz w:val="24"/>
          <w:lang w:val="en-GB"/>
        </w:rPr>
        <w:t>2.4.1 UHV系统基础真空指标：烘烤后</w:t>
      </w:r>
      <w:r>
        <w:rPr>
          <w:rFonts w:ascii="Times New Roman" w:hAnsi="Times New Roman"/>
          <w:sz w:val="24"/>
          <w:lang w:val="en-GB"/>
        </w:rPr>
        <w:sym w:font="Symbol" w:char="F0A3"/>
      </w:r>
      <w:r>
        <w:rPr>
          <w:rFonts w:ascii="Times New Roman" w:hAnsi="Times New Roman"/>
          <w:sz w:val="24"/>
          <w:lang w:val="en-GB"/>
        </w:rPr>
        <w:t xml:space="preserve"> 2 × 10</w:t>
      </w:r>
      <w:r>
        <w:rPr>
          <w:rFonts w:ascii="Times New Roman" w:hAnsi="Times New Roman"/>
          <w:sz w:val="24"/>
          <w:vertAlign w:val="superscript"/>
          <w:lang w:val="en-GB"/>
        </w:rPr>
        <w:t>–7</w:t>
      </w:r>
      <w:r>
        <w:rPr>
          <w:rFonts w:ascii="Times New Roman" w:hAnsi="Times New Roman"/>
          <w:sz w:val="24"/>
          <w:lang w:val="en-GB"/>
        </w:rPr>
        <w:t>Pa</w:t>
      </w:r>
    </w:p>
    <w:p w14:paraId="6F377CD4">
      <w:pPr>
        <w:spacing w:line="360" w:lineRule="auto"/>
        <w:ind w:firstLine="360"/>
        <w:contextualSpacing/>
        <w:rPr>
          <w:sz w:val="24"/>
          <w:lang w:val="en-GB"/>
        </w:rPr>
      </w:pPr>
      <w:r>
        <w:rPr>
          <w:b/>
          <w:sz w:val="24"/>
          <w:lang w:val="en-GB"/>
        </w:rPr>
        <w:t>2.5双束荷电中和系统</w:t>
      </w:r>
    </w:p>
    <w:p w14:paraId="3ABE213F">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 2.5.1 采用低能量脉冲聚焦电子枪和超低能量的离子束对绝缘样品表面的荷电进行双束中和，中和条件自动匹配；</w:t>
      </w:r>
    </w:p>
    <w:p w14:paraId="00589DAE">
      <w:pPr>
        <w:pStyle w:val="7"/>
        <w:numPr>
          <w:ilvl w:val="1"/>
          <w:numId w:val="0"/>
        </w:numPr>
        <w:spacing w:after="120" w:line="360" w:lineRule="auto"/>
        <w:ind w:left="720" w:hanging="360"/>
        <w:contextualSpacing/>
        <w:rPr>
          <w:rFonts w:ascii="Times New Roman" w:hAnsi="Times New Roman"/>
          <w:sz w:val="24"/>
          <w:lang w:val="pt-BR"/>
        </w:rPr>
      </w:pPr>
      <w:r>
        <w:rPr>
          <w:rFonts w:ascii="Times New Roman" w:hAnsi="Times New Roman"/>
          <w:sz w:val="24"/>
        </w:rPr>
        <w:t>2.5.2 电荷中和</w:t>
      </w:r>
      <w:r>
        <w:rPr>
          <w:rFonts w:ascii="Times New Roman" w:hAnsi="Times New Roman"/>
          <w:sz w:val="24"/>
          <w:lang w:val="pt-BR"/>
        </w:rPr>
        <w:t>(Ar</w:t>
      </w:r>
      <w:r>
        <w:rPr>
          <w:rFonts w:ascii="Times New Roman" w:hAnsi="Times New Roman"/>
          <w:sz w:val="24"/>
          <w:vertAlign w:val="superscript"/>
        </w:rPr>
        <w:t>+</w:t>
      </w:r>
      <w:r>
        <w:rPr>
          <w:rFonts w:ascii="Times New Roman" w:hAnsi="Times New Roman"/>
          <w:sz w:val="24"/>
          <w:lang w:val="pt-BR"/>
        </w:rPr>
        <w:t xml:space="preserve"> or O</w:t>
      </w:r>
      <w:r>
        <w:rPr>
          <w:rFonts w:ascii="Times New Roman" w:hAnsi="Times New Roman"/>
          <w:sz w:val="24"/>
          <w:vertAlign w:val="subscript"/>
          <w:lang w:val="pt-BR"/>
        </w:rPr>
        <w:t>2</w:t>
      </w:r>
      <w:r>
        <w:rPr>
          <w:rFonts w:ascii="Times New Roman" w:hAnsi="Times New Roman"/>
          <w:sz w:val="24"/>
          <w:vertAlign w:val="superscript"/>
        </w:rPr>
        <w:t>+</w:t>
      </w:r>
      <w:r>
        <w:rPr>
          <w:rFonts w:ascii="Times New Roman" w:hAnsi="Times New Roman"/>
          <w:sz w:val="24"/>
          <w:lang w:val="pt-BR"/>
        </w:rPr>
        <w:t>)</w:t>
      </w:r>
    </w:p>
    <w:p w14:paraId="0C90BDE9">
      <w:pPr>
        <w:pStyle w:val="7"/>
        <w:numPr>
          <w:ilvl w:val="1"/>
          <w:numId w:val="0"/>
        </w:numPr>
        <w:spacing w:after="120" w:line="360" w:lineRule="auto"/>
        <w:ind w:left="720" w:hanging="360"/>
        <w:contextualSpacing/>
        <w:rPr>
          <w:rFonts w:ascii="Times New Roman" w:hAnsi="Times New Roman"/>
          <w:sz w:val="24"/>
          <w:lang w:val="pt-BR"/>
        </w:rPr>
      </w:pPr>
      <w:r>
        <w:rPr>
          <w:rFonts w:ascii="Times New Roman" w:hAnsi="Times New Roman"/>
          <w:sz w:val="24"/>
        </w:rPr>
        <w:t xml:space="preserve">2.5.3 </w:t>
      </w:r>
      <w:r>
        <w:rPr>
          <w:rFonts w:ascii="Times New Roman" w:hAnsi="Times New Roman"/>
          <w:sz w:val="24"/>
          <w:lang w:val="pt-BR"/>
        </w:rPr>
        <w:t>源类型：计算机控制电子轰击源产生Ar</w:t>
      </w:r>
      <w:r>
        <w:rPr>
          <w:rFonts w:ascii="Times New Roman" w:hAnsi="Times New Roman"/>
          <w:sz w:val="24"/>
          <w:vertAlign w:val="superscript"/>
          <w:lang w:val="pt-BR"/>
        </w:rPr>
        <w:t>+</w:t>
      </w:r>
      <w:r>
        <w:rPr>
          <w:rFonts w:ascii="Times New Roman" w:hAnsi="Times New Roman"/>
          <w:sz w:val="24"/>
          <w:lang w:val="pt-BR"/>
        </w:rPr>
        <w:t xml:space="preserve"> 或</w:t>
      </w:r>
      <w:r>
        <w:rPr>
          <w:rFonts w:ascii="Times New Roman" w:hAnsi="Times New Roman"/>
          <w:sz w:val="24"/>
        </w:rPr>
        <w:t>O</w:t>
      </w:r>
      <w:r>
        <w:rPr>
          <w:rFonts w:ascii="Times New Roman" w:hAnsi="Times New Roman"/>
          <w:sz w:val="24"/>
          <w:vertAlign w:val="subscript"/>
        </w:rPr>
        <w:t>2</w:t>
      </w:r>
      <w:r>
        <w:rPr>
          <w:rFonts w:ascii="Times New Roman" w:hAnsi="Times New Roman"/>
          <w:sz w:val="24"/>
          <w:vertAlign w:val="superscript"/>
        </w:rPr>
        <w:t>+</w:t>
      </w:r>
    </w:p>
    <w:p w14:paraId="684F31BD">
      <w:pPr>
        <w:pStyle w:val="7"/>
        <w:numPr>
          <w:ilvl w:val="1"/>
          <w:numId w:val="0"/>
        </w:numPr>
        <w:spacing w:after="120" w:line="360" w:lineRule="auto"/>
        <w:ind w:left="720" w:hanging="360"/>
        <w:contextualSpacing/>
        <w:rPr>
          <w:rFonts w:ascii="Times New Roman" w:hAnsi="Times New Roman"/>
          <w:sz w:val="24"/>
          <w:lang w:val="pt-BR"/>
        </w:rPr>
      </w:pPr>
      <w:r>
        <w:rPr>
          <w:rFonts w:ascii="Times New Roman" w:hAnsi="Times New Roman"/>
          <w:sz w:val="24"/>
        </w:rPr>
        <w:t xml:space="preserve">2.5.4 </w:t>
      </w:r>
      <w:r>
        <w:rPr>
          <w:rFonts w:ascii="Times New Roman" w:hAnsi="Times New Roman"/>
          <w:sz w:val="24"/>
          <w:lang w:val="pt-BR"/>
        </w:rPr>
        <w:t>束流能量10 eV 到 20eV.</w:t>
      </w:r>
    </w:p>
    <w:p w14:paraId="0F219AEF">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rPr>
        <w:t>2.5.5</w:t>
      </w:r>
      <w:r>
        <w:rPr>
          <w:rFonts w:ascii="Times New Roman" w:hAnsi="Times New Roman"/>
          <w:sz w:val="24"/>
          <w:lang w:val="pt-BR"/>
        </w:rPr>
        <w:t xml:space="preserve">最大束流≥ 3 nA </w:t>
      </w:r>
    </w:p>
    <w:p w14:paraId="323D5D58">
      <w:pPr>
        <w:spacing w:line="360" w:lineRule="auto"/>
        <w:ind w:firstLine="360"/>
        <w:contextualSpacing/>
        <w:rPr>
          <w:b/>
          <w:sz w:val="24"/>
          <w:lang w:val="en-GB"/>
        </w:rPr>
      </w:pPr>
      <w:r>
        <w:rPr>
          <w:b/>
          <w:sz w:val="24"/>
          <w:lang w:val="en-GB"/>
        </w:rPr>
        <w:t>2.6 Ar/O双气源</w:t>
      </w:r>
    </w:p>
    <w:p w14:paraId="7AA56218">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2.6.1 源类型：计算机控制电子轰击源产生Ar+ 或O</w:t>
      </w:r>
      <w:r>
        <w:rPr>
          <w:rFonts w:ascii="Times New Roman" w:hAnsi="Times New Roman"/>
          <w:sz w:val="24"/>
          <w:vertAlign w:val="subscript"/>
          <w:lang w:val="en-GB"/>
        </w:rPr>
        <w:t>2</w:t>
      </w:r>
      <w:r>
        <w:rPr>
          <w:rFonts w:ascii="Times New Roman" w:hAnsi="Times New Roman"/>
          <w:sz w:val="24"/>
          <w:lang w:val="en-GB"/>
        </w:rPr>
        <w:t>+ ;</w:t>
      </w:r>
    </w:p>
    <w:p w14:paraId="2E33ABF0">
      <w:pPr>
        <w:pStyle w:val="7"/>
        <w:numPr>
          <w:ilvl w:val="1"/>
          <w:numId w:val="0"/>
        </w:numPr>
        <w:spacing w:after="120" w:line="360" w:lineRule="auto"/>
        <w:ind w:left="720" w:hanging="360"/>
        <w:contextualSpacing/>
        <w:rPr>
          <w:rFonts w:ascii="Times New Roman" w:hAnsi="Times New Roman"/>
          <w:sz w:val="24"/>
          <w:lang w:val="pt-BR"/>
        </w:rPr>
      </w:pPr>
      <w:r>
        <w:rPr>
          <w:rFonts w:ascii="Times New Roman" w:hAnsi="Times New Roman"/>
          <w:sz w:val="24"/>
        </w:rPr>
        <w:t xml:space="preserve">2.6.2 </w:t>
      </w:r>
      <w:r>
        <w:rPr>
          <w:rFonts w:ascii="Times New Roman" w:hAnsi="Times New Roman"/>
          <w:sz w:val="24"/>
          <w:lang w:val="pt-BR"/>
        </w:rPr>
        <w:t>束流能量200 eV 到 3 keV.</w:t>
      </w:r>
    </w:p>
    <w:p w14:paraId="055246FA">
      <w:pPr>
        <w:pStyle w:val="7"/>
        <w:numPr>
          <w:ilvl w:val="1"/>
          <w:numId w:val="0"/>
        </w:numPr>
        <w:spacing w:after="120" w:line="360" w:lineRule="auto"/>
        <w:ind w:left="720" w:hanging="360"/>
        <w:contextualSpacing/>
        <w:rPr>
          <w:rFonts w:ascii="Times New Roman" w:hAnsi="Times New Roman"/>
          <w:sz w:val="24"/>
          <w:lang w:val="pt-BR"/>
        </w:rPr>
      </w:pPr>
      <w:r>
        <w:rPr>
          <w:rFonts w:ascii="Times New Roman" w:hAnsi="Times New Roman"/>
          <w:sz w:val="24"/>
          <w:lang w:val="pt-BR"/>
        </w:rPr>
        <w:t xml:space="preserve"># 2.6.3 最大束流 @ 2 kV≥ 600 nA  (≤ 120 µm) </w:t>
      </w:r>
    </w:p>
    <w:p w14:paraId="4BFC2E46">
      <w:pPr>
        <w:pStyle w:val="7"/>
        <w:numPr>
          <w:ilvl w:val="1"/>
          <w:numId w:val="0"/>
        </w:numPr>
        <w:spacing w:after="120" w:line="360" w:lineRule="auto"/>
        <w:ind w:left="720" w:hanging="360"/>
        <w:contextualSpacing/>
        <w:rPr>
          <w:rFonts w:ascii="Times New Roman" w:hAnsi="Times New Roman"/>
          <w:sz w:val="24"/>
          <w:lang w:val="pt-BR"/>
        </w:rPr>
      </w:pPr>
      <w:r>
        <w:rPr>
          <w:rFonts w:ascii="Times New Roman" w:hAnsi="Times New Roman"/>
          <w:sz w:val="24"/>
          <w:lang w:val="pt-BR"/>
        </w:rPr>
        <w:t>2.6.4 最小束斑≤ 50 µm</w:t>
      </w:r>
    </w:p>
    <w:p w14:paraId="23C6EF61">
      <w:pPr>
        <w:spacing w:line="360" w:lineRule="auto"/>
        <w:ind w:firstLine="360"/>
        <w:contextualSpacing/>
        <w:rPr>
          <w:sz w:val="24"/>
          <w:lang w:val="pt-BR"/>
        </w:rPr>
      </w:pPr>
      <w:r>
        <w:rPr>
          <w:b/>
          <w:bCs/>
          <w:sz w:val="24"/>
          <w:lang w:val="pt-BR"/>
        </w:rPr>
        <w:t xml:space="preserve">2.7 Cs </w:t>
      </w:r>
      <w:r>
        <w:rPr>
          <w:b/>
          <w:bCs/>
          <w:sz w:val="24"/>
          <w:lang w:val="en-GB"/>
        </w:rPr>
        <w:t>离子</w:t>
      </w:r>
      <w:r>
        <w:rPr>
          <w:b/>
          <w:bCs/>
          <w:strike/>
          <w:sz w:val="24"/>
          <w:lang w:val="en-GB"/>
        </w:rPr>
        <w:t>源</w:t>
      </w:r>
    </w:p>
    <w:p w14:paraId="58308D9F">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2.7.1 Cs 离子枪可同时与LMIG结合使用进行双束深度剖析；</w:t>
      </w:r>
    </w:p>
    <w:p w14:paraId="44D02496">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2.7.2 Cs 离子源：计算机控制表面离化离子源产生133Cs.</w:t>
      </w:r>
    </w:p>
    <w:p w14:paraId="183FEAED">
      <w:pPr>
        <w:pStyle w:val="7"/>
        <w:numPr>
          <w:ilvl w:val="1"/>
          <w:numId w:val="0"/>
        </w:numPr>
        <w:spacing w:after="120" w:line="360" w:lineRule="auto"/>
        <w:ind w:left="720" w:hanging="360"/>
        <w:contextualSpacing/>
        <w:rPr>
          <w:rFonts w:ascii="Times New Roman" w:hAnsi="Times New Roman"/>
          <w:sz w:val="24"/>
          <w:lang w:val="en-GB"/>
        </w:rPr>
      </w:pPr>
      <w:r>
        <w:rPr>
          <w:rFonts w:ascii="Segoe UI Symbol" w:hAnsi="Segoe UI Symbol" w:cs="Segoe UI Symbol"/>
          <w:sz w:val="24"/>
        </w:rPr>
        <w:t>★</w:t>
      </w:r>
      <w:r>
        <w:rPr>
          <w:rFonts w:ascii="Times New Roman" w:hAnsi="Times New Roman"/>
          <w:sz w:val="24"/>
          <w:lang w:val="en-GB"/>
        </w:rPr>
        <w:t>2.7.3 束流能量：250 eV ~ 2 keV</w:t>
      </w:r>
    </w:p>
    <w:p w14:paraId="2A787686">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 xml:space="preserve">2.7.4 最大束流 @ 2 kV：≥ 200 nA </w:t>
      </w:r>
    </w:p>
    <w:p w14:paraId="440C2971">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2.7.5 最大束流 @ 0.5 kV：≥ 40 nA</w:t>
      </w:r>
    </w:p>
    <w:p w14:paraId="4C2862E5">
      <w:pPr>
        <w:spacing w:line="360" w:lineRule="auto"/>
        <w:ind w:firstLine="360"/>
        <w:contextualSpacing/>
        <w:rPr>
          <w:b/>
          <w:bCs/>
          <w:sz w:val="24"/>
          <w:lang w:val="en-GB"/>
        </w:rPr>
      </w:pPr>
      <w:r>
        <w:rPr>
          <w:b/>
          <w:bCs/>
          <w:sz w:val="24"/>
          <w:lang w:val="en-GB"/>
        </w:rPr>
        <w:t>2.8 FIB聚焦离子束（一次离子源Bi源）</w:t>
      </w:r>
    </w:p>
    <w:p w14:paraId="1F8A9F91">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2.8.1 聚焦离子源（FIB) 可安装以表征材料的2D和3D分布。</w:t>
      </w:r>
    </w:p>
    <w:p w14:paraId="42D82DF8">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 xml:space="preserve">2.8.2 计算机控制场发射源- LMIG离子枪: </w:t>
      </w:r>
    </w:p>
    <w:p w14:paraId="32C24E21">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2.8.3 束源能量: 15-30 keV</w:t>
      </w:r>
    </w:p>
    <w:p w14:paraId="61F7B164">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2.8.4 最大束流：≥30 nA</w:t>
      </w:r>
    </w:p>
    <w:p w14:paraId="385B02BB">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2.8.5 最小束斑：≤ 100 nm</w:t>
      </w:r>
    </w:p>
    <w:p w14:paraId="353896E4">
      <w:pPr>
        <w:spacing w:line="360" w:lineRule="auto"/>
        <w:ind w:firstLine="360"/>
        <w:contextualSpacing/>
        <w:rPr>
          <w:b/>
          <w:sz w:val="24"/>
        </w:rPr>
      </w:pPr>
      <w:r>
        <w:rPr>
          <w:b/>
          <w:sz w:val="24"/>
        </w:rPr>
        <w:t>2.9 氧喷射源</w:t>
      </w:r>
    </w:p>
    <w:p w14:paraId="5CAF8CBF">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2.9.1 氧喷射可使氧直接作用在样品表面的分析区域上，在正二次离子SIMS深度剖析中可使样品表面氧饱和，并且使气体对真空的影响最小化;</w:t>
      </w:r>
    </w:p>
    <w:p w14:paraId="3342D96C">
      <w:pPr>
        <w:pStyle w:val="7"/>
        <w:numPr>
          <w:ilvl w:val="1"/>
          <w:numId w:val="0"/>
        </w:numPr>
        <w:spacing w:after="120" w:line="360" w:lineRule="auto"/>
        <w:ind w:left="720" w:hanging="360"/>
        <w:contextualSpacing/>
        <w:rPr>
          <w:rFonts w:ascii="Times New Roman" w:hAnsi="Times New Roman"/>
          <w:b/>
          <w:sz w:val="24"/>
          <w:lang w:val="en-GB"/>
        </w:rPr>
      </w:pPr>
      <w:r>
        <w:rPr>
          <w:rFonts w:ascii="Times New Roman" w:hAnsi="Times New Roman"/>
          <w:sz w:val="24"/>
          <w:lang w:val="en-GB"/>
        </w:rPr>
        <w:t>2.9.2 通过调节氧气流阀来增强二次正离子的产额</w:t>
      </w:r>
    </w:p>
    <w:p w14:paraId="17C9A4E5">
      <w:pPr>
        <w:spacing w:line="360" w:lineRule="auto"/>
        <w:ind w:firstLine="360"/>
        <w:contextualSpacing/>
        <w:rPr>
          <w:sz w:val="24"/>
          <w:lang w:val="en-GB"/>
        </w:rPr>
      </w:pPr>
      <w:r>
        <w:rPr>
          <w:b/>
          <w:sz w:val="24"/>
          <w:lang w:val="en-GB"/>
        </w:rPr>
        <w:t>2.10 样品保护传送装置</w:t>
      </w:r>
    </w:p>
    <w:p w14:paraId="2F34F98D">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2.10.1 保护样品不受外界气氛影响，保持样品表面的干净；</w:t>
      </w:r>
    </w:p>
    <w:p w14:paraId="42591549">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2.10.2 磁力杆将样品托从样品传送管转移到进样室的样品台上。</w:t>
      </w:r>
    </w:p>
    <w:p w14:paraId="7AEAF6ED">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2.10.3 配备一个样品传送管。</w:t>
      </w:r>
    </w:p>
    <w:p w14:paraId="5070B15A">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rPr>
        <w:t xml:space="preserve">2.10.4 </w:t>
      </w:r>
      <w:r>
        <w:rPr>
          <w:rFonts w:ascii="Times New Roman" w:hAnsi="Times New Roman"/>
          <w:sz w:val="24"/>
          <w:lang w:val="en-GB"/>
        </w:rPr>
        <w:t>能够在惰性气体保护下把样品从手套箱传输到系统中。</w:t>
      </w:r>
    </w:p>
    <w:p w14:paraId="3FE9B0BD">
      <w:pPr>
        <w:spacing w:line="360" w:lineRule="auto"/>
        <w:ind w:firstLine="360"/>
        <w:contextualSpacing/>
        <w:rPr>
          <w:b/>
          <w:bCs/>
          <w:i/>
          <w:iCs/>
          <w:kern w:val="0"/>
          <w:sz w:val="24"/>
        </w:rPr>
      </w:pPr>
      <w:r>
        <w:rPr>
          <w:b/>
          <w:sz w:val="24"/>
          <w:lang w:val="en-GB"/>
        </w:rPr>
        <w:t xml:space="preserve">2.11 </w:t>
      </w:r>
      <w:r>
        <w:rPr>
          <w:rFonts w:hint="eastAsia"/>
          <w:b/>
          <w:sz w:val="24"/>
          <w:lang w:val="en-US" w:eastAsia="zh-CN"/>
        </w:rPr>
        <w:t>工作站</w:t>
      </w:r>
      <w:r>
        <w:rPr>
          <w:b/>
          <w:sz w:val="24"/>
          <w:lang w:val="en-GB"/>
        </w:rPr>
        <w:t>及软件规格</w:t>
      </w:r>
    </w:p>
    <w:p w14:paraId="783EE535">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2.11.1系统</w:t>
      </w:r>
      <w:r>
        <w:rPr>
          <w:rFonts w:hint="eastAsia" w:ascii="Times New Roman" w:hAnsi="Times New Roman"/>
          <w:sz w:val="24"/>
          <w:lang w:val="en-US" w:eastAsia="zh-CN"/>
        </w:rPr>
        <w:t>工作站</w:t>
      </w:r>
      <w:r>
        <w:rPr>
          <w:rFonts w:ascii="Times New Roman" w:hAnsi="Times New Roman"/>
          <w:sz w:val="24"/>
          <w:lang w:val="en-GB"/>
        </w:rPr>
        <w:t>: 系统运行基于Microsoft Windows® 操作系统，并集成数据采集和系统控制结构；</w:t>
      </w:r>
      <w:bookmarkStart w:id="1" w:name="_Hlk182229634"/>
      <w:r>
        <w:rPr>
          <w:rFonts w:ascii="Times New Roman" w:hAnsi="Times New Roman"/>
          <w:sz w:val="24"/>
          <w:lang w:val="en-GB"/>
        </w:rPr>
        <w:t>配置不低于I7处理器，8G内存，1T机械硬盘，21寸显示器。</w:t>
      </w:r>
      <w:bookmarkEnd w:id="1"/>
    </w:p>
    <w:p w14:paraId="577CDCD7">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2.11.2 系统软件用于硬件控制、数据采集、数据分析，可实现多任务实时操作。</w:t>
      </w:r>
    </w:p>
    <w:p w14:paraId="269490A1">
      <w:pPr>
        <w:spacing w:line="360" w:lineRule="auto"/>
        <w:ind w:firstLine="360"/>
        <w:contextualSpacing/>
        <w:rPr>
          <w:b/>
          <w:sz w:val="24"/>
          <w:lang w:val="en-GB"/>
        </w:rPr>
      </w:pPr>
      <w:r>
        <w:rPr>
          <w:b/>
          <w:sz w:val="24"/>
        </w:rPr>
        <w:t>2.12</w:t>
      </w:r>
      <w:r>
        <w:rPr>
          <w:b/>
          <w:sz w:val="24"/>
          <w:lang w:val="en-GB"/>
        </w:rPr>
        <w:t xml:space="preserve"> 烘烤系统</w:t>
      </w:r>
    </w:p>
    <w:p w14:paraId="67373C48">
      <w:pPr>
        <w:pStyle w:val="7"/>
        <w:numPr>
          <w:ilvl w:val="1"/>
          <w:numId w:val="0"/>
        </w:numPr>
        <w:spacing w:after="120" w:line="360" w:lineRule="auto"/>
        <w:ind w:left="720" w:hanging="360"/>
        <w:contextualSpacing/>
        <w:rPr>
          <w:rFonts w:ascii="Times New Roman" w:hAnsi="Times New Roman"/>
          <w:sz w:val="24"/>
          <w:lang w:val="en-GB"/>
        </w:rPr>
      </w:pPr>
      <w:r>
        <w:rPr>
          <w:rFonts w:ascii="Times New Roman" w:hAnsi="Times New Roman"/>
          <w:sz w:val="24"/>
          <w:lang w:val="en-GB"/>
        </w:rPr>
        <w:t>2.12.1系统烘烤完全由软件控制</w:t>
      </w:r>
    </w:p>
    <w:p w14:paraId="00485974">
      <w:pPr>
        <w:pStyle w:val="7"/>
        <w:numPr>
          <w:ilvl w:val="1"/>
          <w:numId w:val="0"/>
        </w:numPr>
        <w:spacing w:after="120" w:line="360" w:lineRule="auto"/>
        <w:ind w:left="720" w:hanging="360"/>
        <w:contextualSpacing/>
        <w:rPr>
          <w:rFonts w:ascii="Times New Roman" w:hAnsi="Times New Roman"/>
          <w:b/>
          <w:sz w:val="24"/>
          <w:lang w:val="en-GB"/>
        </w:rPr>
      </w:pPr>
      <w:r>
        <w:rPr>
          <w:rFonts w:ascii="Times New Roman" w:hAnsi="Times New Roman"/>
          <w:sz w:val="24"/>
        </w:rPr>
        <w:t>2.12.2</w:t>
      </w:r>
      <w:r>
        <w:rPr>
          <w:rFonts w:ascii="Times New Roman" w:hAnsi="Times New Roman"/>
          <w:sz w:val="24"/>
          <w:lang w:val="en-GB"/>
        </w:rPr>
        <w:t>样品室为硅橡胶加热，质谱仪内部采用卤素灯加热，连接处加热带加热</w:t>
      </w:r>
    </w:p>
    <w:p w14:paraId="444A996A">
      <w:pPr>
        <w:spacing w:line="360" w:lineRule="auto"/>
        <w:ind w:left="360"/>
        <w:contextualSpacing/>
        <w:rPr>
          <w:rFonts w:ascii="宋体" w:hAnsi="宋体" w:cs="宋体"/>
          <w:b/>
          <w:sz w:val="24"/>
          <w:lang w:val="en-GB"/>
        </w:rPr>
      </w:pPr>
    </w:p>
    <w:p w14:paraId="762B4F11">
      <w:pPr>
        <w:spacing w:line="360" w:lineRule="auto"/>
        <w:rPr>
          <w:rFonts w:ascii="宋体" w:hAnsi="宋体" w:cs="宋体"/>
          <w:b/>
          <w:sz w:val="24"/>
        </w:rPr>
      </w:pPr>
    </w:p>
    <w:p w14:paraId="4D01D7D2">
      <w:pPr>
        <w:spacing w:line="360" w:lineRule="auto"/>
        <w:ind w:left="720" w:hanging="360"/>
        <w:rPr>
          <w:b/>
          <w:bCs/>
          <w:sz w:val="24"/>
          <w:lang w:val="en-GB"/>
        </w:rPr>
      </w:pPr>
      <w:r>
        <w:rPr>
          <w:b/>
          <w:bCs/>
          <w:sz w:val="24"/>
        </w:rPr>
        <w:t>3、</w:t>
      </w:r>
      <w:r>
        <w:rPr>
          <w:b/>
          <w:bCs/>
          <w:sz w:val="24"/>
          <w:lang w:val="en-GB"/>
        </w:rPr>
        <w:t>配置（以下各项各</w:t>
      </w:r>
      <w:bookmarkStart w:id="2" w:name="_Hlk182921122"/>
      <w:r>
        <w:rPr>
          <w:b/>
          <w:bCs/>
          <w:sz w:val="24"/>
          <w:lang w:val="en-GB"/>
        </w:rPr>
        <w:t>1套</w:t>
      </w:r>
      <w:bookmarkEnd w:id="2"/>
      <w:r>
        <w:rPr>
          <w:b/>
          <w:bCs/>
          <w:sz w:val="24"/>
          <w:lang w:val="en-GB"/>
        </w:rPr>
        <w:t>）：</w:t>
      </w:r>
    </w:p>
    <w:p w14:paraId="6063B5B1">
      <w:pPr>
        <w:spacing w:line="360" w:lineRule="auto"/>
        <w:ind w:firstLine="480" w:firstLineChars="200"/>
        <w:rPr>
          <w:sz w:val="24"/>
          <w:lang w:val="en-GB"/>
        </w:rPr>
      </w:pPr>
      <w:r>
        <w:rPr>
          <w:sz w:val="24"/>
          <w:lang w:val="en-GB"/>
        </w:rPr>
        <w:t>3.1 真空系统</w:t>
      </w:r>
      <w:r>
        <w:rPr>
          <w:rFonts w:hint="eastAsia"/>
          <w:sz w:val="24"/>
          <w:lang w:val="en-GB"/>
        </w:rPr>
        <w:t>1套</w:t>
      </w:r>
    </w:p>
    <w:p w14:paraId="349355B6">
      <w:pPr>
        <w:spacing w:line="360" w:lineRule="auto"/>
        <w:ind w:firstLine="480" w:firstLineChars="200"/>
        <w:rPr>
          <w:sz w:val="24"/>
          <w:lang w:val="en-GB"/>
        </w:rPr>
      </w:pPr>
      <w:r>
        <w:rPr>
          <w:sz w:val="24"/>
          <w:lang w:val="en-GB"/>
        </w:rPr>
        <w:t>3.2 三重聚焦飞行时间质量分析器</w:t>
      </w:r>
      <w:r>
        <w:rPr>
          <w:rFonts w:hint="eastAsia"/>
          <w:sz w:val="24"/>
          <w:lang w:val="en-GB"/>
        </w:rPr>
        <w:t>1套</w:t>
      </w:r>
    </w:p>
    <w:p w14:paraId="4A6E0A8B">
      <w:pPr>
        <w:spacing w:line="360" w:lineRule="auto"/>
        <w:ind w:firstLine="480" w:firstLineChars="200"/>
        <w:rPr>
          <w:sz w:val="24"/>
          <w:lang w:val="en-GB"/>
        </w:rPr>
      </w:pPr>
      <w:r>
        <w:rPr>
          <w:sz w:val="24"/>
          <w:lang w:val="en-GB"/>
        </w:rPr>
        <w:t>3.3 液态金属</w:t>
      </w:r>
      <w:r>
        <w:rPr>
          <w:rFonts w:hint="eastAsia" w:ascii="宋体" w:hAnsi="宋体" w:cs="宋体"/>
          <w:sz w:val="24"/>
        </w:rPr>
        <w:t>铋</w:t>
      </w:r>
      <w:r>
        <w:rPr>
          <w:sz w:val="24"/>
          <w:lang w:val="en-GB"/>
        </w:rPr>
        <w:t>离子源</w:t>
      </w:r>
      <w:r>
        <w:rPr>
          <w:rFonts w:hint="eastAsia"/>
          <w:sz w:val="24"/>
          <w:lang w:val="en-GB"/>
        </w:rPr>
        <w:t>1套</w:t>
      </w:r>
    </w:p>
    <w:p w14:paraId="2D3E1024">
      <w:pPr>
        <w:spacing w:line="360" w:lineRule="auto"/>
        <w:ind w:firstLine="480" w:firstLineChars="200"/>
        <w:rPr>
          <w:sz w:val="24"/>
          <w:lang w:val="en-GB"/>
        </w:rPr>
      </w:pPr>
      <w:r>
        <w:rPr>
          <w:sz w:val="24"/>
          <w:lang w:val="en-GB"/>
        </w:rPr>
        <w:t>3.4 样品观察及操控系统（包含五轴样品台）</w:t>
      </w:r>
      <w:r>
        <w:rPr>
          <w:rFonts w:hint="eastAsia"/>
          <w:sz w:val="24"/>
          <w:lang w:val="en-GB"/>
        </w:rPr>
        <w:t>1套</w:t>
      </w:r>
    </w:p>
    <w:p w14:paraId="453A4450">
      <w:pPr>
        <w:spacing w:line="360" w:lineRule="auto"/>
        <w:ind w:firstLine="480" w:firstLineChars="200"/>
        <w:rPr>
          <w:sz w:val="24"/>
          <w:lang w:val="en-GB"/>
        </w:rPr>
      </w:pPr>
      <w:r>
        <w:rPr>
          <w:sz w:val="24"/>
          <w:lang w:val="en-GB"/>
        </w:rPr>
        <w:t>3.5 Cs离子源</w:t>
      </w:r>
      <w:r>
        <w:rPr>
          <w:rFonts w:hint="eastAsia"/>
          <w:sz w:val="24"/>
          <w:lang w:val="en-GB"/>
        </w:rPr>
        <w:t>1套</w:t>
      </w:r>
    </w:p>
    <w:p w14:paraId="06589DD1">
      <w:pPr>
        <w:spacing w:line="360" w:lineRule="auto"/>
        <w:ind w:firstLine="480" w:firstLineChars="200"/>
        <w:rPr>
          <w:sz w:val="24"/>
          <w:lang w:val="en-GB"/>
        </w:rPr>
      </w:pPr>
      <w:r>
        <w:rPr>
          <w:sz w:val="24"/>
          <w:lang w:val="en-GB"/>
        </w:rPr>
        <w:t>3.6 Ar/O双气源</w:t>
      </w:r>
      <w:r>
        <w:rPr>
          <w:rFonts w:hint="eastAsia"/>
          <w:sz w:val="24"/>
          <w:lang w:val="en-GB"/>
        </w:rPr>
        <w:t>1套</w:t>
      </w:r>
    </w:p>
    <w:p w14:paraId="02DC6550">
      <w:pPr>
        <w:spacing w:line="360" w:lineRule="auto"/>
        <w:ind w:firstLine="480" w:firstLineChars="200"/>
        <w:rPr>
          <w:sz w:val="24"/>
          <w:lang w:val="en-GB"/>
        </w:rPr>
      </w:pPr>
      <w:r>
        <w:rPr>
          <w:sz w:val="24"/>
          <w:lang w:val="en-GB"/>
        </w:rPr>
        <w:t>3.7 氧喷射源</w:t>
      </w:r>
      <w:r>
        <w:rPr>
          <w:rFonts w:hint="eastAsia"/>
          <w:sz w:val="24"/>
          <w:lang w:val="en-GB"/>
        </w:rPr>
        <w:t>1套</w:t>
      </w:r>
    </w:p>
    <w:p w14:paraId="1D8945F8">
      <w:pPr>
        <w:spacing w:line="360" w:lineRule="auto"/>
        <w:ind w:firstLine="480" w:firstLineChars="200"/>
        <w:rPr>
          <w:sz w:val="24"/>
          <w:lang w:val="en-GB"/>
        </w:rPr>
      </w:pPr>
      <w:r>
        <w:rPr>
          <w:sz w:val="24"/>
          <w:lang w:val="en-GB"/>
        </w:rPr>
        <w:t>3.8 FIB聚焦离子束（一次离子源Bi源）</w:t>
      </w:r>
      <w:r>
        <w:rPr>
          <w:rFonts w:hint="eastAsia"/>
          <w:sz w:val="24"/>
          <w:lang w:val="en-GB"/>
        </w:rPr>
        <w:t>1套</w:t>
      </w:r>
    </w:p>
    <w:p w14:paraId="34E6D4BC">
      <w:pPr>
        <w:spacing w:line="360" w:lineRule="auto"/>
        <w:ind w:firstLine="480" w:firstLineChars="200"/>
        <w:rPr>
          <w:sz w:val="24"/>
          <w:lang w:val="en-GB"/>
        </w:rPr>
      </w:pPr>
      <w:r>
        <w:rPr>
          <w:sz w:val="24"/>
          <w:lang w:val="en-GB"/>
        </w:rPr>
        <w:t>3.9 双束荷电中和系统</w:t>
      </w:r>
      <w:r>
        <w:rPr>
          <w:rFonts w:hint="eastAsia"/>
          <w:sz w:val="24"/>
          <w:lang w:val="en-GB"/>
        </w:rPr>
        <w:t>1套</w:t>
      </w:r>
    </w:p>
    <w:p w14:paraId="386EE99B">
      <w:pPr>
        <w:spacing w:line="360" w:lineRule="auto"/>
        <w:ind w:firstLine="480" w:firstLineChars="200"/>
        <w:rPr>
          <w:sz w:val="24"/>
          <w:lang w:val="en-GB"/>
        </w:rPr>
      </w:pPr>
      <w:r>
        <w:rPr>
          <w:sz w:val="24"/>
          <w:lang w:val="en-GB"/>
        </w:rPr>
        <w:t>3.10 样品保护传送装置</w:t>
      </w:r>
      <w:r>
        <w:rPr>
          <w:rFonts w:hint="eastAsia"/>
          <w:sz w:val="24"/>
          <w:lang w:val="en-GB"/>
        </w:rPr>
        <w:t>1套</w:t>
      </w:r>
    </w:p>
    <w:p w14:paraId="31F939AA">
      <w:pPr>
        <w:spacing w:line="360" w:lineRule="auto"/>
        <w:ind w:firstLine="480" w:firstLineChars="200"/>
        <w:rPr>
          <w:sz w:val="24"/>
          <w:lang w:val="en-GB"/>
        </w:rPr>
      </w:pPr>
      <w:r>
        <w:rPr>
          <w:sz w:val="24"/>
          <w:lang w:val="en-GB"/>
        </w:rPr>
        <w:t xml:space="preserve">3.11 </w:t>
      </w:r>
      <w:r>
        <w:rPr>
          <w:rFonts w:hint="eastAsia"/>
          <w:sz w:val="24"/>
          <w:lang w:val="en-GB"/>
        </w:rPr>
        <w:t>烘烤系统1套</w:t>
      </w:r>
    </w:p>
    <w:p w14:paraId="32409F11">
      <w:pPr>
        <w:spacing w:line="360" w:lineRule="auto"/>
        <w:ind w:firstLine="480" w:firstLineChars="200"/>
        <w:rPr>
          <w:sz w:val="24"/>
          <w:lang w:val="en-GB"/>
        </w:rPr>
      </w:pPr>
      <w:r>
        <w:rPr>
          <w:sz w:val="24"/>
          <w:lang w:val="en-GB"/>
        </w:rPr>
        <w:t xml:space="preserve">3.12 </w:t>
      </w:r>
      <w:r>
        <w:rPr>
          <w:rFonts w:hint="eastAsia"/>
          <w:sz w:val="24"/>
          <w:lang w:val="en-US" w:eastAsia="zh-CN"/>
        </w:rPr>
        <w:t>工作站</w:t>
      </w:r>
      <w:r>
        <w:rPr>
          <w:sz w:val="24"/>
          <w:lang w:val="en-GB"/>
        </w:rPr>
        <w:t>及软件</w:t>
      </w:r>
      <w:r>
        <w:rPr>
          <w:rFonts w:hint="eastAsia"/>
          <w:sz w:val="24"/>
          <w:lang w:val="en-GB"/>
        </w:rPr>
        <w:t>1套</w:t>
      </w:r>
    </w:p>
    <w:p w14:paraId="6A6FA671">
      <w:pPr>
        <w:spacing w:line="360" w:lineRule="auto"/>
        <w:ind w:firstLine="480" w:firstLineChars="200"/>
        <w:rPr>
          <w:sz w:val="24"/>
          <w:lang w:val="en-GB"/>
        </w:rPr>
      </w:pPr>
      <w:r>
        <w:rPr>
          <w:sz w:val="24"/>
          <w:lang w:val="en-GB"/>
        </w:rPr>
        <w:t>3.13 随机工具、备件、标准样品1套</w:t>
      </w:r>
    </w:p>
    <w:p w14:paraId="347B8DD7">
      <w:pPr>
        <w:spacing w:line="360" w:lineRule="auto"/>
        <w:ind w:firstLine="480" w:firstLineChars="200"/>
        <w:rPr>
          <w:sz w:val="24"/>
          <w:lang w:val="en-GB"/>
        </w:rPr>
      </w:pPr>
      <w:r>
        <w:rPr>
          <w:sz w:val="24"/>
          <w:lang w:val="en-GB"/>
        </w:rPr>
        <w:t>3.14 相关资料说明书等，包括谱仪操作指南和维护说明书及其光盘及标准谱图手册等</w:t>
      </w:r>
      <w:r>
        <w:rPr>
          <w:rFonts w:hint="eastAsia"/>
          <w:sz w:val="24"/>
          <w:lang w:val="en-GB"/>
        </w:rPr>
        <w:t>1套</w:t>
      </w:r>
    </w:p>
    <w:p w14:paraId="0E05520D">
      <w:pPr>
        <w:spacing w:line="360" w:lineRule="auto"/>
        <w:rPr>
          <w:rFonts w:hint="eastAsia" w:ascii="宋体" w:hAnsi="宋体" w:cs="宋体"/>
          <w:b/>
          <w:sz w:val="24"/>
        </w:rPr>
      </w:pPr>
    </w:p>
    <w:p w14:paraId="50CC2AEE">
      <w:pPr>
        <w:spacing w:line="360" w:lineRule="auto"/>
        <w:ind w:firstLine="241" w:firstLineChars="100"/>
        <w:rPr>
          <w:rFonts w:hint="eastAsia" w:ascii="宋体" w:hAnsi="宋体" w:cs="宋体"/>
          <w:b/>
          <w:sz w:val="24"/>
        </w:rPr>
      </w:pPr>
      <w:r>
        <w:rPr>
          <w:rFonts w:hint="eastAsia" w:ascii="宋体" w:hAnsi="宋体" w:cs="宋体"/>
          <w:b/>
          <w:sz w:val="24"/>
        </w:rPr>
        <w:t>三、质保及售后服务</w:t>
      </w:r>
    </w:p>
    <w:p w14:paraId="2E92396F">
      <w:pPr>
        <w:spacing w:line="360" w:lineRule="auto"/>
        <w:rPr>
          <w:rFonts w:hint="eastAsia" w:ascii="宋体" w:hAnsi="宋体" w:cs="宋体"/>
          <w:b/>
          <w:sz w:val="24"/>
        </w:rPr>
      </w:pPr>
      <w:r>
        <w:rPr>
          <w:rFonts w:hint="eastAsia" w:ascii="宋体" w:hAnsi="宋体" w:cs="宋体"/>
          <w:b/>
          <w:sz w:val="24"/>
        </w:rPr>
        <w:t>1. 质保期</w:t>
      </w:r>
    </w:p>
    <w:p w14:paraId="2F14D593">
      <w:pPr>
        <w:pStyle w:val="8"/>
        <w:spacing w:line="360" w:lineRule="auto"/>
        <w:ind w:firstLine="480" w:firstLineChars="200"/>
        <w:rPr>
          <w:rFonts w:hint="eastAsia" w:hAnsi="宋体" w:cs="宋体"/>
          <w:szCs w:val="24"/>
        </w:rPr>
      </w:pPr>
      <w:r>
        <w:rPr>
          <w:rFonts w:hint="eastAsia" w:hAnsi="宋体" w:cs="宋体"/>
          <w:szCs w:val="24"/>
        </w:rPr>
        <w:t>质保期三年，自验收合格双方签字之日起计算。</w:t>
      </w:r>
    </w:p>
    <w:p w14:paraId="4BA640D1">
      <w:pPr>
        <w:pStyle w:val="8"/>
        <w:spacing w:line="360" w:lineRule="auto"/>
        <w:rPr>
          <w:rFonts w:hint="eastAsia" w:hAnsi="宋体" w:cs="宋体"/>
          <w:szCs w:val="24"/>
        </w:rPr>
      </w:pPr>
      <w:r>
        <w:rPr>
          <w:rFonts w:hint="eastAsia" w:hAnsi="宋体" w:cs="宋体"/>
          <w:b/>
          <w:szCs w:val="24"/>
        </w:rPr>
        <w:t>2. 设备安装调试</w:t>
      </w:r>
    </w:p>
    <w:p w14:paraId="42C52186">
      <w:pPr>
        <w:spacing w:line="360" w:lineRule="auto"/>
        <w:ind w:firstLine="480"/>
        <w:rPr>
          <w:rFonts w:hint="eastAsia" w:ascii="宋体" w:hAnsi="宋体" w:cs="宋体"/>
          <w:sz w:val="24"/>
        </w:rPr>
      </w:pPr>
      <w:r>
        <w:rPr>
          <w:rFonts w:hint="eastAsia" w:ascii="宋体" w:hAnsi="宋体" w:cs="宋体"/>
          <w:sz w:val="24"/>
        </w:rPr>
        <w:t>卖方应在在合同生效后的3个月内向最终用户提供详细的安装要求并提供技术咨询；在仪器安装前1个月内到用户实验室现场进行预安装检测，并向买方提出详细的安装要求并提供技术咨询，免费协助开展安装运行环境的设计改造。仪器到达用户所在地，在接到用户通知后一周内进行安装调试，安装调试以卖方随机提供的标准样品和用户提供的实验样品进行调试，并与标准图谱比对。在调试过程中如测试结果不准确或有任何软、硬件故障发生，用户有权要求退货、换货，由此产生的全部费用由卖方独自承担。供货方和最终用户按投标的技术参数和性能描述为标准进行验收，仪器的安装调试需在接到用户通知后15个工作日内完成。</w:t>
      </w:r>
    </w:p>
    <w:p w14:paraId="3431450C">
      <w:pPr>
        <w:spacing w:line="360" w:lineRule="auto"/>
        <w:rPr>
          <w:rFonts w:hint="eastAsia" w:ascii="宋体" w:hAnsi="宋体" w:cs="宋体"/>
          <w:b/>
          <w:sz w:val="24"/>
        </w:rPr>
      </w:pPr>
      <w:r>
        <w:rPr>
          <w:rFonts w:hint="eastAsia" w:ascii="宋体" w:hAnsi="宋体" w:cs="宋体"/>
          <w:b/>
          <w:sz w:val="24"/>
        </w:rPr>
        <w:t xml:space="preserve">3. 技术培训 </w:t>
      </w:r>
    </w:p>
    <w:p w14:paraId="65F451FD">
      <w:pPr>
        <w:pStyle w:val="8"/>
        <w:spacing w:line="360" w:lineRule="auto"/>
        <w:ind w:firstLine="480" w:firstLineChars="200"/>
        <w:rPr>
          <w:rFonts w:hint="eastAsia" w:hAnsi="宋体" w:cs="宋体"/>
          <w:szCs w:val="24"/>
        </w:rPr>
      </w:pPr>
      <w:r>
        <w:rPr>
          <w:rFonts w:hint="eastAsia" w:hAnsi="宋体" w:cs="宋体"/>
          <w:szCs w:val="24"/>
        </w:rPr>
        <w:t>安装验收期间，在用户所在地对用户进行仪器操作和日常维护的现场培训，包括仪器原理、使用方法、维护方法、故障排除方法及数据分析与处理等，时间不少于一周，且需要能够提供相应的影像及书面资料。用户可以选派两位工程师到培训中心进行五天的免费培训。安装完成后，质保期内，每年安排不少于三个工作日的免费仪器维护及现场培训。质保期后，验收完成的十年之内，每年安排不少于两个工作日的免费仪器维护及现场培训。</w:t>
      </w:r>
    </w:p>
    <w:p w14:paraId="3423EDEA">
      <w:pPr>
        <w:spacing w:line="360" w:lineRule="auto"/>
        <w:rPr>
          <w:rFonts w:hint="eastAsia" w:ascii="宋体" w:hAnsi="宋体" w:cs="宋体"/>
          <w:b/>
          <w:sz w:val="24"/>
        </w:rPr>
      </w:pPr>
      <w:r>
        <w:rPr>
          <w:rFonts w:hint="eastAsia" w:ascii="宋体" w:hAnsi="宋体" w:cs="宋体"/>
          <w:b/>
          <w:sz w:val="24"/>
        </w:rPr>
        <w:t>4. 维修响应时间</w:t>
      </w:r>
    </w:p>
    <w:p w14:paraId="22C4A13A">
      <w:pPr>
        <w:pStyle w:val="8"/>
        <w:spacing w:line="360" w:lineRule="auto"/>
        <w:ind w:firstLine="480" w:firstLineChars="200"/>
        <w:rPr>
          <w:rFonts w:hint="eastAsia" w:hAnsi="宋体" w:cs="宋体"/>
          <w:szCs w:val="24"/>
        </w:rPr>
      </w:pPr>
      <w:r>
        <w:rPr>
          <w:rFonts w:hint="eastAsia" w:hAnsi="宋体" w:cs="宋体"/>
          <w:szCs w:val="24"/>
        </w:rPr>
        <w:t>要求供货厂家工程师或供货厂家培训工程师提供维修服务，卖方需负责产品的终身售后维修与维护保养服务，质保期外按照成本价格提供零配件及维修服务，并配备专业维修工程师，能提供及时有效的售后服务。卖方终身上门提供包括但不限于复杂实验、成像实验、原位实验等在内的实验技术支持，并给予服务费价格优惠；在质保期内或质保期外，接到用户关于设备发生故障的通知后4小时内做出回应，如需上门服务的应在应答后两个工作日内抵达现场维修。如遇重大故障，不多于10个工作日的制造厂商工程师到达现场维修。定期提供专业维修工程师现场巡访（免费），检查仪器状态，频率不低于每年1次。卖方负责设备终身维修。</w:t>
      </w:r>
    </w:p>
    <w:p w14:paraId="56F2F3A6">
      <w:pPr>
        <w:spacing w:line="360" w:lineRule="auto"/>
        <w:rPr>
          <w:rFonts w:hint="eastAsia" w:ascii="宋体" w:hAnsi="宋体" w:cs="宋体"/>
          <w:b/>
          <w:sz w:val="24"/>
        </w:rPr>
      </w:pPr>
      <w:r>
        <w:rPr>
          <w:rFonts w:hint="eastAsia" w:ascii="宋体" w:hAnsi="宋体" w:cs="宋体"/>
          <w:b/>
          <w:sz w:val="24"/>
        </w:rPr>
        <w:t>5. 要求卖方提供的其它技术服务内容（如软、硬件升级要求等）</w:t>
      </w:r>
    </w:p>
    <w:p w14:paraId="34304A65">
      <w:pPr>
        <w:pStyle w:val="8"/>
        <w:spacing w:line="360" w:lineRule="auto"/>
        <w:rPr>
          <w:rFonts w:hint="eastAsia" w:hAnsi="宋体" w:cs="宋体"/>
          <w:szCs w:val="24"/>
        </w:rPr>
      </w:pPr>
      <w:r>
        <w:rPr>
          <w:rFonts w:hint="eastAsia" w:hAnsi="宋体" w:cs="宋体"/>
          <w:szCs w:val="24"/>
        </w:rPr>
        <w:t>卖方应免费向用户提供在硬件许可条件下的终身软件升级服务。</w:t>
      </w:r>
    </w:p>
    <w:p w14:paraId="384677E0">
      <w:pPr>
        <w:pStyle w:val="8"/>
        <w:spacing w:line="360" w:lineRule="auto"/>
        <w:rPr>
          <w:rFonts w:hint="eastAsia" w:hAnsi="宋体" w:cs="宋体"/>
          <w:b/>
          <w:szCs w:val="24"/>
        </w:rPr>
      </w:pPr>
      <w:r>
        <w:rPr>
          <w:rFonts w:hint="eastAsia" w:hAnsi="宋体" w:cs="宋体"/>
          <w:b/>
          <w:szCs w:val="24"/>
        </w:rPr>
        <w:t>6. 如需办理辐射相关文件，成交商需协助提供相关材料直至办理完成。</w:t>
      </w:r>
    </w:p>
    <w:p w14:paraId="1E35A1B4">
      <w:pPr>
        <w:pStyle w:val="8"/>
        <w:spacing w:line="360" w:lineRule="auto"/>
        <w:rPr>
          <w:rFonts w:hint="eastAsia" w:hAnsi="宋体" w:cs="宋体"/>
          <w:b/>
          <w:szCs w:val="24"/>
        </w:rPr>
      </w:pPr>
    </w:p>
    <w:p w14:paraId="687F7199">
      <w:pPr>
        <w:pStyle w:val="8"/>
        <w:spacing w:line="360" w:lineRule="auto"/>
        <w:ind w:firstLine="420"/>
        <w:rPr>
          <w:rFonts w:hint="eastAsia" w:hAnsi="宋体" w:cs="宋体"/>
          <w:b/>
          <w:szCs w:val="24"/>
        </w:rPr>
      </w:pPr>
      <w:r>
        <w:rPr>
          <w:rFonts w:hint="eastAsia" w:hAnsi="宋体" w:cs="宋体"/>
          <w:b/>
          <w:szCs w:val="24"/>
        </w:rPr>
        <w:t>四、交货时间及地点：</w:t>
      </w:r>
    </w:p>
    <w:p w14:paraId="6C911707">
      <w:pPr>
        <w:spacing w:line="360" w:lineRule="auto"/>
        <w:ind w:firstLine="480" w:firstLineChars="200"/>
        <w:rPr>
          <w:rFonts w:hint="eastAsia" w:ascii="宋体" w:hAnsi="宋体" w:cs="宋体"/>
          <w:sz w:val="24"/>
        </w:rPr>
      </w:pPr>
      <w:r>
        <w:rPr>
          <w:rFonts w:hint="eastAsia" w:ascii="宋体" w:hAnsi="宋体" w:cs="宋体"/>
          <w:sz w:val="24"/>
        </w:rPr>
        <w:t>合同签订后十个月内</w:t>
      </w:r>
    </w:p>
    <w:p w14:paraId="69FAE98C">
      <w:pPr>
        <w:spacing w:line="360" w:lineRule="auto"/>
        <w:ind w:firstLine="480" w:firstLineChars="200"/>
        <w:rPr>
          <w:rFonts w:hint="eastAsia" w:ascii="宋体" w:hAnsi="宋体" w:cs="宋体"/>
          <w:sz w:val="24"/>
        </w:rPr>
      </w:pPr>
      <w:r>
        <w:rPr>
          <w:rFonts w:hint="eastAsia" w:ascii="宋体" w:hAnsi="宋体" w:cs="宋体"/>
          <w:sz w:val="24"/>
        </w:rPr>
        <w:t>北京市怀柔区怀北镇怀北庄380号, 中国科学院大学雁栖湖东校区学园三。</w:t>
      </w:r>
    </w:p>
    <w:p w14:paraId="31AA03B3">
      <w:pPr>
        <w:spacing w:line="360" w:lineRule="auto"/>
        <w:ind w:firstLine="480" w:firstLineChars="200"/>
        <w:rPr>
          <w:rFonts w:hint="eastAsia" w:ascii="宋体" w:hAnsi="宋体" w:cs="宋体"/>
          <w:sz w:val="24"/>
        </w:rPr>
      </w:pPr>
    </w:p>
    <w:p w14:paraId="2CDA6209">
      <w:pPr>
        <w:autoSpaceDE w:val="0"/>
        <w:autoSpaceDN w:val="0"/>
        <w:adjustRightInd w:val="0"/>
        <w:spacing w:line="360" w:lineRule="auto"/>
        <w:ind w:firstLine="241" w:firstLineChars="100"/>
        <w:rPr>
          <w:rFonts w:hint="eastAsia" w:ascii="宋体" w:hAnsi="宋体" w:cs="宋体"/>
          <w:b/>
          <w:sz w:val="24"/>
        </w:rPr>
      </w:pPr>
      <w:r>
        <w:rPr>
          <w:rFonts w:hint="eastAsia" w:ascii="宋体" w:hAnsi="宋体" w:cs="宋体"/>
          <w:b/>
          <w:sz w:val="24"/>
        </w:rPr>
        <w:t>五、需满足的标准</w:t>
      </w:r>
    </w:p>
    <w:p w14:paraId="2BB75E66">
      <w:pPr>
        <w:autoSpaceDE w:val="0"/>
        <w:autoSpaceDN w:val="0"/>
        <w:adjustRightInd w:val="0"/>
        <w:spacing w:line="360" w:lineRule="auto"/>
        <w:ind w:firstLine="240" w:firstLineChars="100"/>
        <w:rPr>
          <w:rFonts w:hint="eastAsia" w:ascii="宋体" w:hAnsi="宋体" w:cs="宋体"/>
          <w:sz w:val="24"/>
        </w:rPr>
      </w:pPr>
      <w:r>
        <w:rPr>
          <w:rFonts w:hint="eastAsia" w:ascii="宋体" w:hAnsi="宋体" w:cs="宋体"/>
          <w:sz w:val="24"/>
        </w:rPr>
        <w:t>产品应满足相关国家标准及行业标准。</w:t>
      </w:r>
    </w:p>
    <w:p w14:paraId="536F88BF">
      <w:pPr>
        <w:autoSpaceDE w:val="0"/>
        <w:autoSpaceDN w:val="0"/>
        <w:adjustRightInd w:val="0"/>
        <w:spacing w:line="360" w:lineRule="auto"/>
        <w:ind w:firstLine="241" w:firstLineChars="100"/>
        <w:rPr>
          <w:rFonts w:hint="eastAsia" w:ascii="宋体" w:hAnsi="宋体" w:cs="宋体"/>
          <w:b/>
          <w:sz w:val="24"/>
        </w:rPr>
      </w:pPr>
      <w:r>
        <w:rPr>
          <w:rFonts w:hint="eastAsia" w:ascii="宋体" w:hAnsi="宋体" w:cs="宋体"/>
          <w:b/>
          <w:sz w:val="24"/>
        </w:rPr>
        <w:t>六、验收标准</w:t>
      </w:r>
    </w:p>
    <w:p w14:paraId="773D5210">
      <w:pPr>
        <w:pStyle w:val="8"/>
        <w:spacing w:before="156" w:beforeLines="50" w:line="360" w:lineRule="auto"/>
        <w:ind w:firstLine="480" w:firstLineChars="200"/>
        <w:rPr>
          <w:rFonts w:hint="eastAsia" w:hAnsi="宋体" w:cs="宋体"/>
          <w:szCs w:val="24"/>
        </w:rPr>
      </w:pPr>
      <w:r>
        <w:rPr>
          <w:rFonts w:hint="eastAsia" w:hAnsi="宋体" w:cs="宋体"/>
          <w:szCs w:val="24"/>
        </w:rPr>
        <w:t>1. 仪器设备运抵安装现场后，买方将与卖方共同开箱验收，如卖方届时不派人参加，则验收结果应以买方的验收报告为最终验收结果。验收时发现短缺、破损, 买方有权要求卖方负责更换。</w:t>
      </w:r>
    </w:p>
    <w:p w14:paraId="152ABEF1">
      <w:pPr>
        <w:spacing w:line="360" w:lineRule="auto"/>
        <w:ind w:firstLine="484" w:firstLineChars="202"/>
        <w:rPr>
          <w:rFonts w:hint="eastAsia" w:ascii="宋体" w:hAnsi="宋体" w:cs="宋体"/>
          <w:sz w:val="24"/>
        </w:rPr>
      </w:pPr>
      <w:r>
        <w:rPr>
          <w:rFonts w:hint="eastAsia" w:ascii="宋体" w:hAnsi="宋体" w:cs="宋体"/>
          <w:sz w:val="24"/>
        </w:rPr>
        <w:t>2. 验收标准以中标人提供的投标文件中所列的指标为准。任何虚假指标响应一经发现，卖方必须承担由此给买方带来的一切经济损失和其它相关责任。</w:t>
      </w:r>
    </w:p>
    <w:p w14:paraId="07635B10">
      <w:pPr>
        <w:spacing w:line="360" w:lineRule="auto"/>
        <w:ind w:firstLine="484" w:firstLineChars="202"/>
        <w:rPr>
          <w:rFonts w:hint="eastAsia" w:ascii="宋体" w:hAnsi="宋体" w:cs="宋体"/>
          <w:sz w:val="24"/>
        </w:rPr>
      </w:pPr>
      <w:r>
        <w:rPr>
          <w:rFonts w:hint="eastAsia" w:ascii="宋体" w:hAnsi="宋体" w:cs="宋体"/>
          <w:sz w:val="24"/>
        </w:rPr>
        <w:t>3. 验收由采购人、中标人及相关人员依国家有关标准、合同及有关附件要求进行，验收完毕由采购人及中标人在验收报告上签名。</w:t>
      </w:r>
    </w:p>
    <w:p w14:paraId="14CB8763">
      <w:pPr>
        <w:widowControl/>
        <w:spacing w:line="360" w:lineRule="auto"/>
        <w:ind w:left="554" w:hanging="554" w:hangingChars="231"/>
        <w:rPr>
          <w:rFonts w:hint="eastAsia" w:ascii="宋体" w:hAnsi="宋体" w:cs="宋体"/>
          <w:sz w:val="24"/>
        </w:rPr>
      </w:pPr>
    </w:p>
    <w:p w14:paraId="6389B9F7">
      <w:bookmarkStart w:id="3" w:name="_GoBack"/>
      <w:bookmarkEnd w:id="3"/>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2010609060101010101"/>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B6923">
    <w:pPr>
      <w:pStyle w:val="3"/>
      <w:jc w:val="center"/>
    </w:pPr>
    <w:r>
      <w:fldChar w:fldCharType="begin"/>
    </w:r>
    <w:r>
      <w:instrText xml:space="preserve">PAGE   \* MERGEFORMAT</w:instrText>
    </w:r>
    <w:r>
      <w:fldChar w:fldCharType="separate"/>
    </w:r>
    <w:r>
      <w:rPr>
        <w:lang w:val="zh-CN"/>
      </w:rPr>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6179A">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0F93C">
    <w:pPr>
      <w:pStyle w:val="4"/>
      <w:jc w:val="both"/>
    </w:pPr>
    <w:r>
      <w:rPr>
        <w:rFonts w:hint="eastAsia"/>
        <w:i/>
      </w:rPr>
      <w:t>中国科学院大学-化学科学学院-2024年表面纳米质谱仪采购项目招标文件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F84946"/>
    <w:multiLevelType w:val="multilevel"/>
    <w:tmpl w:val="68F84946"/>
    <w:lvl w:ilvl="0" w:tentative="0">
      <w:start w:val="1"/>
      <w:numFmt w:val="decimal"/>
      <w:lvlText w:val="%1）"/>
      <w:lvlJc w:val="left"/>
      <w:pPr>
        <w:tabs>
          <w:tab w:val="left" w:pos="1896"/>
        </w:tabs>
        <w:ind w:left="1896" w:hanging="396"/>
      </w:pPr>
      <w:rPr>
        <w:rFonts w:hint="eastAsia" w:eastAsia="FangSong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6D2417"/>
    <w:rsid w:val="4A6D2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7">
    <w:name w:val="List Paragraph"/>
    <w:basedOn w:val="1"/>
    <w:qFormat/>
    <w:uiPriority w:val="34"/>
    <w:pPr>
      <w:ind w:firstLine="420" w:firstLineChars="200"/>
    </w:pPr>
    <w:rPr>
      <w:rFonts w:ascii="Calibri" w:hAnsi="Calibri"/>
      <w:szCs w:val="22"/>
    </w:rPr>
  </w:style>
  <w:style w:type="paragraph" w:customStyle="1" w:styleId="8">
    <w:name w:val="Plain Text1"/>
    <w:basedOn w:val="1"/>
    <w:qFormat/>
    <w:uiPriority w:val="99"/>
    <w:pPr>
      <w:adjustRightInd w:val="0"/>
      <w:jc w:val="left"/>
    </w:pPr>
    <w:rPr>
      <w:rFonts w:ascii="宋体" w:hAnsi="Courier New"/>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2024-11-20T08:39:00Z</dcterms:created>
  <dc:creator>东方招标 李媛</dc:creator>
  <cp:lastModifiedBy>东方招标 李媛</cp:lastModifiedBy>
  <dcterms:modified xsi:type="dcterms:W3CDTF">2024-11-20T08:39:14Z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A977712A2BDF4B0E80CCB3E355DC2EC0_11</vt:lpwstr>
  </property>
</Properties>
</file>