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9C9479">
      <w:pPr>
        <w:pStyle w:val="3"/>
        <w:rPr>
          <w:rFonts w:hint="eastAsia" w:ascii="仿宋" w:hAnsi="仿宋" w:eastAsia="仿宋" w:cs="仿宋"/>
        </w:rPr>
      </w:pPr>
      <w:bookmarkStart w:id="0" w:name="_Toc29209"/>
      <w:r>
        <w:rPr>
          <w:rFonts w:hint="eastAsia" w:ascii="仿宋" w:hAnsi="仿宋" w:eastAsia="仿宋" w:cs="仿宋"/>
          <w:lang w:eastAsia="zh-CN"/>
        </w:rPr>
        <w:t>四川省科学城第一中学食堂食材配送服务</w:t>
      </w:r>
      <w:r>
        <w:rPr>
          <w:rFonts w:hint="eastAsia" w:ascii="仿宋" w:hAnsi="仿宋" w:eastAsia="仿宋" w:cs="仿宋"/>
        </w:rPr>
        <w:t>技术服务需求</w:t>
      </w:r>
      <w:bookmarkEnd w:id="0"/>
    </w:p>
    <w:p w14:paraId="65F8DF90">
      <w:pPr>
        <w:pStyle w:val="11"/>
        <w:ind w:firstLine="480"/>
        <w:rPr>
          <w:rFonts w:hint="eastAsia" w:ascii="仿宋" w:hAnsi="仿宋" w:eastAsia="仿宋" w:cs="仿宋"/>
        </w:rPr>
      </w:pPr>
    </w:p>
    <w:p w14:paraId="1911C47A">
      <w:pPr>
        <w:keepNext/>
        <w:keepLines/>
        <w:pageBreakBefore w:val="0"/>
        <w:widowControl w:val="0"/>
        <w:numPr>
          <w:ilvl w:val="0"/>
          <w:numId w:val="0"/>
        </w:numPr>
        <w:tabs>
          <w:tab w:val="left" w:pos="1344"/>
        </w:tabs>
        <w:kinsoku/>
        <w:wordWrap/>
        <w:overflowPunct/>
        <w:topLinePunct w:val="0"/>
        <w:autoSpaceDE/>
        <w:autoSpaceDN/>
        <w:bidi w:val="0"/>
        <w:adjustRightInd/>
        <w:snapToGrid/>
        <w:spacing w:before="0" w:after="0" w:line="360" w:lineRule="auto"/>
        <w:ind w:right="0" w:rightChars="0"/>
        <w:jc w:val="left"/>
        <w:textAlignment w:val="auto"/>
        <w:outlineLvl w:val="4"/>
        <w:rPr>
          <w:rFonts w:hint="eastAsia" w:ascii="仿宋" w:hAnsi="仿宋" w:eastAsia="仿宋" w:cs="仿宋"/>
          <w:b/>
          <w:bCs/>
          <w:color w:val="auto"/>
          <w:spacing w:val="-2"/>
          <w:kern w:val="2"/>
          <w:sz w:val="24"/>
          <w:szCs w:val="24"/>
          <w:highlight w:val="none"/>
          <w:lang w:val="en-US" w:eastAsia="zh-CN" w:bidi="ar-SA"/>
        </w:rPr>
      </w:pPr>
      <w:r>
        <w:rPr>
          <w:rFonts w:hint="eastAsia" w:ascii="仿宋" w:hAnsi="仿宋" w:eastAsia="仿宋" w:cs="仿宋"/>
          <w:b/>
          <w:bCs/>
          <w:color w:val="auto"/>
          <w:kern w:val="0"/>
          <w:sz w:val="24"/>
          <w:szCs w:val="24"/>
          <w:highlight w:val="none"/>
          <w:lang w:val="en-US" w:eastAsia="zh-CN" w:bidi="ar"/>
        </w:rPr>
        <w:t>★</w:t>
      </w:r>
      <w:r>
        <w:rPr>
          <w:rFonts w:hint="eastAsia" w:ascii="仿宋" w:hAnsi="仿宋" w:eastAsia="仿宋" w:cs="仿宋"/>
          <w:b/>
          <w:color w:val="auto"/>
          <w:kern w:val="2"/>
          <w:sz w:val="24"/>
          <w:szCs w:val="24"/>
          <w:highlight w:val="none"/>
          <w:lang w:val="en-US" w:eastAsia="zh-CN" w:bidi="ar-SA"/>
        </w:rPr>
        <w:t>A、服务内容</w:t>
      </w:r>
    </w:p>
    <w:tbl>
      <w:tblPr>
        <w:tblStyle w:val="6"/>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7"/>
        <w:gridCol w:w="1120"/>
        <w:gridCol w:w="2132"/>
        <w:gridCol w:w="1689"/>
        <w:gridCol w:w="2859"/>
      </w:tblGrid>
      <w:tr w14:paraId="392A6A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blHeader/>
          <w:jc w:val="center"/>
        </w:trPr>
        <w:tc>
          <w:tcPr>
            <w:tcW w:w="421" w:type="pct"/>
            <w:noWrap w:val="0"/>
            <w:vAlign w:val="center"/>
          </w:tcPr>
          <w:p w14:paraId="166AB76E">
            <w:pPr>
              <w:keepNext w:val="0"/>
              <w:keepLines w:val="0"/>
              <w:pageBreakBefore w:val="0"/>
              <w:widowControl/>
              <w:kinsoku/>
              <w:wordWrap/>
              <w:overflowPunct/>
              <w:topLinePunct w:val="0"/>
              <w:autoSpaceDE/>
              <w:autoSpaceDN/>
              <w:bidi w:val="0"/>
              <w:adjustRightInd/>
              <w:snapToGrid w:val="0"/>
              <w:spacing w:after="0" w:line="240" w:lineRule="auto"/>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序号</w:t>
            </w:r>
          </w:p>
        </w:tc>
        <w:tc>
          <w:tcPr>
            <w:tcW w:w="657" w:type="pct"/>
            <w:noWrap w:val="0"/>
            <w:vAlign w:val="center"/>
          </w:tcPr>
          <w:p w14:paraId="73E21308">
            <w:pPr>
              <w:keepNext w:val="0"/>
              <w:keepLines w:val="0"/>
              <w:pageBreakBefore w:val="0"/>
              <w:widowControl/>
              <w:kinsoku/>
              <w:wordWrap/>
              <w:overflowPunct/>
              <w:topLinePunct w:val="0"/>
              <w:autoSpaceDE/>
              <w:autoSpaceDN/>
              <w:bidi w:val="0"/>
              <w:adjustRightInd/>
              <w:snapToGrid w:val="0"/>
              <w:spacing w:after="0" w:line="240" w:lineRule="auto"/>
              <w:jc w:val="center"/>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包件号</w:t>
            </w:r>
          </w:p>
        </w:tc>
        <w:tc>
          <w:tcPr>
            <w:tcW w:w="1251" w:type="pct"/>
            <w:noWrap w:val="0"/>
            <w:vAlign w:val="center"/>
          </w:tcPr>
          <w:p w14:paraId="38A39574">
            <w:pPr>
              <w:keepNext w:val="0"/>
              <w:keepLines w:val="0"/>
              <w:pageBreakBefore w:val="0"/>
              <w:widowControl/>
              <w:kinsoku/>
              <w:wordWrap/>
              <w:overflowPunct/>
              <w:topLinePunct w:val="0"/>
              <w:autoSpaceDE/>
              <w:autoSpaceDN/>
              <w:bidi w:val="0"/>
              <w:adjustRightInd/>
              <w:snapToGrid w:val="0"/>
              <w:spacing w:after="0" w:line="240" w:lineRule="auto"/>
              <w:jc w:val="center"/>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服务内容</w:t>
            </w:r>
          </w:p>
        </w:tc>
        <w:tc>
          <w:tcPr>
            <w:tcW w:w="991" w:type="pct"/>
            <w:noWrap w:val="0"/>
            <w:vAlign w:val="center"/>
          </w:tcPr>
          <w:p w14:paraId="41095A36">
            <w:pPr>
              <w:keepNext w:val="0"/>
              <w:keepLines w:val="0"/>
              <w:pageBreakBefore w:val="0"/>
              <w:widowControl/>
              <w:kinsoku/>
              <w:wordWrap/>
              <w:overflowPunct/>
              <w:topLinePunct w:val="0"/>
              <w:autoSpaceDE/>
              <w:autoSpaceDN/>
              <w:bidi w:val="0"/>
              <w:adjustRightInd/>
              <w:snapToGrid w:val="0"/>
              <w:spacing w:after="0" w:line="240" w:lineRule="auto"/>
              <w:jc w:val="center"/>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服务</w:t>
            </w:r>
            <w:r>
              <w:rPr>
                <w:rFonts w:hint="eastAsia" w:ascii="仿宋" w:hAnsi="仿宋" w:eastAsia="仿宋" w:cs="仿宋"/>
                <w:color w:val="auto"/>
                <w:sz w:val="24"/>
                <w:szCs w:val="24"/>
                <w:highlight w:val="none"/>
              </w:rPr>
              <w:t>地点</w:t>
            </w:r>
          </w:p>
        </w:tc>
        <w:tc>
          <w:tcPr>
            <w:tcW w:w="1678" w:type="pct"/>
            <w:noWrap w:val="0"/>
            <w:vAlign w:val="center"/>
          </w:tcPr>
          <w:p w14:paraId="6E811645">
            <w:pPr>
              <w:keepNext w:val="0"/>
              <w:keepLines w:val="0"/>
              <w:pageBreakBefore w:val="0"/>
              <w:widowControl/>
              <w:kinsoku/>
              <w:wordWrap/>
              <w:overflowPunct/>
              <w:topLinePunct w:val="0"/>
              <w:autoSpaceDE/>
              <w:autoSpaceDN/>
              <w:bidi w:val="0"/>
              <w:adjustRightInd/>
              <w:snapToGrid w:val="0"/>
              <w:spacing w:after="0" w:line="240" w:lineRule="auto"/>
              <w:jc w:val="center"/>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配送时间</w:t>
            </w:r>
          </w:p>
        </w:tc>
      </w:tr>
      <w:tr w14:paraId="7A647F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11" w:hRule="atLeast"/>
          <w:jc w:val="center"/>
        </w:trPr>
        <w:tc>
          <w:tcPr>
            <w:tcW w:w="421" w:type="pct"/>
            <w:noWrap w:val="0"/>
            <w:vAlign w:val="center"/>
          </w:tcPr>
          <w:p w14:paraId="3338C10F">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w:t>
            </w:r>
          </w:p>
        </w:tc>
        <w:tc>
          <w:tcPr>
            <w:tcW w:w="657" w:type="pct"/>
            <w:noWrap w:val="0"/>
            <w:vAlign w:val="center"/>
          </w:tcPr>
          <w:p w14:paraId="03372C93">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auto"/>
              <w:rPr>
                <w:rFonts w:hint="default"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包1</w:t>
            </w:r>
          </w:p>
        </w:tc>
        <w:tc>
          <w:tcPr>
            <w:tcW w:w="1251" w:type="pct"/>
            <w:noWrap w:val="0"/>
            <w:vAlign w:val="center"/>
          </w:tcPr>
          <w:p w14:paraId="106601C7">
            <w:pPr>
              <w:keepNext w:val="0"/>
              <w:keepLines w:val="0"/>
              <w:pageBreakBefore w:val="0"/>
              <w:widowControl/>
              <w:suppressLineNumbers w:val="0"/>
              <w:kinsoku/>
              <w:wordWrap/>
              <w:overflowPunct/>
              <w:topLinePunct w:val="0"/>
              <w:autoSpaceDE/>
              <w:autoSpaceDN/>
              <w:bidi w:val="0"/>
              <w:adjustRightInd/>
              <w:snapToGrid/>
              <w:spacing w:after="0" w:line="240" w:lineRule="auto"/>
              <w:jc w:val="left"/>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kern w:val="0"/>
                <w:sz w:val="24"/>
                <w:szCs w:val="24"/>
                <w:highlight w:val="none"/>
                <w:lang w:val="en-US" w:eastAsia="zh-CN" w:bidi="ar"/>
              </w:rPr>
              <w:t>蔬菜类、水果类采购及配送</w:t>
            </w:r>
          </w:p>
        </w:tc>
        <w:tc>
          <w:tcPr>
            <w:tcW w:w="991" w:type="pct"/>
            <w:vMerge w:val="restart"/>
            <w:noWrap w:val="0"/>
            <w:vAlign w:val="center"/>
          </w:tcPr>
          <w:p w14:paraId="2E8710E9">
            <w:pPr>
              <w:keepNext w:val="0"/>
              <w:keepLines w:val="0"/>
              <w:pageBreakBefore w:val="0"/>
              <w:widowControl/>
              <w:kinsoku/>
              <w:wordWrap/>
              <w:overflowPunct/>
              <w:topLinePunct w:val="0"/>
              <w:autoSpaceDE/>
              <w:autoSpaceDN/>
              <w:bidi w:val="0"/>
              <w:adjustRightInd/>
              <w:snapToGrid w:val="0"/>
              <w:spacing w:before="0" w:after="0" w:line="240" w:lineRule="auto"/>
              <w:jc w:val="both"/>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kern w:val="1"/>
                <w:sz w:val="24"/>
                <w:szCs w:val="24"/>
                <w:highlight w:val="none"/>
                <w:lang w:eastAsia="zh-CN"/>
              </w:rPr>
              <w:t>四川省科学城第一中学</w:t>
            </w:r>
            <w:r>
              <w:rPr>
                <w:rFonts w:hint="eastAsia" w:ascii="仿宋" w:hAnsi="仿宋" w:eastAsia="仿宋" w:cs="仿宋"/>
                <w:color w:val="auto"/>
                <w:sz w:val="24"/>
                <w:szCs w:val="24"/>
                <w:highlight w:val="none"/>
                <w:lang w:val="en-US" w:eastAsia="zh-CN"/>
              </w:rPr>
              <w:t>采购人指定地点。</w:t>
            </w:r>
          </w:p>
        </w:tc>
        <w:tc>
          <w:tcPr>
            <w:tcW w:w="1678" w:type="pct"/>
            <w:vMerge w:val="restart"/>
            <w:noWrap w:val="0"/>
            <w:vAlign w:val="center"/>
          </w:tcPr>
          <w:p w14:paraId="05A2F070">
            <w:pPr>
              <w:keepNext w:val="0"/>
              <w:keepLines w:val="0"/>
              <w:pageBreakBefore w:val="0"/>
              <w:widowControl/>
              <w:numPr>
                <w:ilvl w:val="0"/>
                <w:numId w:val="0"/>
              </w:numPr>
              <w:tabs>
                <w:tab w:val="left" w:pos="1284"/>
              </w:tabs>
              <w:kinsoku/>
              <w:wordWrap/>
              <w:overflowPunct/>
              <w:topLinePunct w:val="0"/>
              <w:autoSpaceDE/>
              <w:autoSpaceDN/>
              <w:bidi w:val="0"/>
              <w:adjustRightInd/>
              <w:snapToGrid/>
              <w:spacing w:before="0" w:after="0" w:line="240" w:lineRule="auto"/>
              <w:ind w:right="0" w:rightChars="0" w:firstLine="480" w:firstLineChars="200"/>
              <w:jc w:val="both"/>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1"/>
                <w:sz w:val="24"/>
                <w:szCs w:val="24"/>
                <w:highlight w:val="none"/>
                <w:lang w:val="en-US" w:eastAsia="zh-CN" w:bidi="ar-SA"/>
              </w:rPr>
              <w:t>从正式供货之日起，每天采购人将次日的配送清单下单给供货商，供应商于次日早8:30分前将采购清单上的货物按每天下单用量保质保量，送至采购人指定地点。</w:t>
            </w:r>
          </w:p>
        </w:tc>
      </w:tr>
      <w:tr w14:paraId="7F4D89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11" w:hRule="atLeast"/>
          <w:jc w:val="center"/>
        </w:trPr>
        <w:tc>
          <w:tcPr>
            <w:tcW w:w="421" w:type="pct"/>
            <w:noWrap w:val="0"/>
            <w:vAlign w:val="center"/>
          </w:tcPr>
          <w:p w14:paraId="22F4700F">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w:t>
            </w:r>
          </w:p>
        </w:tc>
        <w:tc>
          <w:tcPr>
            <w:tcW w:w="657" w:type="pct"/>
            <w:noWrap w:val="0"/>
            <w:vAlign w:val="center"/>
          </w:tcPr>
          <w:p w14:paraId="30049FB0">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auto"/>
              <w:rPr>
                <w:rFonts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包2</w:t>
            </w:r>
          </w:p>
        </w:tc>
        <w:tc>
          <w:tcPr>
            <w:tcW w:w="1251" w:type="pct"/>
            <w:noWrap w:val="0"/>
            <w:vAlign w:val="center"/>
          </w:tcPr>
          <w:p w14:paraId="12B10E64">
            <w:pPr>
              <w:keepNext w:val="0"/>
              <w:keepLines w:val="0"/>
              <w:pageBreakBefore w:val="0"/>
              <w:widowControl/>
              <w:suppressLineNumbers w:val="0"/>
              <w:kinsoku/>
              <w:wordWrap/>
              <w:overflowPunct/>
              <w:topLinePunct w:val="0"/>
              <w:autoSpaceDE/>
              <w:autoSpaceDN/>
              <w:bidi w:val="0"/>
              <w:adjustRightInd/>
              <w:snapToGrid/>
              <w:spacing w:after="0" w:line="240" w:lineRule="auto"/>
              <w:jc w:val="left"/>
              <w:textAlignment w:val="auto"/>
              <w:rPr>
                <w:rFonts w:hint="default"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肉类、禽类、蛋类、水产类、冻货类采购及配送</w:t>
            </w:r>
          </w:p>
        </w:tc>
        <w:tc>
          <w:tcPr>
            <w:tcW w:w="991" w:type="pct"/>
            <w:vMerge w:val="continue"/>
            <w:noWrap w:val="0"/>
            <w:vAlign w:val="center"/>
          </w:tcPr>
          <w:p w14:paraId="1C2B2517">
            <w:pPr>
              <w:keepNext w:val="0"/>
              <w:keepLines w:val="0"/>
              <w:pageBreakBefore w:val="0"/>
              <w:widowControl/>
              <w:kinsoku/>
              <w:wordWrap/>
              <w:overflowPunct/>
              <w:topLinePunct w:val="0"/>
              <w:autoSpaceDE/>
              <w:autoSpaceDN/>
              <w:bidi w:val="0"/>
              <w:adjustRightInd/>
              <w:snapToGrid w:val="0"/>
              <w:spacing w:before="0" w:after="0" w:line="240" w:lineRule="auto"/>
              <w:jc w:val="both"/>
              <w:textAlignment w:val="auto"/>
              <w:rPr>
                <w:rFonts w:hint="eastAsia" w:ascii="仿宋" w:hAnsi="仿宋" w:eastAsia="仿宋" w:cs="仿宋"/>
                <w:color w:val="auto"/>
                <w:kern w:val="1"/>
                <w:sz w:val="24"/>
                <w:szCs w:val="24"/>
                <w:highlight w:val="none"/>
                <w:lang w:eastAsia="zh-CN"/>
              </w:rPr>
            </w:pPr>
          </w:p>
        </w:tc>
        <w:tc>
          <w:tcPr>
            <w:tcW w:w="1678" w:type="pct"/>
            <w:vMerge w:val="continue"/>
            <w:noWrap w:val="0"/>
            <w:vAlign w:val="center"/>
          </w:tcPr>
          <w:p w14:paraId="58A03ED9">
            <w:pPr>
              <w:keepNext w:val="0"/>
              <w:keepLines w:val="0"/>
              <w:pageBreakBefore w:val="0"/>
              <w:widowControl/>
              <w:numPr>
                <w:ilvl w:val="0"/>
                <w:numId w:val="0"/>
              </w:numPr>
              <w:tabs>
                <w:tab w:val="left" w:pos="1284"/>
              </w:tabs>
              <w:kinsoku/>
              <w:wordWrap/>
              <w:overflowPunct/>
              <w:topLinePunct w:val="0"/>
              <w:autoSpaceDE/>
              <w:autoSpaceDN/>
              <w:bidi w:val="0"/>
              <w:adjustRightInd/>
              <w:snapToGrid/>
              <w:spacing w:before="0" w:after="0" w:line="240" w:lineRule="auto"/>
              <w:ind w:right="0" w:rightChars="0" w:firstLine="480" w:firstLineChars="200"/>
              <w:jc w:val="both"/>
              <w:textAlignment w:val="auto"/>
              <w:rPr>
                <w:rFonts w:hint="eastAsia" w:ascii="仿宋" w:hAnsi="仿宋" w:eastAsia="仿宋" w:cs="仿宋"/>
                <w:color w:val="auto"/>
                <w:kern w:val="1"/>
                <w:sz w:val="24"/>
                <w:szCs w:val="24"/>
                <w:highlight w:val="none"/>
                <w:lang w:val="en-US" w:eastAsia="zh-CN" w:bidi="ar-SA"/>
              </w:rPr>
            </w:pPr>
          </w:p>
        </w:tc>
      </w:tr>
      <w:tr w14:paraId="2B36F3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11" w:hRule="atLeast"/>
          <w:jc w:val="center"/>
        </w:trPr>
        <w:tc>
          <w:tcPr>
            <w:tcW w:w="421" w:type="pct"/>
            <w:noWrap w:val="0"/>
            <w:vAlign w:val="center"/>
          </w:tcPr>
          <w:p w14:paraId="7947509F">
            <w:pPr>
              <w:keepNext w:val="0"/>
              <w:keepLines w:val="0"/>
              <w:pageBreakBefore w:val="0"/>
              <w:widowControl/>
              <w:kinsoku/>
              <w:wordWrap/>
              <w:overflowPunct/>
              <w:topLinePunct w:val="0"/>
              <w:autoSpaceDE/>
              <w:autoSpaceDN/>
              <w:bidi w:val="0"/>
              <w:adjustRightInd/>
              <w:snapToGrid/>
              <w:spacing w:after="160" w:line="240" w:lineRule="auto"/>
              <w:jc w:val="center"/>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w:t>
            </w:r>
          </w:p>
        </w:tc>
        <w:tc>
          <w:tcPr>
            <w:tcW w:w="657" w:type="pct"/>
            <w:noWrap w:val="0"/>
            <w:vAlign w:val="center"/>
          </w:tcPr>
          <w:p w14:paraId="6B26553E">
            <w:pPr>
              <w:keepNext w:val="0"/>
              <w:keepLines w:val="0"/>
              <w:pageBreakBefore w:val="0"/>
              <w:widowControl/>
              <w:suppressLineNumbers w:val="0"/>
              <w:kinsoku/>
              <w:wordWrap/>
              <w:overflowPunct/>
              <w:topLinePunct w:val="0"/>
              <w:autoSpaceDE/>
              <w:autoSpaceDN/>
              <w:bidi w:val="0"/>
              <w:adjustRightInd/>
              <w:snapToGrid/>
              <w:spacing w:after="160" w:line="240" w:lineRule="auto"/>
              <w:jc w:val="center"/>
              <w:textAlignment w:val="auto"/>
              <w:rPr>
                <w:rFonts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包3</w:t>
            </w:r>
          </w:p>
        </w:tc>
        <w:tc>
          <w:tcPr>
            <w:tcW w:w="1251" w:type="pct"/>
            <w:noWrap w:val="0"/>
            <w:vAlign w:val="center"/>
          </w:tcPr>
          <w:p w14:paraId="3FF49CCB">
            <w:pPr>
              <w:keepNext w:val="0"/>
              <w:keepLines w:val="0"/>
              <w:pageBreakBefore w:val="0"/>
              <w:widowControl/>
              <w:suppressLineNumbers w:val="0"/>
              <w:kinsoku/>
              <w:wordWrap/>
              <w:overflowPunct/>
              <w:topLinePunct w:val="0"/>
              <w:autoSpaceDE/>
              <w:autoSpaceDN/>
              <w:bidi w:val="0"/>
              <w:adjustRightInd/>
              <w:snapToGrid/>
              <w:spacing w:after="160" w:line="240" w:lineRule="auto"/>
              <w:jc w:val="left"/>
              <w:textAlignment w:val="auto"/>
              <w:rPr>
                <w:rFonts w:hint="default"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米、面、油、干杂、牛奶、面包、饮料、调料、食堂耗材采购及配送</w:t>
            </w:r>
          </w:p>
        </w:tc>
        <w:tc>
          <w:tcPr>
            <w:tcW w:w="991" w:type="pct"/>
            <w:vMerge w:val="continue"/>
            <w:noWrap w:val="0"/>
            <w:vAlign w:val="center"/>
          </w:tcPr>
          <w:p w14:paraId="39C540D7">
            <w:pPr>
              <w:keepNext w:val="0"/>
              <w:keepLines w:val="0"/>
              <w:pageBreakBefore w:val="0"/>
              <w:widowControl/>
              <w:kinsoku/>
              <w:wordWrap/>
              <w:overflowPunct/>
              <w:topLinePunct w:val="0"/>
              <w:autoSpaceDE/>
              <w:autoSpaceDN/>
              <w:bidi w:val="0"/>
              <w:adjustRightInd/>
              <w:snapToGrid w:val="0"/>
              <w:spacing w:before="0" w:after="0" w:line="360" w:lineRule="auto"/>
              <w:jc w:val="both"/>
              <w:textAlignment w:val="auto"/>
              <w:rPr>
                <w:rFonts w:hint="eastAsia" w:ascii="仿宋" w:hAnsi="仿宋" w:eastAsia="仿宋" w:cs="仿宋"/>
                <w:color w:val="auto"/>
                <w:kern w:val="1"/>
                <w:sz w:val="24"/>
                <w:szCs w:val="24"/>
                <w:highlight w:val="none"/>
                <w:lang w:eastAsia="zh-CN"/>
              </w:rPr>
            </w:pPr>
          </w:p>
        </w:tc>
        <w:tc>
          <w:tcPr>
            <w:tcW w:w="1678" w:type="pct"/>
            <w:vMerge w:val="continue"/>
            <w:noWrap w:val="0"/>
            <w:vAlign w:val="center"/>
          </w:tcPr>
          <w:p w14:paraId="31E3DFD0">
            <w:pPr>
              <w:keepNext w:val="0"/>
              <w:keepLines w:val="0"/>
              <w:pageBreakBefore w:val="0"/>
              <w:widowControl/>
              <w:numPr>
                <w:ilvl w:val="0"/>
                <w:numId w:val="0"/>
              </w:numPr>
              <w:tabs>
                <w:tab w:val="left" w:pos="1284"/>
              </w:tabs>
              <w:kinsoku/>
              <w:wordWrap/>
              <w:overflowPunct/>
              <w:topLinePunct w:val="0"/>
              <w:autoSpaceDE/>
              <w:autoSpaceDN/>
              <w:bidi w:val="0"/>
              <w:adjustRightInd/>
              <w:snapToGrid/>
              <w:spacing w:before="0" w:after="0" w:line="360" w:lineRule="auto"/>
              <w:ind w:right="0" w:rightChars="0" w:firstLine="480" w:firstLineChars="200"/>
              <w:jc w:val="both"/>
              <w:textAlignment w:val="auto"/>
              <w:rPr>
                <w:rFonts w:hint="eastAsia" w:ascii="仿宋" w:hAnsi="仿宋" w:eastAsia="仿宋" w:cs="仿宋"/>
                <w:color w:val="auto"/>
                <w:kern w:val="1"/>
                <w:sz w:val="24"/>
                <w:szCs w:val="24"/>
                <w:highlight w:val="none"/>
                <w:lang w:val="en-US" w:eastAsia="zh-CN" w:bidi="ar-SA"/>
              </w:rPr>
            </w:pPr>
          </w:p>
        </w:tc>
      </w:tr>
    </w:tbl>
    <w:p w14:paraId="61C259F1">
      <w:pPr>
        <w:keepNext/>
        <w:keepLines/>
        <w:pageBreakBefore w:val="0"/>
        <w:widowControl w:val="0"/>
        <w:numPr>
          <w:ilvl w:val="0"/>
          <w:numId w:val="0"/>
        </w:numPr>
        <w:tabs>
          <w:tab w:val="left" w:pos="1344"/>
        </w:tabs>
        <w:kinsoku/>
        <w:wordWrap/>
        <w:overflowPunct/>
        <w:topLinePunct w:val="0"/>
        <w:autoSpaceDE/>
        <w:autoSpaceDN/>
        <w:bidi w:val="0"/>
        <w:adjustRightInd/>
        <w:snapToGrid/>
        <w:spacing w:before="0" w:after="0" w:line="360" w:lineRule="auto"/>
        <w:ind w:right="0" w:rightChars="0"/>
        <w:jc w:val="left"/>
        <w:textAlignment w:val="auto"/>
        <w:outlineLvl w:val="4"/>
        <w:rPr>
          <w:rFonts w:hint="eastAsia" w:ascii="仿宋" w:hAnsi="仿宋" w:eastAsia="仿宋" w:cs="仿宋"/>
          <w:b/>
          <w:color w:val="auto"/>
          <w:kern w:val="2"/>
          <w:sz w:val="24"/>
          <w:szCs w:val="24"/>
          <w:highlight w:val="none"/>
          <w:lang w:val="en-US" w:eastAsia="zh-CN" w:bidi="ar-SA"/>
        </w:rPr>
      </w:pPr>
      <w:r>
        <w:rPr>
          <w:rFonts w:hint="eastAsia" w:ascii="仿宋" w:hAnsi="仿宋" w:eastAsia="仿宋" w:cs="仿宋"/>
          <w:b/>
          <w:bCs/>
          <w:color w:val="auto"/>
          <w:kern w:val="0"/>
          <w:sz w:val="24"/>
          <w:szCs w:val="24"/>
          <w:highlight w:val="none"/>
          <w:lang w:val="en-US" w:eastAsia="zh-CN" w:bidi="ar"/>
        </w:rPr>
        <w:t>★</w:t>
      </w:r>
      <w:r>
        <w:rPr>
          <w:rFonts w:hint="eastAsia" w:ascii="仿宋" w:hAnsi="仿宋" w:eastAsia="仿宋" w:cs="仿宋"/>
          <w:b/>
          <w:color w:val="auto"/>
          <w:kern w:val="2"/>
          <w:sz w:val="24"/>
          <w:szCs w:val="24"/>
          <w:highlight w:val="none"/>
          <w:lang w:val="en-US" w:eastAsia="zh-CN" w:bidi="ar-SA"/>
        </w:rPr>
        <w:t>B、服务提供的产品质量、卫生要求</w:t>
      </w:r>
    </w:p>
    <w:p w14:paraId="6DC52F1D">
      <w:pPr>
        <w:pageBreakBefore w:val="0"/>
        <w:widowControl w:val="0"/>
        <w:kinsoku/>
        <w:wordWrap/>
        <w:overflowPunct/>
        <w:topLinePunct w:val="0"/>
        <w:autoSpaceDE/>
        <w:autoSpaceDN/>
        <w:bidi w:val="0"/>
        <w:adjustRightInd/>
        <w:snapToGrid/>
        <w:spacing w:after="120" w:line="360" w:lineRule="auto"/>
        <w:ind w:right="0" w:firstLine="480"/>
        <w:jc w:val="both"/>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服务提供产品必须符合国家相关标准和强制性规定要求的为质量合格产品。所列产品标准如国家有调整的，应以调整后的最新标准为准。产品生产（包括原料采购、加工、运输、贮存等）应满足《GB14881-2013食品安全国家标准食品生产通用卫生规范》及相应产品的标准要求。</w:t>
      </w:r>
    </w:p>
    <w:p w14:paraId="739F5A8F">
      <w:pPr>
        <w:pageBreakBefore w:val="0"/>
        <w:widowControl w:val="0"/>
        <w:numPr>
          <w:ilvl w:val="0"/>
          <w:numId w:val="0"/>
        </w:numPr>
        <w:tabs>
          <w:tab w:val="left" w:pos="1341"/>
        </w:tabs>
        <w:kinsoku/>
        <w:wordWrap/>
        <w:overflowPunct/>
        <w:topLinePunct w:val="0"/>
        <w:autoSpaceDE/>
        <w:autoSpaceDN/>
        <w:bidi w:val="0"/>
        <w:adjustRightInd/>
        <w:snapToGrid/>
        <w:spacing w:after="0" w:line="360" w:lineRule="auto"/>
        <w:ind w:right="0" w:rightChars="0" w:firstLine="480" w:firstLineChars="200"/>
        <w:jc w:val="left"/>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1、蔬菜类</w:t>
      </w:r>
    </w:p>
    <w:p w14:paraId="693B40AE">
      <w:pPr>
        <w:pageBreakBefore w:val="0"/>
        <w:widowControl w:val="0"/>
        <w:kinsoku/>
        <w:wordWrap/>
        <w:overflowPunct/>
        <w:topLinePunct w:val="0"/>
        <w:autoSpaceDE/>
        <w:autoSpaceDN/>
        <w:bidi w:val="0"/>
        <w:adjustRightInd/>
        <w:snapToGrid/>
        <w:spacing w:after="120" w:line="360" w:lineRule="auto"/>
        <w:ind w:right="0" w:firstLine="480"/>
        <w:jc w:val="both"/>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①叶菜类：鲜嫩，无枯黄叶，无花斑叶，无烂叶；叶茎完整无折断，基部不老化，干爽无水；无裂口损伤，表面无泥土及其它杂物，无明显机械伤和病虫害伤，无烧心焦边、腐烂等现象，无抽苔（菜心除外），无畸形、异味，结</w:t>
      </w:r>
      <w:r>
        <w:rPr>
          <w:rFonts w:hint="eastAsia" w:ascii="仿宋" w:hAnsi="仿宋" w:eastAsia="仿宋" w:cs="仿宋"/>
          <w:color w:val="auto"/>
          <w:spacing w:val="-5"/>
          <w:kern w:val="2"/>
          <w:sz w:val="24"/>
          <w:szCs w:val="24"/>
          <w:highlight w:val="none"/>
          <w:lang w:val="en-US" w:eastAsia="zh-CN" w:bidi="ar-SA"/>
        </w:rPr>
        <w:t>球叶菜要结球适度，花椰菜应新鲜洁白，不带叶麸，无畸形花，农药残留达标。</w:t>
      </w:r>
    </w:p>
    <w:p w14:paraId="65C88024">
      <w:pPr>
        <w:pageBreakBefore w:val="0"/>
        <w:widowControl w:val="0"/>
        <w:kinsoku/>
        <w:wordWrap/>
        <w:overflowPunct/>
        <w:topLinePunct w:val="0"/>
        <w:autoSpaceDE/>
        <w:autoSpaceDN/>
        <w:bidi w:val="0"/>
        <w:adjustRightInd/>
        <w:snapToGrid/>
        <w:spacing w:after="120" w:line="360" w:lineRule="auto"/>
        <w:ind w:right="0" w:firstLine="480"/>
        <w:jc w:val="both"/>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②根茎类：个体均匀，根形完整，无畸形，无泥土，无虫蛀和机械伤，无腐烂，无断折断裂，不萎蔫变软，不发芽，不变绿，不空心，不糠心，不黑心，弹击有实心感，农药残留达标。</w:t>
      </w:r>
    </w:p>
    <w:p w14:paraId="1F81C065">
      <w:pPr>
        <w:pageBreakBefore w:val="0"/>
        <w:widowControl w:val="0"/>
        <w:kinsoku/>
        <w:wordWrap/>
        <w:overflowPunct/>
        <w:topLinePunct w:val="0"/>
        <w:autoSpaceDE/>
        <w:autoSpaceDN/>
        <w:bidi w:val="0"/>
        <w:adjustRightInd/>
        <w:snapToGrid/>
        <w:spacing w:after="120" w:line="360" w:lineRule="auto"/>
        <w:ind w:right="0" w:firstLine="480"/>
        <w:jc w:val="both"/>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③果菜类：外观良好，个体整齐，色泽正常，瓜肉坚实，表皮无损伤、无</w:t>
      </w:r>
      <w:r>
        <w:rPr>
          <w:rFonts w:hint="eastAsia" w:ascii="仿宋" w:hAnsi="仿宋" w:eastAsia="仿宋" w:cs="仿宋"/>
          <w:color w:val="auto"/>
          <w:spacing w:val="-7"/>
          <w:kern w:val="2"/>
          <w:sz w:val="24"/>
          <w:szCs w:val="24"/>
          <w:highlight w:val="none"/>
          <w:lang w:val="en-US" w:eastAsia="zh-CN" w:bidi="ar-SA"/>
        </w:rPr>
        <w:t>病斑或烂斑，无裂口，无折断，无压痕，无异味，不发软皱缩，农药残留达标。</w:t>
      </w:r>
    </w:p>
    <w:p w14:paraId="37FD13AE">
      <w:pPr>
        <w:pageBreakBefore w:val="0"/>
        <w:widowControl w:val="0"/>
        <w:kinsoku/>
        <w:wordWrap/>
        <w:overflowPunct/>
        <w:topLinePunct w:val="0"/>
        <w:autoSpaceDE/>
        <w:autoSpaceDN/>
        <w:bidi w:val="0"/>
        <w:adjustRightInd/>
        <w:snapToGrid/>
        <w:spacing w:after="120" w:line="360" w:lineRule="auto"/>
        <w:ind w:right="0" w:firstLine="480"/>
        <w:jc w:val="both"/>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④芽苗类：鲜嫩、无老叶、无花斑黄叶，根部切口新鲜，茎叶完整，无腐烂现象，农药残留达标。</w:t>
      </w:r>
    </w:p>
    <w:p w14:paraId="5F7A486E">
      <w:pPr>
        <w:pageBreakBefore w:val="0"/>
        <w:widowControl w:val="0"/>
        <w:kinsoku/>
        <w:wordWrap/>
        <w:overflowPunct/>
        <w:topLinePunct w:val="0"/>
        <w:autoSpaceDE/>
        <w:autoSpaceDN/>
        <w:bidi w:val="0"/>
        <w:adjustRightInd/>
        <w:snapToGrid/>
        <w:spacing w:after="120" w:line="360" w:lineRule="auto"/>
        <w:ind w:right="0" w:firstLine="480"/>
        <w:jc w:val="both"/>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⑤菌类：色泽与其品种相适应，气味正常；无腐烂及虫蛀株，无发霉，无失水枯萎，朵片完整，手轻捏不能有水渗出为宜。</w:t>
      </w:r>
    </w:p>
    <w:p w14:paraId="3F27EEA3">
      <w:pPr>
        <w:pageBreakBefore w:val="0"/>
        <w:widowControl w:val="0"/>
        <w:numPr>
          <w:ilvl w:val="0"/>
          <w:numId w:val="0"/>
        </w:numPr>
        <w:tabs>
          <w:tab w:val="left" w:pos="1341"/>
        </w:tabs>
        <w:kinsoku/>
        <w:wordWrap/>
        <w:overflowPunct/>
        <w:topLinePunct w:val="0"/>
        <w:autoSpaceDE/>
        <w:autoSpaceDN/>
        <w:bidi w:val="0"/>
        <w:adjustRightInd/>
        <w:snapToGrid/>
        <w:spacing w:after="0" w:line="360" w:lineRule="auto"/>
        <w:ind w:right="0" w:rightChars="0" w:firstLine="480" w:firstLineChars="200"/>
        <w:jc w:val="left"/>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2、水果类</w:t>
      </w:r>
    </w:p>
    <w:p w14:paraId="299049D4">
      <w:pPr>
        <w:pageBreakBefore w:val="0"/>
        <w:widowControl w:val="0"/>
        <w:kinsoku/>
        <w:wordWrap/>
        <w:overflowPunct/>
        <w:topLinePunct w:val="0"/>
        <w:autoSpaceDE/>
        <w:autoSpaceDN/>
        <w:bidi w:val="0"/>
        <w:adjustRightInd/>
        <w:snapToGrid/>
        <w:spacing w:after="120" w:line="360" w:lineRule="auto"/>
        <w:ind w:right="0" w:firstLine="480"/>
        <w:jc w:val="both"/>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时令水果果形完整，各种水果保证大小均匀，提供的每种水果均为该品种的优质品级，水份充足新鲜，正常色泽且色泽均匀，果质优良，气味正常；无腐烂及虫蛀，无发霉，无干疤，无失水枯萎，无农药残留。</w:t>
      </w:r>
    </w:p>
    <w:p w14:paraId="2846A657">
      <w:pPr>
        <w:pageBreakBefore w:val="0"/>
        <w:widowControl w:val="0"/>
        <w:numPr>
          <w:ilvl w:val="0"/>
          <w:numId w:val="0"/>
        </w:numPr>
        <w:tabs>
          <w:tab w:val="left" w:pos="1341"/>
        </w:tabs>
        <w:kinsoku/>
        <w:wordWrap/>
        <w:overflowPunct/>
        <w:topLinePunct w:val="0"/>
        <w:autoSpaceDE/>
        <w:autoSpaceDN/>
        <w:bidi w:val="0"/>
        <w:adjustRightInd/>
        <w:snapToGrid/>
        <w:spacing w:after="0" w:line="360" w:lineRule="auto"/>
        <w:ind w:right="0" w:rightChars="0" w:firstLine="480" w:firstLineChars="200"/>
        <w:jc w:val="left"/>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3、肉类</w:t>
      </w:r>
    </w:p>
    <w:p w14:paraId="5F902788">
      <w:pPr>
        <w:pageBreakBefore w:val="0"/>
        <w:widowControl w:val="0"/>
        <w:kinsoku/>
        <w:wordWrap/>
        <w:overflowPunct/>
        <w:topLinePunct w:val="0"/>
        <w:autoSpaceDE/>
        <w:autoSpaceDN/>
        <w:bidi w:val="0"/>
        <w:adjustRightInd/>
        <w:snapToGrid/>
        <w:spacing w:after="120" w:line="360" w:lineRule="auto"/>
        <w:ind w:right="0" w:firstLine="480"/>
        <w:jc w:val="both"/>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配送的生鲜肉类、生鲜禽类应为当日生产的冷鲜肉，保证肉质新鲜，及时配送。应符合GB/T 9959.1-2019鲜、冻片猪肉、GB16869-2005鲜、冻禽产品等食品安全国家标准和相关强制性规定。</w:t>
      </w:r>
    </w:p>
    <w:p w14:paraId="6F7E2D85">
      <w:pPr>
        <w:pageBreakBefore w:val="0"/>
        <w:widowControl w:val="0"/>
        <w:kinsoku/>
        <w:wordWrap/>
        <w:overflowPunct/>
        <w:topLinePunct w:val="0"/>
        <w:autoSpaceDE/>
        <w:autoSpaceDN/>
        <w:bidi w:val="0"/>
        <w:adjustRightInd/>
        <w:snapToGrid/>
        <w:spacing w:after="120" w:line="360" w:lineRule="auto"/>
        <w:ind w:right="0" w:firstLine="480"/>
        <w:jc w:val="both"/>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鲜猪肉（应是当日生产）供应时应有产地动物卫生监督机构出具当日的《动物检疫合格证明》和动物产品检疫合格验讫印章以及生猪定点屠宰厂肉品品质检验合格验讫印章。牛肉、羊肉等其它家畜白条肉供应时应提供当日《动物检疫合格证明》或《出县境动物产品检疫合格证明》。</w:t>
      </w:r>
    </w:p>
    <w:p w14:paraId="3450395C">
      <w:pPr>
        <w:pageBreakBefore w:val="0"/>
        <w:widowControl w:val="0"/>
        <w:kinsoku/>
        <w:wordWrap/>
        <w:overflowPunct/>
        <w:topLinePunct w:val="0"/>
        <w:autoSpaceDE/>
        <w:autoSpaceDN/>
        <w:bidi w:val="0"/>
        <w:adjustRightInd/>
        <w:snapToGrid/>
        <w:spacing w:after="120" w:line="360" w:lineRule="auto"/>
        <w:ind w:right="0" w:firstLine="480"/>
        <w:jc w:val="both"/>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散装生鲜禽肉（应是当日生产）供应时应提供当日的《动物产品检疫合格证明》或《出县境动物产品检疫合格证明》，外地生鲜禽肉应有其所在地农业部门的检疫合格证明或检疫验讫标识，生鲜禽肉类必须保证新鲜，应符合食品安全溯源管理要求。</w:t>
      </w:r>
    </w:p>
    <w:p w14:paraId="71FBAD44">
      <w:pPr>
        <w:pageBreakBefore w:val="0"/>
        <w:widowControl w:val="0"/>
        <w:kinsoku/>
        <w:wordWrap/>
        <w:overflowPunct/>
        <w:topLinePunct w:val="0"/>
        <w:autoSpaceDE/>
        <w:autoSpaceDN/>
        <w:bidi w:val="0"/>
        <w:adjustRightInd/>
        <w:snapToGrid/>
        <w:spacing w:after="120" w:line="360" w:lineRule="auto"/>
        <w:ind w:right="0" w:firstLine="480"/>
        <w:jc w:val="both"/>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①生鲜猪肉类（牛肉、羊肉等）：无槽头肉和血刀肉；甲状腺、肾上腺、病变淋巴摘除干净；无残留毛绒，不准带长短毛；不带浮毛、凝血块、胆污、粪污及其他污染物；肌肉应有光泽，不粘手，有弹性，指压后凹陷立即恢复原状，并具有鲜肉的正常气味，排骨类无龙骨。去骨肘子需大小均匀肥瘦合适， 精五花肉去边，鲜里脊肉去筋，鲜猪脚按采购人要求尺寸剁好，鲜肥肠洗净去油水，排骨类无龙骨按采购人要求尺寸剁好。</w:t>
      </w:r>
    </w:p>
    <w:p w14:paraId="7F76C65E">
      <w:pPr>
        <w:pageBreakBefore w:val="0"/>
        <w:widowControl w:val="0"/>
        <w:kinsoku/>
        <w:wordWrap/>
        <w:overflowPunct/>
        <w:topLinePunct w:val="0"/>
        <w:autoSpaceDE/>
        <w:autoSpaceDN/>
        <w:bidi w:val="0"/>
        <w:adjustRightInd/>
        <w:snapToGrid/>
        <w:spacing w:after="120" w:line="360" w:lineRule="auto"/>
        <w:ind w:right="0" w:firstLine="480"/>
        <w:jc w:val="both"/>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②生鲜禽肉类：家禽鲜活原料应体壮，色泽正常，无病，无内脏，无异物，符合规格要求，并需乙方配送人员现场分解，达到使用标准。</w:t>
      </w:r>
    </w:p>
    <w:p w14:paraId="34A691C5">
      <w:pPr>
        <w:pageBreakBefore w:val="0"/>
        <w:widowControl w:val="0"/>
        <w:numPr>
          <w:ilvl w:val="0"/>
          <w:numId w:val="0"/>
        </w:numPr>
        <w:tabs>
          <w:tab w:val="left" w:pos="1341"/>
        </w:tabs>
        <w:kinsoku/>
        <w:wordWrap/>
        <w:overflowPunct/>
        <w:topLinePunct w:val="0"/>
        <w:autoSpaceDE/>
        <w:autoSpaceDN/>
        <w:bidi w:val="0"/>
        <w:adjustRightInd/>
        <w:snapToGrid/>
        <w:spacing w:after="0" w:line="360" w:lineRule="auto"/>
        <w:ind w:right="0" w:rightChars="0" w:firstLine="480" w:firstLineChars="200"/>
        <w:jc w:val="left"/>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4、鸡蛋类</w:t>
      </w:r>
    </w:p>
    <w:p w14:paraId="287FF70A">
      <w:pPr>
        <w:pageBreakBefore w:val="0"/>
        <w:widowControl w:val="0"/>
        <w:kinsoku/>
        <w:wordWrap/>
        <w:overflowPunct/>
        <w:topLinePunct w:val="0"/>
        <w:autoSpaceDE/>
        <w:autoSpaceDN/>
        <w:bidi w:val="0"/>
        <w:adjustRightInd/>
        <w:snapToGrid/>
        <w:spacing w:after="120" w:line="360" w:lineRule="auto"/>
        <w:ind w:right="0" w:firstLine="480"/>
        <w:jc w:val="both"/>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pacing w:val="-13"/>
          <w:kern w:val="2"/>
          <w:sz w:val="24"/>
          <w:szCs w:val="24"/>
          <w:highlight w:val="none"/>
          <w:lang w:val="en-US" w:eastAsia="zh-CN" w:bidi="ar-SA"/>
        </w:rPr>
        <w:t>符合《食品安全国家标准蛋及蛋制品》</w:t>
      </w:r>
      <w:r>
        <w:rPr>
          <w:rFonts w:hint="eastAsia" w:ascii="仿宋" w:hAnsi="仿宋" w:eastAsia="仿宋" w:cs="仿宋"/>
          <w:color w:val="auto"/>
          <w:spacing w:val="-2"/>
          <w:kern w:val="2"/>
          <w:sz w:val="24"/>
          <w:szCs w:val="24"/>
          <w:highlight w:val="none"/>
          <w:lang w:val="en-US" w:eastAsia="zh-CN" w:bidi="ar-SA"/>
        </w:rPr>
        <w:t>（GB2749-2015）</w:t>
      </w:r>
      <w:r>
        <w:rPr>
          <w:rFonts w:hint="eastAsia" w:ascii="仿宋" w:hAnsi="仿宋" w:eastAsia="仿宋" w:cs="仿宋"/>
          <w:color w:val="auto"/>
          <w:kern w:val="2"/>
          <w:sz w:val="24"/>
          <w:szCs w:val="24"/>
          <w:highlight w:val="none"/>
          <w:lang w:val="en-US" w:eastAsia="zh-CN" w:bidi="ar-SA"/>
        </w:rPr>
        <w:t>出厂日期不超过7日，无破损。</w:t>
      </w:r>
    </w:p>
    <w:p w14:paraId="714FC1FE">
      <w:pPr>
        <w:pageBreakBefore w:val="0"/>
        <w:widowControl w:val="0"/>
        <w:numPr>
          <w:ilvl w:val="0"/>
          <w:numId w:val="0"/>
        </w:numPr>
        <w:tabs>
          <w:tab w:val="left" w:pos="1341"/>
        </w:tabs>
        <w:kinsoku/>
        <w:wordWrap/>
        <w:overflowPunct/>
        <w:topLinePunct w:val="0"/>
        <w:autoSpaceDE/>
        <w:autoSpaceDN/>
        <w:bidi w:val="0"/>
        <w:adjustRightInd/>
        <w:snapToGrid/>
        <w:spacing w:after="0" w:line="360" w:lineRule="auto"/>
        <w:ind w:right="0" w:rightChars="0" w:firstLine="480" w:firstLineChars="200"/>
        <w:jc w:val="left"/>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5、干货制品类、调料、副食类</w:t>
      </w:r>
    </w:p>
    <w:p w14:paraId="0D090291">
      <w:pPr>
        <w:pageBreakBefore w:val="0"/>
        <w:widowControl w:val="0"/>
        <w:kinsoku/>
        <w:wordWrap/>
        <w:overflowPunct/>
        <w:topLinePunct w:val="0"/>
        <w:autoSpaceDE/>
        <w:autoSpaceDN/>
        <w:bidi w:val="0"/>
        <w:adjustRightInd/>
        <w:snapToGrid/>
        <w:spacing w:after="120" w:line="360" w:lineRule="auto"/>
        <w:ind w:right="0" w:firstLine="480"/>
        <w:jc w:val="both"/>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应满足《GB14881-2013食品安全国家标准食品生产通用卫生规范》以及对</w:t>
      </w:r>
      <w:r>
        <w:rPr>
          <w:rFonts w:hint="eastAsia" w:ascii="仿宋" w:hAnsi="仿宋" w:eastAsia="仿宋" w:cs="仿宋"/>
          <w:color w:val="auto"/>
          <w:spacing w:val="-4"/>
          <w:kern w:val="2"/>
          <w:sz w:val="24"/>
          <w:szCs w:val="24"/>
          <w:highlight w:val="none"/>
          <w:lang w:val="en-US" w:eastAsia="zh-CN" w:bidi="ar-SA"/>
        </w:rPr>
        <w:t>应的食品安全国家标准</w:t>
      </w:r>
      <w:r>
        <w:rPr>
          <w:rFonts w:hint="eastAsia" w:ascii="仿宋" w:hAnsi="仿宋" w:eastAsia="仿宋" w:cs="仿宋"/>
          <w:color w:val="auto"/>
          <w:spacing w:val="-6"/>
          <w:kern w:val="2"/>
          <w:sz w:val="24"/>
          <w:szCs w:val="24"/>
          <w:highlight w:val="none"/>
          <w:lang w:val="en-US" w:eastAsia="zh-CN" w:bidi="ar-SA"/>
        </w:rPr>
        <w:t>要求。</w:t>
      </w:r>
      <w:r>
        <w:rPr>
          <w:rFonts w:hint="eastAsia" w:ascii="仿宋" w:hAnsi="仿宋" w:eastAsia="仿宋" w:cs="仿宋"/>
          <w:color w:val="auto"/>
          <w:kern w:val="2"/>
          <w:sz w:val="24"/>
          <w:szCs w:val="24"/>
          <w:highlight w:val="none"/>
          <w:lang w:val="en-US" w:eastAsia="zh-CN" w:bidi="ar-SA"/>
        </w:rPr>
        <w:t>外观良好，具有其品种应有的色泽，气味正常；无腐烂及虫蛀，无霉变。</w:t>
      </w:r>
    </w:p>
    <w:p w14:paraId="0764FD7F">
      <w:pPr>
        <w:pageBreakBefore w:val="0"/>
        <w:widowControl w:val="0"/>
        <w:kinsoku/>
        <w:wordWrap/>
        <w:overflowPunct/>
        <w:topLinePunct w:val="0"/>
        <w:autoSpaceDE/>
        <w:autoSpaceDN/>
        <w:bidi w:val="0"/>
        <w:adjustRightInd/>
        <w:snapToGrid/>
        <w:spacing w:after="120" w:line="360" w:lineRule="auto"/>
        <w:ind w:right="0" w:firstLine="480"/>
        <w:jc w:val="both"/>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水发类：颜色色泽正常，无腐败变质、无霉变、气味正常、无刺激性异味， 无掺假掺杂，严禁使用非食品添加剂、保持食材原有特性、正常加热后不能渣化。</w:t>
      </w:r>
    </w:p>
    <w:p w14:paraId="09490C82">
      <w:pPr>
        <w:pageBreakBefore w:val="0"/>
        <w:widowControl w:val="0"/>
        <w:kinsoku/>
        <w:wordWrap/>
        <w:overflowPunct/>
        <w:topLinePunct w:val="0"/>
        <w:autoSpaceDE/>
        <w:autoSpaceDN/>
        <w:bidi w:val="0"/>
        <w:adjustRightInd/>
        <w:snapToGrid/>
        <w:spacing w:after="120" w:line="360" w:lineRule="auto"/>
        <w:ind w:right="0" w:firstLine="480" w:firstLineChars="200"/>
        <w:jc w:val="both"/>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6.冷冻食品类：</w:t>
      </w:r>
    </w:p>
    <w:p w14:paraId="7007534C">
      <w:pPr>
        <w:pageBreakBefore w:val="0"/>
        <w:widowControl w:val="0"/>
        <w:kinsoku/>
        <w:wordWrap/>
        <w:overflowPunct/>
        <w:topLinePunct w:val="0"/>
        <w:autoSpaceDE/>
        <w:autoSpaceDN/>
        <w:bidi w:val="0"/>
        <w:adjustRightInd/>
        <w:snapToGrid/>
        <w:spacing w:after="120" w:line="360" w:lineRule="auto"/>
        <w:ind w:right="0" w:firstLine="480"/>
        <w:jc w:val="both"/>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冻肉制品类：冷冻肉要求肉体冻实而坚硬，无化冻现象，肉质紧密而有弹性，色泽均匀，不粘手，交货时干净、新鲜、无异味；冷冻鱼类要求鱼眼睛清亮，角膜透明，鳞片上覆有冻结的透明黏液层，皮肤天然色泽明显。冷冻肉类食品解冻后净重量不少于92%，冷冻禽类食品解冻后净重量不少于90％，冷冻水产类食品解冻后净重量不少于82%，解冻时间为4小时以内（室温20℃）。所有冷冻食品要求清晰列出产品品牌、规格、类型、包装方式、包装净重、含冰量等相关参数，且包装箱上必须贴有动物产品检疫合格证、SC标志。</w:t>
      </w:r>
    </w:p>
    <w:p w14:paraId="76E4CE3A">
      <w:pPr>
        <w:keepNext/>
        <w:keepLines/>
        <w:pageBreakBefore w:val="0"/>
        <w:widowControl w:val="0"/>
        <w:numPr>
          <w:ilvl w:val="0"/>
          <w:numId w:val="0"/>
        </w:numPr>
        <w:tabs>
          <w:tab w:val="left" w:pos="1344"/>
        </w:tabs>
        <w:kinsoku/>
        <w:wordWrap/>
        <w:overflowPunct/>
        <w:topLinePunct w:val="0"/>
        <w:autoSpaceDE/>
        <w:autoSpaceDN/>
        <w:bidi w:val="0"/>
        <w:adjustRightInd/>
        <w:snapToGrid/>
        <w:spacing w:before="0" w:after="0" w:line="360" w:lineRule="auto"/>
        <w:ind w:right="0" w:rightChars="0" w:firstLine="482" w:firstLineChars="200"/>
        <w:jc w:val="left"/>
        <w:textAlignment w:val="auto"/>
        <w:outlineLvl w:val="4"/>
        <w:rPr>
          <w:rFonts w:hint="eastAsia" w:ascii="仿宋" w:hAnsi="仿宋" w:eastAsia="仿宋" w:cs="仿宋"/>
          <w:b/>
          <w:color w:val="auto"/>
          <w:kern w:val="2"/>
          <w:sz w:val="24"/>
          <w:szCs w:val="24"/>
          <w:highlight w:val="none"/>
          <w:lang w:val="en-US" w:eastAsia="zh-CN" w:bidi="ar-SA"/>
        </w:rPr>
      </w:pPr>
      <w:r>
        <w:rPr>
          <w:rFonts w:hint="eastAsia" w:ascii="仿宋" w:hAnsi="仿宋" w:eastAsia="仿宋" w:cs="仿宋"/>
          <w:b/>
          <w:bCs/>
          <w:color w:val="auto"/>
          <w:kern w:val="0"/>
          <w:sz w:val="24"/>
          <w:szCs w:val="24"/>
          <w:highlight w:val="none"/>
          <w:lang w:val="en-US" w:eastAsia="zh-CN" w:bidi="ar"/>
        </w:rPr>
        <w:t>★</w:t>
      </w:r>
      <w:r>
        <w:rPr>
          <w:rFonts w:hint="eastAsia" w:ascii="仿宋" w:hAnsi="仿宋" w:eastAsia="仿宋" w:cs="仿宋"/>
          <w:b/>
          <w:color w:val="auto"/>
          <w:kern w:val="2"/>
          <w:sz w:val="24"/>
          <w:szCs w:val="24"/>
          <w:highlight w:val="none"/>
          <w:lang w:val="en-US" w:eastAsia="zh-CN" w:bidi="ar-SA"/>
        </w:rPr>
        <w:t>C、货物来源要求</w:t>
      </w:r>
    </w:p>
    <w:p w14:paraId="45105F1C">
      <w:pPr>
        <w:pageBreakBefore w:val="0"/>
        <w:widowControl w:val="0"/>
        <w:kinsoku/>
        <w:wordWrap/>
        <w:overflowPunct/>
        <w:topLinePunct w:val="0"/>
        <w:autoSpaceDE/>
        <w:autoSpaceDN/>
        <w:bidi w:val="0"/>
        <w:adjustRightInd/>
        <w:snapToGrid/>
        <w:spacing w:after="120" w:line="360" w:lineRule="auto"/>
        <w:ind w:right="0" w:firstLine="480"/>
        <w:jc w:val="both"/>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投标人应严格执行《餐饮服务食品采购索证索票管理规定》，提供采购凭证、质量安全合格凭证（从食品生产单位、批发市场等采购的，要提供供货者的相关许可证和产品合格证明等材料；从固定供货商或者供货基地采购的，应</w:t>
      </w:r>
      <w:r>
        <w:rPr>
          <w:rFonts w:hint="eastAsia" w:ascii="仿宋" w:hAnsi="仿宋" w:eastAsia="仿宋" w:cs="仿宋"/>
          <w:color w:val="auto"/>
          <w:spacing w:val="-4"/>
          <w:kern w:val="2"/>
          <w:sz w:val="24"/>
          <w:szCs w:val="24"/>
          <w:highlight w:val="none"/>
          <w:lang w:val="en-US" w:eastAsia="zh-CN" w:bidi="ar-SA"/>
        </w:rPr>
        <w:t>当提供供货商或者供货基地的资质证明、每笔供货清单等；从超市、农贸市场、</w:t>
      </w:r>
      <w:r>
        <w:rPr>
          <w:rFonts w:hint="eastAsia" w:ascii="仿宋" w:hAnsi="仿宋" w:eastAsia="仿宋" w:cs="仿宋"/>
          <w:color w:val="auto"/>
          <w:kern w:val="2"/>
          <w:sz w:val="24"/>
          <w:szCs w:val="24"/>
          <w:highlight w:val="none"/>
          <w:lang w:val="en-US" w:eastAsia="zh-CN" w:bidi="ar-SA"/>
        </w:rPr>
        <w:t>个体工商户等采购的，应提供采购清单等有关凭证）。</w:t>
      </w:r>
    </w:p>
    <w:p w14:paraId="54F9D734">
      <w:pPr>
        <w:widowControl w:val="0"/>
        <w:spacing w:after="120" w:line="360" w:lineRule="auto"/>
        <w:ind w:firstLine="480"/>
        <w:jc w:val="both"/>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供应商应对食品供应链进行明确，所有食品的来源必须清晰。蔬菜等产品应当来源于受到地方政府部门监管的自有基地、商品菜基地或蔬菜专业流通市场，严禁收购散户的供应。冷藏冷冻常温食品贮存库及保鲜运输车辆设备，应按照国家饮食卫生标准执行，并遵照相关管理体系要求运作。并能提供以往食品进货查验记录以供核查。</w:t>
      </w:r>
    </w:p>
    <w:p w14:paraId="5DBE3602">
      <w:pPr>
        <w:widowControl w:val="0"/>
        <w:spacing w:after="120" w:line="360" w:lineRule="auto"/>
        <w:ind w:firstLine="480"/>
        <w:jc w:val="both"/>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bCs w:val="0"/>
          <w:iCs w:val="0"/>
          <w:color w:val="auto"/>
          <w:kern w:val="2"/>
          <w:sz w:val="24"/>
          <w:szCs w:val="24"/>
          <w:highlight w:val="none"/>
          <w:lang w:val="en-US" w:eastAsia="zh-CN" w:bidi="ar-SA"/>
        </w:rPr>
        <w:t>严防“病从口入”，切实保障食品和就餐卫生符合国家卫生部门的规定，杜绝供应腐烂变质的食物与食物中毒事件的发生。</w:t>
      </w:r>
    </w:p>
    <w:p w14:paraId="26F6FFEE">
      <w:pPr>
        <w:keepNext/>
        <w:keepLines/>
        <w:pageBreakBefore w:val="0"/>
        <w:widowControl w:val="0"/>
        <w:numPr>
          <w:ilvl w:val="0"/>
          <w:numId w:val="0"/>
        </w:numPr>
        <w:tabs>
          <w:tab w:val="left" w:pos="1312"/>
        </w:tabs>
        <w:kinsoku/>
        <w:wordWrap/>
        <w:overflowPunct/>
        <w:topLinePunct w:val="0"/>
        <w:autoSpaceDE/>
        <w:autoSpaceDN/>
        <w:bidi w:val="0"/>
        <w:adjustRightInd/>
        <w:snapToGrid/>
        <w:spacing w:before="0" w:after="0" w:line="360" w:lineRule="auto"/>
        <w:ind w:right="0" w:rightChars="0" w:firstLine="482" w:firstLineChars="200"/>
        <w:jc w:val="left"/>
        <w:textAlignment w:val="auto"/>
        <w:outlineLvl w:val="4"/>
        <w:rPr>
          <w:rFonts w:hint="eastAsia" w:ascii="仿宋" w:hAnsi="仿宋" w:eastAsia="仿宋" w:cs="仿宋"/>
          <w:b/>
          <w:color w:val="auto"/>
          <w:kern w:val="2"/>
          <w:sz w:val="24"/>
          <w:szCs w:val="24"/>
          <w:highlight w:val="none"/>
          <w:lang w:val="en-US" w:eastAsia="zh-CN" w:bidi="ar-SA"/>
        </w:rPr>
      </w:pPr>
      <w:r>
        <w:rPr>
          <w:rFonts w:hint="eastAsia" w:ascii="仿宋" w:hAnsi="仿宋" w:eastAsia="仿宋" w:cs="仿宋"/>
          <w:b/>
          <w:color w:val="auto"/>
          <w:kern w:val="2"/>
          <w:sz w:val="24"/>
          <w:szCs w:val="24"/>
          <w:highlight w:val="none"/>
          <w:lang w:val="en-US" w:eastAsia="zh-CN" w:bidi="ar-SA"/>
        </w:rPr>
        <w:t>D、配送要求</w:t>
      </w:r>
    </w:p>
    <w:p w14:paraId="0B91AD15">
      <w:pPr>
        <w:pageBreakBefore w:val="0"/>
        <w:widowControl w:val="0"/>
        <w:numPr>
          <w:ilvl w:val="0"/>
          <w:numId w:val="0"/>
        </w:numPr>
        <w:tabs>
          <w:tab w:val="left" w:pos="1284"/>
        </w:tabs>
        <w:kinsoku/>
        <w:wordWrap/>
        <w:overflowPunct/>
        <w:topLinePunct w:val="0"/>
        <w:autoSpaceDE/>
        <w:autoSpaceDN/>
        <w:bidi w:val="0"/>
        <w:adjustRightInd/>
        <w:snapToGrid/>
        <w:spacing w:after="0" w:line="360" w:lineRule="auto"/>
        <w:ind w:right="0" w:rightChars="0" w:firstLine="482" w:firstLineChars="200"/>
        <w:jc w:val="both"/>
        <w:textAlignment w:val="auto"/>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bCs/>
          <w:color w:val="auto"/>
          <w:kern w:val="0"/>
          <w:sz w:val="24"/>
          <w:szCs w:val="24"/>
          <w:highlight w:val="none"/>
          <w:lang w:val="en-US" w:eastAsia="zh-CN" w:bidi="ar"/>
        </w:rPr>
        <w:t>★</w:t>
      </w:r>
      <w:r>
        <w:rPr>
          <w:rFonts w:hint="eastAsia" w:ascii="仿宋" w:hAnsi="仿宋" w:eastAsia="仿宋" w:cs="仿宋"/>
          <w:b w:val="0"/>
          <w:bCs w:val="0"/>
          <w:color w:val="auto"/>
          <w:spacing w:val="-3"/>
          <w:kern w:val="2"/>
          <w:sz w:val="24"/>
          <w:szCs w:val="24"/>
          <w:highlight w:val="none"/>
          <w:lang w:val="en-US" w:eastAsia="zh-CN" w:bidi="ar-SA"/>
        </w:rPr>
        <w:t>1、产品检验合格报告</w:t>
      </w:r>
      <w:r>
        <w:rPr>
          <w:rFonts w:hint="eastAsia" w:ascii="仿宋" w:hAnsi="仿宋" w:eastAsia="仿宋" w:cs="仿宋"/>
          <w:b w:val="0"/>
          <w:bCs w:val="0"/>
          <w:color w:val="auto"/>
          <w:kern w:val="2"/>
          <w:sz w:val="24"/>
          <w:szCs w:val="24"/>
          <w:highlight w:val="none"/>
          <w:lang w:val="en-US" w:eastAsia="zh-CN" w:bidi="ar-SA"/>
        </w:rPr>
        <w:t>（证明</w:t>
      </w:r>
      <w:r>
        <w:rPr>
          <w:rFonts w:hint="eastAsia" w:ascii="仿宋" w:hAnsi="仿宋" w:eastAsia="仿宋" w:cs="仿宋"/>
          <w:b w:val="0"/>
          <w:bCs w:val="0"/>
          <w:color w:val="auto"/>
          <w:spacing w:val="-23"/>
          <w:kern w:val="2"/>
          <w:sz w:val="24"/>
          <w:szCs w:val="24"/>
          <w:highlight w:val="none"/>
          <w:lang w:val="en-US" w:eastAsia="zh-CN" w:bidi="ar-SA"/>
        </w:rPr>
        <w:t>）</w:t>
      </w:r>
      <w:r>
        <w:rPr>
          <w:rFonts w:hint="eastAsia" w:ascii="仿宋" w:hAnsi="仿宋" w:eastAsia="仿宋" w:cs="仿宋"/>
          <w:b w:val="0"/>
          <w:bCs w:val="0"/>
          <w:color w:val="auto"/>
          <w:spacing w:val="-8"/>
          <w:kern w:val="2"/>
          <w:sz w:val="24"/>
          <w:szCs w:val="24"/>
          <w:highlight w:val="none"/>
          <w:lang w:val="en-US" w:eastAsia="zh-CN" w:bidi="ar-SA"/>
        </w:rPr>
        <w:t>：生鲜肉类由产地检疫部门出具当日的《动物</w:t>
      </w:r>
      <w:r>
        <w:rPr>
          <w:rFonts w:hint="eastAsia" w:ascii="仿宋" w:hAnsi="仿宋" w:eastAsia="仿宋" w:cs="仿宋"/>
          <w:b w:val="0"/>
          <w:bCs w:val="0"/>
          <w:color w:val="auto"/>
          <w:kern w:val="2"/>
          <w:sz w:val="24"/>
          <w:szCs w:val="24"/>
          <w:highlight w:val="none"/>
          <w:lang w:val="en-US" w:eastAsia="zh-CN" w:bidi="ar-SA"/>
        </w:rPr>
        <w:t>产品合格证明》和动物产品检疫合格验讫印章以及生猪定点屠宰厂肉品品质检验合格证明和肉品品质检验合格验讫印章；牛肉、羊肉等其它家畜白条肉应提供当日《动物产品合格证明》或《出县境动物产品检疫合格证明》；冻肉制品类，须提供动物防疫合格证；蔬菜、水果应提供每批次的农残检测报告；其他食材，供应商必须向采购人提供每批次货物的有效产品检验合格报告和盖有供应商印章的配送清单。采购人有权拒收无相关报告或证明的食材。</w:t>
      </w:r>
    </w:p>
    <w:p w14:paraId="2748A1EA">
      <w:pPr>
        <w:pageBreakBefore w:val="0"/>
        <w:widowControl w:val="0"/>
        <w:numPr>
          <w:ilvl w:val="0"/>
          <w:numId w:val="0"/>
        </w:numPr>
        <w:tabs>
          <w:tab w:val="left" w:pos="1284"/>
        </w:tabs>
        <w:kinsoku/>
        <w:wordWrap/>
        <w:overflowPunct/>
        <w:topLinePunct w:val="0"/>
        <w:autoSpaceDE/>
        <w:autoSpaceDN/>
        <w:bidi w:val="0"/>
        <w:adjustRightInd/>
        <w:snapToGrid/>
        <w:spacing w:after="0" w:line="360" w:lineRule="auto"/>
        <w:ind w:right="0" w:rightChars="0" w:firstLine="440" w:firstLineChars="200"/>
        <w:jc w:val="both"/>
        <w:textAlignment w:val="auto"/>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spacing w:val="-10"/>
          <w:kern w:val="2"/>
          <w:sz w:val="24"/>
          <w:szCs w:val="24"/>
          <w:highlight w:val="none"/>
          <w:lang w:val="en-US" w:eastAsia="zh-CN" w:bidi="ar-SA"/>
        </w:rPr>
        <w:t>2、配送车辆要求：</w:t>
      </w:r>
      <w:r>
        <w:rPr>
          <w:rFonts w:hint="eastAsia" w:ascii="仿宋" w:hAnsi="仿宋" w:eastAsia="仿宋" w:cs="仿宋"/>
          <w:b w:val="0"/>
          <w:bCs w:val="0"/>
          <w:color w:val="auto"/>
          <w:spacing w:val="-2"/>
          <w:kern w:val="2"/>
          <w:sz w:val="24"/>
          <w:szCs w:val="24"/>
          <w:highlight w:val="none"/>
          <w:lang w:val="en-US" w:eastAsia="zh-CN" w:bidi="ar-SA"/>
        </w:rPr>
        <w:t>供应商针对本项目至少配备</w:t>
      </w:r>
      <w:r>
        <w:rPr>
          <w:rFonts w:hint="eastAsia" w:ascii="仿宋" w:hAnsi="仿宋" w:eastAsia="仿宋" w:cs="仿宋"/>
          <w:b w:val="0"/>
          <w:bCs w:val="0"/>
          <w:color w:val="auto"/>
          <w:kern w:val="2"/>
          <w:sz w:val="24"/>
          <w:szCs w:val="24"/>
          <w:highlight w:val="none"/>
          <w:lang w:val="en-US" w:eastAsia="zh-CN" w:bidi="ar-SA"/>
        </w:rPr>
        <w:t>1辆冷藏车或具备冷藏功能的配</w:t>
      </w:r>
      <w:r>
        <w:rPr>
          <w:rFonts w:hint="eastAsia" w:ascii="仿宋" w:hAnsi="仿宋" w:eastAsia="仿宋" w:cs="仿宋"/>
          <w:b w:val="0"/>
          <w:bCs w:val="0"/>
          <w:color w:val="auto"/>
          <w:spacing w:val="1"/>
          <w:kern w:val="2"/>
          <w:sz w:val="24"/>
          <w:szCs w:val="24"/>
          <w:highlight w:val="none"/>
          <w:lang w:val="en-US" w:eastAsia="zh-CN" w:bidi="ar-SA"/>
        </w:rPr>
        <w:t>送专用车</w:t>
      </w:r>
      <w:r>
        <w:rPr>
          <w:rFonts w:hint="eastAsia" w:ascii="仿宋" w:hAnsi="仿宋" w:eastAsia="仿宋" w:cs="仿宋"/>
          <w:b w:val="0"/>
          <w:bCs w:val="0"/>
          <w:color w:val="auto"/>
          <w:kern w:val="2"/>
          <w:sz w:val="24"/>
          <w:szCs w:val="24"/>
          <w:highlight w:val="none"/>
          <w:lang w:val="en-US" w:eastAsia="zh-CN" w:bidi="ar-SA"/>
        </w:rPr>
        <w:t>，</w:t>
      </w:r>
      <w:r>
        <w:rPr>
          <w:rFonts w:ascii="仿宋" w:hAnsi="仿宋" w:eastAsia="仿宋" w:cstheme="minorBidi"/>
          <w:b w:val="0"/>
          <w:bCs w:val="0"/>
          <w:color w:val="auto"/>
          <w:kern w:val="2"/>
          <w:sz w:val="24"/>
          <w:szCs w:val="24"/>
          <w:highlight w:val="none"/>
          <w:lang w:val="en-US" w:eastAsia="zh-CN" w:bidi="ar-SA"/>
        </w:rPr>
        <w:t>易变质产品（如肉类等）均必须由</w:t>
      </w:r>
      <w:r>
        <w:rPr>
          <w:rFonts w:hint="eastAsia" w:ascii="仿宋" w:hAnsi="仿宋" w:eastAsia="仿宋" w:cstheme="minorBidi"/>
          <w:b w:val="0"/>
          <w:bCs w:val="0"/>
          <w:color w:val="auto"/>
          <w:kern w:val="2"/>
          <w:sz w:val="24"/>
          <w:szCs w:val="24"/>
          <w:highlight w:val="none"/>
          <w:lang w:val="en-US" w:eastAsia="zh-CN" w:bidi="ar-SA"/>
        </w:rPr>
        <w:t>冷藏车或具备冷藏功能的</w:t>
      </w:r>
      <w:r>
        <w:rPr>
          <w:rFonts w:ascii="仿宋" w:hAnsi="仿宋" w:eastAsia="仿宋" w:cstheme="minorBidi"/>
          <w:b w:val="0"/>
          <w:bCs w:val="0"/>
          <w:color w:val="auto"/>
          <w:kern w:val="2"/>
          <w:sz w:val="24"/>
          <w:szCs w:val="24"/>
          <w:highlight w:val="none"/>
          <w:lang w:val="en-US" w:eastAsia="zh-CN" w:bidi="ar-SA"/>
        </w:rPr>
        <w:t>配送专用车进行配送</w:t>
      </w:r>
      <w:r>
        <w:rPr>
          <w:rFonts w:hint="eastAsia" w:ascii="仿宋" w:hAnsi="仿宋" w:eastAsia="仿宋" w:cs="仿宋"/>
          <w:b w:val="0"/>
          <w:bCs w:val="0"/>
          <w:color w:val="auto"/>
          <w:kern w:val="2"/>
          <w:sz w:val="24"/>
          <w:szCs w:val="24"/>
          <w:highlight w:val="none"/>
          <w:lang w:val="en-US" w:eastAsia="zh-CN" w:bidi="ar-SA"/>
        </w:rPr>
        <w:t>。有配送时温度记录，车厢的内仓，包括地面、墙面和顶，应使用抗腐蚀、防潮，易清洁消毒的材料。车厢内无异味，做到每日清洗、消毒并做好消毒记录。（配送专用车为供应商自有车辆时，供应商应提供实车图片（实车图片中必须清晰显示车牌照）、车辆购买发票复印件、车辆有效行驶证复印件；配送专用车为租赁车辆时，供应商应提供实车图片（实车图片中必须清晰显示车牌照）、车辆租赁合同复印件（租赁期限须满足履约时间要求）、车辆有效行驶证复印件。）</w:t>
      </w:r>
    </w:p>
    <w:p w14:paraId="3DF8B4A2">
      <w:pPr>
        <w:pageBreakBefore w:val="0"/>
        <w:widowControl w:val="0"/>
        <w:numPr>
          <w:ilvl w:val="0"/>
          <w:numId w:val="0"/>
        </w:numPr>
        <w:tabs>
          <w:tab w:val="left" w:pos="1284"/>
        </w:tabs>
        <w:kinsoku/>
        <w:wordWrap/>
        <w:overflowPunct/>
        <w:topLinePunct w:val="0"/>
        <w:autoSpaceDE/>
        <w:autoSpaceDN/>
        <w:bidi w:val="0"/>
        <w:adjustRightInd/>
        <w:snapToGrid/>
        <w:spacing w:after="0" w:line="360" w:lineRule="auto"/>
        <w:ind w:right="0" w:rightChars="0" w:firstLine="482" w:firstLineChars="200"/>
        <w:jc w:val="both"/>
        <w:textAlignment w:val="auto"/>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bCs/>
          <w:color w:val="auto"/>
          <w:kern w:val="0"/>
          <w:sz w:val="24"/>
          <w:szCs w:val="24"/>
          <w:highlight w:val="none"/>
          <w:lang w:val="en-US" w:eastAsia="zh-CN" w:bidi="ar"/>
        </w:rPr>
        <w:t>★</w:t>
      </w:r>
      <w:r>
        <w:rPr>
          <w:rFonts w:hint="eastAsia" w:ascii="仿宋" w:hAnsi="仿宋" w:eastAsia="仿宋" w:cs="仿宋"/>
          <w:b w:val="0"/>
          <w:bCs w:val="0"/>
          <w:color w:val="auto"/>
          <w:spacing w:val="-10"/>
          <w:kern w:val="2"/>
          <w:sz w:val="24"/>
          <w:szCs w:val="24"/>
          <w:highlight w:val="none"/>
          <w:lang w:val="en-US" w:eastAsia="zh-CN" w:bidi="ar-SA"/>
        </w:rPr>
        <w:t xml:space="preserve">3、服务团队人员要求：项目经理 </w:t>
      </w:r>
      <w:r>
        <w:rPr>
          <w:rFonts w:hint="eastAsia" w:ascii="仿宋" w:hAnsi="仿宋" w:eastAsia="仿宋" w:cs="仿宋"/>
          <w:b w:val="0"/>
          <w:bCs w:val="0"/>
          <w:color w:val="auto"/>
          <w:kern w:val="2"/>
          <w:sz w:val="24"/>
          <w:szCs w:val="24"/>
          <w:highlight w:val="none"/>
          <w:lang w:val="en-US" w:eastAsia="zh-CN" w:bidi="ar-SA"/>
        </w:rPr>
        <w:t>1</w:t>
      </w:r>
      <w:r>
        <w:rPr>
          <w:rFonts w:hint="eastAsia" w:ascii="仿宋" w:hAnsi="仿宋" w:eastAsia="仿宋" w:cs="仿宋"/>
          <w:b w:val="0"/>
          <w:bCs w:val="0"/>
          <w:color w:val="auto"/>
          <w:spacing w:val="-8"/>
          <w:kern w:val="2"/>
          <w:sz w:val="24"/>
          <w:szCs w:val="24"/>
          <w:highlight w:val="none"/>
          <w:lang w:val="en-US" w:eastAsia="zh-CN" w:bidi="ar-SA"/>
        </w:rPr>
        <w:t>名，主要负责与采购人进行业务上的联系</w:t>
      </w:r>
      <w:r>
        <w:rPr>
          <w:rFonts w:hint="eastAsia" w:ascii="仿宋" w:hAnsi="仿宋" w:eastAsia="仿宋" w:cs="仿宋"/>
          <w:b w:val="0"/>
          <w:bCs w:val="0"/>
          <w:color w:val="auto"/>
          <w:kern w:val="2"/>
          <w:sz w:val="24"/>
          <w:szCs w:val="24"/>
          <w:highlight w:val="none"/>
          <w:lang w:val="en-US" w:eastAsia="zh-CN" w:bidi="ar-SA"/>
        </w:rPr>
        <w:t>往来，合同期内不得更换，如遇不可抗力因素，必须更换项目经理，须征得采购人同意后方可更换。司机</w:t>
      </w:r>
      <w:r>
        <w:rPr>
          <w:rFonts w:ascii="仿宋" w:hAnsi="仿宋" w:eastAsia="仿宋" w:cstheme="minorBidi"/>
          <w:b w:val="0"/>
          <w:bCs w:val="0"/>
          <w:color w:val="auto"/>
          <w:kern w:val="2"/>
          <w:sz w:val="24"/>
          <w:szCs w:val="24"/>
          <w:highlight w:val="none"/>
          <w:lang w:val="en-US" w:eastAsia="zh-CN" w:bidi="ar-SA"/>
        </w:rPr>
        <w:t>不少于1名</w:t>
      </w:r>
      <w:r>
        <w:rPr>
          <w:rFonts w:hint="eastAsia" w:ascii="仿宋" w:hAnsi="仿宋" w:eastAsia="仿宋" w:cs="仿宋"/>
          <w:b w:val="0"/>
          <w:bCs w:val="0"/>
          <w:color w:val="auto"/>
          <w:kern w:val="2"/>
          <w:sz w:val="24"/>
          <w:szCs w:val="24"/>
          <w:highlight w:val="none"/>
          <w:lang w:val="en-US" w:eastAsia="zh-CN" w:bidi="ar-SA"/>
        </w:rPr>
        <w:t>。配送货物每次必须配</w:t>
      </w:r>
      <w:r>
        <w:rPr>
          <w:rFonts w:hint="eastAsia" w:ascii="仿宋" w:hAnsi="仿宋" w:eastAsia="仿宋" w:cs="仿宋"/>
          <w:b w:val="0"/>
          <w:bCs w:val="0"/>
          <w:color w:val="auto"/>
          <w:spacing w:val="-4"/>
          <w:kern w:val="2"/>
          <w:sz w:val="24"/>
          <w:szCs w:val="24"/>
          <w:highlight w:val="none"/>
          <w:lang w:val="en-US" w:eastAsia="zh-CN" w:bidi="ar-SA"/>
        </w:rPr>
        <w:t>备持证食品安全员</w:t>
      </w:r>
      <w:r>
        <w:rPr>
          <w:rFonts w:ascii="仿宋" w:hAnsi="仿宋" w:eastAsia="仿宋" w:cstheme="minorBidi"/>
          <w:b w:val="0"/>
          <w:bCs w:val="0"/>
          <w:color w:val="auto"/>
          <w:kern w:val="2"/>
          <w:sz w:val="24"/>
          <w:szCs w:val="24"/>
          <w:highlight w:val="none"/>
          <w:lang w:val="en-US" w:eastAsia="zh-CN" w:bidi="ar-SA"/>
        </w:rPr>
        <w:t>不少于1</w:t>
      </w:r>
      <w:r>
        <w:rPr>
          <w:rFonts w:hint="eastAsia" w:ascii="仿宋" w:hAnsi="仿宋" w:eastAsia="仿宋" w:cs="仿宋"/>
          <w:b w:val="0"/>
          <w:bCs w:val="0"/>
          <w:color w:val="auto"/>
          <w:kern w:val="2"/>
          <w:sz w:val="24"/>
          <w:szCs w:val="24"/>
          <w:highlight w:val="none"/>
          <w:lang w:val="en-US" w:eastAsia="zh-CN" w:bidi="ar-SA"/>
        </w:rPr>
        <w:t>名。配送人员必须穿着便于辨认的工衣和配戴胸卡，因供应商未遵守上述规定而导致无法正常进入采购人单位内送货的，所有后果及经济损失由供应商自行承担。</w:t>
      </w:r>
    </w:p>
    <w:p w14:paraId="71BE2B39">
      <w:pPr>
        <w:pageBreakBefore w:val="0"/>
        <w:widowControl w:val="0"/>
        <w:kinsoku/>
        <w:wordWrap/>
        <w:overflowPunct/>
        <w:topLinePunct w:val="0"/>
        <w:autoSpaceDE/>
        <w:autoSpaceDN/>
        <w:bidi w:val="0"/>
        <w:adjustRightInd/>
        <w:snapToGrid/>
        <w:spacing w:after="120" w:line="360" w:lineRule="auto"/>
        <w:ind w:right="0" w:firstLine="480"/>
        <w:jc w:val="both"/>
        <w:textAlignment w:val="auto"/>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bCs/>
          <w:color w:val="auto"/>
          <w:kern w:val="0"/>
          <w:sz w:val="24"/>
          <w:szCs w:val="24"/>
          <w:highlight w:val="none"/>
          <w:lang w:val="en-US" w:eastAsia="zh-CN" w:bidi="ar"/>
        </w:rPr>
        <w:t>★</w:t>
      </w:r>
      <w:r>
        <w:rPr>
          <w:rFonts w:hint="eastAsia" w:ascii="仿宋" w:hAnsi="仿宋" w:eastAsia="仿宋" w:cs="仿宋"/>
          <w:b w:val="0"/>
          <w:bCs w:val="0"/>
          <w:color w:val="auto"/>
          <w:kern w:val="2"/>
          <w:sz w:val="24"/>
          <w:szCs w:val="24"/>
          <w:highlight w:val="none"/>
          <w:lang w:val="en-US" w:eastAsia="zh-CN" w:bidi="ar-SA"/>
        </w:rPr>
        <w:t>注：投标文件中必须提供项目经理、司机人员、</w:t>
      </w:r>
      <w:r>
        <w:rPr>
          <w:rFonts w:hint="eastAsia" w:ascii="仿宋" w:hAnsi="仿宋" w:eastAsia="仿宋" w:cs="仿宋"/>
          <w:b w:val="0"/>
          <w:bCs w:val="0"/>
          <w:color w:val="auto"/>
          <w:spacing w:val="-4"/>
          <w:kern w:val="2"/>
          <w:sz w:val="24"/>
          <w:szCs w:val="24"/>
          <w:highlight w:val="none"/>
          <w:lang w:val="en-US" w:eastAsia="zh-CN" w:bidi="ar-SA"/>
        </w:rPr>
        <w:t>食品安全员</w:t>
      </w:r>
      <w:r>
        <w:rPr>
          <w:rFonts w:hint="eastAsia" w:ascii="仿宋" w:hAnsi="仿宋" w:eastAsia="仿宋" w:cs="仿宋"/>
          <w:b w:val="0"/>
          <w:bCs w:val="0"/>
          <w:color w:val="auto"/>
          <w:kern w:val="2"/>
          <w:sz w:val="24"/>
          <w:szCs w:val="24"/>
          <w:highlight w:val="none"/>
          <w:lang w:val="en-US" w:eastAsia="zh-CN" w:bidi="ar-SA"/>
        </w:rPr>
        <w:t>名单，中标后提供配送工作人员近三年内在参加采购活动中无犯罪记录证明、无吸毒史、卫生防疫部门出具的健康合格证明等材料报采购人备案。</w:t>
      </w:r>
    </w:p>
    <w:p w14:paraId="09D46C71">
      <w:pPr>
        <w:pageBreakBefore w:val="0"/>
        <w:widowControl w:val="0"/>
        <w:kinsoku/>
        <w:wordWrap/>
        <w:overflowPunct/>
        <w:topLinePunct w:val="0"/>
        <w:autoSpaceDE/>
        <w:autoSpaceDN/>
        <w:bidi w:val="0"/>
        <w:adjustRightInd/>
        <w:snapToGrid/>
        <w:spacing w:after="120" w:line="360" w:lineRule="auto"/>
        <w:ind w:right="0" w:firstLine="480"/>
        <w:jc w:val="both"/>
        <w:textAlignment w:val="auto"/>
        <w:rPr>
          <w:rFonts w:hint="default"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bCs/>
          <w:color w:val="auto"/>
          <w:kern w:val="0"/>
          <w:sz w:val="24"/>
          <w:szCs w:val="24"/>
          <w:highlight w:val="none"/>
          <w:lang w:val="en-US" w:eastAsia="zh-CN" w:bidi="ar"/>
        </w:rPr>
        <w:t>★</w:t>
      </w:r>
      <w:r>
        <w:rPr>
          <w:rFonts w:hint="eastAsia" w:ascii="仿宋" w:hAnsi="仿宋" w:eastAsia="仿宋" w:cs="仿宋"/>
          <w:b w:val="0"/>
          <w:bCs w:val="0"/>
          <w:color w:val="auto"/>
          <w:kern w:val="2"/>
          <w:sz w:val="24"/>
          <w:szCs w:val="24"/>
          <w:highlight w:val="none"/>
          <w:lang w:val="en-US" w:eastAsia="zh-CN" w:bidi="ar-SA"/>
        </w:rPr>
        <w:t>注：投标人拟派人员应遵守交通、安全、保卫等各项相关规定，相关人员的意外伤害由投标人自行购买保险并承担全部责任。</w:t>
      </w:r>
    </w:p>
    <w:p w14:paraId="52B89A4F">
      <w:pPr>
        <w:pageBreakBefore w:val="0"/>
        <w:widowControl w:val="0"/>
        <w:numPr>
          <w:ilvl w:val="0"/>
          <w:numId w:val="0"/>
        </w:numPr>
        <w:tabs>
          <w:tab w:val="left" w:pos="1284"/>
        </w:tabs>
        <w:kinsoku/>
        <w:wordWrap/>
        <w:overflowPunct/>
        <w:topLinePunct w:val="0"/>
        <w:autoSpaceDE/>
        <w:autoSpaceDN/>
        <w:bidi w:val="0"/>
        <w:adjustRightInd/>
        <w:snapToGrid/>
        <w:spacing w:after="0" w:line="360" w:lineRule="auto"/>
        <w:ind w:right="0" w:rightChars="0" w:firstLine="480" w:firstLineChars="200"/>
        <w:jc w:val="left"/>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4、包装与标志要求：</w:t>
      </w:r>
    </w:p>
    <w:p w14:paraId="49DC41B5">
      <w:pPr>
        <w:pageBreakBefore w:val="0"/>
        <w:widowControl w:val="0"/>
        <w:kinsoku/>
        <w:wordWrap/>
        <w:overflowPunct/>
        <w:topLinePunct w:val="0"/>
        <w:autoSpaceDE/>
        <w:autoSpaceDN/>
        <w:bidi w:val="0"/>
        <w:adjustRightInd/>
        <w:snapToGrid/>
        <w:spacing w:after="120" w:line="360" w:lineRule="auto"/>
        <w:ind w:right="0" w:firstLine="480"/>
        <w:jc w:val="both"/>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pacing w:val="-5"/>
          <w:kern w:val="2"/>
          <w:sz w:val="24"/>
          <w:szCs w:val="24"/>
          <w:highlight w:val="none"/>
          <w:lang w:val="en-US" w:eastAsia="zh-CN" w:bidi="ar-SA"/>
        </w:rPr>
        <w:t>①包装：容器（</w:t>
      </w:r>
      <w:r>
        <w:rPr>
          <w:rFonts w:hint="eastAsia" w:ascii="仿宋" w:hAnsi="仿宋" w:eastAsia="仿宋" w:cs="仿宋"/>
          <w:color w:val="auto"/>
          <w:spacing w:val="-10"/>
          <w:kern w:val="2"/>
          <w:sz w:val="24"/>
          <w:szCs w:val="24"/>
          <w:highlight w:val="none"/>
          <w:lang w:val="en-US" w:eastAsia="zh-CN" w:bidi="ar-SA"/>
        </w:rPr>
        <w:t>框、箱、袋）</w:t>
      </w:r>
      <w:r>
        <w:rPr>
          <w:rFonts w:hint="eastAsia" w:ascii="仿宋" w:hAnsi="仿宋" w:eastAsia="仿宋" w:cs="仿宋"/>
          <w:color w:val="auto"/>
          <w:spacing w:val="-13"/>
          <w:kern w:val="2"/>
          <w:sz w:val="24"/>
          <w:szCs w:val="24"/>
          <w:highlight w:val="none"/>
          <w:lang w:val="en-US" w:eastAsia="zh-CN" w:bidi="ar-SA"/>
        </w:rPr>
        <w:t>要求清洁、干燥、牢固、透气，无污染、无异味、</w:t>
      </w:r>
      <w:r>
        <w:rPr>
          <w:rFonts w:hint="eastAsia" w:ascii="仿宋" w:hAnsi="仿宋" w:eastAsia="仿宋" w:cs="仿宋"/>
          <w:color w:val="auto"/>
          <w:kern w:val="2"/>
          <w:sz w:val="24"/>
          <w:szCs w:val="24"/>
          <w:highlight w:val="none"/>
          <w:lang w:val="en-US" w:eastAsia="zh-CN" w:bidi="ar-SA"/>
        </w:rPr>
        <w:t>无霉变现象。</w:t>
      </w:r>
    </w:p>
    <w:p w14:paraId="0929DA62">
      <w:pPr>
        <w:pageBreakBefore w:val="0"/>
        <w:widowControl w:val="0"/>
        <w:kinsoku/>
        <w:wordWrap/>
        <w:overflowPunct/>
        <w:topLinePunct w:val="0"/>
        <w:autoSpaceDE/>
        <w:autoSpaceDN/>
        <w:bidi w:val="0"/>
        <w:adjustRightInd/>
        <w:snapToGrid/>
        <w:spacing w:after="120" w:line="360" w:lineRule="auto"/>
        <w:ind w:right="0" w:firstLine="480"/>
        <w:jc w:val="both"/>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②标志：农产品每件包装必须按《农产品包装和标识管理办法》贴标签，</w:t>
      </w:r>
      <w:r>
        <w:rPr>
          <w:rFonts w:hint="eastAsia" w:ascii="仿宋" w:hAnsi="仿宋" w:eastAsia="仿宋" w:cs="仿宋"/>
          <w:color w:val="auto"/>
          <w:spacing w:val="-6"/>
          <w:kern w:val="2"/>
          <w:sz w:val="24"/>
          <w:szCs w:val="24"/>
          <w:highlight w:val="none"/>
          <w:lang w:val="en-US" w:eastAsia="zh-CN" w:bidi="ar-SA"/>
        </w:rPr>
        <w:t>并标明产地、品种、净含量、生产单位及地址、生产日期和保质期限以及规格、</w:t>
      </w:r>
      <w:r>
        <w:rPr>
          <w:rFonts w:hint="eastAsia" w:ascii="仿宋" w:hAnsi="仿宋" w:eastAsia="仿宋" w:cs="仿宋"/>
          <w:color w:val="auto"/>
          <w:kern w:val="2"/>
          <w:sz w:val="24"/>
          <w:szCs w:val="24"/>
          <w:highlight w:val="none"/>
          <w:lang w:val="en-US" w:eastAsia="zh-CN" w:bidi="ar-SA"/>
        </w:rPr>
        <w:t>SC认证等。</w:t>
      </w:r>
    </w:p>
    <w:p w14:paraId="6FF43AA5">
      <w:pPr>
        <w:pageBreakBefore w:val="0"/>
        <w:widowControl w:val="0"/>
        <w:kinsoku/>
        <w:wordWrap/>
        <w:overflowPunct/>
        <w:topLinePunct w:val="0"/>
        <w:autoSpaceDE/>
        <w:autoSpaceDN/>
        <w:bidi w:val="0"/>
        <w:adjustRightInd/>
        <w:snapToGrid/>
        <w:spacing w:after="120" w:line="360" w:lineRule="auto"/>
        <w:ind w:right="0" w:firstLine="480" w:firstLineChars="200"/>
        <w:jc w:val="both"/>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③采购人有权拒收包装及标志不达标的食材。</w:t>
      </w:r>
    </w:p>
    <w:p w14:paraId="1147B964">
      <w:pPr>
        <w:pageBreakBefore w:val="0"/>
        <w:widowControl w:val="0"/>
        <w:numPr>
          <w:ilvl w:val="0"/>
          <w:numId w:val="0"/>
        </w:numPr>
        <w:tabs>
          <w:tab w:val="left" w:pos="1284"/>
        </w:tabs>
        <w:kinsoku/>
        <w:wordWrap/>
        <w:overflowPunct/>
        <w:topLinePunct w:val="0"/>
        <w:autoSpaceDE/>
        <w:autoSpaceDN/>
        <w:bidi w:val="0"/>
        <w:adjustRightInd/>
        <w:snapToGrid/>
        <w:spacing w:after="0" w:line="360" w:lineRule="auto"/>
        <w:ind w:right="0" w:rightChars="0" w:firstLine="440" w:firstLineChars="200"/>
        <w:jc w:val="both"/>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pacing w:val="-10"/>
          <w:kern w:val="2"/>
          <w:sz w:val="24"/>
          <w:szCs w:val="24"/>
          <w:highlight w:val="none"/>
          <w:lang w:val="en-US" w:eastAsia="zh-CN" w:bidi="ar-SA"/>
        </w:rPr>
        <w:t>5、品种数量要求：保证配送食材品种重量的准确性，以采购人下单品种及数</w:t>
      </w:r>
      <w:r>
        <w:rPr>
          <w:rFonts w:hint="eastAsia" w:ascii="仿宋" w:hAnsi="仿宋" w:eastAsia="仿宋" w:cs="仿宋"/>
          <w:color w:val="auto"/>
          <w:kern w:val="2"/>
          <w:sz w:val="24"/>
          <w:szCs w:val="24"/>
          <w:highlight w:val="none"/>
          <w:lang w:val="en-US" w:eastAsia="zh-CN" w:bidi="ar-SA"/>
        </w:rPr>
        <w:t>量为准，所有食材的重量以净重为准，不得包含包装材料的重量。若采购清单上有部分货物因为季节或其他特殊原因无法提供，经采购人同意后方可调换其他品种。严禁少量配送、超量配送、延时配送或者配送产品质量不达标。</w:t>
      </w:r>
    </w:p>
    <w:p w14:paraId="68BEE5E4">
      <w:pPr>
        <w:pageBreakBefore w:val="0"/>
        <w:widowControl w:val="0"/>
        <w:numPr>
          <w:ilvl w:val="0"/>
          <w:numId w:val="0"/>
        </w:numPr>
        <w:tabs>
          <w:tab w:val="left" w:pos="1284"/>
        </w:tabs>
        <w:kinsoku/>
        <w:wordWrap/>
        <w:overflowPunct/>
        <w:topLinePunct w:val="0"/>
        <w:autoSpaceDE/>
        <w:autoSpaceDN/>
        <w:bidi w:val="0"/>
        <w:adjustRightInd/>
        <w:snapToGrid/>
        <w:spacing w:after="0" w:line="360" w:lineRule="auto"/>
        <w:ind w:right="0" w:rightChars="0" w:firstLine="482" w:firstLineChars="200"/>
        <w:jc w:val="left"/>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b/>
          <w:bCs/>
          <w:color w:val="auto"/>
          <w:kern w:val="0"/>
          <w:sz w:val="24"/>
          <w:szCs w:val="24"/>
          <w:highlight w:val="none"/>
          <w:lang w:val="en-US" w:eastAsia="zh-CN" w:bidi="ar"/>
        </w:rPr>
        <w:t>★</w:t>
      </w:r>
      <w:r>
        <w:rPr>
          <w:rFonts w:hint="eastAsia" w:ascii="仿宋" w:hAnsi="仿宋" w:eastAsia="仿宋" w:cs="仿宋"/>
          <w:color w:val="auto"/>
          <w:kern w:val="2"/>
          <w:sz w:val="24"/>
          <w:szCs w:val="24"/>
          <w:highlight w:val="none"/>
          <w:lang w:val="en-US" w:eastAsia="zh-CN" w:bidi="ar-SA"/>
        </w:rPr>
        <w:t>6、送货地点：</w:t>
      </w:r>
      <w:r>
        <w:rPr>
          <w:rFonts w:hint="eastAsia" w:ascii="仿宋" w:hAnsi="仿宋" w:eastAsia="仿宋" w:cs="仿宋"/>
          <w:color w:val="auto"/>
          <w:kern w:val="1"/>
          <w:sz w:val="24"/>
          <w:szCs w:val="22"/>
          <w:highlight w:val="none"/>
          <w:lang w:val="en-US" w:eastAsia="zh-CN" w:bidi="ar-SA"/>
        </w:rPr>
        <w:t>四川省科学城第一中学</w:t>
      </w:r>
      <w:r>
        <w:rPr>
          <w:rFonts w:hint="eastAsia" w:ascii="仿宋" w:hAnsi="仿宋" w:eastAsia="仿宋" w:cs="仿宋"/>
          <w:color w:val="auto"/>
          <w:kern w:val="2"/>
          <w:sz w:val="24"/>
          <w:szCs w:val="24"/>
          <w:highlight w:val="none"/>
          <w:lang w:val="en-US" w:eastAsia="zh-CN" w:bidi="ar-SA"/>
        </w:rPr>
        <w:t>采购人指定地点。</w:t>
      </w:r>
    </w:p>
    <w:p w14:paraId="254E1E27">
      <w:pPr>
        <w:pageBreakBefore w:val="0"/>
        <w:widowControl w:val="0"/>
        <w:numPr>
          <w:ilvl w:val="0"/>
          <w:numId w:val="0"/>
        </w:numPr>
        <w:tabs>
          <w:tab w:val="left" w:pos="1284"/>
        </w:tabs>
        <w:kinsoku/>
        <w:wordWrap/>
        <w:overflowPunct/>
        <w:topLinePunct w:val="0"/>
        <w:autoSpaceDE/>
        <w:autoSpaceDN/>
        <w:bidi w:val="0"/>
        <w:adjustRightInd/>
        <w:snapToGrid/>
        <w:spacing w:after="0" w:line="360" w:lineRule="auto"/>
        <w:ind w:right="0" w:rightChars="0" w:firstLine="482" w:firstLineChars="200"/>
        <w:jc w:val="left"/>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b/>
          <w:bCs/>
          <w:color w:val="auto"/>
          <w:kern w:val="0"/>
          <w:sz w:val="24"/>
          <w:szCs w:val="24"/>
          <w:highlight w:val="none"/>
          <w:lang w:val="en-US" w:eastAsia="zh-CN" w:bidi="ar"/>
        </w:rPr>
        <w:t>★</w:t>
      </w:r>
      <w:r>
        <w:rPr>
          <w:rFonts w:hint="eastAsia" w:ascii="仿宋" w:hAnsi="仿宋" w:eastAsia="仿宋" w:cs="仿宋"/>
          <w:color w:val="auto"/>
          <w:spacing w:val="-11"/>
          <w:kern w:val="2"/>
          <w:sz w:val="24"/>
          <w:szCs w:val="24"/>
          <w:highlight w:val="none"/>
          <w:lang w:val="en-US" w:eastAsia="zh-CN" w:bidi="ar-SA"/>
        </w:rPr>
        <w:t>7、送货时间要求：从正式供货之日起，每天采购人将次日的配送清单下单给</w:t>
      </w:r>
      <w:r>
        <w:rPr>
          <w:rFonts w:hint="eastAsia" w:ascii="仿宋" w:hAnsi="仿宋" w:eastAsia="仿宋" w:cs="仿宋"/>
          <w:color w:val="auto"/>
          <w:spacing w:val="-5"/>
          <w:kern w:val="2"/>
          <w:sz w:val="24"/>
          <w:szCs w:val="24"/>
          <w:highlight w:val="none"/>
          <w:lang w:val="en-US" w:eastAsia="zh-CN" w:bidi="ar-SA"/>
        </w:rPr>
        <w:t xml:space="preserve">供货商，供应商于次日早 </w:t>
      </w:r>
      <w:r>
        <w:rPr>
          <w:rFonts w:hint="eastAsia" w:ascii="仿宋" w:hAnsi="仿宋" w:eastAsia="仿宋" w:cs="仿宋"/>
          <w:color w:val="auto"/>
          <w:kern w:val="2"/>
          <w:sz w:val="24"/>
          <w:szCs w:val="24"/>
          <w:highlight w:val="none"/>
          <w:lang w:val="en-US" w:eastAsia="zh-CN" w:bidi="ar-SA"/>
        </w:rPr>
        <w:t>8:30</w:t>
      </w:r>
      <w:r>
        <w:rPr>
          <w:rFonts w:hint="eastAsia" w:ascii="仿宋" w:hAnsi="仿宋" w:eastAsia="仿宋" w:cs="仿宋"/>
          <w:color w:val="auto"/>
          <w:spacing w:val="12"/>
          <w:kern w:val="2"/>
          <w:sz w:val="24"/>
          <w:szCs w:val="24"/>
          <w:highlight w:val="none"/>
          <w:lang w:val="en-US" w:eastAsia="zh-CN" w:bidi="ar-SA"/>
        </w:rPr>
        <w:t xml:space="preserve"> </w:t>
      </w:r>
      <w:r>
        <w:rPr>
          <w:rFonts w:hint="eastAsia" w:ascii="仿宋" w:hAnsi="仿宋" w:eastAsia="仿宋" w:cs="仿宋"/>
          <w:color w:val="auto"/>
          <w:kern w:val="2"/>
          <w:sz w:val="24"/>
          <w:szCs w:val="24"/>
          <w:highlight w:val="none"/>
          <w:lang w:val="en-US" w:eastAsia="zh-CN" w:bidi="ar-SA"/>
        </w:rPr>
        <w:t>前将采购清单上的货物按每天下单用量保质保量，送至采购人指定地点。</w:t>
      </w:r>
    </w:p>
    <w:p w14:paraId="22CFF153">
      <w:pPr>
        <w:pageBreakBefore w:val="0"/>
        <w:widowControl w:val="0"/>
        <w:numPr>
          <w:ilvl w:val="0"/>
          <w:numId w:val="0"/>
        </w:numPr>
        <w:tabs>
          <w:tab w:val="left" w:pos="1284"/>
        </w:tabs>
        <w:kinsoku/>
        <w:wordWrap/>
        <w:overflowPunct/>
        <w:topLinePunct w:val="0"/>
        <w:autoSpaceDE/>
        <w:autoSpaceDN/>
        <w:bidi w:val="0"/>
        <w:adjustRightInd/>
        <w:snapToGrid/>
        <w:spacing w:after="0" w:line="360" w:lineRule="auto"/>
        <w:ind w:right="0" w:rightChars="0" w:firstLine="480" w:firstLineChars="200"/>
        <w:jc w:val="both"/>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应急保障要求：供应商务必做好道路交通运输中断情况下的应急供货保障措施，确保突发事件情况下两点食材准时供应。</w:t>
      </w:r>
    </w:p>
    <w:p w14:paraId="32D20E2D">
      <w:pPr>
        <w:pageBreakBefore w:val="0"/>
        <w:widowControl w:val="0"/>
        <w:numPr>
          <w:ilvl w:val="0"/>
          <w:numId w:val="0"/>
        </w:numPr>
        <w:tabs>
          <w:tab w:val="left" w:pos="1284"/>
        </w:tabs>
        <w:kinsoku/>
        <w:wordWrap/>
        <w:overflowPunct/>
        <w:topLinePunct w:val="0"/>
        <w:autoSpaceDE/>
        <w:autoSpaceDN/>
        <w:bidi w:val="0"/>
        <w:adjustRightInd/>
        <w:snapToGrid/>
        <w:spacing w:after="0" w:line="360" w:lineRule="auto"/>
        <w:ind w:right="0" w:rightChars="0" w:firstLine="452" w:firstLineChars="200"/>
        <w:jc w:val="both"/>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pacing w:val="-7"/>
          <w:kern w:val="2"/>
          <w:sz w:val="24"/>
          <w:szCs w:val="24"/>
          <w:highlight w:val="none"/>
          <w:lang w:val="en-US" w:eastAsia="zh-CN" w:bidi="ar-SA"/>
        </w:rPr>
        <w:t>8、供应商应做好运输过程中的食品保鲜、保质工作，不得喷洒有毒有害物质</w:t>
      </w:r>
      <w:r>
        <w:rPr>
          <w:rFonts w:hint="eastAsia" w:ascii="仿宋" w:hAnsi="仿宋" w:eastAsia="仿宋" w:cs="仿宋"/>
          <w:color w:val="auto"/>
          <w:kern w:val="2"/>
          <w:sz w:val="24"/>
          <w:szCs w:val="24"/>
          <w:highlight w:val="none"/>
          <w:lang w:val="en-US" w:eastAsia="zh-CN" w:bidi="ar-SA"/>
        </w:rPr>
        <w:t>进行保鲜或保质。确保配送的生鲜肉及蔬菜水果新鲜、优质、安全、可靠，确保运输安全。若采购人发现配送的食材存在腐烂、变质，将及时通知供应商进行处理并做好记录，供应商需无偿更换相同品种相同数量的原材料。</w:t>
      </w:r>
    </w:p>
    <w:p w14:paraId="4A4E159C">
      <w:pPr>
        <w:pageBreakBefore w:val="0"/>
        <w:widowControl w:val="0"/>
        <w:numPr>
          <w:ilvl w:val="0"/>
          <w:numId w:val="0"/>
        </w:numPr>
        <w:tabs>
          <w:tab w:val="left" w:pos="1284"/>
        </w:tabs>
        <w:kinsoku/>
        <w:wordWrap/>
        <w:overflowPunct/>
        <w:topLinePunct w:val="0"/>
        <w:autoSpaceDE/>
        <w:autoSpaceDN/>
        <w:bidi w:val="0"/>
        <w:adjustRightInd/>
        <w:snapToGrid/>
        <w:spacing w:after="0" w:line="360" w:lineRule="auto"/>
        <w:ind w:right="0" w:rightChars="0" w:firstLine="416" w:firstLineChars="200"/>
        <w:jc w:val="left"/>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pacing w:val="-16"/>
          <w:kern w:val="2"/>
          <w:sz w:val="24"/>
          <w:szCs w:val="24"/>
          <w:highlight w:val="none"/>
          <w:lang w:val="en-US" w:eastAsia="zh-CN" w:bidi="ar-SA"/>
        </w:rPr>
        <w:t>9、卸货要求：供应商负责卸货，送货车辆应保持清洁；蔬菜水果应小心轻卸，</w:t>
      </w:r>
      <w:r>
        <w:rPr>
          <w:rFonts w:hint="eastAsia" w:ascii="仿宋" w:hAnsi="仿宋" w:eastAsia="仿宋" w:cs="仿宋"/>
          <w:color w:val="auto"/>
          <w:kern w:val="2"/>
          <w:sz w:val="24"/>
          <w:szCs w:val="24"/>
          <w:highlight w:val="none"/>
          <w:lang w:val="en-US" w:eastAsia="zh-CN" w:bidi="ar-SA"/>
        </w:rPr>
        <w:t>严防机械损伤；食品堆放科学合理，避免造成食品的交叉污染；如对温度有要求的食品应确定食品的温度，记录送货车辆温度，并记录存档。</w:t>
      </w:r>
    </w:p>
    <w:p w14:paraId="2F110B6C">
      <w:pPr>
        <w:pageBreakBefore w:val="0"/>
        <w:widowControl w:val="0"/>
        <w:numPr>
          <w:ilvl w:val="0"/>
          <w:numId w:val="0"/>
        </w:numPr>
        <w:tabs>
          <w:tab w:val="left" w:pos="1407"/>
        </w:tabs>
        <w:kinsoku/>
        <w:wordWrap/>
        <w:overflowPunct/>
        <w:topLinePunct w:val="0"/>
        <w:autoSpaceDE/>
        <w:autoSpaceDN/>
        <w:bidi w:val="0"/>
        <w:adjustRightInd/>
        <w:snapToGrid/>
        <w:spacing w:after="0" w:line="360" w:lineRule="auto"/>
        <w:ind w:right="0" w:rightChars="0" w:firstLine="460" w:firstLineChars="200"/>
        <w:jc w:val="both"/>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pacing w:val="-5"/>
          <w:kern w:val="2"/>
          <w:sz w:val="24"/>
          <w:szCs w:val="24"/>
          <w:highlight w:val="none"/>
          <w:lang w:val="en-US" w:eastAsia="zh-CN" w:bidi="ar-SA"/>
        </w:rPr>
        <w:t>10、建立食品安全出入库台账。供应商对所供产品的食品安全负责，建立</w:t>
      </w:r>
      <w:r>
        <w:rPr>
          <w:rFonts w:hint="eastAsia" w:ascii="仿宋" w:hAnsi="仿宋" w:eastAsia="仿宋" w:cs="仿宋"/>
          <w:color w:val="auto"/>
          <w:spacing w:val="-7"/>
          <w:kern w:val="2"/>
          <w:sz w:val="24"/>
          <w:szCs w:val="24"/>
          <w:highlight w:val="none"/>
          <w:lang w:val="en-US" w:eastAsia="zh-CN" w:bidi="ar-SA"/>
        </w:rPr>
        <w:t>24</w:t>
      </w:r>
      <w:r>
        <w:rPr>
          <w:rFonts w:hint="eastAsia" w:ascii="仿宋" w:hAnsi="仿宋" w:eastAsia="仿宋" w:cs="仿宋"/>
          <w:color w:val="auto"/>
          <w:kern w:val="2"/>
          <w:sz w:val="24"/>
          <w:szCs w:val="24"/>
          <w:highlight w:val="none"/>
          <w:lang w:val="en-US" w:eastAsia="zh-CN" w:bidi="ar-SA"/>
        </w:rPr>
        <w:t>小时监控体系。所有产品在配送前，必须由供应商自行查验产品的有效期、包装等。肉类产品留样（冷冻保存）</w:t>
      </w:r>
      <w:r>
        <w:rPr>
          <w:rFonts w:hint="eastAsia" w:ascii="仿宋" w:hAnsi="仿宋" w:eastAsia="仿宋" w:cs="仿宋"/>
          <w:color w:val="auto"/>
          <w:spacing w:val="-20"/>
          <w:kern w:val="2"/>
          <w:sz w:val="24"/>
          <w:szCs w:val="24"/>
          <w:highlight w:val="none"/>
          <w:lang w:val="en-US" w:eastAsia="zh-CN" w:bidi="ar-SA"/>
        </w:rPr>
        <w:t xml:space="preserve">保存 </w:t>
      </w:r>
      <w:r>
        <w:rPr>
          <w:rFonts w:hint="eastAsia" w:ascii="仿宋" w:hAnsi="仿宋" w:eastAsia="仿宋" w:cs="仿宋"/>
          <w:color w:val="auto"/>
          <w:kern w:val="2"/>
          <w:sz w:val="24"/>
          <w:szCs w:val="24"/>
          <w:highlight w:val="none"/>
          <w:lang w:val="en-US" w:eastAsia="zh-CN" w:bidi="ar-SA"/>
        </w:rPr>
        <w:t>24</w:t>
      </w:r>
      <w:r>
        <w:rPr>
          <w:rFonts w:hint="eastAsia" w:ascii="仿宋" w:hAnsi="仿宋" w:eastAsia="仿宋" w:cs="仿宋"/>
          <w:color w:val="auto"/>
          <w:spacing w:val="4"/>
          <w:kern w:val="2"/>
          <w:sz w:val="24"/>
          <w:szCs w:val="24"/>
          <w:highlight w:val="none"/>
          <w:lang w:val="en-US" w:eastAsia="zh-CN" w:bidi="ar-SA"/>
        </w:rPr>
        <w:t xml:space="preserve"> </w:t>
      </w:r>
      <w:r>
        <w:rPr>
          <w:rFonts w:hint="eastAsia" w:ascii="仿宋" w:hAnsi="仿宋" w:eastAsia="仿宋" w:cs="仿宋"/>
          <w:color w:val="auto"/>
          <w:kern w:val="2"/>
          <w:sz w:val="24"/>
          <w:szCs w:val="24"/>
          <w:highlight w:val="none"/>
          <w:lang w:val="en-US" w:eastAsia="zh-CN" w:bidi="ar-SA"/>
        </w:rPr>
        <w:t>小时，其余产品留样保存一周。</w:t>
      </w:r>
    </w:p>
    <w:p w14:paraId="1D467EA5">
      <w:pPr>
        <w:pageBreakBefore w:val="0"/>
        <w:widowControl w:val="0"/>
        <w:numPr>
          <w:ilvl w:val="0"/>
          <w:numId w:val="0"/>
        </w:numPr>
        <w:tabs>
          <w:tab w:val="left" w:pos="1407"/>
        </w:tabs>
        <w:kinsoku/>
        <w:wordWrap/>
        <w:overflowPunct/>
        <w:topLinePunct w:val="0"/>
        <w:autoSpaceDE/>
        <w:autoSpaceDN/>
        <w:bidi w:val="0"/>
        <w:adjustRightInd/>
        <w:snapToGrid/>
        <w:spacing w:after="0" w:line="360" w:lineRule="auto"/>
        <w:ind w:right="0" w:rightChars="0" w:firstLine="476" w:firstLineChars="200"/>
        <w:jc w:val="left"/>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pacing w:val="-1"/>
          <w:kern w:val="2"/>
          <w:sz w:val="24"/>
          <w:szCs w:val="24"/>
          <w:highlight w:val="none"/>
          <w:lang w:val="en-US" w:eastAsia="zh-CN" w:bidi="ar-SA"/>
        </w:rPr>
        <w:t>11、因采购人临时所需的配送需求，供应商应在采购人规定的时间内完成配</w:t>
      </w:r>
      <w:r>
        <w:rPr>
          <w:rFonts w:hint="eastAsia" w:ascii="仿宋" w:hAnsi="仿宋" w:eastAsia="仿宋" w:cs="仿宋"/>
          <w:color w:val="auto"/>
          <w:kern w:val="2"/>
          <w:sz w:val="24"/>
          <w:szCs w:val="24"/>
          <w:highlight w:val="none"/>
          <w:lang w:val="en-US" w:eastAsia="zh-CN" w:bidi="ar-SA"/>
        </w:rPr>
        <w:t>送。</w:t>
      </w:r>
    </w:p>
    <w:p w14:paraId="448ACF3F">
      <w:pPr>
        <w:pageBreakBefore w:val="0"/>
        <w:widowControl w:val="0"/>
        <w:kinsoku/>
        <w:wordWrap/>
        <w:overflowPunct/>
        <w:topLinePunct w:val="0"/>
        <w:autoSpaceDE/>
        <w:autoSpaceDN/>
        <w:bidi w:val="0"/>
        <w:adjustRightInd/>
        <w:snapToGrid/>
        <w:spacing w:after="120" w:line="360" w:lineRule="auto"/>
        <w:ind w:right="0" w:firstLine="482" w:firstLineChars="200"/>
        <w:jc w:val="both"/>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b/>
          <w:bCs/>
          <w:color w:val="auto"/>
          <w:kern w:val="0"/>
          <w:sz w:val="24"/>
          <w:szCs w:val="24"/>
          <w:highlight w:val="none"/>
          <w:lang w:val="en-US" w:eastAsia="zh-CN" w:bidi="ar"/>
        </w:rPr>
        <w:t>★</w:t>
      </w:r>
      <w:r>
        <w:rPr>
          <w:rFonts w:hint="eastAsia" w:ascii="仿宋" w:hAnsi="仿宋" w:eastAsia="仿宋" w:cs="仿宋"/>
          <w:color w:val="auto"/>
          <w:kern w:val="2"/>
          <w:sz w:val="24"/>
          <w:szCs w:val="24"/>
          <w:highlight w:val="none"/>
          <w:lang w:val="en-US" w:eastAsia="zh-CN" w:bidi="ar-SA"/>
        </w:rPr>
        <w:t>二、验收</w:t>
      </w:r>
    </w:p>
    <w:p w14:paraId="0B166F24">
      <w:pPr>
        <w:pageBreakBefore w:val="0"/>
        <w:widowControl w:val="0"/>
        <w:numPr>
          <w:ilvl w:val="0"/>
          <w:numId w:val="0"/>
        </w:numPr>
        <w:tabs>
          <w:tab w:val="left" w:pos="1341"/>
        </w:tabs>
        <w:kinsoku/>
        <w:wordWrap/>
        <w:overflowPunct/>
        <w:topLinePunct w:val="0"/>
        <w:autoSpaceDE/>
        <w:autoSpaceDN/>
        <w:bidi w:val="0"/>
        <w:adjustRightInd/>
        <w:snapToGrid/>
        <w:spacing w:after="0" w:line="360" w:lineRule="auto"/>
        <w:ind w:right="0" w:rightChars="0" w:firstLine="480" w:firstLineChars="200"/>
        <w:jc w:val="left"/>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1、数量验收标准</w:t>
      </w:r>
    </w:p>
    <w:p w14:paraId="1046A62F">
      <w:pPr>
        <w:pageBreakBefore w:val="0"/>
        <w:widowControl w:val="0"/>
        <w:kinsoku/>
        <w:wordWrap/>
        <w:overflowPunct/>
        <w:topLinePunct w:val="0"/>
        <w:autoSpaceDE/>
        <w:autoSpaceDN/>
        <w:bidi w:val="0"/>
        <w:adjustRightInd/>
        <w:snapToGrid/>
        <w:spacing w:after="120" w:line="360" w:lineRule="auto"/>
        <w:ind w:right="0" w:firstLine="480"/>
        <w:jc w:val="both"/>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送货量超过下单量时，采购人只接收下单量的货品，多余部分供应商自行留置；当送货数量不足时，要求供应商限期补齐，若无法按时补齐，则按缺货金额的5倍在合同款中进行扣罚。</w:t>
      </w:r>
    </w:p>
    <w:p w14:paraId="0F770BFC">
      <w:pPr>
        <w:pageBreakBefore w:val="0"/>
        <w:widowControl w:val="0"/>
        <w:numPr>
          <w:ilvl w:val="0"/>
          <w:numId w:val="0"/>
        </w:numPr>
        <w:tabs>
          <w:tab w:val="left" w:pos="1341"/>
        </w:tabs>
        <w:kinsoku/>
        <w:wordWrap/>
        <w:overflowPunct/>
        <w:topLinePunct w:val="0"/>
        <w:autoSpaceDE/>
        <w:autoSpaceDN/>
        <w:bidi w:val="0"/>
        <w:adjustRightInd/>
        <w:snapToGrid/>
        <w:spacing w:after="0" w:line="360" w:lineRule="auto"/>
        <w:ind w:right="0" w:rightChars="0" w:firstLine="480" w:firstLineChars="200"/>
        <w:jc w:val="left"/>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2、质量验收标准</w:t>
      </w:r>
    </w:p>
    <w:p w14:paraId="0B1532D6">
      <w:pPr>
        <w:pageBreakBefore w:val="0"/>
        <w:widowControl w:val="0"/>
        <w:numPr>
          <w:ilvl w:val="0"/>
          <w:numId w:val="0"/>
        </w:numPr>
        <w:tabs>
          <w:tab w:val="left" w:pos="1580"/>
        </w:tabs>
        <w:kinsoku/>
        <w:wordWrap/>
        <w:overflowPunct/>
        <w:topLinePunct w:val="0"/>
        <w:autoSpaceDE/>
        <w:autoSpaceDN/>
        <w:bidi w:val="0"/>
        <w:adjustRightInd/>
        <w:snapToGrid/>
        <w:spacing w:after="0" w:line="360" w:lineRule="auto"/>
        <w:ind w:right="0" w:rightChars="0" w:firstLine="480" w:firstLineChars="200"/>
        <w:jc w:val="both"/>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2.1、总体要求</w:t>
      </w:r>
    </w:p>
    <w:p w14:paraId="59C3F8A5">
      <w:pPr>
        <w:pageBreakBefore w:val="0"/>
        <w:widowControl w:val="0"/>
        <w:numPr>
          <w:ilvl w:val="0"/>
          <w:numId w:val="0"/>
        </w:numPr>
        <w:tabs>
          <w:tab w:val="left" w:pos="1823"/>
        </w:tabs>
        <w:kinsoku/>
        <w:wordWrap/>
        <w:overflowPunct/>
        <w:topLinePunct w:val="0"/>
        <w:autoSpaceDE/>
        <w:autoSpaceDN/>
        <w:bidi w:val="0"/>
        <w:adjustRightInd/>
        <w:snapToGrid/>
        <w:spacing w:after="0" w:line="360" w:lineRule="auto"/>
        <w:ind w:right="0" w:rightChars="0" w:firstLine="480" w:firstLineChars="200"/>
        <w:jc w:val="both"/>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2.1.1、标准：本项目所指的质量验收，如果招标文件没有提及适用标准， 则应符合中华人民共和国国家标准或行业标准，这些标准必须是有关机构发布的最新版本的标准。若本招标文件中所述产品有质量要求标准的，则要符合本招标文件要求。</w:t>
      </w:r>
    </w:p>
    <w:p w14:paraId="3BF5A869">
      <w:pPr>
        <w:pageBreakBefore w:val="0"/>
        <w:widowControl w:val="0"/>
        <w:numPr>
          <w:ilvl w:val="0"/>
          <w:numId w:val="0"/>
        </w:numPr>
        <w:tabs>
          <w:tab w:val="left" w:pos="1823"/>
        </w:tabs>
        <w:kinsoku/>
        <w:wordWrap/>
        <w:overflowPunct/>
        <w:topLinePunct w:val="0"/>
        <w:autoSpaceDE/>
        <w:autoSpaceDN/>
        <w:bidi w:val="0"/>
        <w:adjustRightInd/>
        <w:snapToGrid/>
        <w:spacing w:after="0" w:line="360" w:lineRule="auto"/>
        <w:ind w:right="0" w:rightChars="0" w:firstLine="480" w:firstLineChars="200"/>
        <w:jc w:val="left"/>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2.1.2、供应商应充分理解并认真遵循本招标文件的要求，所提供的食材必</w:t>
      </w:r>
      <w:r>
        <w:rPr>
          <w:rFonts w:hint="eastAsia" w:ascii="仿宋" w:hAnsi="仿宋" w:eastAsia="仿宋" w:cs="仿宋"/>
          <w:color w:val="auto"/>
          <w:spacing w:val="-10"/>
          <w:kern w:val="2"/>
          <w:sz w:val="24"/>
          <w:szCs w:val="24"/>
          <w:highlight w:val="none"/>
          <w:lang w:val="en-US" w:eastAsia="zh-CN" w:bidi="ar-SA"/>
        </w:rPr>
        <w:t>须满足本招标文件要求。保证合同食材均为正规生产的新鲜</w:t>
      </w:r>
      <w:r>
        <w:rPr>
          <w:rFonts w:hint="eastAsia" w:ascii="仿宋" w:hAnsi="仿宋" w:eastAsia="仿宋" w:cs="仿宋"/>
          <w:color w:val="auto"/>
          <w:kern w:val="2"/>
          <w:sz w:val="24"/>
          <w:szCs w:val="24"/>
          <w:highlight w:val="none"/>
          <w:lang w:val="en-US" w:eastAsia="zh-CN" w:bidi="ar-SA"/>
        </w:rPr>
        <w:t>（冻肉制品类除外</w:t>
      </w:r>
      <w:r>
        <w:rPr>
          <w:rFonts w:hint="eastAsia" w:ascii="仿宋" w:hAnsi="仿宋" w:eastAsia="仿宋" w:cs="仿宋"/>
          <w:color w:val="auto"/>
          <w:spacing w:val="-120"/>
          <w:kern w:val="2"/>
          <w:sz w:val="24"/>
          <w:szCs w:val="24"/>
          <w:highlight w:val="none"/>
          <w:lang w:val="en-US" w:eastAsia="zh-CN" w:bidi="ar-SA"/>
        </w:rPr>
        <w:t>）</w:t>
      </w:r>
      <w:r>
        <w:rPr>
          <w:rFonts w:hint="eastAsia" w:ascii="仿宋" w:hAnsi="仿宋" w:eastAsia="仿宋" w:cs="仿宋"/>
          <w:color w:val="auto"/>
          <w:spacing w:val="-17"/>
          <w:kern w:val="2"/>
          <w:sz w:val="24"/>
          <w:szCs w:val="24"/>
          <w:highlight w:val="none"/>
          <w:lang w:val="en-US" w:eastAsia="zh-CN" w:bidi="ar-SA"/>
        </w:rPr>
        <w:t>、</w:t>
      </w:r>
      <w:r>
        <w:rPr>
          <w:rFonts w:hint="eastAsia" w:ascii="仿宋" w:hAnsi="仿宋" w:eastAsia="仿宋" w:cs="仿宋"/>
          <w:color w:val="auto"/>
          <w:kern w:val="2"/>
          <w:sz w:val="24"/>
          <w:szCs w:val="24"/>
          <w:highlight w:val="none"/>
          <w:lang w:val="en-US" w:eastAsia="zh-CN" w:bidi="ar-SA"/>
        </w:rPr>
        <w:t>检验合格、无毒、无辐射、无侵权货品，符合国家有关卫生、质量、包装和保质标准，要使用有效期的食材，保质期超过15日的食材剩余保质期不得短于获批保质期的90%，保质期不多于15日的食材必须为送货当日三日内生产的货品。</w:t>
      </w:r>
    </w:p>
    <w:p w14:paraId="45D261D9">
      <w:pPr>
        <w:pageBreakBefore w:val="0"/>
        <w:widowControl w:val="0"/>
        <w:numPr>
          <w:ilvl w:val="0"/>
          <w:numId w:val="0"/>
        </w:numPr>
        <w:tabs>
          <w:tab w:val="left" w:pos="1823"/>
        </w:tabs>
        <w:kinsoku/>
        <w:wordWrap/>
        <w:overflowPunct/>
        <w:topLinePunct w:val="0"/>
        <w:autoSpaceDE/>
        <w:autoSpaceDN/>
        <w:bidi w:val="0"/>
        <w:adjustRightInd/>
        <w:snapToGrid/>
        <w:spacing w:after="0" w:line="360" w:lineRule="auto"/>
        <w:ind w:right="0" w:rightChars="0" w:firstLine="480" w:firstLineChars="200"/>
        <w:jc w:val="left"/>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2.1.3、食材有包装的，食材的包装必须完整清洁</w:t>
      </w:r>
      <w:r>
        <w:rPr>
          <w:rFonts w:hint="eastAsia" w:ascii="仿宋" w:hAnsi="仿宋" w:eastAsia="仿宋" w:cs="仿宋"/>
          <w:color w:val="auto"/>
          <w:spacing w:val="4"/>
          <w:kern w:val="2"/>
          <w:sz w:val="24"/>
          <w:szCs w:val="24"/>
          <w:highlight w:val="none"/>
          <w:lang w:val="en-US" w:eastAsia="zh-CN" w:bidi="ar-SA"/>
        </w:rPr>
        <w:t>（</w:t>
      </w:r>
      <w:r>
        <w:rPr>
          <w:rFonts w:hint="eastAsia" w:ascii="仿宋" w:hAnsi="仿宋" w:eastAsia="仿宋" w:cs="仿宋"/>
          <w:color w:val="auto"/>
          <w:kern w:val="2"/>
          <w:sz w:val="24"/>
          <w:szCs w:val="24"/>
          <w:highlight w:val="none"/>
          <w:lang w:val="en-US" w:eastAsia="zh-CN" w:bidi="ar-SA"/>
        </w:rPr>
        <w:t>无损、无污、无皱）， 甲方有权拒收包装不整齐、已拆封的商品。</w:t>
      </w:r>
    </w:p>
    <w:p w14:paraId="1997F505">
      <w:pPr>
        <w:pageBreakBefore w:val="0"/>
        <w:widowControl w:val="0"/>
        <w:numPr>
          <w:ilvl w:val="0"/>
          <w:numId w:val="0"/>
        </w:numPr>
        <w:tabs>
          <w:tab w:val="left" w:pos="1823"/>
        </w:tabs>
        <w:kinsoku/>
        <w:wordWrap/>
        <w:overflowPunct/>
        <w:topLinePunct w:val="0"/>
        <w:autoSpaceDE/>
        <w:autoSpaceDN/>
        <w:bidi w:val="0"/>
        <w:adjustRightInd/>
        <w:snapToGrid/>
        <w:spacing w:after="0" w:line="360" w:lineRule="auto"/>
        <w:ind w:right="0" w:rightChars="0" w:firstLine="480" w:firstLineChars="200"/>
        <w:jc w:val="left"/>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2.1.4、采购人发现商品出现损坏</w:t>
      </w:r>
      <w:r>
        <w:rPr>
          <w:rFonts w:hint="eastAsia" w:ascii="仿宋" w:hAnsi="仿宋" w:eastAsia="仿宋" w:cs="仿宋"/>
          <w:color w:val="auto"/>
          <w:spacing w:val="4"/>
          <w:kern w:val="2"/>
          <w:sz w:val="24"/>
          <w:szCs w:val="24"/>
          <w:highlight w:val="none"/>
          <w:lang w:val="en-US" w:eastAsia="zh-CN" w:bidi="ar-SA"/>
        </w:rPr>
        <w:t>（</w:t>
      </w:r>
      <w:r>
        <w:rPr>
          <w:rFonts w:hint="eastAsia" w:ascii="仿宋" w:hAnsi="仿宋" w:eastAsia="仿宋" w:cs="仿宋"/>
          <w:color w:val="auto"/>
          <w:kern w:val="2"/>
          <w:sz w:val="24"/>
          <w:szCs w:val="24"/>
          <w:highlight w:val="none"/>
          <w:lang w:val="en-US" w:eastAsia="zh-CN" w:bidi="ar-SA"/>
        </w:rPr>
        <w:t>包括表面损坏</w:t>
      </w:r>
      <w:r>
        <w:rPr>
          <w:rFonts w:hint="eastAsia" w:ascii="仿宋" w:hAnsi="仿宋" w:eastAsia="仿宋" w:cs="仿宋"/>
          <w:color w:val="auto"/>
          <w:spacing w:val="3"/>
          <w:kern w:val="2"/>
          <w:sz w:val="24"/>
          <w:szCs w:val="24"/>
          <w:highlight w:val="none"/>
          <w:lang w:val="en-US" w:eastAsia="zh-CN" w:bidi="ar-SA"/>
        </w:rPr>
        <w:t>）</w:t>
      </w:r>
      <w:r>
        <w:rPr>
          <w:rFonts w:hint="eastAsia" w:ascii="仿宋" w:hAnsi="仿宋" w:eastAsia="仿宋" w:cs="仿宋"/>
          <w:color w:val="auto"/>
          <w:kern w:val="2"/>
          <w:sz w:val="24"/>
          <w:szCs w:val="24"/>
          <w:highlight w:val="none"/>
          <w:lang w:val="en-US" w:eastAsia="zh-CN" w:bidi="ar-SA"/>
        </w:rPr>
        <w:t>，或出现水渍、串味、受潮等导致货物性质改变的，供应商必须无条件退货或更换商品。</w:t>
      </w:r>
    </w:p>
    <w:p w14:paraId="052B04F2">
      <w:pPr>
        <w:pageBreakBefore w:val="0"/>
        <w:widowControl w:val="0"/>
        <w:numPr>
          <w:ilvl w:val="0"/>
          <w:numId w:val="0"/>
        </w:numPr>
        <w:tabs>
          <w:tab w:val="left" w:pos="1341"/>
        </w:tabs>
        <w:kinsoku/>
        <w:wordWrap/>
        <w:overflowPunct/>
        <w:topLinePunct w:val="0"/>
        <w:autoSpaceDE/>
        <w:autoSpaceDN/>
        <w:bidi w:val="0"/>
        <w:adjustRightInd/>
        <w:snapToGrid/>
        <w:spacing w:after="0" w:line="360" w:lineRule="auto"/>
        <w:ind w:right="0" w:rightChars="0" w:firstLine="480" w:firstLineChars="200"/>
        <w:jc w:val="left"/>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3、验收流程</w:t>
      </w:r>
    </w:p>
    <w:p w14:paraId="496D9A9E">
      <w:pPr>
        <w:pageBreakBefore w:val="0"/>
        <w:widowControl w:val="0"/>
        <w:numPr>
          <w:ilvl w:val="0"/>
          <w:numId w:val="0"/>
        </w:numPr>
        <w:tabs>
          <w:tab w:val="left" w:pos="1341"/>
        </w:tabs>
        <w:kinsoku/>
        <w:wordWrap/>
        <w:overflowPunct/>
        <w:topLinePunct w:val="0"/>
        <w:autoSpaceDE/>
        <w:autoSpaceDN/>
        <w:bidi w:val="0"/>
        <w:adjustRightInd/>
        <w:snapToGrid/>
        <w:spacing w:after="0" w:line="360" w:lineRule="auto"/>
        <w:ind w:right="0" w:rightChars="0" w:firstLine="480" w:firstLineChars="200"/>
        <w:jc w:val="left"/>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3.1、做好卸货前的检查。双方验收人员卸货前应对场地和验收设备做好准备，并对食材的外观质量进行初步了解。食品配送车厢内干净整洁、无不良气味、异味。易变质产品（如：肉类等）均必须由冷藏车或具备冷藏功能的配送专用车进行配送，冷冻食品没有解冻痕迹或软化现象，包装呈干爽状态。所有食材应清洁，无损伤、腐烂现象，外包装完整，无受虫害或机械损伤现象。</w:t>
      </w:r>
    </w:p>
    <w:p w14:paraId="4E782AC5">
      <w:pPr>
        <w:pageBreakBefore w:val="0"/>
        <w:widowControl w:val="0"/>
        <w:numPr>
          <w:ilvl w:val="0"/>
          <w:numId w:val="0"/>
        </w:numPr>
        <w:tabs>
          <w:tab w:val="left" w:pos="1583"/>
        </w:tabs>
        <w:kinsoku/>
        <w:wordWrap/>
        <w:overflowPunct/>
        <w:topLinePunct w:val="0"/>
        <w:autoSpaceDE/>
        <w:autoSpaceDN/>
        <w:bidi w:val="0"/>
        <w:adjustRightInd/>
        <w:snapToGrid/>
        <w:spacing w:after="0" w:line="360" w:lineRule="auto"/>
        <w:ind w:right="0" w:rightChars="0" w:firstLine="480" w:firstLineChars="200"/>
        <w:jc w:val="both"/>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3.2、采取现场验收的方式，双方验收人员应认真检查食材的质量，按索票——验证——抽查——过磅——入库的程序完成验收，供应商可提供原件的， 采购人留存原件，如原件仅有一份而无法提供给采购人的，采购人查验原件后索取复印件留存（供应商加盖公章）。</w:t>
      </w:r>
    </w:p>
    <w:p w14:paraId="43E39ABD">
      <w:pPr>
        <w:pageBreakBefore w:val="0"/>
        <w:widowControl w:val="0"/>
        <w:numPr>
          <w:ilvl w:val="0"/>
          <w:numId w:val="0"/>
        </w:numPr>
        <w:tabs>
          <w:tab w:val="left" w:pos="1583"/>
        </w:tabs>
        <w:kinsoku/>
        <w:wordWrap/>
        <w:overflowPunct/>
        <w:topLinePunct w:val="0"/>
        <w:autoSpaceDE/>
        <w:autoSpaceDN/>
        <w:bidi w:val="0"/>
        <w:adjustRightInd/>
        <w:snapToGrid/>
        <w:spacing w:after="0" w:line="360" w:lineRule="auto"/>
        <w:ind w:right="0" w:rightChars="0" w:firstLine="480" w:firstLineChars="200"/>
        <w:jc w:val="both"/>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3.3、填写验收记录。每次配送的食材都要登记验收记录，注明名称、数量等事项并在采购登记记录上签明意见和验收人的名字及日期。</w:t>
      </w:r>
    </w:p>
    <w:p w14:paraId="3F8FB42F">
      <w:pPr>
        <w:pageBreakBefore w:val="0"/>
        <w:widowControl w:val="0"/>
        <w:numPr>
          <w:ilvl w:val="0"/>
          <w:numId w:val="0"/>
        </w:numPr>
        <w:tabs>
          <w:tab w:val="left" w:pos="1341"/>
        </w:tabs>
        <w:kinsoku/>
        <w:wordWrap/>
        <w:overflowPunct/>
        <w:topLinePunct w:val="0"/>
        <w:autoSpaceDE/>
        <w:autoSpaceDN/>
        <w:bidi w:val="0"/>
        <w:adjustRightInd/>
        <w:snapToGrid/>
        <w:spacing w:after="0" w:line="360" w:lineRule="auto"/>
        <w:ind w:right="0" w:rightChars="0" w:firstLine="480" w:firstLineChars="200"/>
        <w:jc w:val="left"/>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4、抽样送检</w:t>
      </w:r>
    </w:p>
    <w:p w14:paraId="240CFDEB">
      <w:pPr>
        <w:pageBreakBefore w:val="0"/>
        <w:widowControl w:val="0"/>
        <w:kinsoku/>
        <w:wordWrap/>
        <w:overflowPunct/>
        <w:topLinePunct w:val="0"/>
        <w:autoSpaceDE/>
        <w:autoSpaceDN/>
        <w:bidi w:val="0"/>
        <w:adjustRightInd/>
        <w:snapToGrid/>
        <w:spacing w:after="120" w:line="360" w:lineRule="auto"/>
        <w:ind w:right="0" w:firstLine="480"/>
        <w:jc w:val="both"/>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采购人有权对配送的食材采取定期和不定期的方式进行抽样送检。供应商应每天随机抽取不少于5</w:t>
      </w:r>
      <w:r>
        <w:rPr>
          <w:rFonts w:hint="eastAsia" w:ascii="仿宋" w:hAnsi="仿宋" w:eastAsia="仿宋" w:cs="仿宋"/>
          <w:color w:val="auto"/>
          <w:spacing w:val="-3"/>
          <w:kern w:val="2"/>
          <w:sz w:val="24"/>
          <w:szCs w:val="24"/>
          <w:highlight w:val="none"/>
          <w:lang w:val="en-US" w:eastAsia="zh-CN" w:bidi="ar-SA"/>
        </w:rPr>
        <w:t>个品种的配送食材进行供应商内部自行检测，并将检测</w:t>
      </w:r>
      <w:r>
        <w:rPr>
          <w:rFonts w:hint="eastAsia" w:ascii="仿宋" w:hAnsi="仿宋" w:eastAsia="仿宋" w:cs="仿宋"/>
          <w:color w:val="auto"/>
          <w:kern w:val="2"/>
          <w:sz w:val="24"/>
          <w:szCs w:val="24"/>
          <w:highlight w:val="none"/>
          <w:lang w:val="en-US" w:eastAsia="zh-CN" w:bidi="ar-SA"/>
        </w:rPr>
        <w:t>结果报告随当天配送的食材一起送交至采购人。</w:t>
      </w:r>
    </w:p>
    <w:p w14:paraId="0D67721B">
      <w:pPr>
        <w:pageBreakBefore w:val="0"/>
        <w:widowControl w:val="0"/>
        <w:kinsoku/>
        <w:wordWrap/>
        <w:overflowPunct/>
        <w:topLinePunct w:val="0"/>
        <w:autoSpaceDE/>
        <w:autoSpaceDN/>
        <w:bidi w:val="0"/>
        <w:adjustRightInd/>
        <w:snapToGrid/>
        <w:spacing w:after="120" w:line="360" w:lineRule="auto"/>
        <w:ind w:right="0" w:firstLine="480"/>
        <w:jc w:val="both"/>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采购人和供应商每个季度进行一次随机抽样送检，即随机从配送到食堂库房的食材中抽取不少于10个品种的食材，送国家认监委或质量技术监督等部门认可的第三方检测机构进行检验，并将检测结果报告递交给采购人，检验所产生的检验费、样品费等费用均由供应商承担</w:t>
      </w:r>
      <w:r>
        <w:rPr>
          <w:rFonts w:hint="eastAsia" w:ascii="仿宋" w:hAnsi="仿宋" w:eastAsia="仿宋" w:cs="仿宋"/>
          <w:color w:val="FF0000"/>
          <w:kern w:val="2"/>
          <w:sz w:val="24"/>
          <w:szCs w:val="24"/>
          <w:highlight w:val="none"/>
          <w:lang w:val="en-US" w:eastAsia="zh-CN" w:bidi="ar-SA"/>
        </w:rPr>
        <w:t>。如检验不合格，供应商应及时更换符合要求的健康食材，并承担由此产生的所有费用，如：替换或清除不合格品的费用、因产品不合格导致的食品安全事故产生的医疗费等，给采购人造成重大损失的采购人有权终止合同并要求供应商承担法律和经济责任。</w:t>
      </w:r>
    </w:p>
    <w:p w14:paraId="5BF0C635">
      <w:pPr>
        <w:pageBreakBefore w:val="0"/>
        <w:widowControl w:val="0"/>
        <w:kinsoku/>
        <w:wordWrap/>
        <w:overflowPunct/>
        <w:topLinePunct w:val="0"/>
        <w:autoSpaceDE/>
        <w:autoSpaceDN/>
        <w:bidi w:val="0"/>
        <w:adjustRightInd/>
        <w:snapToGrid/>
        <w:spacing w:after="120" w:line="360" w:lineRule="auto"/>
        <w:ind w:right="0" w:firstLine="480"/>
        <w:jc w:val="both"/>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肉类须符合国家标准GB2707-2016、GB 2762—2022等相关标准，所供肉类不</w:t>
      </w:r>
      <w:r>
        <w:rPr>
          <w:rFonts w:hint="eastAsia" w:ascii="仿宋" w:hAnsi="仿宋" w:eastAsia="仿宋" w:cs="仿宋"/>
          <w:color w:val="auto"/>
          <w:spacing w:val="-15"/>
          <w:kern w:val="2"/>
          <w:sz w:val="24"/>
          <w:szCs w:val="24"/>
          <w:highlight w:val="none"/>
          <w:lang w:val="en-US" w:eastAsia="zh-CN" w:bidi="ar-SA"/>
        </w:rPr>
        <w:t>得检出国务院食品安全委员会办公室《“瘦肉精”专项整治方案</w:t>
      </w:r>
      <w:r>
        <w:rPr>
          <w:rFonts w:hint="eastAsia" w:ascii="仿宋" w:hAnsi="仿宋" w:eastAsia="仿宋" w:cs="仿宋"/>
          <w:color w:val="auto"/>
          <w:spacing w:val="-171"/>
          <w:kern w:val="2"/>
          <w:sz w:val="24"/>
          <w:szCs w:val="24"/>
          <w:highlight w:val="none"/>
          <w:lang w:val="en-US" w:eastAsia="zh-CN" w:bidi="ar-SA"/>
        </w:rPr>
        <w:t>》</w:t>
      </w:r>
      <w:r>
        <w:rPr>
          <w:rFonts w:hint="eastAsia" w:ascii="仿宋" w:hAnsi="仿宋" w:eastAsia="仿宋" w:cs="仿宋"/>
          <w:color w:val="auto"/>
          <w:kern w:val="2"/>
          <w:sz w:val="24"/>
          <w:szCs w:val="24"/>
          <w:highlight w:val="none"/>
          <w:lang w:val="en-US" w:eastAsia="zh-CN" w:bidi="ar-SA"/>
        </w:rPr>
        <w:t>（</w:t>
      </w:r>
      <w:r>
        <w:rPr>
          <w:rFonts w:hint="eastAsia" w:ascii="仿宋" w:hAnsi="仿宋" w:eastAsia="仿宋" w:cs="仿宋"/>
          <w:color w:val="auto"/>
          <w:spacing w:val="-22"/>
          <w:kern w:val="2"/>
          <w:sz w:val="24"/>
          <w:szCs w:val="24"/>
          <w:highlight w:val="none"/>
          <w:lang w:val="en-US" w:eastAsia="zh-CN" w:bidi="ar-SA"/>
        </w:rPr>
        <w:t>食安办〔</w:t>
      </w:r>
      <w:r>
        <w:rPr>
          <w:rFonts w:hint="eastAsia" w:ascii="仿宋" w:hAnsi="仿宋" w:eastAsia="仿宋" w:cs="仿宋"/>
          <w:color w:val="auto"/>
          <w:kern w:val="2"/>
          <w:sz w:val="24"/>
          <w:szCs w:val="24"/>
          <w:highlight w:val="none"/>
          <w:lang w:val="en-US" w:eastAsia="zh-CN" w:bidi="ar-SA"/>
        </w:rPr>
        <w:t>2011</w:t>
      </w:r>
      <w:r>
        <w:rPr>
          <w:rFonts w:hint="eastAsia" w:ascii="仿宋" w:hAnsi="仿宋" w:eastAsia="仿宋" w:cs="仿宋"/>
          <w:color w:val="auto"/>
          <w:spacing w:val="-16"/>
          <w:kern w:val="2"/>
          <w:sz w:val="24"/>
          <w:szCs w:val="24"/>
          <w:highlight w:val="none"/>
          <w:lang w:val="en-US" w:eastAsia="zh-CN" w:bidi="ar-SA"/>
        </w:rPr>
        <w:t>〕</w:t>
      </w:r>
      <w:r>
        <w:rPr>
          <w:rFonts w:hint="eastAsia" w:ascii="仿宋" w:hAnsi="仿宋" w:eastAsia="仿宋" w:cs="仿宋"/>
          <w:color w:val="auto"/>
          <w:kern w:val="2"/>
          <w:sz w:val="24"/>
          <w:szCs w:val="24"/>
          <w:highlight w:val="none"/>
          <w:lang w:val="en-US" w:eastAsia="zh-CN" w:bidi="ar-SA"/>
        </w:rPr>
        <w:t>14号</w:t>
      </w:r>
      <w:r>
        <w:rPr>
          <w:rFonts w:hint="eastAsia" w:ascii="仿宋" w:hAnsi="仿宋" w:eastAsia="仿宋" w:cs="仿宋"/>
          <w:color w:val="auto"/>
          <w:spacing w:val="-8"/>
          <w:kern w:val="2"/>
          <w:sz w:val="24"/>
          <w:szCs w:val="24"/>
          <w:highlight w:val="none"/>
          <w:lang w:val="en-US" w:eastAsia="zh-CN" w:bidi="ar-SA"/>
        </w:rPr>
        <w:t>）</w:t>
      </w:r>
      <w:r>
        <w:rPr>
          <w:rFonts w:hint="eastAsia" w:ascii="仿宋" w:hAnsi="仿宋" w:eastAsia="仿宋" w:cs="仿宋"/>
          <w:color w:val="auto"/>
          <w:spacing w:val="-5"/>
          <w:kern w:val="2"/>
          <w:sz w:val="24"/>
          <w:szCs w:val="24"/>
          <w:highlight w:val="none"/>
          <w:lang w:val="en-US" w:eastAsia="zh-CN" w:bidi="ar-SA"/>
        </w:rPr>
        <w:t>规定的“瘦肉精”品质目录。水产类须符合国家标准</w:t>
      </w:r>
      <w:r>
        <w:rPr>
          <w:rFonts w:hint="eastAsia" w:ascii="仿宋" w:hAnsi="仿宋" w:eastAsia="仿宋" w:cs="仿宋"/>
          <w:color w:val="auto"/>
          <w:kern w:val="2"/>
          <w:sz w:val="24"/>
          <w:szCs w:val="24"/>
          <w:highlight w:val="none"/>
          <w:lang w:val="en-US" w:eastAsia="zh-CN" w:bidi="ar-SA"/>
        </w:rPr>
        <w:t>GB2733-2015等相关标准。蔬菜及水果类须符合国家标准GB 2762—2022、GB2763-2016等相关标准。</w:t>
      </w:r>
    </w:p>
    <w:p w14:paraId="1537D51C">
      <w:pPr>
        <w:pageBreakBefore w:val="0"/>
        <w:widowControl w:val="0"/>
        <w:kinsoku/>
        <w:wordWrap/>
        <w:overflowPunct/>
        <w:topLinePunct w:val="0"/>
        <w:autoSpaceDE/>
        <w:autoSpaceDN/>
        <w:bidi w:val="0"/>
        <w:adjustRightInd/>
        <w:snapToGrid/>
        <w:spacing w:after="120" w:line="360" w:lineRule="auto"/>
        <w:ind w:right="0" w:firstLine="482" w:firstLineChars="200"/>
        <w:jc w:val="both"/>
        <w:textAlignment w:val="auto"/>
        <w:rPr>
          <w:rFonts w:hint="eastAsia" w:ascii="仿宋" w:hAnsi="仿宋" w:eastAsia="仿宋" w:cs="仿宋"/>
          <w:b/>
          <w:bCs/>
          <w:color w:val="auto"/>
          <w:kern w:val="2"/>
          <w:sz w:val="24"/>
          <w:szCs w:val="24"/>
          <w:highlight w:val="none"/>
          <w:lang w:val="en-US" w:eastAsia="zh-CN" w:bidi="ar-SA"/>
        </w:rPr>
      </w:pPr>
      <w:r>
        <w:rPr>
          <w:rFonts w:hint="eastAsia" w:ascii="仿宋" w:hAnsi="仿宋" w:eastAsia="仿宋" w:cs="仿宋"/>
          <w:b/>
          <w:bCs/>
          <w:color w:val="auto"/>
          <w:kern w:val="0"/>
          <w:sz w:val="24"/>
          <w:szCs w:val="24"/>
          <w:highlight w:val="none"/>
          <w:lang w:val="en-US" w:eastAsia="zh-CN" w:bidi="ar"/>
        </w:rPr>
        <w:t>★</w:t>
      </w:r>
      <w:r>
        <w:rPr>
          <w:rFonts w:hint="eastAsia" w:ascii="仿宋" w:hAnsi="仿宋" w:eastAsia="仿宋" w:cs="仿宋"/>
          <w:b/>
          <w:bCs/>
          <w:color w:val="auto"/>
          <w:kern w:val="2"/>
          <w:sz w:val="24"/>
          <w:szCs w:val="24"/>
          <w:highlight w:val="none"/>
          <w:lang w:val="en-US" w:eastAsia="zh-CN" w:bidi="ar-SA"/>
        </w:rPr>
        <w:t>三、服务及其他商务要求</w:t>
      </w:r>
    </w:p>
    <w:p w14:paraId="751BFFF1">
      <w:pPr>
        <w:pageBreakBefore w:val="0"/>
        <w:widowControl w:val="0"/>
        <w:kinsoku/>
        <w:wordWrap/>
        <w:overflowPunct/>
        <w:topLinePunct w:val="0"/>
        <w:autoSpaceDE/>
        <w:autoSpaceDN/>
        <w:bidi w:val="0"/>
        <w:adjustRightInd/>
        <w:snapToGrid/>
        <w:spacing w:after="120" w:line="360" w:lineRule="auto"/>
        <w:ind w:right="0" w:firstLine="480" w:firstLineChars="200"/>
        <w:jc w:val="both"/>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1.产品结算单价基础价格确定方式</w:t>
      </w:r>
    </w:p>
    <w:p w14:paraId="7D169BC6">
      <w:pPr>
        <w:widowControl/>
        <w:adjustRightInd/>
        <w:snapToGrid/>
        <w:spacing w:after="160" w:line="240" w:lineRule="auto"/>
        <w:ind w:firstLine="480" w:firstLineChars="200"/>
        <w:textAlignment w:val="baseline"/>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（1）首先以绵阳市发展和改革委员会网站公布的《绵阳市粮油、肉、水产品、蔬菜批发价格行情》同类产品批发价格作为产品结算单价基础价格（每</w:t>
      </w:r>
      <w:r>
        <w:rPr>
          <w:rFonts w:hint="eastAsia" w:ascii="仿宋" w:hAnsi="仿宋" w:eastAsia="仿宋" w:cs="仿宋"/>
          <w:b w:val="0"/>
          <w:bCs w:val="0"/>
          <w:color w:val="auto"/>
          <w:sz w:val="24"/>
          <w:szCs w:val="24"/>
          <w:highlight w:val="none"/>
          <w:u w:val="single"/>
          <w:lang w:val="en-US" w:eastAsia="zh-CN"/>
        </w:rPr>
        <w:t>月第一、三周核实</w:t>
      </w:r>
      <w:r>
        <w:rPr>
          <w:rFonts w:hint="eastAsia" w:ascii="仿宋" w:hAnsi="仿宋" w:eastAsia="仿宋" w:cs="仿宋"/>
          <w:b w:val="0"/>
          <w:bCs w:val="0"/>
          <w:color w:val="auto"/>
          <w:sz w:val="24"/>
          <w:szCs w:val="24"/>
          <w:highlight w:val="none"/>
          <w:lang w:val="en-US" w:eastAsia="zh-CN"/>
        </w:rPr>
        <w:t>价格）；</w:t>
      </w:r>
    </w:p>
    <w:p w14:paraId="5464C444">
      <w:pPr>
        <w:widowControl/>
        <w:adjustRightInd/>
        <w:snapToGrid/>
        <w:spacing w:after="160" w:line="240" w:lineRule="auto"/>
        <w:ind w:firstLine="480" w:firstLineChars="200"/>
        <w:textAlignment w:val="baseline"/>
        <w:rPr>
          <w:rFonts w:hint="eastAsia" w:ascii="仿宋" w:hAnsi="仿宋" w:eastAsia="仿宋" w:cs="仿宋"/>
          <w:b w:val="0"/>
          <w:bCs w:val="0"/>
          <w:color w:val="auto"/>
          <w:sz w:val="24"/>
          <w:szCs w:val="24"/>
          <w:highlight w:val="none"/>
          <w:u w:val="single"/>
          <w:lang w:eastAsia="zh-CN"/>
        </w:rPr>
      </w:pPr>
      <w:r>
        <w:rPr>
          <w:rFonts w:hint="eastAsia" w:ascii="仿宋" w:hAnsi="仿宋" w:eastAsia="仿宋" w:cs="仿宋"/>
          <w:b w:val="0"/>
          <w:bCs w:val="0"/>
          <w:color w:val="auto"/>
          <w:sz w:val="24"/>
          <w:szCs w:val="24"/>
          <w:highlight w:val="none"/>
        </w:rPr>
        <w:t>（2）对于上述（1）中绵阳市发展和改革委员会网站未公布</w:t>
      </w:r>
      <w:r>
        <w:rPr>
          <w:rFonts w:hint="eastAsia" w:ascii="仿宋" w:hAnsi="仿宋" w:eastAsia="仿宋" w:cs="仿宋"/>
          <w:b w:val="0"/>
          <w:bCs w:val="0"/>
          <w:color w:val="auto"/>
          <w:sz w:val="24"/>
          <w:szCs w:val="24"/>
          <w:highlight w:val="none"/>
          <w:lang w:val="en-US" w:eastAsia="zh-CN"/>
        </w:rPr>
        <w:t>产品批发价格的</w:t>
      </w:r>
      <w:r>
        <w:rPr>
          <w:rFonts w:hint="eastAsia" w:ascii="仿宋" w:hAnsi="仿宋" w:eastAsia="仿宋" w:cs="仿宋"/>
          <w:b w:val="0"/>
          <w:bCs w:val="0"/>
          <w:color w:val="auto"/>
          <w:sz w:val="24"/>
          <w:szCs w:val="24"/>
          <w:highlight w:val="none"/>
        </w:rPr>
        <w:t>，由采购人在绵阳市</w:t>
      </w:r>
      <w:r>
        <w:rPr>
          <w:rFonts w:hint="eastAsia" w:ascii="仿宋" w:hAnsi="仿宋" w:eastAsia="仿宋" w:cs="仿宋"/>
          <w:b w:val="0"/>
          <w:bCs w:val="0"/>
          <w:color w:val="auto"/>
          <w:sz w:val="24"/>
          <w:szCs w:val="24"/>
          <w:highlight w:val="none"/>
          <w:lang w:val="en-US" w:eastAsia="zh-CN"/>
        </w:rPr>
        <w:t>迎宾路批发市场和龙门批发市场</w:t>
      </w:r>
      <w:r>
        <w:rPr>
          <w:rFonts w:hint="eastAsia" w:ascii="仿宋" w:hAnsi="仿宋" w:eastAsia="仿宋" w:cs="仿宋"/>
          <w:b w:val="0"/>
          <w:bCs w:val="0"/>
          <w:color w:val="auto"/>
          <w:sz w:val="24"/>
          <w:szCs w:val="24"/>
          <w:highlight w:val="none"/>
        </w:rPr>
        <w:t>询价后的同类产品最低价格为产品结算单价基础价格。定价时间：每</w:t>
      </w:r>
      <w:r>
        <w:rPr>
          <w:rFonts w:hint="eastAsia" w:ascii="仿宋" w:hAnsi="仿宋" w:eastAsia="仿宋" w:cs="仿宋"/>
          <w:b w:val="0"/>
          <w:bCs w:val="0"/>
          <w:color w:val="auto"/>
          <w:sz w:val="24"/>
          <w:szCs w:val="24"/>
          <w:highlight w:val="none"/>
          <w:lang w:val="en-US" w:eastAsia="zh-CN"/>
        </w:rPr>
        <w:t>月</w:t>
      </w:r>
      <w:r>
        <w:rPr>
          <w:rFonts w:hint="eastAsia" w:ascii="仿宋" w:hAnsi="仿宋" w:eastAsia="仿宋" w:cs="仿宋"/>
          <w:b w:val="0"/>
          <w:bCs w:val="0"/>
          <w:color w:val="auto"/>
          <w:sz w:val="24"/>
          <w:szCs w:val="24"/>
          <w:highlight w:val="none"/>
          <w:u w:val="single"/>
        </w:rPr>
        <w:t>第</w:t>
      </w:r>
      <w:r>
        <w:rPr>
          <w:rFonts w:hint="eastAsia" w:ascii="仿宋" w:hAnsi="仿宋" w:eastAsia="仿宋" w:cs="仿宋"/>
          <w:b w:val="0"/>
          <w:bCs w:val="0"/>
          <w:color w:val="auto"/>
          <w:sz w:val="24"/>
          <w:szCs w:val="24"/>
          <w:highlight w:val="none"/>
          <w:u w:val="single"/>
          <w:lang w:val="en-US" w:eastAsia="zh-CN"/>
        </w:rPr>
        <w:t>一周的第二</w:t>
      </w:r>
      <w:r>
        <w:rPr>
          <w:rFonts w:hint="eastAsia" w:ascii="仿宋" w:hAnsi="仿宋" w:eastAsia="仿宋" w:cs="仿宋"/>
          <w:b w:val="0"/>
          <w:bCs w:val="0"/>
          <w:color w:val="auto"/>
          <w:sz w:val="24"/>
          <w:szCs w:val="24"/>
          <w:highlight w:val="none"/>
          <w:u w:val="single"/>
        </w:rPr>
        <w:t>工作日上午12:00之前报</w:t>
      </w:r>
      <w:r>
        <w:rPr>
          <w:rFonts w:hint="eastAsia" w:ascii="仿宋" w:hAnsi="仿宋" w:eastAsia="仿宋" w:cs="仿宋"/>
          <w:b w:val="0"/>
          <w:bCs w:val="0"/>
          <w:color w:val="auto"/>
          <w:sz w:val="24"/>
          <w:szCs w:val="24"/>
          <w:highlight w:val="none"/>
          <w:u w:val="single"/>
          <w:lang w:val="en-US" w:eastAsia="zh-CN"/>
        </w:rPr>
        <w:t>第一、二周</w:t>
      </w:r>
      <w:r>
        <w:rPr>
          <w:rFonts w:hint="eastAsia" w:ascii="仿宋" w:hAnsi="仿宋" w:eastAsia="仿宋" w:cs="仿宋"/>
          <w:b w:val="0"/>
          <w:bCs w:val="0"/>
          <w:color w:val="auto"/>
          <w:sz w:val="24"/>
          <w:szCs w:val="24"/>
          <w:highlight w:val="none"/>
          <w:u w:val="single"/>
        </w:rPr>
        <w:t>价格</w:t>
      </w:r>
      <w:r>
        <w:rPr>
          <w:rFonts w:hint="eastAsia" w:ascii="仿宋" w:hAnsi="仿宋" w:eastAsia="仿宋" w:cs="仿宋"/>
          <w:b w:val="0"/>
          <w:bCs w:val="0"/>
          <w:color w:val="auto"/>
          <w:sz w:val="24"/>
          <w:szCs w:val="24"/>
          <w:highlight w:val="none"/>
          <w:u w:val="single"/>
          <w:lang w:eastAsia="zh-CN"/>
        </w:rPr>
        <w:t>；</w:t>
      </w:r>
      <w:r>
        <w:rPr>
          <w:rFonts w:hint="eastAsia" w:ascii="仿宋" w:hAnsi="仿宋" w:eastAsia="仿宋" w:cs="仿宋"/>
          <w:b w:val="0"/>
          <w:bCs w:val="0"/>
          <w:color w:val="auto"/>
          <w:sz w:val="24"/>
          <w:szCs w:val="24"/>
          <w:highlight w:val="none"/>
          <w:u w:val="single"/>
        </w:rPr>
        <w:t>每</w:t>
      </w:r>
      <w:r>
        <w:rPr>
          <w:rFonts w:hint="eastAsia" w:ascii="仿宋" w:hAnsi="仿宋" w:eastAsia="仿宋" w:cs="仿宋"/>
          <w:b w:val="0"/>
          <w:bCs w:val="0"/>
          <w:color w:val="auto"/>
          <w:sz w:val="24"/>
          <w:szCs w:val="24"/>
          <w:highlight w:val="none"/>
          <w:u w:val="single"/>
          <w:lang w:val="en-US" w:eastAsia="zh-CN"/>
        </w:rPr>
        <w:t>月</w:t>
      </w:r>
      <w:r>
        <w:rPr>
          <w:rFonts w:hint="eastAsia" w:ascii="仿宋" w:hAnsi="仿宋" w:eastAsia="仿宋" w:cs="仿宋"/>
          <w:b w:val="0"/>
          <w:bCs w:val="0"/>
          <w:color w:val="auto"/>
          <w:sz w:val="24"/>
          <w:szCs w:val="24"/>
          <w:highlight w:val="none"/>
          <w:u w:val="single"/>
        </w:rPr>
        <w:t>第</w:t>
      </w:r>
      <w:r>
        <w:rPr>
          <w:rFonts w:hint="eastAsia" w:ascii="仿宋" w:hAnsi="仿宋" w:eastAsia="仿宋" w:cs="仿宋"/>
          <w:b w:val="0"/>
          <w:bCs w:val="0"/>
          <w:color w:val="auto"/>
          <w:sz w:val="24"/>
          <w:szCs w:val="24"/>
          <w:highlight w:val="none"/>
          <w:u w:val="single"/>
          <w:lang w:val="en-US" w:eastAsia="zh-CN"/>
        </w:rPr>
        <w:t>三周的第二</w:t>
      </w:r>
      <w:r>
        <w:rPr>
          <w:rFonts w:hint="eastAsia" w:ascii="仿宋" w:hAnsi="仿宋" w:eastAsia="仿宋" w:cs="仿宋"/>
          <w:b w:val="0"/>
          <w:bCs w:val="0"/>
          <w:color w:val="auto"/>
          <w:sz w:val="24"/>
          <w:szCs w:val="24"/>
          <w:highlight w:val="none"/>
          <w:u w:val="single"/>
        </w:rPr>
        <w:t>工作日上午12:00之前报</w:t>
      </w:r>
      <w:r>
        <w:rPr>
          <w:rFonts w:hint="eastAsia" w:ascii="仿宋" w:hAnsi="仿宋" w:eastAsia="仿宋" w:cs="仿宋"/>
          <w:b w:val="0"/>
          <w:bCs w:val="0"/>
          <w:color w:val="auto"/>
          <w:sz w:val="24"/>
          <w:szCs w:val="24"/>
          <w:highlight w:val="none"/>
          <w:u w:val="single"/>
          <w:lang w:val="en-US" w:eastAsia="zh-CN"/>
        </w:rPr>
        <w:t>第三、四</w:t>
      </w:r>
      <w:r>
        <w:rPr>
          <w:rFonts w:hint="eastAsia" w:ascii="仿宋" w:hAnsi="仿宋" w:eastAsia="仿宋" w:cs="仿宋"/>
          <w:b w:val="0"/>
          <w:bCs w:val="0"/>
          <w:color w:val="auto"/>
          <w:sz w:val="24"/>
          <w:szCs w:val="24"/>
          <w:highlight w:val="none"/>
          <w:u w:val="single"/>
        </w:rPr>
        <w:t>周价格</w:t>
      </w:r>
      <w:r>
        <w:rPr>
          <w:rFonts w:hint="eastAsia" w:ascii="仿宋" w:hAnsi="仿宋" w:eastAsia="仿宋" w:cs="仿宋"/>
          <w:b w:val="0"/>
          <w:bCs w:val="0"/>
          <w:color w:val="auto"/>
          <w:sz w:val="24"/>
          <w:szCs w:val="24"/>
          <w:highlight w:val="none"/>
          <w:u w:val="single"/>
          <w:lang w:eastAsia="zh-CN"/>
        </w:rPr>
        <w:t>。</w:t>
      </w:r>
    </w:p>
    <w:p w14:paraId="5CC04CDB">
      <w:pPr>
        <w:widowControl/>
        <w:adjustRightInd/>
        <w:snapToGrid/>
        <w:spacing w:after="160" w:line="240" w:lineRule="auto"/>
        <w:ind w:firstLine="480" w:firstLineChars="200"/>
        <w:textAlignment w:val="baseline"/>
        <w:rPr>
          <w:rFonts w:ascii="仿宋" w:hAnsi="仿宋" w:eastAsia="仿宋" w:cs="仿宋_GB2312"/>
          <w:b w:val="0"/>
          <w:bCs w:val="0"/>
          <w:color w:val="auto"/>
          <w:sz w:val="24"/>
          <w:szCs w:val="24"/>
          <w:highlight w:val="none"/>
        </w:rPr>
      </w:pPr>
      <w:r>
        <w:rPr>
          <w:rFonts w:hint="eastAsia" w:ascii="仿宋" w:hAnsi="仿宋" w:eastAsia="仿宋" w:cs="仿宋"/>
          <w:b w:val="0"/>
          <w:bCs w:val="0"/>
          <w:color w:val="auto"/>
          <w:sz w:val="24"/>
          <w:szCs w:val="24"/>
          <w:highlight w:val="none"/>
        </w:rPr>
        <w:t>（3）</w:t>
      </w:r>
      <w:r>
        <w:rPr>
          <w:rFonts w:hint="eastAsia" w:ascii="仿宋" w:hAnsi="仿宋" w:eastAsia="仿宋"/>
          <w:b w:val="0"/>
          <w:bCs w:val="0"/>
          <w:color w:val="auto"/>
          <w:sz w:val="24"/>
          <w:szCs w:val="24"/>
          <w:highlight w:val="none"/>
        </w:rPr>
        <w:t>定价</w:t>
      </w:r>
      <w:r>
        <w:rPr>
          <w:rFonts w:ascii="仿宋" w:hAnsi="仿宋" w:eastAsia="仿宋"/>
          <w:b w:val="0"/>
          <w:bCs w:val="0"/>
          <w:color w:val="auto"/>
          <w:sz w:val="24"/>
          <w:szCs w:val="24"/>
          <w:highlight w:val="none"/>
        </w:rPr>
        <w:t>方式：</w:t>
      </w:r>
      <w:r>
        <w:rPr>
          <w:rFonts w:hint="eastAsia" w:ascii="仿宋" w:hAnsi="仿宋" w:eastAsia="仿宋" w:cs="仿宋"/>
          <w:b w:val="0"/>
          <w:bCs w:val="0"/>
          <w:color w:val="auto"/>
          <w:spacing w:val="-4"/>
          <w:sz w:val="24"/>
          <w:szCs w:val="24"/>
          <w:highlight w:val="none"/>
        </w:rPr>
        <w:t>原则上，调价周期内不再因市场价格波动调整产品结算单</w:t>
      </w:r>
      <w:r>
        <w:rPr>
          <w:rFonts w:hint="eastAsia" w:ascii="仿宋" w:hAnsi="仿宋" w:eastAsia="仿宋" w:cs="仿宋"/>
          <w:b w:val="0"/>
          <w:bCs w:val="0"/>
          <w:color w:val="auto"/>
          <w:sz w:val="24"/>
          <w:szCs w:val="24"/>
          <w:highlight w:val="none"/>
        </w:rPr>
        <w:t>价基础价格。但若在定价后市场价格涨/降幅度超过30%，供应商有义务提出申请/告知，经双方</w:t>
      </w:r>
      <w:r>
        <w:rPr>
          <w:rFonts w:hint="eastAsia" w:ascii="仿宋" w:hAnsi="仿宋" w:eastAsia="仿宋" w:cs="仿宋"/>
          <w:b w:val="0"/>
          <w:bCs w:val="0"/>
          <w:color w:val="auto"/>
          <w:sz w:val="24"/>
          <w:szCs w:val="24"/>
          <w:highlight w:val="none"/>
          <w:lang w:val="en-US" w:eastAsia="zh-CN"/>
        </w:rPr>
        <w:t>协商</w:t>
      </w:r>
      <w:r>
        <w:rPr>
          <w:rFonts w:hint="eastAsia" w:ascii="仿宋" w:hAnsi="仿宋" w:eastAsia="仿宋" w:cs="仿宋"/>
          <w:b w:val="0"/>
          <w:bCs w:val="0"/>
          <w:color w:val="auto"/>
          <w:sz w:val="24"/>
          <w:szCs w:val="24"/>
          <w:highlight w:val="none"/>
        </w:rPr>
        <w:t>、核实，重新询价后再定价。供应商累计超过3次未尽告知价格降幅义务的，本次采购合同终止，并对采购人的损失进行赔偿，赔偿总金额为历次支付合同金额总和的10%。</w:t>
      </w:r>
    </w:p>
    <w:p w14:paraId="5D3958C4">
      <w:pPr>
        <w:pageBreakBefore w:val="0"/>
        <w:widowControl w:val="0"/>
        <w:numPr>
          <w:ilvl w:val="0"/>
          <w:numId w:val="0"/>
        </w:numPr>
        <w:tabs>
          <w:tab w:val="left" w:pos="1701"/>
        </w:tabs>
        <w:kinsoku/>
        <w:wordWrap/>
        <w:overflowPunct/>
        <w:topLinePunct w:val="0"/>
        <w:autoSpaceDE/>
        <w:autoSpaceDN/>
        <w:bidi w:val="0"/>
        <w:adjustRightInd/>
        <w:snapToGrid/>
        <w:spacing w:after="0" w:line="360" w:lineRule="auto"/>
        <w:ind w:right="0" w:rightChars="0" w:firstLine="482" w:firstLineChars="200"/>
        <w:jc w:val="left"/>
        <w:textAlignment w:val="auto"/>
        <w:rPr>
          <w:rFonts w:hint="eastAsia" w:ascii="仿宋" w:hAnsi="仿宋" w:eastAsia="仿宋" w:cs="仿宋"/>
          <w:b/>
          <w:bCs/>
          <w:color w:val="auto"/>
          <w:kern w:val="2"/>
          <w:sz w:val="24"/>
          <w:szCs w:val="24"/>
          <w:highlight w:val="none"/>
          <w:lang w:val="en-US" w:eastAsia="zh-CN" w:bidi="ar-SA"/>
        </w:rPr>
      </w:pPr>
      <w:r>
        <w:rPr>
          <w:rFonts w:hint="eastAsia" w:ascii="仿宋" w:hAnsi="仿宋" w:eastAsia="仿宋" w:cs="仿宋"/>
          <w:b/>
          <w:bCs/>
          <w:color w:val="auto"/>
          <w:kern w:val="0"/>
          <w:sz w:val="24"/>
          <w:szCs w:val="24"/>
          <w:highlight w:val="none"/>
          <w:lang w:val="en-US" w:eastAsia="zh-CN" w:bidi="ar"/>
        </w:rPr>
        <w:t>★</w:t>
      </w:r>
      <w:r>
        <w:rPr>
          <w:rFonts w:hint="eastAsia" w:ascii="仿宋" w:hAnsi="仿宋" w:eastAsia="仿宋" w:cs="仿宋"/>
          <w:b/>
          <w:bCs/>
          <w:color w:val="auto"/>
          <w:kern w:val="2"/>
          <w:sz w:val="24"/>
          <w:szCs w:val="24"/>
          <w:highlight w:val="none"/>
          <w:lang w:val="en-US" w:eastAsia="zh-CN" w:bidi="ar-SA"/>
        </w:rPr>
        <w:t>四、考核及处罚</w:t>
      </w:r>
    </w:p>
    <w:p w14:paraId="66624836">
      <w:pPr>
        <w:pageBreakBefore w:val="0"/>
        <w:widowControl w:val="0"/>
        <w:kinsoku/>
        <w:wordWrap/>
        <w:overflowPunct/>
        <w:topLinePunct w:val="0"/>
        <w:autoSpaceDE/>
        <w:autoSpaceDN/>
        <w:bidi w:val="0"/>
        <w:adjustRightInd/>
        <w:snapToGrid/>
        <w:spacing w:after="120" w:line="360" w:lineRule="auto"/>
        <w:ind w:right="0" w:firstLine="480"/>
        <w:jc w:val="both"/>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合同期内，为及时了解供应商履行合同的情况，采购人对供应商采取日常抽查和每8</w:t>
      </w:r>
      <w:r>
        <w:rPr>
          <w:rFonts w:hint="eastAsia" w:ascii="仿宋" w:hAnsi="仿宋" w:eastAsia="仿宋" w:cs="仿宋"/>
          <w:color w:val="auto"/>
          <w:spacing w:val="-3"/>
          <w:kern w:val="2"/>
          <w:sz w:val="24"/>
          <w:szCs w:val="24"/>
          <w:highlight w:val="none"/>
          <w:lang w:val="en-US" w:eastAsia="zh-CN" w:bidi="ar-SA"/>
        </w:rPr>
        <w:t>周进行一次考评相结合的方式进行考核，采购人有权对综合考核标准</w:t>
      </w:r>
      <w:r>
        <w:rPr>
          <w:rFonts w:hint="eastAsia" w:ascii="仿宋" w:hAnsi="仿宋" w:eastAsia="仿宋" w:cs="仿宋"/>
          <w:color w:val="auto"/>
          <w:kern w:val="2"/>
          <w:sz w:val="24"/>
          <w:szCs w:val="24"/>
          <w:highlight w:val="none"/>
          <w:lang w:val="en-US" w:eastAsia="zh-CN" w:bidi="ar-SA"/>
        </w:rPr>
        <w:t>进行修改调整（后附综合考核标准样本）。</w:t>
      </w:r>
    </w:p>
    <w:p w14:paraId="5D5B4F50">
      <w:pPr>
        <w:pageBreakBefore w:val="0"/>
        <w:widowControl w:val="0"/>
        <w:kinsoku/>
        <w:wordWrap/>
        <w:overflowPunct/>
        <w:topLinePunct w:val="0"/>
        <w:autoSpaceDE/>
        <w:autoSpaceDN/>
        <w:bidi w:val="0"/>
        <w:adjustRightInd/>
        <w:snapToGrid/>
        <w:spacing w:after="120" w:line="360" w:lineRule="auto"/>
        <w:ind w:right="0" w:firstLine="480" w:firstLineChars="200"/>
        <w:jc w:val="both"/>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（一）日常抽查：</w:t>
      </w:r>
    </w:p>
    <w:p w14:paraId="4C09B9C4">
      <w:pPr>
        <w:pageBreakBefore w:val="0"/>
        <w:widowControl w:val="0"/>
        <w:numPr>
          <w:ilvl w:val="0"/>
          <w:numId w:val="0"/>
        </w:numPr>
        <w:tabs>
          <w:tab w:val="left" w:pos="1343"/>
        </w:tabs>
        <w:kinsoku/>
        <w:wordWrap/>
        <w:overflowPunct/>
        <w:topLinePunct w:val="0"/>
        <w:autoSpaceDE/>
        <w:autoSpaceDN/>
        <w:bidi w:val="0"/>
        <w:adjustRightInd/>
        <w:snapToGrid/>
        <w:spacing w:after="0" w:line="360" w:lineRule="auto"/>
        <w:ind w:right="0" w:rightChars="0" w:firstLine="480" w:firstLineChars="200"/>
        <w:jc w:val="left"/>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1、采购人将按各项服务标准严格管理，根据各项服务日常检查和处罚标准对日常食堂食材配送服务质量进行考核。</w:t>
      </w:r>
    </w:p>
    <w:p w14:paraId="2518BAD7">
      <w:pPr>
        <w:pageBreakBefore w:val="0"/>
        <w:widowControl w:val="0"/>
        <w:numPr>
          <w:ilvl w:val="0"/>
          <w:numId w:val="0"/>
        </w:numPr>
        <w:tabs>
          <w:tab w:val="left" w:pos="1341"/>
        </w:tabs>
        <w:kinsoku/>
        <w:wordWrap/>
        <w:overflowPunct/>
        <w:topLinePunct w:val="0"/>
        <w:autoSpaceDE/>
        <w:autoSpaceDN/>
        <w:bidi w:val="0"/>
        <w:adjustRightInd/>
        <w:snapToGrid/>
        <w:spacing w:after="0" w:line="360" w:lineRule="auto"/>
        <w:ind w:right="0" w:rightChars="0" w:firstLine="480" w:firstLineChars="200"/>
        <w:jc w:val="left"/>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2、由采购人将检查结果进行汇总，并对供应商的配送范围进行调整。</w:t>
      </w:r>
    </w:p>
    <w:p w14:paraId="1FA04FFB">
      <w:pPr>
        <w:pageBreakBefore w:val="0"/>
        <w:widowControl w:val="0"/>
        <w:kinsoku/>
        <w:wordWrap/>
        <w:overflowPunct/>
        <w:topLinePunct w:val="0"/>
        <w:autoSpaceDE/>
        <w:autoSpaceDN/>
        <w:bidi w:val="0"/>
        <w:adjustRightInd/>
        <w:snapToGrid/>
        <w:spacing w:after="120" w:line="360" w:lineRule="auto"/>
        <w:ind w:right="0" w:firstLine="480" w:firstLineChars="200"/>
        <w:jc w:val="both"/>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（二）每8周进行一次考评：</w:t>
      </w:r>
    </w:p>
    <w:p w14:paraId="279884BA">
      <w:pPr>
        <w:pageBreakBefore w:val="0"/>
        <w:widowControl w:val="0"/>
        <w:kinsoku/>
        <w:wordWrap/>
        <w:overflowPunct/>
        <w:topLinePunct w:val="0"/>
        <w:autoSpaceDE/>
        <w:autoSpaceDN/>
        <w:bidi w:val="0"/>
        <w:adjustRightInd/>
        <w:snapToGrid/>
        <w:spacing w:after="120" w:line="360" w:lineRule="auto"/>
        <w:ind w:right="0" w:firstLine="480"/>
        <w:jc w:val="both"/>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每8周为一个考评期，考评结果作为支付考评期内后4周食材费和安排后期配送范围的主要依据，由采购人将日常检查扣分结果进行汇总，按考核扣分档次支付考评期内后4周食材费，安排供应商下个考评期的配送范围：</w:t>
      </w:r>
    </w:p>
    <w:p w14:paraId="7D52510C">
      <w:pPr>
        <w:pageBreakBefore w:val="0"/>
        <w:widowControl w:val="0"/>
        <w:numPr>
          <w:ilvl w:val="0"/>
          <w:numId w:val="0"/>
        </w:numPr>
        <w:tabs>
          <w:tab w:val="left" w:pos="1343"/>
        </w:tabs>
        <w:kinsoku/>
        <w:wordWrap/>
        <w:overflowPunct/>
        <w:topLinePunct w:val="0"/>
        <w:autoSpaceDE/>
        <w:autoSpaceDN/>
        <w:bidi w:val="0"/>
        <w:adjustRightInd/>
        <w:snapToGrid/>
        <w:spacing w:after="0" w:line="360" w:lineRule="auto"/>
        <w:ind w:right="0" w:rightChars="0" w:firstLine="480" w:firstLineChars="200"/>
        <w:jc w:val="both"/>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1、根据配送服务的日常抽查扣分结果汇总出食堂食材配送服务考评期内的扣分情况。一个考评期内扣分低于5分（含）的，考评期内后4周支付给供应商的食材费=考评期内后4</w:t>
      </w:r>
      <w:r>
        <w:rPr>
          <w:rFonts w:hint="eastAsia" w:ascii="仿宋" w:hAnsi="仿宋" w:eastAsia="仿宋" w:cs="仿宋"/>
          <w:color w:val="auto"/>
          <w:spacing w:val="-2"/>
          <w:kern w:val="2"/>
          <w:sz w:val="24"/>
          <w:szCs w:val="24"/>
          <w:highlight w:val="none"/>
          <w:lang w:val="en-US" w:eastAsia="zh-CN" w:bidi="ar-SA"/>
        </w:rPr>
        <w:t>周合同约定金额；一个考评期内扣分在</w:t>
      </w:r>
      <w:r>
        <w:rPr>
          <w:rFonts w:hint="eastAsia" w:ascii="仿宋" w:hAnsi="仿宋" w:eastAsia="仿宋" w:cs="仿宋"/>
          <w:color w:val="auto"/>
          <w:kern w:val="2"/>
          <w:sz w:val="24"/>
          <w:szCs w:val="24"/>
          <w:highlight w:val="none"/>
          <w:lang w:val="en-US" w:eastAsia="zh-CN" w:bidi="ar-SA"/>
        </w:rPr>
        <w:t>5</w:t>
      </w:r>
      <w:r>
        <w:rPr>
          <w:rFonts w:hint="eastAsia" w:ascii="仿宋" w:hAnsi="仿宋" w:eastAsia="仿宋" w:cs="仿宋"/>
          <w:color w:val="auto"/>
          <w:spacing w:val="-10"/>
          <w:kern w:val="2"/>
          <w:sz w:val="24"/>
          <w:szCs w:val="24"/>
          <w:highlight w:val="none"/>
          <w:lang w:val="en-US" w:eastAsia="zh-CN" w:bidi="ar-SA"/>
        </w:rPr>
        <w:t>分</w:t>
      </w:r>
      <w:r>
        <w:rPr>
          <w:rFonts w:hint="eastAsia" w:ascii="仿宋" w:hAnsi="仿宋" w:eastAsia="仿宋" w:cs="仿宋"/>
          <w:color w:val="auto"/>
          <w:kern w:val="2"/>
          <w:sz w:val="24"/>
          <w:szCs w:val="24"/>
          <w:highlight w:val="none"/>
          <w:lang w:val="en-US" w:eastAsia="zh-CN" w:bidi="ar-SA"/>
        </w:rPr>
        <w:t>（不含</w:t>
      </w:r>
      <w:r>
        <w:rPr>
          <w:rFonts w:hint="eastAsia" w:ascii="仿宋" w:hAnsi="仿宋" w:eastAsia="仿宋" w:cs="仿宋"/>
          <w:color w:val="auto"/>
          <w:spacing w:val="-12"/>
          <w:kern w:val="2"/>
          <w:sz w:val="24"/>
          <w:szCs w:val="24"/>
          <w:highlight w:val="none"/>
          <w:lang w:val="en-US" w:eastAsia="zh-CN" w:bidi="ar-SA"/>
        </w:rPr>
        <w:t>）</w:t>
      </w:r>
      <w:r>
        <w:rPr>
          <w:rFonts w:hint="eastAsia" w:ascii="仿宋" w:hAnsi="仿宋" w:eastAsia="仿宋" w:cs="仿宋"/>
          <w:color w:val="auto"/>
          <w:kern w:val="2"/>
          <w:sz w:val="24"/>
          <w:szCs w:val="24"/>
          <w:highlight w:val="none"/>
          <w:lang w:val="en-US" w:eastAsia="zh-CN" w:bidi="ar-SA"/>
        </w:rPr>
        <w:t>至</w:t>
      </w:r>
      <w:r>
        <w:rPr>
          <w:rFonts w:hint="eastAsia" w:ascii="仿宋" w:hAnsi="仿宋" w:eastAsia="仿宋" w:cs="仿宋"/>
          <w:color w:val="auto"/>
          <w:spacing w:val="-7"/>
          <w:kern w:val="2"/>
          <w:sz w:val="24"/>
          <w:szCs w:val="24"/>
          <w:highlight w:val="none"/>
          <w:lang w:val="en-US" w:eastAsia="zh-CN" w:bidi="ar-SA"/>
        </w:rPr>
        <w:t xml:space="preserve">10 </w:t>
      </w:r>
      <w:r>
        <w:rPr>
          <w:rFonts w:hint="eastAsia" w:ascii="仿宋" w:hAnsi="仿宋" w:eastAsia="仿宋" w:cs="仿宋"/>
          <w:color w:val="auto"/>
          <w:spacing w:val="-10"/>
          <w:kern w:val="2"/>
          <w:sz w:val="24"/>
          <w:szCs w:val="24"/>
          <w:highlight w:val="none"/>
          <w:lang w:val="en-US" w:eastAsia="zh-CN" w:bidi="ar-SA"/>
        </w:rPr>
        <w:t>分</w:t>
      </w:r>
      <w:r>
        <w:rPr>
          <w:rFonts w:hint="eastAsia" w:ascii="仿宋" w:hAnsi="仿宋" w:eastAsia="仿宋" w:cs="仿宋"/>
          <w:color w:val="auto"/>
          <w:kern w:val="2"/>
          <w:sz w:val="24"/>
          <w:szCs w:val="24"/>
          <w:highlight w:val="none"/>
          <w:lang w:val="en-US" w:eastAsia="zh-CN" w:bidi="ar-SA"/>
        </w:rPr>
        <w:t>（含</w:t>
      </w:r>
      <w:r>
        <w:rPr>
          <w:rFonts w:hint="eastAsia" w:ascii="仿宋" w:hAnsi="仿宋" w:eastAsia="仿宋" w:cs="仿宋"/>
          <w:color w:val="auto"/>
          <w:spacing w:val="-10"/>
          <w:kern w:val="2"/>
          <w:sz w:val="24"/>
          <w:szCs w:val="24"/>
          <w:highlight w:val="none"/>
          <w:lang w:val="en-US" w:eastAsia="zh-CN" w:bidi="ar-SA"/>
        </w:rPr>
        <w:t>）</w:t>
      </w:r>
      <w:r>
        <w:rPr>
          <w:rFonts w:hint="eastAsia" w:ascii="仿宋" w:hAnsi="仿宋" w:eastAsia="仿宋" w:cs="仿宋"/>
          <w:color w:val="auto"/>
          <w:spacing w:val="-3"/>
          <w:kern w:val="2"/>
          <w:sz w:val="24"/>
          <w:szCs w:val="24"/>
          <w:highlight w:val="none"/>
          <w:lang w:val="en-US" w:eastAsia="zh-CN" w:bidi="ar-SA"/>
        </w:rPr>
        <w:t>之间的，考评期内后</w:t>
      </w:r>
      <w:r>
        <w:rPr>
          <w:rFonts w:hint="eastAsia" w:ascii="仿宋" w:hAnsi="仿宋" w:eastAsia="仿宋" w:cs="仿宋"/>
          <w:color w:val="auto"/>
          <w:kern w:val="2"/>
          <w:sz w:val="24"/>
          <w:szCs w:val="24"/>
          <w:highlight w:val="none"/>
          <w:lang w:val="en-US" w:eastAsia="zh-CN" w:bidi="ar-SA"/>
        </w:rPr>
        <w:t>4周支付给供应商的食材费=考评期内后4</w:t>
      </w:r>
      <w:r>
        <w:rPr>
          <w:rFonts w:hint="eastAsia" w:ascii="仿宋" w:hAnsi="仿宋" w:eastAsia="仿宋" w:cs="仿宋"/>
          <w:color w:val="auto"/>
          <w:spacing w:val="-4"/>
          <w:kern w:val="2"/>
          <w:sz w:val="24"/>
          <w:szCs w:val="24"/>
          <w:highlight w:val="none"/>
          <w:lang w:val="en-US" w:eastAsia="zh-CN" w:bidi="ar-SA"/>
        </w:rPr>
        <w:t>周合同约</w:t>
      </w:r>
      <w:r>
        <w:rPr>
          <w:rFonts w:hint="eastAsia" w:ascii="仿宋" w:hAnsi="仿宋" w:eastAsia="仿宋" w:cs="仿宋"/>
          <w:color w:val="auto"/>
          <w:kern w:val="2"/>
          <w:sz w:val="24"/>
          <w:szCs w:val="24"/>
          <w:highlight w:val="none"/>
          <w:lang w:val="en-US" w:eastAsia="zh-CN" w:bidi="ar-SA"/>
        </w:rPr>
        <w:t>定金额-1000元*扣分分数；一个考评期内扣分在10分（</w:t>
      </w:r>
      <w:r>
        <w:rPr>
          <w:rFonts w:hint="eastAsia" w:ascii="仿宋" w:hAnsi="仿宋" w:eastAsia="仿宋" w:cs="仿宋"/>
          <w:color w:val="auto"/>
          <w:spacing w:val="2"/>
          <w:kern w:val="2"/>
          <w:sz w:val="24"/>
          <w:szCs w:val="24"/>
          <w:highlight w:val="none"/>
          <w:lang w:val="en-US" w:eastAsia="zh-CN" w:bidi="ar-SA"/>
        </w:rPr>
        <w:t>不含</w:t>
      </w:r>
      <w:r>
        <w:rPr>
          <w:rFonts w:hint="eastAsia" w:ascii="仿宋" w:hAnsi="仿宋" w:eastAsia="仿宋" w:cs="仿宋"/>
          <w:color w:val="auto"/>
          <w:kern w:val="2"/>
          <w:sz w:val="24"/>
          <w:szCs w:val="24"/>
          <w:highlight w:val="none"/>
          <w:lang w:val="en-US" w:eastAsia="zh-CN" w:bidi="ar-SA"/>
        </w:rPr>
        <w:t>）至15分（</w:t>
      </w:r>
      <w:r>
        <w:rPr>
          <w:rFonts w:hint="eastAsia" w:ascii="仿宋" w:hAnsi="仿宋" w:eastAsia="仿宋" w:cs="仿宋"/>
          <w:color w:val="auto"/>
          <w:spacing w:val="4"/>
          <w:kern w:val="2"/>
          <w:sz w:val="24"/>
          <w:szCs w:val="24"/>
          <w:highlight w:val="none"/>
          <w:lang w:val="en-US" w:eastAsia="zh-CN" w:bidi="ar-SA"/>
        </w:rPr>
        <w:t>含</w:t>
      </w:r>
      <w:r>
        <w:rPr>
          <w:rFonts w:hint="eastAsia" w:ascii="仿宋" w:hAnsi="仿宋" w:eastAsia="仿宋" w:cs="仿宋"/>
          <w:color w:val="auto"/>
          <w:kern w:val="2"/>
          <w:sz w:val="24"/>
          <w:szCs w:val="24"/>
          <w:highlight w:val="none"/>
          <w:lang w:val="en-US" w:eastAsia="zh-CN" w:bidi="ar-SA"/>
        </w:rPr>
        <w:t>）之</w:t>
      </w:r>
      <w:r>
        <w:rPr>
          <w:rFonts w:hint="eastAsia" w:ascii="仿宋" w:hAnsi="仿宋" w:eastAsia="仿宋" w:cs="仿宋"/>
          <w:color w:val="auto"/>
          <w:spacing w:val="12"/>
          <w:kern w:val="2"/>
          <w:sz w:val="24"/>
          <w:szCs w:val="24"/>
          <w:highlight w:val="none"/>
          <w:lang w:val="en-US" w:eastAsia="zh-CN" w:bidi="ar-SA"/>
        </w:rPr>
        <w:t>间的，考评期内后</w:t>
      </w:r>
      <w:r>
        <w:rPr>
          <w:rFonts w:hint="eastAsia" w:ascii="仿宋" w:hAnsi="仿宋" w:eastAsia="仿宋" w:cs="仿宋"/>
          <w:color w:val="auto"/>
          <w:spacing w:val="14"/>
          <w:kern w:val="2"/>
          <w:sz w:val="24"/>
          <w:szCs w:val="24"/>
          <w:highlight w:val="none"/>
          <w:lang w:val="en-US" w:eastAsia="zh-CN" w:bidi="ar-SA"/>
        </w:rPr>
        <w:t>4</w:t>
      </w:r>
      <w:r>
        <w:rPr>
          <w:rFonts w:hint="eastAsia" w:ascii="仿宋" w:hAnsi="仿宋" w:eastAsia="仿宋" w:cs="仿宋"/>
          <w:color w:val="auto"/>
          <w:spacing w:val="12"/>
          <w:kern w:val="2"/>
          <w:sz w:val="24"/>
          <w:szCs w:val="24"/>
          <w:highlight w:val="none"/>
          <w:lang w:val="en-US" w:eastAsia="zh-CN" w:bidi="ar-SA"/>
        </w:rPr>
        <w:t>周支付给供应商的食材费=考评期内后</w:t>
      </w:r>
      <w:r>
        <w:rPr>
          <w:rFonts w:hint="eastAsia" w:ascii="仿宋" w:hAnsi="仿宋" w:eastAsia="仿宋" w:cs="仿宋"/>
          <w:color w:val="auto"/>
          <w:spacing w:val="14"/>
          <w:kern w:val="2"/>
          <w:sz w:val="24"/>
          <w:szCs w:val="24"/>
          <w:highlight w:val="none"/>
          <w:lang w:val="en-US" w:eastAsia="zh-CN" w:bidi="ar-SA"/>
        </w:rPr>
        <w:t>4</w:t>
      </w:r>
      <w:r>
        <w:rPr>
          <w:rFonts w:hint="eastAsia" w:ascii="仿宋" w:hAnsi="仿宋" w:eastAsia="仿宋" w:cs="仿宋"/>
          <w:color w:val="auto"/>
          <w:spacing w:val="10"/>
          <w:kern w:val="2"/>
          <w:sz w:val="24"/>
          <w:szCs w:val="24"/>
          <w:highlight w:val="none"/>
          <w:lang w:val="en-US" w:eastAsia="zh-CN" w:bidi="ar-SA"/>
        </w:rPr>
        <w:t>周合同约定金额</w:t>
      </w:r>
      <w:r>
        <w:rPr>
          <w:rFonts w:hint="eastAsia" w:ascii="仿宋" w:hAnsi="仿宋" w:eastAsia="仿宋" w:cs="仿宋"/>
          <w:color w:val="auto"/>
          <w:kern w:val="2"/>
          <w:sz w:val="24"/>
          <w:szCs w:val="24"/>
          <w:highlight w:val="none"/>
          <w:lang w:val="en-US" w:eastAsia="zh-CN" w:bidi="ar-SA"/>
        </w:rPr>
        <w:t>-2000元*</w:t>
      </w:r>
      <w:r>
        <w:rPr>
          <w:rFonts w:hint="eastAsia" w:ascii="仿宋" w:hAnsi="仿宋" w:eastAsia="仿宋" w:cs="仿宋"/>
          <w:color w:val="auto"/>
          <w:spacing w:val="-2"/>
          <w:kern w:val="2"/>
          <w:sz w:val="24"/>
          <w:szCs w:val="24"/>
          <w:highlight w:val="none"/>
          <w:lang w:val="en-US" w:eastAsia="zh-CN" w:bidi="ar-SA"/>
        </w:rPr>
        <w:t>扣分分数；若一个考评期内扣</w:t>
      </w:r>
      <w:r>
        <w:rPr>
          <w:rFonts w:hint="eastAsia" w:ascii="仿宋" w:hAnsi="仿宋" w:eastAsia="仿宋" w:cs="仿宋"/>
          <w:color w:val="auto"/>
          <w:kern w:val="2"/>
          <w:sz w:val="24"/>
          <w:szCs w:val="24"/>
          <w:highlight w:val="none"/>
          <w:lang w:val="en-US" w:eastAsia="zh-CN" w:bidi="ar-SA"/>
        </w:rPr>
        <w:t>15</w:t>
      </w:r>
      <w:r>
        <w:rPr>
          <w:rFonts w:hint="eastAsia" w:ascii="仿宋" w:hAnsi="仿宋" w:eastAsia="仿宋" w:cs="仿宋"/>
          <w:color w:val="auto"/>
          <w:spacing w:val="-8"/>
          <w:kern w:val="2"/>
          <w:sz w:val="24"/>
          <w:szCs w:val="24"/>
          <w:highlight w:val="none"/>
          <w:lang w:val="en-US" w:eastAsia="zh-CN" w:bidi="ar-SA"/>
        </w:rPr>
        <w:t>分</w:t>
      </w:r>
      <w:r>
        <w:rPr>
          <w:rFonts w:hint="eastAsia" w:ascii="仿宋" w:hAnsi="仿宋" w:eastAsia="仿宋" w:cs="仿宋"/>
          <w:color w:val="auto"/>
          <w:kern w:val="2"/>
          <w:sz w:val="24"/>
          <w:szCs w:val="24"/>
          <w:highlight w:val="none"/>
          <w:lang w:val="en-US" w:eastAsia="zh-CN" w:bidi="ar-SA"/>
        </w:rPr>
        <w:t>（不含</w:t>
      </w:r>
      <w:r>
        <w:rPr>
          <w:rFonts w:hint="eastAsia" w:ascii="仿宋" w:hAnsi="仿宋" w:eastAsia="仿宋" w:cs="仿宋"/>
          <w:color w:val="auto"/>
          <w:spacing w:val="-8"/>
          <w:kern w:val="2"/>
          <w:sz w:val="24"/>
          <w:szCs w:val="24"/>
          <w:highlight w:val="none"/>
          <w:lang w:val="en-US" w:eastAsia="zh-CN" w:bidi="ar-SA"/>
        </w:rPr>
        <w:t>）</w:t>
      </w:r>
      <w:r>
        <w:rPr>
          <w:rFonts w:hint="eastAsia" w:ascii="仿宋" w:hAnsi="仿宋" w:eastAsia="仿宋" w:cs="仿宋"/>
          <w:color w:val="auto"/>
          <w:spacing w:val="-3"/>
          <w:kern w:val="2"/>
          <w:sz w:val="24"/>
          <w:szCs w:val="24"/>
          <w:highlight w:val="none"/>
          <w:lang w:val="en-US" w:eastAsia="zh-CN" w:bidi="ar-SA"/>
        </w:rPr>
        <w:t>以上，考评期内后</w:t>
      </w:r>
      <w:r>
        <w:rPr>
          <w:rFonts w:hint="eastAsia" w:ascii="仿宋" w:hAnsi="仿宋" w:eastAsia="仿宋" w:cs="仿宋"/>
          <w:color w:val="auto"/>
          <w:kern w:val="2"/>
          <w:sz w:val="24"/>
          <w:szCs w:val="24"/>
          <w:highlight w:val="none"/>
          <w:lang w:val="en-US" w:eastAsia="zh-CN" w:bidi="ar-SA"/>
        </w:rPr>
        <w:t>4</w:t>
      </w:r>
      <w:r>
        <w:rPr>
          <w:rFonts w:hint="eastAsia" w:ascii="仿宋" w:hAnsi="仿宋" w:eastAsia="仿宋" w:cs="仿宋"/>
          <w:color w:val="auto"/>
          <w:spacing w:val="-5"/>
          <w:kern w:val="2"/>
          <w:sz w:val="24"/>
          <w:szCs w:val="24"/>
          <w:highlight w:val="none"/>
          <w:lang w:val="en-US" w:eastAsia="zh-CN" w:bidi="ar-SA"/>
        </w:rPr>
        <w:t>周支付</w:t>
      </w:r>
      <w:r>
        <w:rPr>
          <w:rFonts w:hint="eastAsia" w:ascii="仿宋" w:hAnsi="仿宋" w:eastAsia="仿宋" w:cs="仿宋"/>
          <w:color w:val="auto"/>
          <w:kern w:val="2"/>
          <w:sz w:val="24"/>
          <w:szCs w:val="24"/>
          <w:highlight w:val="none"/>
          <w:lang w:val="en-US" w:eastAsia="zh-CN" w:bidi="ar-SA"/>
        </w:rPr>
        <w:t>给供应商的食材费=考评期内后4周合同约定金额的</w:t>
      </w:r>
      <w:r>
        <w:rPr>
          <w:rFonts w:hint="eastAsia" w:ascii="仿宋" w:hAnsi="仿宋" w:eastAsia="仿宋" w:cs="仿宋"/>
          <w:color w:val="auto"/>
          <w:spacing w:val="-4"/>
          <w:kern w:val="2"/>
          <w:sz w:val="24"/>
          <w:szCs w:val="24"/>
          <w:highlight w:val="none"/>
          <w:lang w:val="en-US" w:eastAsia="zh-CN" w:bidi="ar-SA"/>
        </w:rPr>
        <w:t>30%</w:t>
      </w:r>
      <w:r>
        <w:rPr>
          <w:rFonts w:hint="eastAsia" w:ascii="仿宋" w:hAnsi="仿宋" w:eastAsia="仿宋" w:cs="仿宋"/>
          <w:color w:val="auto"/>
          <w:spacing w:val="-6"/>
          <w:kern w:val="2"/>
          <w:sz w:val="24"/>
          <w:szCs w:val="24"/>
          <w:highlight w:val="none"/>
          <w:lang w:val="en-US" w:eastAsia="zh-CN" w:bidi="ar-SA"/>
        </w:rPr>
        <w:t>，同时，供应商须就相关</w:t>
      </w:r>
      <w:r>
        <w:rPr>
          <w:rFonts w:hint="eastAsia" w:ascii="仿宋" w:hAnsi="仿宋" w:eastAsia="仿宋" w:cs="仿宋"/>
          <w:color w:val="auto"/>
          <w:kern w:val="2"/>
          <w:sz w:val="24"/>
          <w:szCs w:val="24"/>
          <w:highlight w:val="none"/>
          <w:lang w:val="en-US" w:eastAsia="zh-CN" w:bidi="ar-SA"/>
        </w:rPr>
        <w:t>问题向采购人提供问题整改报告。</w:t>
      </w:r>
    </w:p>
    <w:p w14:paraId="26057E5E">
      <w:pPr>
        <w:keepNext/>
        <w:keepLines/>
        <w:pageBreakBefore w:val="0"/>
        <w:widowControl w:val="0"/>
        <w:numPr>
          <w:ilvl w:val="0"/>
          <w:numId w:val="0"/>
        </w:numPr>
        <w:tabs>
          <w:tab w:val="left" w:pos="1345"/>
        </w:tabs>
        <w:kinsoku/>
        <w:wordWrap/>
        <w:overflowPunct/>
        <w:topLinePunct w:val="0"/>
        <w:autoSpaceDE/>
        <w:autoSpaceDN/>
        <w:bidi w:val="0"/>
        <w:adjustRightInd/>
        <w:snapToGrid/>
        <w:spacing w:before="0" w:after="0" w:line="360" w:lineRule="auto"/>
        <w:ind w:right="0" w:rightChars="0" w:firstLine="482" w:firstLineChars="200"/>
        <w:jc w:val="left"/>
        <w:textAlignment w:val="auto"/>
        <w:outlineLvl w:val="4"/>
        <w:rPr>
          <w:rFonts w:hint="eastAsia" w:ascii="仿宋" w:hAnsi="仿宋" w:eastAsia="仿宋" w:cs="仿宋"/>
          <w:b/>
          <w:color w:val="auto"/>
          <w:kern w:val="2"/>
          <w:sz w:val="24"/>
          <w:szCs w:val="24"/>
          <w:highlight w:val="none"/>
          <w:u w:val="none"/>
          <w:lang w:val="en-US" w:eastAsia="zh-CN" w:bidi="ar-SA"/>
        </w:rPr>
      </w:pPr>
      <w:r>
        <w:rPr>
          <w:rFonts w:hint="eastAsia" w:ascii="仿宋" w:hAnsi="仿宋" w:eastAsia="仿宋" w:cs="仿宋"/>
          <w:b/>
          <w:color w:val="auto"/>
          <w:kern w:val="2"/>
          <w:sz w:val="24"/>
          <w:szCs w:val="24"/>
          <w:highlight w:val="none"/>
          <w:u w:val="none"/>
          <w:lang w:val="en-US" w:eastAsia="zh-CN" w:bidi="ar-SA"/>
        </w:rPr>
        <w:t>2、</w:t>
      </w:r>
      <w:r>
        <w:rPr>
          <w:rFonts w:hint="eastAsia" w:ascii="仿宋" w:hAnsi="仿宋" w:eastAsia="仿宋" w:cs="仿宋"/>
          <w:b/>
          <w:bCs w:val="0"/>
          <w:color w:val="auto"/>
          <w:spacing w:val="3"/>
          <w:kern w:val="2"/>
          <w:sz w:val="24"/>
          <w:szCs w:val="24"/>
          <w:highlight w:val="none"/>
          <w:u w:val="none"/>
          <w:lang w:val="en-US" w:eastAsia="zh-CN" w:bidi="ar-SA"/>
        </w:rPr>
        <w:t>考评中一个考评期内扣分超过30分的，或者累计两个考评期内扣分均超过15分的，采购人有权单方解除合同，供应商自行承担相关责任</w:t>
      </w:r>
      <w:r>
        <w:rPr>
          <w:rFonts w:hint="eastAsia" w:ascii="仿宋" w:hAnsi="仿宋" w:eastAsia="仿宋" w:cs="仿宋"/>
          <w:b/>
          <w:color w:val="auto"/>
          <w:kern w:val="2"/>
          <w:sz w:val="24"/>
          <w:szCs w:val="24"/>
          <w:highlight w:val="none"/>
          <w:u w:val="none"/>
          <w:lang w:val="en-US" w:eastAsia="zh-CN" w:bidi="ar-SA"/>
        </w:rPr>
        <w:t>。</w:t>
      </w:r>
    </w:p>
    <w:p w14:paraId="1750F006">
      <w:pPr>
        <w:pageBreakBefore w:val="0"/>
        <w:widowControl w:val="0"/>
        <w:kinsoku/>
        <w:wordWrap/>
        <w:overflowPunct/>
        <w:topLinePunct w:val="0"/>
        <w:autoSpaceDE/>
        <w:autoSpaceDN/>
        <w:bidi w:val="0"/>
        <w:adjustRightInd/>
        <w:snapToGrid/>
        <w:spacing w:after="120" w:line="360" w:lineRule="auto"/>
        <w:ind w:right="0" w:firstLine="480"/>
        <w:jc w:val="both"/>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责任追究制度：供应商应积极配合</w:t>
      </w:r>
      <w:r>
        <w:rPr>
          <w:rFonts w:hint="default" w:ascii="仿宋" w:hAnsi="仿宋" w:eastAsia="仿宋" w:cs="仿宋"/>
          <w:color w:val="auto"/>
          <w:kern w:val="2"/>
          <w:sz w:val="24"/>
          <w:szCs w:val="24"/>
          <w:highlight w:val="none"/>
          <w:lang w:val="en-US" w:eastAsia="zh-CN" w:bidi="ar-SA"/>
        </w:rPr>
        <w:t>采购人</w:t>
      </w:r>
      <w:r>
        <w:rPr>
          <w:rFonts w:hint="eastAsia" w:ascii="仿宋" w:hAnsi="仿宋" w:eastAsia="仿宋" w:cs="仿宋"/>
          <w:color w:val="auto"/>
          <w:kern w:val="2"/>
          <w:sz w:val="24"/>
          <w:szCs w:val="24"/>
          <w:highlight w:val="none"/>
          <w:lang w:val="en-US" w:eastAsia="zh-CN" w:bidi="ar-SA"/>
        </w:rPr>
        <w:t>及相关部门随时抽查商品来源， 供应商如无正当理由拒绝的，采购人有权拒绝支付当次抽查商品的合同价款， 情节恶劣的，采购人有权终止合同。因供应商配送不及时（不可抗力因素除外</w:t>
      </w:r>
      <w:r>
        <w:rPr>
          <w:rFonts w:hint="eastAsia" w:ascii="仿宋" w:hAnsi="仿宋" w:eastAsia="仿宋" w:cs="仿宋"/>
          <w:color w:val="auto"/>
          <w:spacing w:val="-10"/>
          <w:kern w:val="2"/>
          <w:sz w:val="24"/>
          <w:szCs w:val="24"/>
          <w:highlight w:val="none"/>
          <w:lang w:val="en-US" w:eastAsia="zh-CN" w:bidi="ar-SA"/>
        </w:rPr>
        <w:t>）</w:t>
      </w:r>
      <w:r>
        <w:rPr>
          <w:rFonts w:hint="eastAsia" w:ascii="仿宋" w:hAnsi="仿宋" w:eastAsia="仿宋" w:cs="仿宋"/>
          <w:color w:val="auto"/>
          <w:spacing w:val="-3"/>
          <w:kern w:val="2"/>
          <w:sz w:val="24"/>
          <w:szCs w:val="24"/>
          <w:highlight w:val="none"/>
          <w:lang w:val="en-US" w:eastAsia="zh-CN" w:bidi="ar-SA"/>
        </w:rPr>
        <w:t>或配送错误，影响正常就餐的，给予一次性扣款处罚</w:t>
      </w:r>
      <w:r>
        <w:rPr>
          <w:rFonts w:hint="eastAsia" w:ascii="仿宋" w:hAnsi="仿宋" w:eastAsia="仿宋" w:cs="仿宋"/>
          <w:color w:val="auto"/>
          <w:kern w:val="2"/>
          <w:sz w:val="24"/>
          <w:szCs w:val="24"/>
          <w:highlight w:val="none"/>
          <w:lang w:val="en-US" w:eastAsia="zh-CN" w:bidi="ar-SA"/>
        </w:rPr>
        <w:t>10000</w:t>
      </w:r>
      <w:r>
        <w:rPr>
          <w:rFonts w:hint="eastAsia" w:ascii="仿宋" w:hAnsi="仿宋" w:eastAsia="仿宋" w:cs="仿宋"/>
          <w:color w:val="auto"/>
          <w:spacing w:val="-17"/>
          <w:kern w:val="2"/>
          <w:sz w:val="24"/>
          <w:szCs w:val="24"/>
          <w:highlight w:val="none"/>
          <w:lang w:val="en-US" w:eastAsia="zh-CN" w:bidi="ar-SA"/>
        </w:rPr>
        <w:t>元</w:t>
      </w:r>
      <w:r>
        <w:rPr>
          <w:rFonts w:hint="eastAsia" w:ascii="仿宋" w:hAnsi="仿宋" w:eastAsia="仿宋" w:cs="仿宋"/>
          <w:color w:val="auto"/>
          <w:kern w:val="2"/>
          <w:sz w:val="24"/>
          <w:szCs w:val="24"/>
          <w:highlight w:val="none"/>
          <w:lang w:val="en-US" w:eastAsia="zh-CN" w:bidi="ar-SA"/>
        </w:rPr>
        <w:t>/</w:t>
      </w:r>
      <w:r>
        <w:rPr>
          <w:rFonts w:hint="eastAsia" w:ascii="仿宋" w:hAnsi="仿宋" w:eastAsia="仿宋" w:cs="仿宋"/>
          <w:color w:val="auto"/>
          <w:spacing w:val="-13"/>
          <w:kern w:val="2"/>
          <w:sz w:val="24"/>
          <w:szCs w:val="24"/>
          <w:highlight w:val="none"/>
          <w:lang w:val="en-US" w:eastAsia="zh-CN" w:bidi="ar-SA"/>
        </w:rPr>
        <w:t>次。供应商须严格执行《中华人民共和国食品安全法》及中华人民共和国有关餐 饮、食品的卫生制度，因配送产品引发的食品安全事故或造成责任事故的，采购人有权终止合同，</w:t>
      </w:r>
      <w:r>
        <w:rPr>
          <w:rFonts w:hint="eastAsia" w:ascii="仿宋" w:hAnsi="仿宋" w:eastAsia="仿宋" w:cs="仿宋"/>
          <w:color w:val="auto"/>
          <w:kern w:val="2"/>
          <w:sz w:val="24"/>
          <w:szCs w:val="24"/>
          <w:highlight w:val="none"/>
          <w:lang w:val="en-US" w:eastAsia="zh-CN" w:bidi="ar-SA"/>
        </w:rPr>
        <w:t>并追究供应商的相关法律责任及经济赔偿责任。</w:t>
      </w:r>
    </w:p>
    <w:p w14:paraId="49A77072">
      <w:pPr>
        <w:numPr>
          <w:ilvl w:val="0"/>
          <w:numId w:val="2"/>
        </w:numPr>
        <w:spacing w:after="160" w:line="259" w:lineRule="auto"/>
        <w:ind w:left="0" w:leftChars="0" w:firstLine="480" w:firstLineChars="200"/>
        <w:jc w:val="both"/>
        <w:textAlignment w:val="baseline"/>
        <w:rPr>
          <w:rFonts w:hint="eastAsia" w:ascii="Arial Unicode MS" w:hAnsi="Arial Unicode MS" w:eastAsia="Arial Unicode MS" w:cs="Arial Unicode MS"/>
          <w:color w:val="auto"/>
          <w:kern w:val="2"/>
          <w:sz w:val="24"/>
          <w:szCs w:val="24"/>
          <w:highlight w:val="none"/>
          <w:lang w:val="en-US" w:eastAsia="zh-CN" w:bidi="ar-SA"/>
        </w:rPr>
      </w:pPr>
      <w:r>
        <w:rPr>
          <w:rFonts w:hint="eastAsia" w:ascii="Arial Unicode MS" w:hAnsi="Arial Unicode MS" w:eastAsia="Arial Unicode MS" w:cs="Arial Unicode MS"/>
          <w:color w:val="auto"/>
          <w:kern w:val="2"/>
          <w:sz w:val="24"/>
          <w:szCs w:val="24"/>
          <w:highlight w:val="none"/>
          <w:lang w:val="en-US" w:eastAsia="zh-CN" w:bidi="ar-SA"/>
        </w:rPr>
        <w:t>其他要求</w:t>
      </w:r>
    </w:p>
    <w:p w14:paraId="6716C205">
      <w:pPr>
        <w:pageBreakBefore w:val="0"/>
        <w:widowControl w:val="0"/>
        <w:kinsoku/>
        <w:wordWrap/>
        <w:overflowPunct/>
        <w:topLinePunct w:val="0"/>
        <w:autoSpaceDE/>
        <w:autoSpaceDN/>
        <w:bidi w:val="0"/>
        <w:adjustRightInd/>
        <w:snapToGrid/>
        <w:spacing w:after="120" w:line="360" w:lineRule="auto"/>
        <w:ind w:right="0" w:firstLine="480"/>
        <w:jc w:val="both"/>
        <w:textAlignment w:val="auto"/>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5.1</w:t>
      </w:r>
      <w:r>
        <w:rPr>
          <w:rFonts w:hint="default" w:ascii="仿宋" w:hAnsi="仿宋" w:eastAsia="仿宋" w:cs="仿宋"/>
          <w:color w:val="auto"/>
          <w:kern w:val="2"/>
          <w:sz w:val="24"/>
          <w:szCs w:val="24"/>
          <w:highlight w:val="none"/>
          <w:lang w:val="en-US" w:eastAsia="zh-CN" w:bidi="ar-SA"/>
        </w:rPr>
        <w:t>供应商根据需求提供</w:t>
      </w:r>
      <w:r>
        <w:rPr>
          <w:rFonts w:hint="eastAsia" w:ascii="仿宋" w:hAnsi="仿宋" w:eastAsia="仿宋" w:cs="仿宋"/>
          <w:color w:val="auto"/>
          <w:kern w:val="2"/>
          <w:sz w:val="24"/>
          <w:szCs w:val="24"/>
          <w:highlight w:val="none"/>
          <w:lang w:val="en-US" w:eastAsia="zh-CN" w:bidi="ar-SA"/>
        </w:rPr>
        <w:t>服务方案，至少</w:t>
      </w:r>
      <w:r>
        <w:rPr>
          <w:rFonts w:hint="default" w:ascii="仿宋" w:hAnsi="仿宋" w:eastAsia="仿宋" w:cs="仿宋"/>
          <w:color w:val="auto"/>
          <w:kern w:val="2"/>
          <w:sz w:val="24"/>
          <w:szCs w:val="24"/>
          <w:highlight w:val="none"/>
          <w:lang w:val="en-US" w:eastAsia="zh-CN" w:bidi="ar-SA"/>
        </w:rPr>
        <w:t>包含：①食品质量管理措施②服务人员职责与管理③卫生管理控制措施④食材入库保存措施⑤发生突发状况（如停水、停电、交通管制）时的应急处理措施⑥运输过程中的食材保鲜、保质措施⑦成本控制措施⑧确保长期稳定供货的渠道及措施⑨食材按时送达指定地点的保证措施⑩配送车辆的运营管理措施。</w:t>
      </w:r>
    </w:p>
    <w:p w14:paraId="30E189B5">
      <w:pPr>
        <w:pageBreakBefore w:val="0"/>
        <w:widowControl w:val="0"/>
        <w:kinsoku/>
        <w:wordWrap/>
        <w:overflowPunct/>
        <w:topLinePunct w:val="0"/>
        <w:autoSpaceDE/>
        <w:autoSpaceDN/>
        <w:bidi w:val="0"/>
        <w:adjustRightInd/>
        <w:snapToGrid/>
        <w:spacing w:after="120" w:line="360" w:lineRule="auto"/>
        <w:ind w:right="0" w:firstLine="480"/>
        <w:jc w:val="both"/>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5.2</w:t>
      </w:r>
      <w:r>
        <w:rPr>
          <w:rFonts w:hint="default" w:ascii="仿宋" w:hAnsi="仿宋" w:eastAsia="仿宋" w:cs="仿宋"/>
          <w:color w:val="auto"/>
          <w:kern w:val="2"/>
          <w:sz w:val="24"/>
          <w:szCs w:val="24"/>
          <w:highlight w:val="none"/>
          <w:lang w:val="en-US" w:eastAsia="zh-CN" w:bidi="ar-SA"/>
        </w:rPr>
        <w:t>供应商根据需求提供</w:t>
      </w:r>
      <w:r>
        <w:rPr>
          <w:rFonts w:hint="eastAsia" w:ascii="仿宋" w:hAnsi="仿宋" w:eastAsia="仿宋" w:cs="仿宋"/>
          <w:color w:val="auto"/>
          <w:kern w:val="2"/>
          <w:sz w:val="24"/>
          <w:szCs w:val="24"/>
          <w:highlight w:val="none"/>
          <w:lang w:val="en-US" w:eastAsia="zh-CN" w:bidi="ar-SA"/>
        </w:rPr>
        <w:t>应急预案及处理措施，至少</w:t>
      </w:r>
      <w:r>
        <w:rPr>
          <w:rFonts w:hint="default" w:ascii="仿宋" w:hAnsi="仿宋" w:eastAsia="仿宋" w:cs="仿宋"/>
          <w:color w:val="auto"/>
          <w:kern w:val="2"/>
          <w:sz w:val="24"/>
          <w:szCs w:val="24"/>
          <w:highlight w:val="none"/>
          <w:lang w:val="en-US" w:eastAsia="zh-CN" w:bidi="ar-SA"/>
        </w:rPr>
        <w:t>包含：</w:t>
      </w:r>
      <w:r>
        <w:rPr>
          <w:rFonts w:hint="eastAsia" w:ascii="仿宋" w:hAnsi="仿宋" w:eastAsia="仿宋" w:cs="仿宋"/>
          <w:color w:val="auto"/>
          <w:kern w:val="2"/>
          <w:sz w:val="24"/>
          <w:szCs w:val="24"/>
          <w:highlight w:val="none"/>
          <w:lang w:val="en-US" w:eastAsia="zh-CN" w:bidi="ar-SA"/>
        </w:rPr>
        <w:t>①食物中毒应急预案及处理措施、②人员发生意外伤害预案及</w:t>
      </w:r>
      <w:bookmarkStart w:id="4" w:name="_GoBack"/>
      <w:bookmarkEnd w:id="4"/>
      <w:r>
        <w:rPr>
          <w:rFonts w:hint="eastAsia" w:ascii="仿宋" w:hAnsi="仿宋" w:eastAsia="仿宋" w:cs="仿宋"/>
          <w:color w:val="auto"/>
          <w:kern w:val="2"/>
          <w:sz w:val="24"/>
          <w:szCs w:val="24"/>
          <w:highlight w:val="none"/>
          <w:lang w:val="en-US" w:eastAsia="zh-CN" w:bidi="ar-SA"/>
        </w:rPr>
        <w:t>处理措施等。</w:t>
      </w:r>
    </w:p>
    <w:p w14:paraId="7638501C">
      <w:pPr>
        <w:pageBreakBefore w:val="0"/>
        <w:widowControl w:val="0"/>
        <w:kinsoku/>
        <w:wordWrap/>
        <w:overflowPunct/>
        <w:topLinePunct w:val="0"/>
        <w:autoSpaceDE/>
        <w:autoSpaceDN/>
        <w:bidi w:val="0"/>
        <w:adjustRightInd/>
        <w:snapToGrid/>
        <w:spacing w:after="120" w:line="360" w:lineRule="auto"/>
        <w:ind w:right="0" w:firstLine="480"/>
        <w:jc w:val="both"/>
        <w:textAlignment w:val="auto"/>
        <w:rPr>
          <w:rFonts w:hint="eastAsia" w:ascii="仿宋" w:hAnsi="仿宋" w:eastAsia="仿宋" w:cs="仿宋"/>
          <w:color w:val="auto"/>
          <w:kern w:val="1"/>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5.3包1蔬菜类、水果类人员配置中拟为本项目配备的有</w:t>
      </w:r>
      <w:r>
        <w:rPr>
          <w:rFonts w:hint="eastAsia" w:ascii="仿宋" w:hAnsi="仿宋" w:eastAsia="仿宋" w:cs="仿宋"/>
          <w:color w:val="auto"/>
          <w:kern w:val="1"/>
          <w:sz w:val="24"/>
          <w:szCs w:val="24"/>
          <w:highlight w:val="none"/>
          <w:lang w:val="en-US" w:eastAsia="zh-CN" w:bidi="ar-SA"/>
        </w:rPr>
        <w:t>农残检测员。</w:t>
      </w:r>
    </w:p>
    <w:p w14:paraId="005C0E27">
      <w:pPr>
        <w:pageBreakBefore w:val="0"/>
        <w:widowControl w:val="0"/>
        <w:kinsoku/>
        <w:wordWrap/>
        <w:overflowPunct/>
        <w:topLinePunct w:val="0"/>
        <w:autoSpaceDE/>
        <w:autoSpaceDN/>
        <w:bidi w:val="0"/>
        <w:adjustRightInd/>
        <w:snapToGrid/>
        <w:spacing w:after="120" w:line="360" w:lineRule="auto"/>
        <w:ind w:right="0" w:firstLine="480"/>
        <w:jc w:val="both"/>
        <w:textAlignment w:val="auto"/>
        <w:rPr>
          <w:rFonts w:hint="default" w:ascii="仿宋" w:hAnsi="仿宋" w:eastAsia="仿宋" w:cs="仿宋"/>
          <w:color w:val="FF0000"/>
          <w:kern w:val="2"/>
          <w:sz w:val="24"/>
          <w:szCs w:val="24"/>
          <w:highlight w:val="none"/>
          <w:lang w:val="en-US" w:eastAsia="zh-CN" w:bidi="ar-SA"/>
        </w:rPr>
      </w:pPr>
      <w:r>
        <w:rPr>
          <w:rFonts w:hint="eastAsia" w:ascii="仿宋" w:hAnsi="仿宋" w:eastAsia="仿宋" w:cs="仿宋"/>
          <w:color w:val="FF0000"/>
          <w:kern w:val="2"/>
          <w:sz w:val="24"/>
          <w:szCs w:val="24"/>
          <w:highlight w:val="none"/>
          <w:lang w:val="en-US" w:eastAsia="zh-CN" w:bidi="ar-SA"/>
        </w:rPr>
        <w:t>5.4各包件配送服务内容如下，采购需求中未特别提及的采购需求部分为对3个包的共同要求</w:t>
      </w:r>
      <w:r>
        <w:rPr>
          <w:rFonts w:hint="eastAsia" w:ascii="仿宋" w:hAnsi="仿宋" w:eastAsia="仿宋" w:cs="仿宋"/>
          <w:color w:val="FF0000"/>
          <w:kern w:val="1"/>
          <w:sz w:val="24"/>
          <w:szCs w:val="24"/>
          <w:highlight w:val="none"/>
          <w:lang w:val="en-US" w:eastAsia="zh-CN" w:bidi="ar-SA"/>
        </w:rPr>
        <w:t>：</w:t>
      </w:r>
    </w:p>
    <w:tbl>
      <w:tblPr>
        <w:tblStyle w:val="6"/>
        <w:tblW w:w="499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8"/>
        <w:gridCol w:w="5233"/>
        <w:gridCol w:w="2372"/>
      </w:tblGrid>
      <w:tr w14:paraId="41F501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2" w:hRule="atLeast"/>
          <w:jc w:val="center"/>
        </w:trPr>
        <w:tc>
          <w:tcPr>
            <w:tcW w:w="533" w:type="pct"/>
            <w:noWrap w:val="0"/>
            <w:vAlign w:val="center"/>
          </w:tcPr>
          <w:p w14:paraId="14DDADF8">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auto"/>
              <w:rPr>
                <w:rFonts w:hint="default"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包件</w:t>
            </w:r>
          </w:p>
        </w:tc>
        <w:tc>
          <w:tcPr>
            <w:tcW w:w="3073" w:type="pct"/>
            <w:noWrap w:val="0"/>
            <w:vAlign w:val="center"/>
          </w:tcPr>
          <w:p w14:paraId="16D0A031">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kern w:val="0"/>
                <w:sz w:val="24"/>
                <w:szCs w:val="24"/>
                <w:highlight w:val="none"/>
                <w:lang w:val="en-US" w:eastAsia="zh-CN" w:bidi="ar"/>
              </w:rPr>
              <w:t>采购内容</w:t>
            </w:r>
          </w:p>
        </w:tc>
        <w:tc>
          <w:tcPr>
            <w:tcW w:w="1393" w:type="pct"/>
            <w:noWrap w:val="0"/>
            <w:vAlign w:val="center"/>
          </w:tcPr>
          <w:p w14:paraId="4A72208F">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auto"/>
              <w:rPr>
                <w:rFonts w:hint="default"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预算</w:t>
            </w:r>
          </w:p>
        </w:tc>
      </w:tr>
      <w:tr w14:paraId="058C30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2" w:hRule="atLeast"/>
          <w:jc w:val="center"/>
        </w:trPr>
        <w:tc>
          <w:tcPr>
            <w:tcW w:w="533" w:type="pct"/>
            <w:noWrap w:val="0"/>
            <w:vAlign w:val="center"/>
          </w:tcPr>
          <w:p w14:paraId="3A87B44B">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auto"/>
              <w:rPr>
                <w:rFonts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包1</w:t>
            </w:r>
          </w:p>
        </w:tc>
        <w:tc>
          <w:tcPr>
            <w:tcW w:w="3073" w:type="pct"/>
            <w:noWrap w:val="0"/>
            <w:vAlign w:val="center"/>
          </w:tcPr>
          <w:p w14:paraId="13A0C891">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auto"/>
              <w:rPr>
                <w:rFonts w:hint="default"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蔬菜类、水果类采购及配送</w:t>
            </w:r>
          </w:p>
        </w:tc>
        <w:tc>
          <w:tcPr>
            <w:tcW w:w="1393" w:type="pct"/>
            <w:noWrap w:val="0"/>
            <w:vAlign w:val="center"/>
          </w:tcPr>
          <w:p w14:paraId="0EF0954F">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auto"/>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252万元/年，共2年</w:t>
            </w:r>
          </w:p>
        </w:tc>
      </w:tr>
      <w:tr w14:paraId="61B731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2" w:hRule="atLeast"/>
          <w:jc w:val="center"/>
        </w:trPr>
        <w:tc>
          <w:tcPr>
            <w:tcW w:w="533" w:type="pct"/>
            <w:noWrap w:val="0"/>
            <w:vAlign w:val="center"/>
          </w:tcPr>
          <w:p w14:paraId="7AE6FE1C">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auto"/>
              <w:rPr>
                <w:rFonts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包2</w:t>
            </w:r>
          </w:p>
        </w:tc>
        <w:tc>
          <w:tcPr>
            <w:tcW w:w="3073" w:type="pct"/>
            <w:noWrap w:val="0"/>
            <w:vAlign w:val="center"/>
          </w:tcPr>
          <w:p w14:paraId="65E14B86">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auto"/>
              <w:rPr>
                <w:rFonts w:hint="default"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肉类、禽类、蛋类、水产类、冻货类采购及配送</w:t>
            </w:r>
          </w:p>
        </w:tc>
        <w:tc>
          <w:tcPr>
            <w:tcW w:w="1393" w:type="pct"/>
            <w:noWrap w:val="0"/>
            <w:vAlign w:val="center"/>
          </w:tcPr>
          <w:p w14:paraId="66EBB3A7">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auto"/>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450万元/年，共2年</w:t>
            </w:r>
          </w:p>
        </w:tc>
      </w:tr>
      <w:tr w14:paraId="1861FD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13" w:hRule="atLeast"/>
          <w:jc w:val="center"/>
        </w:trPr>
        <w:tc>
          <w:tcPr>
            <w:tcW w:w="533" w:type="pct"/>
            <w:noWrap w:val="0"/>
            <w:vAlign w:val="center"/>
          </w:tcPr>
          <w:p w14:paraId="3A8A983C">
            <w:pPr>
              <w:keepNext w:val="0"/>
              <w:keepLines w:val="0"/>
              <w:pageBreakBefore w:val="0"/>
              <w:widowControl/>
              <w:suppressLineNumbers w:val="0"/>
              <w:kinsoku/>
              <w:wordWrap/>
              <w:overflowPunct/>
              <w:topLinePunct w:val="0"/>
              <w:autoSpaceDE/>
              <w:autoSpaceDN/>
              <w:bidi w:val="0"/>
              <w:adjustRightInd/>
              <w:snapToGrid/>
              <w:spacing w:after="160" w:line="240" w:lineRule="auto"/>
              <w:jc w:val="center"/>
              <w:textAlignment w:val="auto"/>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包3</w:t>
            </w:r>
          </w:p>
        </w:tc>
        <w:tc>
          <w:tcPr>
            <w:tcW w:w="3073" w:type="pct"/>
            <w:noWrap w:val="0"/>
            <w:vAlign w:val="center"/>
          </w:tcPr>
          <w:p w14:paraId="122D7E62">
            <w:pPr>
              <w:keepNext w:val="0"/>
              <w:keepLines w:val="0"/>
              <w:pageBreakBefore w:val="0"/>
              <w:widowControl/>
              <w:suppressLineNumbers w:val="0"/>
              <w:kinsoku/>
              <w:wordWrap/>
              <w:overflowPunct/>
              <w:topLinePunct w:val="0"/>
              <w:autoSpaceDE/>
              <w:autoSpaceDN/>
              <w:bidi w:val="0"/>
              <w:adjustRightInd/>
              <w:snapToGrid/>
              <w:spacing w:after="160" w:line="240" w:lineRule="auto"/>
              <w:jc w:val="center"/>
              <w:textAlignment w:val="auto"/>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米、面、油、干杂、牛奶、面包、饮料、调料、食堂耗材采购及配送</w:t>
            </w:r>
          </w:p>
        </w:tc>
        <w:tc>
          <w:tcPr>
            <w:tcW w:w="1393" w:type="pct"/>
            <w:noWrap w:val="0"/>
            <w:vAlign w:val="center"/>
          </w:tcPr>
          <w:p w14:paraId="00E1844C">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auto"/>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430万元/年，共2年</w:t>
            </w:r>
          </w:p>
        </w:tc>
      </w:tr>
      <w:tr w14:paraId="69D72D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13" w:hRule="atLeast"/>
          <w:jc w:val="center"/>
        </w:trPr>
        <w:tc>
          <w:tcPr>
            <w:tcW w:w="533" w:type="pct"/>
            <w:noWrap w:val="0"/>
            <w:vAlign w:val="center"/>
          </w:tcPr>
          <w:p w14:paraId="694D75DB">
            <w:pPr>
              <w:keepNext w:val="0"/>
              <w:keepLines w:val="0"/>
              <w:pageBreakBefore w:val="0"/>
              <w:widowControl/>
              <w:suppressLineNumbers w:val="0"/>
              <w:kinsoku/>
              <w:wordWrap/>
              <w:overflowPunct/>
              <w:topLinePunct w:val="0"/>
              <w:autoSpaceDE/>
              <w:autoSpaceDN/>
              <w:bidi w:val="0"/>
              <w:adjustRightInd/>
              <w:snapToGrid/>
              <w:spacing w:after="160" w:line="240" w:lineRule="auto"/>
              <w:jc w:val="center"/>
              <w:textAlignment w:val="auto"/>
              <w:rPr>
                <w:rFonts w:hint="eastAsia" w:ascii="仿宋" w:hAnsi="仿宋" w:eastAsia="仿宋" w:cs="仿宋"/>
                <w:color w:val="auto"/>
                <w:kern w:val="0"/>
                <w:sz w:val="24"/>
                <w:szCs w:val="24"/>
                <w:highlight w:val="none"/>
                <w:lang w:val="en-US" w:eastAsia="zh-CN" w:bidi="ar"/>
              </w:rPr>
            </w:pPr>
          </w:p>
        </w:tc>
        <w:tc>
          <w:tcPr>
            <w:tcW w:w="3073" w:type="pct"/>
            <w:noWrap w:val="0"/>
            <w:vAlign w:val="center"/>
          </w:tcPr>
          <w:p w14:paraId="72BC2430">
            <w:pPr>
              <w:keepNext w:val="0"/>
              <w:keepLines w:val="0"/>
              <w:pageBreakBefore w:val="0"/>
              <w:widowControl/>
              <w:suppressLineNumbers w:val="0"/>
              <w:kinsoku/>
              <w:wordWrap/>
              <w:overflowPunct/>
              <w:topLinePunct w:val="0"/>
              <w:autoSpaceDE/>
              <w:autoSpaceDN/>
              <w:bidi w:val="0"/>
              <w:adjustRightInd/>
              <w:snapToGrid/>
              <w:spacing w:after="160" w:line="240" w:lineRule="auto"/>
              <w:jc w:val="center"/>
              <w:textAlignment w:val="auto"/>
              <w:rPr>
                <w:rFonts w:hint="default"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总预算</w:t>
            </w:r>
          </w:p>
        </w:tc>
        <w:tc>
          <w:tcPr>
            <w:tcW w:w="1393" w:type="pct"/>
            <w:noWrap w:val="0"/>
            <w:vAlign w:val="center"/>
          </w:tcPr>
          <w:p w14:paraId="6638833C">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auto"/>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1132万元（人民币）/年，共2年</w:t>
            </w:r>
          </w:p>
        </w:tc>
      </w:tr>
    </w:tbl>
    <w:p w14:paraId="15330D17">
      <w:pPr>
        <w:pageBreakBefore w:val="0"/>
        <w:widowControl w:val="0"/>
        <w:kinsoku/>
        <w:wordWrap/>
        <w:overflowPunct/>
        <w:topLinePunct w:val="0"/>
        <w:autoSpaceDE/>
        <w:autoSpaceDN/>
        <w:bidi w:val="0"/>
        <w:adjustRightInd/>
        <w:snapToGrid/>
        <w:spacing w:after="120" w:line="360" w:lineRule="auto"/>
        <w:ind w:right="0" w:firstLine="480"/>
        <w:jc w:val="both"/>
        <w:textAlignment w:val="auto"/>
        <w:rPr>
          <w:rFonts w:hint="default" w:ascii="仿宋" w:hAnsi="仿宋" w:eastAsia="仿宋" w:cs="仿宋"/>
          <w:color w:val="auto"/>
          <w:kern w:val="2"/>
          <w:sz w:val="24"/>
          <w:szCs w:val="24"/>
          <w:highlight w:val="none"/>
          <w:lang w:val="en-US" w:eastAsia="zh-CN" w:bidi="ar-SA"/>
        </w:rPr>
      </w:pPr>
    </w:p>
    <w:p w14:paraId="229EE233">
      <w:pPr>
        <w:pageBreakBefore w:val="0"/>
        <w:widowControl w:val="0"/>
        <w:kinsoku/>
        <w:wordWrap/>
        <w:overflowPunct/>
        <w:topLinePunct w:val="0"/>
        <w:autoSpaceDE/>
        <w:autoSpaceDN/>
        <w:bidi w:val="0"/>
        <w:adjustRightInd/>
        <w:snapToGrid/>
        <w:spacing w:after="120" w:line="360" w:lineRule="auto"/>
        <w:ind w:right="0" w:firstLine="480"/>
        <w:jc w:val="both"/>
        <w:textAlignment w:val="auto"/>
        <w:rPr>
          <w:rFonts w:hint="default" w:ascii="仿宋" w:hAnsi="仿宋" w:eastAsia="仿宋" w:cs="仿宋"/>
          <w:color w:val="auto"/>
          <w:kern w:val="2"/>
          <w:sz w:val="24"/>
          <w:szCs w:val="24"/>
          <w:highlight w:val="none"/>
          <w:lang w:val="en-US" w:eastAsia="zh-CN" w:bidi="ar-SA"/>
        </w:rPr>
      </w:pPr>
    </w:p>
    <w:p w14:paraId="14537E06">
      <w:pPr>
        <w:widowControl/>
        <w:numPr>
          <w:ilvl w:val="0"/>
          <w:numId w:val="0"/>
        </w:numPr>
        <w:adjustRightInd/>
        <w:snapToGrid/>
        <w:spacing w:after="160" w:line="259" w:lineRule="auto"/>
        <w:ind w:leftChars="200"/>
        <w:textAlignment w:val="baseline"/>
        <w:rPr>
          <w:rFonts w:hint="default" w:ascii="仿宋" w:hAnsi="仿宋" w:eastAsia="仿宋" w:cs="仿宋"/>
          <w:color w:val="auto"/>
          <w:sz w:val="24"/>
          <w:szCs w:val="24"/>
          <w:highlight w:val="none"/>
          <w:lang w:val="en-US" w:eastAsia="zh-CN"/>
        </w:rPr>
      </w:pPr>
    </w:p>
    <w:p w14:paraId="79D43AB6">
      <w:pPr>
        <w:pageBreakBefore w:val="0"/>
        <w:widowControl w:val="0"/>
        <w:kinsoku/>
        <w:wordWrap/>
        <w:overflowPunct/>
        <w:topLinePunct w:val="0"/>
        <w:autoSpaceDE/>
        <w:autoSpaceDN/>
        <w:bidi w:val="0"/>
        <w:adjustRightInd/>
        <w:snapToGrid/>
        <w:spacing w:after="120" w:line="360" w:lineRule="auto"/>
        <w:ind w:right="0"/>
        <w:jc w:val="both"/>
        <w:textAlignment w:val="auto"/>
        <w:outlineLvl w:val="0"/>
        <w:rPr>
          <w:rFonts w:hint="eastAsia" w:ascii="仿宋" w:hAnsi="仿宋" w:eastAsia="仿宋" w:cs="仿宋"/>
          <w:color w:val="auto"/>
          <w:kern w:val="2"/>
          <w:sz w:val="24"/>
          <w:szCs w:val="24"/>
          <w:highlight w:val="none"/>
          <w:lang w:val="en-US" w:eastAsia="zh-CN" w:bidi="ar-SA"/>
        </w:rPr>
      </w:pPr>
      <w:bookmarkStart w:id="1" w:name="_Toc23799"/>
      <w:bookmarkStart w:id="2" w:name="_Toc24341"/>
      <w:r>
        <w:rPr>
          <w:rFonts w:hint="eastAsia" w:ascii="仿宋" w:hAnsi="仿宋" w:eastAsia="仿宋" w:cs="仿宋"/>
          <w:color w:val="auto"/>
          <w:kern w:val="2"/>
          <w:sz w:val="24"/>
          <w:szCs w:val="24"/>
          <w:highlight w:val="none"/>
          <w:lang w:val="en-US" w:eastAsia="zh-CN" w:bidi="ar-SA"/>
        </w:rPr>
        <w:t>附件：食堂食材和低耗材料配送综合测评表（满分100分）</w:t>
      </w:r>
      <w:bookmarkEnd w:id="1"/>
      <w:bookmarkEnd w:id="2"/>
    </w:p>
    <w:p w14:paraId="18042DCD">
      <w:pPr>
        <w:spacing w:after="120" w:line="307" w:lineRule="exact"/>
        <w:jc w:val="both"/>
        <w:textAlignment w:val="baseline"/>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br w:type="page"/>
      </w:r>
      <w:r>
        <w:rPr>
          <w:rFonts w:hint="eastAsia" w:ascii="仿宋" w:hAnsi="仿宋" w:eastAsia="仿宋" w:cs="仿宋"/>
          <w:color w:val="auto"/>
          <w:kern w:val="2"/>
          <w:sz w:val="24"/>
          <w:szCs w:val="24"/>
          <w:highlight w:val="none"/>
          <w:lang w:val="en-US" w:eastAsia="zh-CN" w:bidi="ar-SA"/>
        </w:rPr>
        <w:t>附件</w:t>
      </w:r>
    </w:p>
    <w:p w14:paraId="7C8D72F8">
      <w:pPr>
        <w:keepNext/>
        <w:keepLines/>
        <w:numPr>
          <w:ilvl w:val="1"/>
          <w:numId w:val="3"/>
        </w:numPr>
        <w:spacing w:before="243" w:after="260" w:line="259" w:lineRule="auto"/>
        <w:jc w:val="center"/>
        <w:textAlignment w:val="baseline"/>
        <w:outlineLvl w:val="1"/>
        <w:rPr>
          <w:rFonts w:hint="eastAsia" w:ascii="仿宋" w:hAnsi="仿宋" w:eastAsia="仿宋" w:cs="仿宋"/>
          <w:b/>
          <w:bCs/>
          <w:color w:val="auto"/>
          <w:kern w:val="2"/>
          <w:sz w:val="24"/>
          <w:szCs w:val="24"/>
          <w:highlight w:val="none"/>
          <w:lang w:val="en-US" w:eastAsia="zh-CN" w:bidi="ar-SA"/>
        </w:rPr>
      </w:pPr>
      <w:bookmarkStart w:id="3" w:name="_Toc10844"/>
      <w:r>
        <w:rPr>
          <w:rFonts w:hint="eastAsia" w:ascii="仿宋" w:hAnsi="仿宋" w:eastAsia="仿宋" w:cs="仿宋"/>
          <w:b/>
          <w:bCs/>
          <w:color w:val="auto"/>
          <w:kern w:val="2"/>
          <w:sz w:val="24"/>
          <w:szCs w:val="24"/>
          <w:highlight w:val="none"/>
          <w:lang w:val="en-US" w:eastAsia="zh-CN" w:bidi="ar-SA"/>
        </w:rPr>
        <w:t>食堂食材和低耗材料配送综合测评表（满分 100 分）</w:t>
      </w:r>
      <w:bookmarkEnd w:id="3"/>
    </w:p>
    <w:p w14:paraId="3B07E73E">
      <w:pPr>
        <w:spacing w:after="120" w:line="259" w:lineRule="auto"/>
        <w:jc w:val="both"/>
        <w:textAlignment w:val="baseline"/>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单位领导：配送企业名称：</w:t>
      </w:r>
    </w:p>
    <w:p w14:paraId="5C286F94">
      <w:pPr>
        <w:spacing w:before="182" w:after="120" w:line="259" w:lineRule="auto"/>
        <w:jc w:val="both"/>
        <w:textAlignment w:val="baseline"/>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考核负责人：填表时间：年月日</w:t>
      </w:r>
    </w:p>
    <w:p w14:paraId="74CDDCA7">
      <w:pPr>
        <w:spacing w:before="1" w:after="120" w:line="259" w:lineRule="auto"/>
        <w:ind w:left="0"/>
        <w:jc w:val="both"/>
        <w:textAlignment w:val="baseline"/>
        <w:rPr>
          <w:rFonts w:hint="eastAsia" w:ascii="仿宋" w:hAnsi="仿宋" w:eastAsia="仿宋" w:cs="仿宋"/>
          <w:color w:val="auto"/>
          <w:kern w:val="2"/>
          <w:sz w:val="24"/>
          <w:szCs w:val="24"/>
          <w:highlight w:val="none"/>
          <w:lang w:val="en-US" w:eastAsia="zh-CN" w:bidi="ar-SA"/>
        </w:rPr>
      </w:pPr>
    </w:p>
    <w:tbl>
      <w:tblPr>
        <w:tblStyle w:val="6"/>
        <w:tblW w:w="5176"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499"/>
        <w:gridCol w:w="886"/>
        <w:gridCol w:w="1339"/>
        <w:gridCol w:w="5180"/>
        <w:gridCol w:w="705"/>
      </w:tblGrid>
      <w:tr w14:paraId="55DC12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1" w:hRule="atLeast"/>
        </w:trPr>
        <w:tc>
          <w:tcPr>
            <w:tcW w:w="260" w:type="pct"/>
            <w:noWrap w:val="0"/>
            <w:vAlign w:val="top"/>
          </w:tcPr>
          <w:p w14:paraId="70328F0B">
            <w:pPr>
              <w:keepNext w:val="0"/>
              <w:keepLines w:val="0"/>
              <w:pageBreakBefore w:val="0"/>
              <w:widowControl/>
              <w:kinsoku/>
              <w:wordWrap/>
              <w:overflowPunct/>
              <w:topLinePunct w:val="0"/>
              <w:autoSpaceDE/>
              <w:autoSpaceDN/>
              <w:bidi w:val="0"/>
              <w:adjustRightInd/>
              <w:snapToGrid/>
              <w:spacing w:before="0" w:after="160" w:line="240" w:lineRule="auto"/>
              <w:ind w:left="130" w:right="119"/>
              <w:jc w:val="center"/>
              <w:textAlignment w:val="baseline"/>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序号</w:t>
            </w:r>
          </w:p>
        </w:tc>
        <w:tc>
          <w:tcPr>
            <w:tcW w:w="522" w:type="pct"/>
            <w:noWrap w:val="0"/>
            <w:vAlign w:val="top"/>
          </w:tcPr>
          <w:p w14:paraId="1FCD4FB4">
            <w:pPr>
              <w:keepNext w:val="0"/>
              <w:keepLines w:val="0"/>
              <w:pageBreakBefore w:val="0"/>
              <w:widowControl/>
              <w:kinsoku/>
              <w:wordWrap/>
              <w:overflowPunct/>
              <w:topLinePunct w:val="0"/>
              <w:autoSpaceDE/>
              <w:autoSpaceDN/>
              <w:bidi w:val="0"/>
              <w:adjustRightInd/>
              <w:snapToGrid/>
              <w:spacing w:before="0" w:after="160" w:line="240" w:lineRule="auto"/>
              <w:ind w:left="113" w:right="104"/>
              <w:jc w:val="center"/>
              <w:textAlignment w:val="baseline"/>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测评项目</w:t>
            </w:r>
          </w:p>
        </w:tc>
        <w:tc>
          <w:tcPr>
            <w:tcW w:w="785" w:type="pct"/>
            <w:noWrap w:val="0"/>
            <w:vAlign w:val="top"/>
          </w:tcPr>
          <w:p w14:paraId="17FE63B5">
            <w:pPr>
              <w:keepNext w:val="0"/>
              <w:keepLines w:val="0"/>
              <w:pageBreakBefore w:val="0"/>
              <w:widowControl/>
              <w:kinsoku/>
              <w:wordWrap/>
              <w:overflowPunct/>
              <w:topLinePunct w:val="0"/>
              <w:autoSpaceDE/>
              <w:autoSpaceDN/>
              <w:bidi w:val="0"/>
              <w:adjustRightInd/>
              <w:snapToGrid/>
              <w:spacing w:before="0" w:after="160" w:line="240" w:lineRule="auto"/>
              <w:ind w:left="58" w:right="50"/>
              <w:jc w:val="center"/>
              <w:textAlignment w:val="baseline"/>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分值</w:t>
            </w:r>
          </w:p>
        </w:tc>
        <w:tc>
          <w:tcPr>
            <w:tcW w:w="3015" w:type="pct"/>
            <w:noWrap w:val="0"/>
            <w:vAlign w:val="top"/>
          </w:tcPr>
          <w:p w14:paraId="3C4AD636">
            <w:pPr>
              <w:keepNext w:val="0"/>
              <w:keepLines w:val="0"/>
              <w:pageBreakBefore w:val="0"/>
              <w:widowControl/>
              <w:kinsoku/>
              <w:wordWrap/>
              <w:overflowPunct/>
              <w:topLinePunct w:val="0"/>
              <w:autoSpaceDE/>
              <w:autoSpaceDN/>
              <w:bidi w:val="0"/>
              <w:adjustRightInd/>
              <w:snapToGrid/>
              <w:spacing w:before="0" w:after="160" w:line="240" w:lineRule="auto"/>
              <w:ind w:left="0" w:right="0"/>
              <w:jc w:val="center"/>
              <w:textAlignment w:val="baseline"/>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评分细则</w:t>
            </w:r>
          </w:p>
        </w:tc>
        <w:tc>
          <w:tcPr>
            <w:tcW w:w="416" w:type="pct"/>
            <w:noWrap w:val="0"/>
            <w:vAlign w:val="top"/>
          </w:tcPr>
          <w:p w14:paraId="74B33CC1">
            <w:pPr>
              <w:keepNext w:val="0"/>
              <w:keepLines w:val="0"/>
              <w:pageBreakBefore w:val="0"/>
              <w:widowControl/>
              <w:kinsoku/>
              <w:wordWrap/>
              <w:overflowPunct/>
              <w:topLinePunct w:val="0"/>
              <w:autoSpaceDE/>
              <w:autoSpaceDN/>
              <w:bidi w:val="0"/>
              <w:adjustRightInd/>
              <w:snapToGrid/>
              <w:spacing w:before="0" w:after="160" w:line="240" w:lineRule="auto"/>
              <w:ind w:left="133" w:right="124"/>
              <w:jc w:val="center"/>
              <w:textAlignment w:val="baseline"/>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测评得分</w:t>
            </w:r>
          </w:p>
        </w:tc>
      </w:tr>
      <w:tr w14:paraId="3805F1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260" w:type="pct"/>
            <w:noWrap w:val="0"/>
            <w:vAlign w:val="center"/>
          </w:tcPr>
          <w:p w14:paraId="0A591C4B">
            <w:pPr>
              <w:keepNext w:val="0"/>
              <w:keepLines w:val="0"/>
              <w:pageBreakBefore w:val="0"/>
              <w:widowControl/>
              <w:kinsoku/>
              <w:wordWrap/>
              <w:overflowPunct/>
              <w:topLinePunct w:val="0"/>
              <w:autoSpaceDE/>
              <w:autoSpaceDN/>
              <w:bidi w:val="0"/>
              <w:adjustRightInd/>
              <w:snapToGrid/>
              <w:spacing w:before="0" w:after="0" w:line="360" w:lineRule="auto"/>
              <w:ind w:left="130" w:right="0"/>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w:t>
            </w:r>
          </w:p>
        </w:tc>
        <w:tc>
          <w:tcPr>
            <w:tcW w:w="522" w:type="pct"/>
            <w:noWrap w:val="0"/>
            <w:vAlign w:val="center"/>
          </w:tcPr>
          <w:p w14:paraId="60FDBEE9">
            <w:pPr>
              <w:keepNext w:val="0"/>
              <w:keepLines w:val="0"/>
              <w:pageBreakBefore w:val="0"/>
              <w:widowControl/>
              <w:kinsoku/>
              <w:wordWrap/>
              <w:overflowPunct/>
              <w:topLinePunct w:val="0"/>
              <w:autoSpaceDE/>
              <w:autoSpaceDN/>
              <w:bidi w:val="0"/>
              <w:adjustRightInd/>
              <w:snapToGrid/>
              <w:spacing w:before="0" w:after="0" w:line="240" w:lineRule="auto"/>
              <w:ind w:left="113" w:right="0"/>
              <w:jc w:val="center"/>
              <w:textAlignment w:val="auto"/>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spacing w:val="-9"/>
                <w:kern w:val="2"/>
                <w:sz w:val="24"/>
                <w:szCs w:val="24"/>
                <w:highlight w:val="none"/>
                <w:lang w:val="en-US" w:eastAsia="zh-CN" w:bidi="ar-SA"/>
              </w:rPr>
              <w:t>报价及对</w:t>
            </w:r>
            <w:r>
              <w:rPr>
                <w:rFonts w:hint="eastAsia" w:ascii="仿宋" w:hAnsi="仿宋" w:eastAsia="仿宋" w:cs="仿宋"/>
                <w:color w:val="auto"/>
                <w:kern w:val="2"/>
                <w:sz w:val="24"/>
                <w:szCs w:val="24"/>
                <w:highlight w:val="none"/>
                <w:lang w:val="en-US" w:eastAsia="zh-CN" w:bidi="ar-SA"/>
              </w:rPr>
              <w:t>账5%</w:t>
            </w:r>
          </w:p>
        </w:tc>
        <w:tc>
          <w:tcPr>
            <w:tcW w:w="785" w:type="pct"/>
            <w:noWrap w:val="0"/>
            <w:vAlign w:val="center"/>
          </w:tcPr>
          <w:p w14:paraId="3D4893FD">
            <w:pPr>
              <w:keepNext w:val="0"/>
              <w:keepLines w:val="0"/>
              <w:pageBreakBefore w:val="0"/>
              <w:widowControl/>
              <w:kinsoku/>
              <w:wordWrap/>
              <w:overflowPunct/>
              <w:topLinePunct w:val="0"/>
              <w:autoSpaceDE/>
              <w:autoSpaceDN/>
              <w:bidi w:val="0"/>
              <w:adjustRightInd/>
              <w:snapToGrid/>
              <w:spacing w:before="197" w:after="0" w:line="360" w:lineRule="auto"/>
              <w:ind w:right="0"/>
              <w:jc w:val="center"/>
              <w:textAlignment w:val="auto"/>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5分</w:t>
            </w:r>
          </w:p>
        </w:tc>
        <w:tc>
          <w:tcPr>
            <w:tcW w:w="3015" w:type="pct"/>
            <w:noWrap w:val="0"/>
            <w:vAlign w:val="center"/>
          </w:tcPr>
          <w:p w14:paraId="306D497A">
            <w:pPr>
              <w:keepNext w:val="0"/>
              <w:keepLines w:val="0"/>
              <w:pageBreakBefore w:val="0"/>
              <w:widowControl/>
              <w:suppressLineNumbers w:val="0"/>
              <w:kinsoku/>
              <w:wordWrap/>
              <w:overflowPunct/>
              <w:topLinePunct w:val="0"/>
              <w:autoSpaceDE/>
              <w:autoSpaceDN/>
              <w:bidi w:val="0"/>
              <w:adjustRightInd/>
              <w:snapToGrid/>
              <w:spacing w:after="0" w:line="240" w:lineRule="auto"/>
              <w:ind w:right="0"/>
              <w:jc w:val="left"/>
              <w:textAlignment w:val="auto"/>
              <w:rPr>
                <w:rFonts w:hint="eastAsia" w:ascii="仿宋" w:hAnsi="仿宋" w:eastAsia="仿宋" w:cs="仿宋"/>
                <w:color w:val="auto"/>
                <w:sz w:val="24"/>
                <w:szCs w:val="24"/>
                <w:highlight w:val="none"/>
              </w:rPr>
            </w:pPr>
            <w:r>
              <w:rPr>
                <w:rFonts w:ascii="仿宋" w:hAnsi="仿宋" w:eastAsia="仿宋" w:cs="仿宋"/>
                <w:color w:val="auto"/>
                <w:kern w:val="0"/>
                <w:sz w:val="24"/>
                <w:szCs w:val="24"/>
                <w:highlight w:val="none"/>
                <w:lang w:val="en-US" w:eastAsia="zh-CN" w:bidi="ar"/>
              </w:rPr>
              <w:t>1.没有按照规定时间报价的，一次扣 2 分；2.配送供应</w:t>
            </w:r>
            <w:r>
              <w:rPr>
                <w:rFonts w:hint="eastAsia" w:ascii="仿宋" w:hAnsi="仿宋" w:eastAsia="仿宋" w:cs="仿宋"/>
                <w:color w:val="auto"/>
                <w:kern w:val="0"/>
                <w:sz w:val="24"/>
                <w:szCs w:val="24"/>
                <w:highlight w:val="none"/>
                <w:lang w:val="en-US" w:eastAsia="zh-CN" w:bidi="ar"/>
              </w:rPr>
              <w:t>商对于绵阳市发展和改革委员会网站未公布的配送产品的报价超过采购人询价后的报价的，一次扣 2 分； 3.因供应商原因将对账时间每逾期一天扣 0.5 分；付款资料每逾期一个工作日扣 0.2 分。</w:t>
            </w:r>
          </w:p>
        </w:tc>
        <w:tc>
          <w:tcPr>
            <w:tcW w:w="416" w:type="pct"/>
            <w:noWrap w:val="0"/>
            <w:vAlign w:val="top"/>
          </w:tcPr>
          <w:p w14:paraId="748076E1">
            <w:pPr>
              <w:spacing w:before="23" w:after="160" w:line="320" w:lineRule="atLeast"/>
              <w:ind w:right="124"/>
              <w:jc w:val="both"/>
              <w:textAlignment w:val="baseline"/>
              <w:rPr>
                <w:rFonts w:hint="eastAsia" w:ascii="仿宋" w:hAnsi="仿宋" w:eastAsia="仿宋" w:cs="仿宋"/>
                <w:color w:val="auto"/>
                <w:kern w:val="2"/>
                <w:sz w:val="24"/>
                <w:szCs w:val="24"/>
                <w:highlight w:val="none"/>
                <w:lang w:val="en-US" w:eastAsia="zh-CN" w:bidi="ar-SA"/>
              </w:rPr>
            </w:pPr>
          </w:p>
        </w:tc>
      </w:tr>
      <w:tr w14:paraId="5C8DF5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23" w:hRule="atLeast"/>
        </w:trPr>
        <w:tc>
          <w:tcPr>
            <w:tcW w:w="260" w:type="pct"/>
            <w:noWrap w:val="0"/>
            <w:vAlign w:val="center"/>
          </w:tcPr>
          <w:p w14:paraId="532696CB">
            <w:pPr>
              <w:keepNext w:val="0"/>
              <w:keepLines w:val="0"/>
              <w:pageBreakBefore w:val="0"/>
              <w:widowControl/>
              <w:kinsoku/>
              <w:wordWrap/>
              <w:overflowPunct/>
              <w:topLinePunct w:val="0"/>
              <w:autoSpaceDE/>
              <w:autoSpaceDN/>
              <w:bidi w:val="0"/>
              <w:adjustRightInd/>
              <w:snapToGrid/>
              <w:spacing w:before="0" w:after="0" w:line="360" w:lineRule="auto"/>
              <w:ind w:right="0"/>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2</w:t>
            </w:r>
          </w:p>
        </w:tc>
        <w:tc>
          <w:tcPr>
            <w:tcW w:w="522" w:type="pct"/>
            <w:noWrap w:val="0"/>
            <w:vAlign w:val="center"/>
          </w:tcPr>
          <w:p w14:paraId="4944A565">
            <w:pPr>
              <w:keepNext w:val="0"/>
              <w:keepLines w:val="0"/>
              <w:pageBreakBefore w:val="0"/>
              <w:widowControl/>
              <w:suppressLineNumbers w:val="0"/>
              <w:kinsoku/>
              <w:wordWrap/>
              <w:overflowPunct/>
              <w:topLinePunct w:val="0"/>
              <w:autoSpaceDE/>
              <w:autoSpaceDN/>
              <w:bidi w:val="0"/>
              <w:adjustRightInd/>
              <w:snapToGrid/>
              <w:spacing w:line="240" w:lineRule="auto"/>
              <w:ind w:right="0"/>
              <w:jc w:val="center"/>
              <w:textAlignment w:val="auto"/>
              <w:rPr>
                <w:rFonts w:hint="eastAsia" w:ascii="仿宋" w:hAnsi="仿宋" w:eastAsia="仿宋" w:cs="仿宋"/>
                <w:color w:val="auto"/>
                <w:sz w:val="24"/>
                <w:szCs w:val="24"/>
                <w:highlight w:val="none"/>
              </w:rPr>
            </w:pPr>
            <w:r>
              <w:rPr>
                <w:rFonts w:ascii="仿宋" w:hAnsi="仿宋" w:eastAsia="仿宋" w:cs="仿宋"/>
                <w:color w:val="auto"/>
                <w:kern w:val="0"/>
                <w:sz w:val="24"/>
                <w:szCs w:val="24"/>
                <w:highlight w:val="none"/>
                <w:lang w:val="en-US" w:eastAsia="zh-CN" w:bidi="ar"/>
              </w:rPr>
              <w:t>人员</w:t>
            </w:r>
            <w:r>
              <w:rPr>
                <w:rFonts w:hint="eastAsia" w:ascii="仿宋" w:hAnsi="仿宋" w:eastAsia="仿宋" w:cs="仿宋"/>
                <w:color w:val="auto"/>
                <w:kern w:val="0"/>
                <w:sz w:val="24"/>
                <w:szCs w:val="24"/>
                <w:highlight w:val="none"/>
                <w:lang w:val="en-US" w:eastAsia="zh-CN" w:bidi="ar"/>
              </w:rPr>
              <w:t>3%</w:t>
            </w:r>
          </w:p>
        </w:tc>
        <w:tc>
          <w:tcPr>
            <w:tcW w:w="785" w:type="pct"/>
            <w:noWrap w:val="0"/>
            <w:vAlign w:val="center"/>
          </w:tcPr>
          <w:p w14:paraId="2A19DDBE">
            <w:pPr>
              <w:keepNext w:val="0"/>
              <w:keepLines w:val="0"/>
              <w:pageBreakBefore w:val="0"/>
              <w:widowControl/>
              <w:kinsoku/>
              <w:wordWrap/>
              <w:overflowPunct/>
              <w:topLinePunct w:val="0"/>
              <w:autoSpaceDE/>
              <w:autoSpaceDN/>
              <w:bidi w:val="0"/>
              <w:adjustRightInd/>
              <w:snapToGrid/>
              <w:spacing w:after="0" w:line="360" w:lineRule="auto"/>
              <w:ind w:right="0"/>
              <w:jc w:val="center"/>
              <w:textAlignment w:val="auto"/>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3分</w:t>
            </w:r>
          </w:p>
        </w:tc>
        <w:tc>
          <w:tcPr>
            <w:tcW w:w="3015" w:type="pct"/>
            <w:noWrap w:val="0"/>
            <w:vAlign w:val="center"/>
          </w:tcPr>
          <w:p w14:paraId="5B9F73C1">
            <w:pPr>
              <w:keepNext w:val="0"/>
              <w:keepLines w:val="0"/>
              <w:pageBreakBefore w:val="0"/>
              <w:widowControl/>
              <w:suppressLineNumbers w:val="0"/>
              <w:kinsoku/>
              <w:wordWrap/>
              <w:overflowPunct/>
              <w:topLinePunct w:val="0"/>
              <w:autoSpaceDE/>
              <w:autoSpaceDN/>
              <w:bidi w:val="0"/>
              <w:adjustRightInd/>
              <w:snapToGrid/>
              <w:spacing w:after="0" w:line="240" w:lineRule="auto"/>
              <w:ind w:right="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
              </w:rPr>
              <w:t>配送员工需穿戴工服且衣着整洁，个人清洁卫生干净，佩戴胸牌，每有一样不符合要求一次扣 1 分；抽检配送员工的健康证，无证的一人次扣 3 分，并限期整改。</w:t>
            </w:r>
          </w:p>
        </w:tc>
        <w:tc>
          <w:tcPr>
            <w:tcW w:w="416" w:type="pct"/>
            <w:noWrap w:val="0"/>
            <w:vAlign w:val="top"/>
          </w:tcPr>
          <w:p w14:paraId="02FA5629">
            <w:pPr>
              <w:spacing w:after="160" w:line="259" w:lineRule="auto"/>
              <w:jc w:val="both"/>
              <w:textAlignment w:val="baseline"/>
              <w:rPr>
                <w:rFonts w:hint="eastAsia" w:ascii="仿宋" w:hAnsi="仿宋" w:eastAsia="仿宋" w:cs="仿宋"/>
                <w:color w:val="auto"/>
                <w:kern w:val="2"/>
                <w:sz w:val="24"/>
                <w:szCs w:val="24"/>
                <w:highlight w:val="none"/>
                <w:lang w:val="en-US" w:eastAsia="zh-CN" w:bidi="ar-SA"/>
              </w:rPr>
            </w:pPr>
          </w:p>
        </w:tc>
      </w:tr>
      <w:tr w14:paraId="011D65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2" w:hRule="atLeast"/>
        </w:trPr>
        <w:tc>
          <w:tcPr>
            <w:tcW w:w="260" w:type="pct"/>
            <w:noWrap w:val="0"/>
            <w:vAlign w:val="center"/>
          </w:tcPr>
          <w:p w14:paraId="59B1BD0E">
            <w:pPr>
              <w:keepNext w:val="0"/>
              <w:keepLines w:val="0"/>
              <w:pageBreakBefore w:val="0"/>
              <w:widowControl/>
              <w:kinsoku/>
              <w:wordWrap/>
              <w:overflowPunct/>
              <w:topLinePunct w:val="0"/>
              <w:autoSpaceDE/>
              <w:autoSpaceDN/>
              <w:bidi w:val="0"/>
              <w:adjustRightInd/>
              <w:snapToGrid/>
              <w:spacing w:before="0" w:after="0" w:line="360" w:lineRule="auto"/>
              <w:ind w:right="179"/>
              <w:jc w:val="center"/>
              <w:textAlignment w:val="auto"/>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3</w:t>
            </w:r>
          </w:p>
        </w:tc>
        <w:tc>
          <w:tcPr>
            <w:tcW w:w="522" w:type="pct"/>
            <w:noWrap w:val="0"/>
            <w:vAlign w:val="center"/>
          </w:tcPr>
          <w:p w14:paraId="75A330D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食品质量</w:t>
            </w:r>
          </w:p>
          <w:p w14:paraId="6F05304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40%</w:t>
            </w:r>
          </w:p>
        </w:tc>
        <w:tc>
          <w:tcPr>
            <w:tcW w:w="785" w:type="pct"/>
            <w:noWrap w:val="0"/>
            <w:vAlign w:val="center"/>
          </w:tcPr>
          <w:p w14:paraId="39D06A74">
            <w:pPr>
              <w:keepNext w:val="0"/>
              <w:keepLines w:val="0"/>
              <w:pageBreakBefore w:val="0"/>
              <w:widowControl/>
              <w:kinsoku/>
              <w:wordWrap/>
              <w:overflowPunct/>
              <w:topLinePunct w:val="0"/>
              <w:autoSpaceDE/>
              <w:autoSpaceDN/>
              <w:bidi w:val="0"/>
              <w:adjustRightInd/>
              <w:snapToGrid/>
              <w:spacing w:before="1" w:after="160" w:line="360" w:lineRule="auto"/>
              <w:ind w:left="58" w:right="48"/>
              <w:jc w:val="center"/>
              <w:textAlignment w:val="auto"/>
              <w:rPr>
                <w:rFonts w:hint="default"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40分</w:t>
            </w:r>
          </w:p>
        </w:tc>
        <w:tc>
          <w:tcPr>
            <w:tcW w:w="3015" w:type="pct"/>
            <w:noWrap w:val="0"/>
            <w:vAlign w:val="center"/>
          </w:tcPr>
          <w:p w14:paraId="420EBCD0">
            <w:pPr>
              <w:keepNext w:val="0"/>
              <w:keepLines w:val="0"/>
              <w:pageBreakBefore w:val="0"/>
              <w:widowControl/>
              <w:suppressLineNumbers w:val="0"/>
              <w:kinsoku/>
              <w:wordWrap/>
              <w:overflowPunct/>
              <w:topLinePunct w:val="0"/>
              <w:autoSpaceDE/>
              <w:autoSpaceDN/>
              <w:bidi w:val="0"/>
              <w:adjustRightInd/>
              <w:snapToGrid/>
              <w:spacing w:after="160" w:line="259" w:lineRule="auto"/>
              <w:jc w:val="left"/>
              <w:textAlignment w:val="auto"/>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每个单品每有一项不满足招标文件对于产品质量要求的扣 1 分，本项分值扣完为止。</w:t>
            </w:r>
          </w:p>
        </w:tc>
        <w:tc>
          <w:tcPr>
            <w:tcW w:w="416" w:type="pct"/>
            <w:noWrap w:val="0"/>
            <w:vAlign w:val="top"/>
          </w:tcPr>
          <w:p w14:paraId="12F122AC">
            <w:pPr>
              <w:spacing w:after="160" w:line="259" w:lineRule="auto"/>
              <w:jc w:val="both"/>
              <w:textAlignment w:val="baseline"/>
              <w:rPr>
                <w:rFonts w:hint="eastAsia" w:ascii="仿宋" w:hAnsi="仿宋" w:eastAsia="仿宋" w:cs="仿宋"/>
                <w:color w:val="auto"/>
                <w:kern w:val="2"/>
                <w:sz w:val="24"/>
                <w:szCs w:val="24"/>
                <w:highlight w:val="none"/>
                <w:lang w:val="en-US" w:eastAsia="zh-CN" w:bidi="ar-SA"/>
              </w:rPr>
            </w:pPr>
          </w:p>
        </w:tc>
      </w:tr>
      <w:tr w14:paraId="4AA939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2" w:hRule="atLeast"/>
        </w:trPr>
        <w:tc>
          <w:tcPr>
            <w:tcW w:w="260" w:type="pct"/>
            <w:vMerge w:val="restart"/>
            <w:noWrap w:val="0"/>
            <w:vAlign w:val="center"/>
          </w:tcPr>
          <w:p w14:paraId="4A19E536">
            <w:pPr>
              <w:keepNext w:val="0"/>
              <w:keepLines w:val="0"/>
              <w:pageBreakBefore w:val="0"/>
              <w:widowControl/>
              <w:kinsoku/>
              <w:wordWrap/>
              <w:overflowPunct/>
              <w:topLinePunct w:val="0"/>
              <w:autoSpaceDE/>
              <w:autoSpaceDN/>
              <w:bidi w:val="0"/>
              <w:adjustRightInd/>
              <w:snapToGrid/>
              <w:spacing w:before="0" w:after="0" w:line="360" w:lineRule="auto"/>
              <w:ind w:left="9"/>
              <w:jc w:val="center"/>
              <w:textAlignment w:val="auto"/>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4</w:t>
            </w:r>
          </w:p>
        </w:tc>
        <w:tc>
          <w:tcPr>
            <w:tcW w:w="522" w:type="pct"/>
            <w:vMerge w:val="restart"/>
            <w:noWrap w:val="0"/>
            <w:vAlign w:val="center"/>
          </w:tcPr>
          <w:p w14:paraId="63673E5B">
            <w:pPr>
              <w:keepNext w:val="0"/>
              <w:keepLines w:val="0"/>
              <w:pageBreakBefore w:val="0"/>
              <w:widowControl/>
              <w:kinsoku/>
              <w:wordWrap/>
              <w:overflowPunct/>
              <w:topLinePunct w:val="0"/>
              <w:autoSpaceDE/>
              <w:autoSpaceDN/>
              <w:bidi w:val="0"/>
              <w:adjustRightInd/>
              <w:snapToGrid/>
              <w:spacing w:before="0" w:after="0" w:line="240" w:lineRule="auto"/>
              <w:ind w:left="113" w:right="104"/>
              <w:jc w:val="center"/>
              <w:textAlignment w:val="auto"/>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质量保障28%</w:t>
            </w:r>
          </w:p>
        </w:tc>
        <w:tc>
          <w:tcPr>
            <w:tcW w:w="785" w:type="pct"/>
            <w:noWrap w:val="0"/>
            <w:vAlign w:val="center"/>
          </w:tcPr>
          <w:p w14:paraId="219C271F">
            <w:pPr>
              <w:keepNext w:val="0"/>
              <w:keepLines w:val="0"/>
              <w:pageBreakBefore w:val="0"/>
              <w:widowControl/>
              <w:kinsoku/>
              <w:wordWrap/>
              <w:overflowPunct/>
              <w:topLinePunct w:val="0"/>
              <w:autoSpaceDE/>
              <w:autoSpaceDN/>
              <w:bidi w:val="0"/>
              <w:adjustRightInd/>
              <w:snapToGrid/>
              <w:spacing w:before="0" w:after="0" w:line="360" w:lineRule="auto"/>
              <w:ind w:right="0"/>
              <w:jc w:val="center"/>
              <w:textAlignment w:val="auto"/>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包装与标志（3分）</w:t>
            </w:r>
          </w:p>
        </w:tc>
        <w:tc>
          <w:tcPr>
            <w:tcW w:w="3015" w:type="pct"/>
            <w:noWrap w:val="0"/>
            <w:vAlign w:val="top"/>
          </w:tcPr>
          <w:p w14:paraId="59D0D6E7">
            <w:pPr>
              <w:keepNext w:val="0"/>
              <w:keepLines w:val="0"/>
              <w:pageBreakBefore w:val="0"/>
              <w:widowControl w:val="0"/>
              <w:kinsoku/>
              <w:wordWrap/>
              <w:overflowPunct/>
              <w:topLinePunct w:val="0"/>
              <w:autoSpaceDE/>
              <w:autoSpaceDN/>
              <w:bidi w:val="0"/>
              <w:adjustRightInd/>
              <w:snapToGrid/>
              <w:spacing w:before="0" w:after="0" w:line="240" w:lineRule="auto"/>
              <w:ind w:right="0"/>
              <w:jc w:val="left"/>
              <w:textAlignment w:val="auto"/>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对于没有满足招标文件配送要求中的包装与标志要求的，每缺少 1 样扣 0.5 分，扣完为止，且采购人有权拒收包装及标志不达标的食材。</w:t>
            </w:r>
          </w:p>
        </w:tc>
        <w:tc>
          <w:tcPr>
            <w:tcW w:w="416" w:type="pct"/>
            <w:noWrap w:val="0"/>
            <w:vAlign w:val="top"/>
          </w:tcPr>
          <w:p w14:paraId="0355FA54">
            <w:pPr>
              <w:spacing w:after="160" w:line="259" w:lineRule="auto"/>
              <w:jc w:val="both"/>
              <w:textAlignment w:val="baseline"/>
              <w:rPr>
                <w:rFonts w:hint="eastAsia" w:ascii="仿宋" w:hAnsi="仿宋" w:eastAsia="仿宋" w:cs="仿宋"/>
                <w:color w:val="auto"/>
                <w:kern w:val="2"/>
                <w:sz w:val="24"/>
                <w:szCs w:val="24"/>
                <w:highlight w:val="none"/>
                <w:lang w:val="en-US" w:eastAsia="zh-CN" w:bidi="ar-SA"/>
              </w:rPr>
            </w:pPr>
          </w:p>
        </w:tc>
      </w:tr>
      <w:tr w14:paraId="74AC70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260" w:type="pct"/>
            <w:vMerge w:val="continue"/>
            <w:noWrap w:val="0"/>
            <w:vAlign w:val="center"/>
          </w:tcPr>
          <w:p w14:paraId="14688B26">
            <w:pPr>
              <w:keepNext w:val="0"/>
              <w:keepLines w:val="0"/>
              <w:pageBreakBefore w:val="0"/>
              <w:widowControl/>
              <w:suppressLineNumbers w:val="0"/>
              <w:kinsoku/>
              <w:wordWrap/>
              <w:overflowPunct/>
              <w:topLinePunct w:val="0"/>
              <w:autoSpaceDE/>
              <w:autoSpaceDN/>
              <w:bidi w:val="0"/>
              <w:adjustRightInd/>
              <w:snapToGrid/>
              <w:spacing w:line="360" w:lineRule="auto"/>
              <w:ind w:right="0"/>
              <w:jc w:val="center"/>
              <w:textAlignment w:val="auto"/>
              <w:rPr>
                <w:rFonts w:hint="eastAsia" w:ascii="仿宋" w:hAnsi="仿宋" w:eastAsia="仿宋" w:cs="仿宋"/>
                <w:color w:val="auto"/>
                <w:kern w:val="0"/>
                <w:sz w:val="24"/>
                <w:szCs w:val="24"/>
                <w:highlight w:val="none"/>
                <w:lang w:val="en-US" w:eastAsia="zh-CN" w:bidi="ar"/>
              </w:rPr>
            </w:pPr>
          </w:p>
        </w:tc>
        <w:tc>
          <w:tcPr>
            <w:tcW w:w="522" w:type="pct"/>
            <w:vMerge w:val="continue"/>
            <w:noWrap w:val="0"/>
            <w:vAlign w:val="center"/>
          </w:tcPr>
          <w:p w14:paraId="1CB25218">
            <w:pPr>
              <w:keepNext w:val="0"/>
              <w:keepLines w:val="0"/>
              <w:pageBreakBefore w:val="0"/>
              <w:widowControl/>
              <w:suppressLineNumbers w:val="0"/>
              <w:kinsoku/>
              <w:wordWrap/>
              <w:overflowPunct/>
              <w:topLinePunct w:val="0"/>
              <w:autoSpaceDE/>
              <w:autoSpaceDN/>
              <w:bidi w:val="0"/>
              <w:adjustRightInd/>
              <w:snapToGrid/>
              <w:spacing w:line="240" w:lineRule="auto"/>
              <w:ind w:right="0"/>
              <w:jc w:val="center"/>
              <w:textAlignment w:val="auto"/>
              <w:rPr>
                <w:rFonts w:hint="eastAsia" w:ascii="仿宋" w:hAnsi="仿宋" w:eastAsia="仿宋" w:cs="仿宋"/>
                <w:color w:val="auto"/>
                <w:kern w:val="0"/>
                <w:sz w:val="24"/>
                <w:szCs w:val="24"/>
                <w:highlight w:val="none"/>
                <w:lang w:val="en-US" w:eastAsia="zh-CN" w:bidi="ar"/>
              </w:rPr>
            </w:pPr>
          </w:p>
        </w:tc>
        <w:tc>
          <w:tcPr>
            <w:tcW w:w="785" w:type="pct"/>
            <w:noWrap w:val="0"/>
            <w:vAlign w:val="center"/>
          </w:tcPr>
          <w:p w14:paraId="49816C31">
            <w:pPr>
              <w:keepNext w:val="0"/>
              <w:keepLines w:val="0"/>
              <w:pageBreakBefore w:val="0"/>
              <w:widowControl/>
              <w:suppressLineNumbers w:val="0"/>
              <w:kinsoku/>
              <w:wordWrap/>
              <w:overflowPunct/>
              <w:topLinePunct w:val="0"/>
              <w:autoSpaceDE/>
              <w:autoSpaceDN/>
              <w:bidi w:val="0"/>
              <w:adjustRightInd/>
              <w:snapToGrid/>
              <w:spacing w:after="0" w:line="360" w:lineRule="auto"/>
              <w:ind w:right="0"/>
              <w:jc w:val="center"/>
              <w:textAlignment w:val="auto"/>
              <w:rPr>
                <w:rFonts w:hint="default"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合格证明、检测报告（15分）</w:t>
            </w:r>
          </w:p>
        </w:tc>
        <w:tc>
          <w:tcPr>
            <w:tcW w:w="3015" w:type="pct"/>
            <w:noWrap w:val="0"/>
            <w:vAlign w:val="top"/>
          </w:tcPr>
          <w:p w14:paraId="6FAEC420">
            <w:pPr>
              <w:keepNext w:val="0"/>
              <w:keepLines w:val="0"/>
              <w:pageBreakBefore w:val="0"/>
              <w:widowControl/>
              <w:suppressLineNumbers w:val="0"/>
              <w:kinsoku/>
              <w:wordWrap/>
              <w:overflowPunct/>
              <w:topLinePunct w:val="0"/>
              <w:autoSpaceDE/>
              <w:autoSpaceDN/>
              <w:bidi w:val="0"/>
              <w:adjustRightInd/>
              <w:snapToGrid/>
              <w:spacing w:after="0" w:line="240" w:lineRule="auto"/>
              <w:ind w:right="0"/>
              <w:jc w:val="left"/>
              <w:textAlignment w:val="auto"/>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对于没有满足招标文件配送要求中的产品检验合格报告（证明）要求的，未提供或者提供不全的，每一种食材扣 3 分，扣完为止。</w:t>
            </w:r>
          </w:p>
        </w:tc>
        <w:tc>
          <w:tcPr>
            <w:tcW w:w="416" w:type="pct"/>
            <w:noWrap w:val="0"/>
            <w:vAlign w:val="top"/>
          </w:tcPr>
          <w:p w14:paraId="02E7945A">
            <w:pPr>
              <w:spacing w:after="160" w:line="259" w:lineRule="auto"/>
              <w:jc w:val="both"/>
              <w:textAlignment w:val="baseline"/>
              <w:rPr>
                <w:rFonts w:hint="eastAsia" w:ascii="仿宋" w:hAnsi="仿宋" w:eastAsia="仿宋" w:cs="仿宋"/>
                <w:color w:val="auto"/>
                <w:kern w:val="2"/>
                <w:sz w:val="24"/>
                <w:szCs w:val="24"/>
                <w:highlight w:val="none"/>
                <w:lang w:val="en-US" w:eastAsia="zh-CN" w:bidi="ar-SA"/>
              </w:rPr>
            </w:pPr>
          </w:p>
        </w:tc>
      </w:tr>
      <w:tr w14:paraId="022FA9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97" w:hRule="atLeast"/>
        </w:trPr>
        <w:tc>
          <w:tcPr>
            <w:tcW w:w="260" w:type="pct"/>
            <w:vMerge w:val="continue"/>
            <w:noWrap w:val="0"/>
            <w:vAlign w:val="center"/>
          </w:tcPr>
          <w:p w14:paraId="0D25A04D">
            <w:pPr>
              <w:keepNext w:val="0"/>
              <w:keepLines w:val="0"/>
              <w:pageBreakBefore w:val="0"/>
              <w:widowControl/>
              <w:suppressLineNumbers w:val="0"/>
              <w:kinsoku/>
              <w:wordWrap/>
              <w:overflowPunct/>
              <w:topLinePunct w:val="0"/>
              <w:autoSpaceDE/>
              <w:autoSpaceDN/>
              <w:bidi w:val="0"/>
              <w:adjustRightInd/>
              <w:snapToGrid/>
              <w:spacing w:line="360" w:lineRule="auto"/>
              <w:ind w:right="0"/>
              <w:jc w:val="center"/>
              <w:textAlignment w:val="auto"/>
              <w:rPr>
                <w:rFonts w:hint="eastAsia" w:ascii="仿宋" w:hAnsi="仿宋" w:eastAsia="仿宋" w:cs="仿宋"/>
                <w:color w:val="auto"/>
                <w:kern w:val="0"/>
                <w:sz w:val="24"/>
                <w:szCs w:val="24"/>
                <w:highlight w:val="none"/>
                <w:lang w:val="en-US" w:eastAsia="zh-CN" w:bidi="ar"/>
              </w:rPr>
            </w:pPr>
          </w:p>
        </w:tc>
        <w:tc>
          <w:tcPr>
            <w:tcW w:w="522" w:type="pct"/>
            <w:vMerge w:val="continue"/>
            <w:noWrap w:val="0"/>
            <w:vAlign w:val="center"/>
          </w:tcPr>
          <w:p w14:paraId="1D238691">
            <w:pPr>
              <w:keepNext w:val="0"/>
              <w:keepLines w:val="0"/>
              <w:pageBreakBefore w:val="0"/>
              <w:widowControl/>
              <w:suppressLineNumbers w:val="0"/>
              <w:kinsoku/>
              <w:wordWrap/>
              <w:overflowPunct/>
              <w:topLinePunct w:val="0"/>
              <w:autoSpaceDE/>
              <w:autoSpaceDN/>
              <w:bidi w:val="0"/>
              <w:adjustRightInd/>
              <w:snapToGrid/>
              <w:spacing w:line="240" w:lineRule="auto"/>
              <w:ind w:right="0"/>
              <w:jc w:val="center"/>
              <w:textAlignment w:val="auto"/>
              <w:rPr>
                <w:rFonts w:hint="eastAsia" w:ascii="仿宋" w:hAnsi="仿宋" w:eastAsia="仿宋" w:cs="仿宋"/>
                <w:color w:val="auto"/>
                <w:kern w:val="0"/>
                <w:sz w:val="24"/>
                <w:szCs w:val="24"/>
                <w:highlight w:val="none"/>
                <w:lang w:val="en-US" w:eastAsia="zh-CN" w:bidi="ar"/>
              </w:rPr>
            </w:pPr>
          </w:p>
        </w:tc>
        <w:tc>
          <w:tcPr>
            <w:tcW w:w="785" w:type="pct"/>
            <w:noWrap w:val="0"/>
            <w:vAlign w:val="center"/>
          </w:tcPr>
          <w:p w14:paraId="695D0BFC">
            <w:pPr>
              <w:keepNext w:val="0"/>
              <w:keepLines w:val="0"/>
              <w:pageBreakBefore w:val="0"/>
              <w:widowControl/>
              <w:suppressLineNumbers w:val="0"/>
              <w:kinsoku/>
              <w:wordWrap/>
              <w:overflowPunct/>
              <w:topLinePunct w:val="0"/>
              <w:autoSpaceDE/>
              <w:autoSpaceDN/>
              <w:bidi w:val="0"/>
              <w:adjustRightInd/>
              <w:snapToGrid/>
              <w:spacing w:after="0" w:line="360" w:lineRule="auto"/>
              <w:ind w:right="0"/>
              <w:jc w:val="center"/>
              <w:textAlignment w:val="auto"/>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抽检管理</w:t>
            </w:r>
          </w:p>
          <w:p w14:paraId="24E08B23">
            <w:pPr>
              <w:keepNext w:val="0"/>
              <w:keepLines w:val="0"/>
              <w:pageBreakBefore w:val="0"/>
              <w:widowControl/>
              <w:suppressLineNumbers w:val="0"/>
              <w:kinsoku/>
              <w:wordWrap/>
              <w:overflowPunct/>
              <w:topLinePunct w:val="0"/>
              <w:autoSpaceDE/>
              <w:autoSpaceDN/>
              <w:bidi w:val="0"/>
              <w:adjustRightInd/>
              <w:snapToGrid/>
              <w:spacing w:after="0" w:line="360" w:lineRule="auto"/>
              <w:ind w:right="0"/>
              <w:jc w:val="center"/>
              <w:textAlignment w:val="auto"/>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（10分）</w:t>
            </w:r>
          </w:p>
        </w:tc>
        <w:tc>
          <w:tcPr>
            <w:tcW w:w="3015" w:type="pct"/>
            <w:noWrap w:val="0"/>
            <w:vAlign w:val="top"/>
          </w:tcPr>
          <w:p w14:paraId="76CAFD21">
            <w:pPr>
              <w:keepNext w:val="0"/>
              <w:keepLines w:val="0"/>
              <w:pageBreakBefore w:val="0"/>
              <w:widowControl/>
              <w:suppressLineNumbers w:val="0"/>
              <w:kinsoku/>
              <w:wordWrap/>
              <w:overflowPunct/>
              <w:topLinePunct w:val="0"/>
              <w:autoSpaceDE/>
              <w:autoSpaceDN/>
              <w:bidi w:val="0"/>
              <w:adjustRightInd/>
              <w:snapToGrid/>
              <w:spacing w:after="0" w:line="240" w:lineRule="auto"/>
              <w:ind w:right="0"/>
              <w:jc w:val="left"/>
              <w:textAlignment w:val="auto"/>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配送供应商未及时将采购人随机抽取的食材进行企业内部自检、未及时将检测结果公示或者检测结果不达标的，每有一项不达标的扣 2 分；对于一季度一次的抽样送检不合格的一次扣 10 分。扣完为止。</w:t>
            </w:r>
          </w:p>
        </w:tc>
        <w:tc>
          <w:tcPr>
            <w:tcW w:w="416" w:type="pct"/>
            <w:noWrap w:val="0"/>
            <w:vAlign w:val="top"/>
          </w:tcPr>
          <w:p w14:paraId="61046DEE">
            <w:pPr>
              <w:spacing w:after="160" w:line="259" w:lineRule="auto"/>
              <w:jc w:val="both"/>
              <w:textAlignment w:val="baseline"/>
              <w:rPr>
                <w:rFonts w:hint="eastAsia" w:ascii="仿宋" w:hAnsi="仿宋" w:eastAsia="仿宋" w:cs="仿宋"/>
                <w:color w:val="auto"/>
                <w:kern w:val="2"/>
                <w:sz w:val="24"/>
                <w:szCs w:val="24"/>
                <w:highlight w:val="none"/>
                <w:lang w:val="en-US" w:eastAsia="zh-CN" w:bidi="ar-SA"/>
              </w:rPr>
            </w:pPr>
          </w:p>
        </w:tc>
      </w:tr>
      <w:tr w14:paraId="214F9E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7" w:hRule="atLeast"/>
        </w:trPr>
        <w:tc>
          <w:tcPr>
            <w:tcW w:w="260" w:type="pct"/>
            <w:vMerge w:val="restart"/>
            <w:noWrap w:val="0"/>
            <w:vAlign w:val="center"/>
          </w:tcPr>
          <w:p w14:paraId="6F85A0D5">
            <w:pPr>
              <w:keepNext w:val="0"/>
              <w:keepLines w:val="0"/>
              <w:pageBreakBefore w:val="0"/>
              <w:widowControl/>
              <w:suppressLineNumbers w:val="0"/>
              <w:kinsoku/>
              <w:wordWrap/>
              <w:overflowPunct/>
              <w:topLinePunct w:val="0"/>
              <w:autoSpaceDE/>
              <w:autoSpaceDN/>
              <w:bidi w:val="0"/>
              <w:adjustRightInd/>
              <w:snapToGrid/>
              <w:spacing w:line="360" w:lineRule="auto"/>
              <w:ind w:right="0"/>
              <w:jc w:val="center"/>
              <w:textAlignment w:val="auto"/>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5</w:t>
            </w:r>
          </w:p>
        </w:tc>
        <w:tc>
          <w:tcPr>
            <w:tcW w:w="522" w:type="pct"/>
            <w:vMerge w:val="restart"/>
            <w:noWrap w:val="0"/>
            <w:vAlign w:val="center"/>
          </w:tcPr>
          <w:p w14:paraId="24D28049">
            <w:pPr>
              <w:keepNext w:val="0"/>
              <w:keepLines w:val="0"/>
              <w:pageBreakBefore w:val="0"/>
              <w:widowControl/>
              <w:suppressLineNumbers w:val="0"/>
              <w:kinsoku/>
              <w:wordWrap/>
              <w:overflowPunct/>
              <w:topLinePunct w:val="0"/>
              <w:autoSpaceDE/>
              <w:autoSpaceDN/>
              <w:bidi w:val="0"/>
              <w:adjustRightInd/>
              <w:snapToGrid/>
              <w:spacing w:line="240" w:lineRule="auto"/>
              <w:ind w:right="0"/>
              <w:jc w:val="center"/>
              <w:textAlignment w:val="auto"/>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食材配送14%</w:t>
            </w:r>
          </w:p>
        </w:tc>
        <w:tc>
          <w:tcPr>
            <w:tcW w:w="785" w:type="pct"/>
            <w:noWrap w:val="0"/>
            <w:vAlign w:val="center"/>
          </w:tcPr>
          <w:p w14:paraId="29019E6A">
            <w:pPr>
              <w:keepNext w:val="0"/>
              <w:keepLines w:val="0"/>
              <w:pageBreakBefore w:val="0"/>
              <w:widowControl/>
              <w:suppressLineNumbers w:val="0"/>
              <w:kinsoku/>
              <w:wordWrap/>
              <w:overflowPunct/>
              <w:topLinePunct w:val="0"/>
              <w:autoSpaceDE/>
              <w:autoSpaceDN/>
              <w:bidi w:val="0"/>
              <w:adjustRightInd/>
              <w:snapToGrid/>
              <w:spacing w:after="0" w:line="360" w:lineRule="auto"/>
              <w:ind w:right="0"/>
              <w:jc w:val="center"/>
              <w:textAlignment w:val="auto"/>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准时准点情况（4 分）</w:t>
            </w:r>
          </w:p>
        </w:tc>
        <w:tc>
          <w:tcPr>
            <w:tcW w:w="3015" w:type="pct"/>
            <w:noWrap w:val="0"/>
            <w:vAlign w:val="top"/>
          </w:tcPr>
          <w:p w14:paraId="4E62EC36">
            <w:pPr>
              <w:keepNext w:val="0"/>
              <w:keepLines w:val="0"/>
              <w:pageBreakBefore w:val="0"/>
              <w:widowControl/>
              <w:suppressLineNumbers w:val="0"/>
              <w:kinsoku/>
              <w:wordWrap/>
              <w:overflowPunct/>
              <w:topLinePunct w:val="0"/>
              <w:autoSpaceDE/>
              <w:autoSpaceDN/>
              <w:bidi w:val="0"/>
              <w:adjustRightInd/>
              <w:snapToGrid/>
              <w:spacing w:after="0" w:line="240" w:lineRule="auto"/>
              <w:ind w:right="0"/>
              <w:jc w:val="left"/>
              <w:textAlignment w:val="auto"/>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对于下单约定送达时间，每迟到 10 分钟扣 1 分，扣完为止（不足 10 分钟按 10 分钟计算）。发生退货情况，造成采购人食堂伙食无法按时供应的，每发生一次扣 3 分； 扣完为止。</w:t>
            </w:r>
          </w:p>
        </w:tc>
        <w:tc>
          <w:tcPr>
            <w:tcW w:w="416" w:type="pct"/>
            <w:noWrap w:val="0"/>
            <w:vAlign w:val="top"/>
          </w:tcPr>
          <w:p w14:paraId="3AD3DCF8">
            <w:pPr>
              <w:spacing w:after="160" w:line="259" w:lineRule="auto"/>
              <w:jc w:val="both"/>
              <w:textAlignment w:val="baseline"/>
              <w:rPr>
                <w:rFonts w:hint="eastAsia" w:ascii="仿宋" w:hAnsi="仿宋" w:eastAsia="仿宋" w:cs="仿宋"/>
                <w:color w:val="auto"/>
                <w:kern w:val="2"/>
                <w:sz w:val="24"/>
                <w:szCs w:val="24"/>
                <w:highlight w:val="none"/>
                <w:lang w:val="en-US" w:eastAsia="zh-CN" w:bidi="ar-SA"/>
              </w:rPr>
            </w:pPr>
          </w:p>
        </w:tc>
      </w:tr>
      <w:tr w14:paraId="3EB5D8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0" w:hRule="atLeast"/>
        </w:trPr>
        <w:tc>
          <w:tcPr>
            <w:tcW w:w="260" w:type="pct"/>
            <w:vMerge w:val="continue"/>
            <w:tcBorders>
              <w:top w:val="nil"/>
            </w:tcBorders>
            <w:noWrap w:val="0"/>
            <w:vAlign w:val="top"/>
          </w:tcPr>
          <w:p w14:paraId="6E66944F">
            <w:pPr>
              <w:keepNext w:val="0"/>
              <w:keepLines w:val="0"/>
              <w:pageBreakBefore w:val="0"/>
              <w:widowControl/>
              <w:suppressLineNumbers w:val="0"/>
              <w:kinsoku/>
              <w:wordWrap/>
              <w:overflowPunct/>
              <w:topLinePunct w:val="0"/>
              <w:autoSpaceDE/>
              <w:autoSpaceDN/>
              <w:bidi w:val="0"/>
              <w:adjustRightInd/>
              <w:snapToGrid/>
              <w:spacing w:line="360" w:lineRule="auto"/>
              <w:ind w:right="0"/>
              <w:jc w:val="center"/>
              <w:textAlignment w:val="auto"/>
              <w:rPr>
                <w:rFonts w:hint="eastAsia" w:ascii="仿宋" w:hAnsi="仿宋" w:eastAsia="仿宋" w:cs="仿宋"/>
                <w:color w:val="auto"/>
                <w:kern w:val="0"/>
                <w:sz w:val="24"/>
                <w:szCs w:val="24"/>
                <w:highlight w:val="none"/>
                <w:lang w:val="en-US" w:eastAsia="zh-CN" w:bidi="ar"/>
              </w:rPr>
            </w:pPr>
          </w:p>
        </w:tc>
        <w:tc>
          <w:tcPr>
            <w:tcW w:w="522" w:type="pct"/>
            <w:vMerge w:val="continue"/>
            <w:tcBorders>
              <w:top w:val="nil"/>
            </w:tcBorders>
            <w:noWrap w:val="0"/>
            <w:vAlign w:val="center"/>
          </w:tcPr>
          <w:p w14:paraId="63C08620">
            <w:pPr>
              <w:keepNext w:val="0"/>
              <w:keepLines w:val="0"/>
              <w:pageBreakBefore w:val="0"/>
              <w:widowControl/>
              <w:suppressLineNumbers w:val="0"/>
              <w:kinsoku/>
              <w:wordWrap/>
              <w:overflowPunct/>
              <w:topLinePunct w:val="0"/>
              <w:autoSpaceDE/>
              <w:autoSpaceDN/>
              <w:bidi w:val="0"/>
              <w:adjustRightInd/>
              <w:snapToGrid/>
              <w:spacing w:line="240" w:lineRule="auto"/>
              <w:ind w:right="0"/>
              <w:jc w:val="center"/>
              <w:textAlignment w:val="auto"/>
              <w:rPr>
                <w:rFonts w:hint="eastAsia" w:ascii="仿宋" w:hAnsi="仿宋" w:eastAsia="仿宋" w:cs="仿宋"/>
                <w:color w:val="auto"/>
                <w:kern w:val="0"/>
                <w:sz w:val="24"/>
                <w:szCs w:val="24"/>
                <w:highlight w:val="none"/>
                <w:lang w:val="en-US" w:eastAsia="zh-CN" w:bidi="ar"/>
              </w:rPr>
            </w:pPr>
          </w:p>
        </w:tc>
        <w:tc>
          <w:tcPr>
            <w:tcW w:w="785" w:type="pct"/>
            <w:noWrap w:val="0"/>
            <w:vAlign w:val="center"/>
          </w:tcPr>
          <w:p w14:paraId="218271A5">
            <w:pPr>
              <w:keepNext w:val="0"/>
              <w:keepLines w:val="0"/>
              <w:pageBreakBefore w:val="0"/>
              <w:widowControl/>
              <w:suppressLineNumbers w:val="0"/>
              <w:kinsoku/>
              <w:wordWrap/>
              <w:overflowPunct/>
              <w:topLinePunct w:val="0"/>
              <w:autoSpaceDE/>
              <w:autoSpaceDN/>
              <w:bidi w:val="0"/>
              <w:adjustRightInd/>
              <w:snapToGrid/>
              <w:spacing w:after="0" w:line="360" w:lineRule="auto"/>
              <w:ind w:right="0"/>
              <w:jc w:val="center"/>
              <w:textAlignment w:val="auto"/>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配送规范（5 分）</w:t>
            </w:r>
          </w:p>
        </w:tc>
        <w:tc>
          <w:tcPr>
            <w:tcW w:w="3015" w:type="pct"/>
            <w:noWrap w:val="0"/>
            <w:vAlign w:val="top"/>
          </w:tcPr>
          <w:p w14:paraId="276880FB">
            <w:pPr>
              <w:keepNext w:val="0"/>
              <w:keepLines w:val="0"/>
              <w:pageBreakBefore w:val="0"/>
              <w:widowControl/>
              <w:suppressLineNumbers w:val="0"/>
              <w:kinsoku/>
              <w:wordWrap/>
              <w:overflowPunct/>
              <w:topLinePunct w:val="0"/>
              <w:autoSpaceDE/>
              <w:autoSpaceDN/>
              <w:bidi w:val="0"/>
              <w:adjustRightInd/>
              <w:snapToGrid/>
              <w:spacing w:after="0" w:line="240" w:lineRule="auto"/>
              <w:ind w:right="0"/>
              <w:jc w:val="left"/>
              <w:textAlignment w:val="auto"/>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少量配送、漏送货的，每一样食材扣 2 分；食材包装（对于没有包装的食材须用洁净卫生的食品框或者食品袋包装）不规范的，每一种食材扣 2 分；直至该项分值扣完为止。</w:t>
            </w:r>
          </w:p>
        </w:tc>
        <w:tc>
          <w:tcPr>
            <w:tcW w:w="416" w:type="pct"/>
            <w:noWrap w:val="0"/>
            <w:vAlign w:val="top"/>
          </w:tcPr>
          <w:p w14:paraId="5A808353">
            <w:pPr>
              <w:spacing w:after="160" w:line="259" w:lineRule="auto"/>
              <w:jc w:val="both"/>
              <w:textAlignment w:val="baseline"/>
              <w:rPr>
                <w:rFonts w:hint="eastAsia" w:ascii="仿宋" w:hAnsi="仿宋" w:eastAsia="仿宋" w:cs="仿宋"/>
                <w:color w:val="auto"/>
                <w:kern w:val="2"/>
                <w:sz w:val="24"/>
                <w:szCs w:val="24"/>
                <w:highlight w:val="none"/>
                <w:lang w:val="en-US" w:eastAsia="zh-CN" w:bidi="ar-SA"/>
              </w:rPr>
            </w:pPr>
          </w:p>
        </w:tc>
      </w:tr>
      <w:tr w14:paraId="1B90B5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16" w:hRule="atLeast"/>
        </w:trPr>
        <w:tc>
          <w:tcPr>
            <w:tcW w:w="260" w:type="pct"/>
            <w:vMerge w:val="continue"/>
            <w:tcBorders>
              <w:top w:val="nil"/>
            </w:tcBorders>
            <w:noWrap w:val="0"/>
            <w:vAlign w:val="top"/>
          </w:tcPr>
          <w:p w14:paraId="3B9F7B3E">
            <w:pPr>
              <w:keepNext w:val="0"/>
              <w:keepLines w:val="0"/>
              <w:pageBreakBefore w:val="0"/>
              <w:widowControl/>
              <w:suppressLineNumbers w:val="0"/>
              <w:kinsoku/>
              <w:wordWrap/>
              <w:overflowPunct/>
              <w:topLinePunct w:val="0"/>
              <w:autoSpaceDE/>
              <w:autoSpaceDN/>
              <w:bidi w:val="0"/>
              <w:adjustRightInd/>
              <w:snapToGrid/>
              <w:spacing w:line="360" w:lineRule="auto"/>
              <w:ind w:right="0"/>
              <w:jc w:val="center"/>
              <w:textAlignment w:val="auto"/>
              <w:rPr>
                <w:rFonts w:hint="eastAsia" w:ascii="仿宋" w:hAnsi="仿宋" w:eastAsia="仿宋" w:cs="仿宋"/>
                <w:color w:val="auto"/>
                <w:kern w:val="0"/>
                <w:sz w:val="24"/>
                <w:szCs w:val="24"/>
                <w:highlight w:val="none"/>
                <w:lang w:val="en-US" w:eastAsia="zh-CN" w:bidi="ar"/>
              </w:rPr>
            </w:pPr>
          </w:p>
        </w:tc>
        <w:tc>
          <w:tcPr>
            <w:tcW w:w="522" w:type="pct"/>
            <w:vMerge w:val="continue"/>
            <w:tcBorders>
              <w:top w:val="nil"/>
            </w:tcBorders>
            <w:noWrap w:val="0"/>
            <w:vAlign w:val="top"/>
          </w:tcPr>
          <w:p w14:paraId="48B0F0F0">
            <w:pPr>
              <w:keepNext w:val="0"/>
              <w:keepLines w:val="0"/>
              <w:pageBreakBefore w:val="0"/>
              <w:widowControl/>
              <w:suppressLineNumbers w:val="0"/>
              <w:kinsoku/>
              <w:wordWrap/>
              <w:overflowPunct/>
              <w:topLinePunct w:val="0"/>
              <w:autoSpaceDE/>
              <w:autoSpaceDN/>
              <w:bidi w:val="0"/>
              <w:adjustRightInd/>
              <w:snapToGrid/>
              <w:spacing w:line="240" w:lineRule="auto"/>
              <w:ind w:right="0"/>
              <w:jc w:val="center"/>
              <w:textAlignment w:val="auto"/>
              <w:rPr>
                <w:rFonts w:hint="eastAsia" w:ascii="仿宋" w:hAnsi="仿宋" w:eastAsia="仿宋" w:cs="仿宋"/>
                <w:color w:val="auto"/>
                <w:kern w:val="0"/>
                <w:sz w:val="24"/>
                <w:szCs w:val="24"/>
                <w:highlight w:val="none"/>
                <w:lang w:val="en-US" w:eastAsia="zh-CN" w:bidi="ar"/>
              </w:rPr>
            </w:pPr>
          </w:p>
        </w:tc>
        <w:tc>
          <w:tcPr>
            <w:tcW w:w="785" w:type="pct"/>
            <w:noWrap w:val="0"/>
            <w:vAlign w:val="top"/>
          </w:tcPr>
          <w:p w14:paraId="2709FA34">
            <w:pPr>
              <w:keepNext w:val="0"/>
              <w:keepLines w:val="0"/>
              <w:pageBreakBefore w:val="0"/>
              <w:widowControl/>
              <w:suppressLineNumbers w:val="0"/>
              <w:kinsoku/>
              <w:wordWrap/>
              <w:overflowPunct/>
              <w:topLinePunct w:val="0"/>
              <w:autoSpaceDE/>
              <w:autoSpaceDN/>
              <w:bidi w:val="0"/>
              <w:adjustRightInd/>
              <w:snapToGrid/>
              <w:spacing w:after="0" w:line="360" w:lineRule="auto"/>
              <w:ind w:right="0"/>
              <w:jc w:val="center"/>
              <w:textAlignment w:val="auto"/>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配送车辆车况</w:t>
            </w:r>
          </w:p>
          <w:p w14:paraId="67D22A76">
            <w:pPr>
              <w:keepNext w:val="0"/>
              <w:keepLines w:val="0"/>
              <w:pageBreakBefore w:val="0"/>
              <w:widowControl/>
              <w:suppressLineNumbers w:val="0"/>
              <w:kinsoku/>
              <w:wordWrap/>
              <w:overflowPunct/>
              <w:topLinePunct w:val="0"/>
              <w:autoSpaceDE/>
              <w:autoSpaceDN/>
              <w:bidi w:val="0"/>
              <w:adjustRightInd/>
              <w:snapToGrid/>
              <w:spacing w:after="0" w:line="360" w:lineRule="auto"/>
              <w:ind w:right="0"/>
              <w:jc w:val="center"/>
              <w:textAlignment w:val="auto"/>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（5分）</w:t>
            </w:r>
          </w:p>
        </w:tc>
        <w:tc>
          <w:tcPr>
            <w:tcW w:w="3015" w:type="pct"/>
            <w:noWrap w:val="0"/>
            <w:vAlign w:val="top"/>
          </w:tcPr>
          <w:p w14:paraId="2F866BE8">
            <w:pPr>
              <w:keepNext w:val="0"/>
              <w:keepLines w:val="0"/>
              <w:pageBreakBefore w:val="0"/>
              <w:widowControl/>
              <w:suppressLineNumbers w:val="0"/>
              <w:kinsoku/>
              <w:wordWrap/>
              <w:overflowPunct/>
              <w:topLinePunct w:val="0"/>
              <w:autoSpaceDE/>
              <w:autoSpaceDN/>
              <w:bidi w:val="0"/>
              <w:adjustRightInd/>
              <w:snapToGrid/>
              <w:spacing w:after="0" w:line="240" w:lineRule="auto"/>
              <w:ind w:right="0"/>
              <w:jc w:val="left"/>
              <w:textAlignment w:val="auto"/>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非冷藏配送专车的，一次扣 1 分；易变质食材未采用冷链车配送的，一次扣 1 分；未携带“健康证”，一次扣1分，没有消毒清洗记录扣 2 分；外观破损或车内有明显异味一次扣 0.5 分，车内脏乱差一次扣 1 分。</w:t>
            </w:r>
          </w:p>
        </w:tc>
        <w:tc>
          <w:tcPr>
            <w:tcW w:w="416" w:type="pct"/>
            <w:noWrap w:val="0"/>
            <w:vAlign w:val="top"/>
          </w:tcPr>
          <w:p w14:paraId="548D63CD">
            <w:pPr>
              <w:spacing w:after="160" w:line="259" w:lineRule="auto"/>
              <w:jc w:val="both"/>
              <w:textAlignment w:val="baseline"/>
              <w:rPr>
                <w:rFonts w:hint="eastAsia" w:ascii="仿宋" w:hAnsi="仿宋" w:eastAsia="仿宋" w:cs="仿宋"/>
                <w:color w:val="auto"/>
                <w:kern w:val="2"/>
                <w:sz w:val="24"/>
                <w:szCs w:val="24"/>
                <w:highlight w:val="none"/>
                <w:lang w:val="en-US" w:eastAsia="zh-CN" w:bidi="ar-SA"/>
              </w:rPr>
            </w:pPr>
          </w:p>
        </w:tc>
      </w:tr>
      <w:tr w14:paraId="187E88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0" w:hRule="atLeast"/>
        </w:trPr>
        <w:tc>
          <w:tcPr>
            <w:tcW w:w="260" w:type="pct"/>
            <w:noWrap w:val="0"/>
            <w:vAlign w:val="center"/>
          </w:tcPr>
          <w:p w14:paraId="0C3702F0">
            <w:pPr>
              <w:keepNext w:val="0"/>
              <w:keepLines w:val="0"/>
              <w:pageBreakBefore w:val="0"/>
              <w:widowControl/>
              <w:suppressLineNumbers w:val="0"/>
              <w:kinsoku/>
              <w:wordWrap/>
              <w:overflowPunct/>
              <w:topLinePunct w:val="0"/>
              <w:autoSpaceDE/>
              <w:autoSpaceDN/>
              <w:bidi w:val="0"/>
              <w:adjustRightInd/>
              <w:snapToGrid/>
              <w:spacing w:line="360" w:lineRule="auto"/>
              <w:ind w:right="0"/>
              <w:jc w:val="center"/>
              <w:textAlignment w:val="auto"/>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6</w:t>
            </w:r>
          </w:p>
        </w:tc>
        <w:tc>
          <w:tcPr>
            <w:tcW w:w="522" w:type="pct"/>
            <w:noWrap w:val="0"/>
            <w:vAlign w:val="center"/>
          </w:tcPr>
          <w:p w14:paraId="632E4D5E">
            <w:pPr>
              <w:keepNext w:val="0"/>
              <w:keepLines w:val="0"/>
              <w:pageBreakBefore w:val="0"/>
              <w:widowControl/>
              <w:suppressLineNumbers w:val="0"/>
              <w:kinsoku/>
              <w:wordWrap/>
              <w:overflowPunct/>
              <w:topLinePunct w:val="0"/>
              <w:autoSpaceDE/>
              <w:autoSpaceDN/>
              <w:bidi w:val="0"/>
              <w:adjustRightInd/>
              <w:snapToGrid/>
              <w:spacing w:line="240" w:lineRule="auto"/>
              <w:ind w:right="0"/>
              <w:jc w:val="center"/>
              <w:textAlignment w:val="auto"/>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应急处置10%</w:t>
            </w:r>
          </w:p>
        </w:tc>
        <w:tc>
          <w:tcPr>
            <w:tcW w:w="785" w:type="pct"/>
            <w:noWrap w:val="0"/>
            <w:vAlign w:val="center"/>
          </w:tcPr>
          <w:p w14:paraId="0366D920">
            <w:pPr>
              <w:keepNext w:val="0"/>
              <w:keepLines w:val="0"/>
              <w:pageBreakBefore w:val="0"/>
              <w:widowControl/>
              <w:suppressLineNumbers w:val="0"/>
              <w:kinsoku/>
              <w:wordWrap/>
              <w:overflowPunct/>
              <w:topLinePunct w:val="0"/>
              <w:autoSpaceDE/>
              <w:autoSpaceDN/>
              <w:bidi w:val="0"/>
              <w:adjustRightInd/>
              <w:snapToGrid/>
              <w:spacing w:after="0" w:line="360" w:lineRule="auto"/>
              <w:ind w:right="0"/>
              <w:jc w:val="center"/>
              <w:textAlignment w:val="auto"/>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10 分</w:t>
            </w:r>
          </w:p>
        </w:tc>
        <w:tc>
          <w:tcPr>
            <w:tcW w:w="3015" w:type="pct"/>
            <w:noWrap w:val="0"/>
            <w:vAlign w:val="top"/>
          </w:tcPr>
          <w:p w14:paraId="5AF399E1">
            <w:pPr>
              <w:keepNext w:val="0"/>
              <w:keepLines w:val="0"/>
              <w:pageBreakBefore w:val="0"/>
              <w:widowControl/>
              <w:suppressLineNumbers w:val="0"/>
              <w:kinsoku/>
              <w:wordWrap/>
              <w:overflowPunct/>
              <w:topLinePunct w:val="0"/>
              <w:autoSpaceDE/>
              <w:autoSpaceDN/>
              <w:bidi w:val="0"/>
              <w:adjustRightInd/>
              <w:snapToGrid/>
              <w:spacing w:after="0" w:line="240" w:lineRule="auto"/>
              <w:ind w:right="0"/>
              <w:jc w:val="left"/>
              <w:textAlignment w:val="auto"/>
              <w:rPr>
                <w:rFonts w:hint="default"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根据实际应急响应情况（包括但不限于供货及配送服务响应时间、供货及配送服务响应服务质量、供货及配送服务应急响应服务态度、</w:t>
            </w:r>
            <w:r>
              <w:rPr>
                <w:rFonts w:hint="eastAsia" w:ascii="仿宋" w:hAnsi="仿宋" w:eastAsia="仿宋" w:cs="仿宋"/>
                <w:color w:val="auto"/>
                <w:kern w:val="0"/>
                <w:sz w:val="24"/>
                <w:szCs w:val="24"/>
                <w:highlight w:val="none"/>
                <w:lang w:bidi="ar"/>
              </w:rPr>
              <w:t>采购人遇到临时紧急供货需求</w:t>
            </w:r>
            <w:r>
              <w:rPr>
                <w:rFonts w:hint="eastAsia" w:ascii="仿宋" w:hAnsi="仿宋" w:eastAsia="仿宋" w:cs="仿宋"/>
                <w:color w:val="auto"/>
                <w:kern w:val="0"/>
                <w:sz w:val="24"/>
                <w:szCs w:val="24"/>
                <w:highlight w:val="none"/>
                <w:lang w:val="en-US" w:eastAsia="zh-CN" w:bidi="ar"/>
              </w:rPr>
              <w:t>响应时间）。每有一项不达标的扣 2 .5分，扣完为止。</w:t>
            </w:r>
          </w:p>
        </w:tc>
        <w:tc>
          <w:tcPr>
            <w:tcW w:w="416" w:type="pct"/>
            <w:noWrap w:val="0"/>
            <w:vAlign w:val="top"/>
          </w:tcPr>
          <w:p w14:paraId="77C156EC">
            <w:pPr>
              <w:spacing w:after="160" w:line="259" w:lineRule="auto"/>
              <w:jc w:val="both"/>
              <w:textAlignment w:val="baseline"/>
              <w:rPr>
                <w:rFonts w:hint="eastAsia" w:ascii="仿宋" w:hAnsi="仿宋" w:eastAsia="仿宋" w:cs="仿宋"/>
                <w:color w:val="auto"/>
                <w:kern w:val="2"/>
                <w:sz w:val="24"/>
                <w:szCs w:val="24"/>
                <w:highlight w:val="none"/>
                <w:lang w:val="en-US" w:eastAsia="zh-CN" w:bidi="ar-SA"/>
              </w:rPr>
            </w:pPr>
          </w:p>
        </w:tc>
      </w:tr>
    </w:tbl>
    <w:p w14:paraId="28657116">
      <w:pPr>
        <w:widowControl/>
        <w:adjustRightInd/>
        <w:snapToGrid/>
        <w:spacing w:after="160" w:line="259" w:lineRule="auto"/>
        <w:jc w:val="left"/>
        <w:textAlignment w:val="baseline"/>
        <w:rPr>
          <w:rFonts w:ascii="仿宋" w:hAnsi="仿宋" w:eastAsia="仿宋" w:cs="仿宋"/>
          <w:color w:val="auto"/>
          <w:sz w:val="24"/>
          <w:szCs w:val="24"/>
          <w:highlight w:val="none"/>
        </w:rPr>
      </w:pPr>
    </w:p>
    <w:p w14:paraId="6AFF80E2"/>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Arial Unicode MS">
    <w:panose1 w:val="020B0604020202020204"/>
    <w:charset w:val="86"/>
    <w:family w:val="swiss"/>
    <w:pitch w:val="default"/>
    <w:sig w:usb0="FFFFFFFF" w:usb1="E9FFFFFF" w:usb2="0000003F" w:usb3="00000000" w:csb0="603F01FF" w:csb1="FFFF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00" w:lineRule="auto"/>
      </w:pPr>
      <w:r>
        <w:separator/>
      </w:r>
    </w:p>
  </w:footnote>
  <w:footnote w:type="continuationSeparator" w:id="1">
    <w:p>
      <w:pPr>
        <w:spacing w:line="30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2301693"/>
    <w:multiLevelType w:val="singleLevel"/>
    <w:tmpl w:val="F2301693"/>
    <w:lvl w:ilvl="0" w:tentative="0">
      <w:start w:val="1"/>
      <w:numFmt w:val="chineseCounting"/>
      <w:pStyle w:val="8"/>
      <w:suff w:val="nothing"/>
      <w:lvlText w:val="（%1）"/>
      <w:lvlJc w:val="left"/>
      <w:pPr>
        <w:ind w:left="0" w:firstLine="420"/>
      </w:pPr>
      <w:rPr>
        <w:rFonts w:hint="eastAsia"/>
      </w:rPr>
    </w:lvl>
  </w:abstractNum>
  <w:abstractNum w:abstractNumId="1">
    <w:nsid w:val="00000002"/>
    <w:multiLevelType w:val="singleLevel"/>
    <w:tmpl w:val="00000002"/>
    <w:lvl w:ilvl="0" w:tentative="0">
      <w:start w:val="4"/>
      <w:numFmt w:val="chineseCounting"/>
      <w:suff w:val="nothing"/>
      <w:lvlText w:val="%1、"/>
      <w:lvlJc w:val="left"/>
      <w:pPr>
        <w:textAlignment w:val="baseline"/>
      </w:pPr>
    </w:lvl>
  </w:abstractNum>
  <w:abstractNum w:abstractNumId="2">
    <w:nsid w:val="6A5B00FD"/>
    <w:multiLevelType w:val="multilevel"/>
    <w:tmpl w:val="6A5B00FD"/>
    <w:lvl w:ilvl="0" w:tentative="0">
      <w:start w:val="1"/>
      <w:numFmt w:val="decimal"/>
      <w:suff w:val="space"/>
      <w:lvlText w:val="%1."/>
      <w:lvlJc w:val="left"/>
      <w:pPr>
        <w:ind w:left="0" w:firstLine="0"/>
      </w:pPr>
      <w:rPr>
        <w:rFonts w:hint="default" w:ascii="Times New Roman" w:hAnsi="Times New Roman" w:cs="Times New Roman"/>
        <w:b/>
        <w:bCs w:val="0"/>
        <w:i w:val="0"/>
        <w:iCs w:val="0"/>
        <w:caps w:val="0"/>
        <w:smallCaps w:val="0"/>
        <w:strike w:val="0"/>
        <w:dstrike w:val="0"/>
        <w:vanish w:val="0"/>
        <w:color w:val="000000"/>
        <w:spacing w:val="0"/>
        <w:position w:val="0"/>
        <w:u w:val="none"/>
        <w:vertAlign w:val="baseline"/>
      </w:rPr>
    </w:lvl>
    <w:lvl w:ilvl="1" w:tentative="0">
      <w:start w:val="1"/>
      <w:numFmt w:val="decimal"/>
      <w:suff w:val="space"/>
      <w:lvlText w:val="%1.%2"/>
      <w:lvlJc w:val="left"/>
      <w:pPr>
        <w:ind w:left="0" w:firstLine="0"/>
      </w:pPr>
      <w:rPr>
        <w:rFonts w:hint="eastAsia"/>
      </w:rPr>
    </w:lvl>
    <w:lvl w:ilvl="2" w:tentative="0">
      <w:start w:val="1"/>
      <w:numFmt w:val="decimal"/>
      <w:suff w:val="space"/>
      <w:lvlText w:val="%1.%2.%3"/>
      <w:lvlJc w:val="left"/>
      <w:pPr>
        <w:ind w:left="0" w:firstLine="0"/>
      </w:pPr>
      <w:rPr>
        <w:rFonts w:hint="eastAsia"/>
      </w:rPr>
    </w:lvl>
    <w:lvl w:ilvl="3" w:tentative="0">
      <w:start w:val="1"/>
      <w:numFmt w:val="decimal"/>
      <w:suff w:val="space"/>
      <w:lvlText w:val="%1.%2.%3.%4"/>
      <w:lvlJc w:val="left"/>
      <w:pPr>
        <w:ind w:left="0" w:firstLine="0"/>
      </w:pPr>
      <w:rPr>
        <w:rFonts w:hint="eastAsia"/>
      </w:rPr>
    </w:lvl>
    <w:lvl w:ilvl="4" w:tentative="0">
      <w:start w:val="1"/>
      <w:numFmt w:val="decimal"/>
      <w:suff w:val="space"/>
      <w:lvlText w:val="%1.%2.%3.%4.%5"/>
      <w:lvlJc w:val="left"/>
      <w:pPr>
        <w:ind w:left="0" w:firstLine="0"/>
      </w:pPr>
      <w:rPr>
        <w:rFonts w:hint="eastAsia"/>
      </w:rPr>
    </w:lvl>
    <w:lvl w:ilvl="5" w:tentative="0">
      <w:start w:val="1"/>
      <w:numFmt w:val="upperLetter"/>
      <w:lvlText w:val="%6."/>
      <w:lvlJc w:val="left"/>
      <w:pPr>
        <w:tabs>
          <w:tab w:val="left" w:pos="400"/>
        </w:tabs>
        <w:ind w:left="400" w:hanging="300"/>
      </w:pPr>
      <w:rPr>
        <w:rFonts w:hint="eastAsia"/>
      </w:rPr>
    </w:lvl>
    <w:lvl w:ilvl="6" w:tentative="0">
      <w:start w:val="1"/>
      <w:numFmt w:val="decimal"/>
      <w:suff w:val="space"/>
      <w:lvlText w:val="(%7)."/>
      <w:lvlJc w:val="left"/>
      <w:pPr>
        <w:ind w:left="0" w:firstLine="400"/>
      </w:pPr>
      <w:rPr>
        <w:rFonts w:hint="eastAsia"/>
      </w:rPr>
    </w:lvl>
    <w:lvl w:ilvl="7" w:tentative="0">
      <w:start w:val="1"/>
      <w:numFmt w:val="lowerLetter"/>
      <w:lvlText w:val="%8."/>
      <w:lvlJc w:val="left"/>
      <w:pPr>
        <w:tabs>
          <w:tab w:val="left" w:pos="1200"/>
        </w:tabs>
        <w:ind w:left="1200" w:hanging="300"/>
      </w:pPr>
      <w:rPr>
        <w:rFonts w:hint="eastAsia"/>
      </w:rPr>
    </w:lvl>
    <w:lvl w:ilvl="8" w:tentative="0">
      <w:start w:val="1"/>
      <w:numFmt w:val="lowerRoman"/>
      <w:lvlText w:val="%9."/>
      <w:lvlJc w:val="left"/>
      <w:pPr>
        <w:tabs>
          <w:tab w:val="left" w:pos="1800"/>
        </w:tabs>
        <w:ind w:left="1800" w:hanging="300"/>
      </w:pPr>
      <w:rPr>
        <w:rFonts w:hint="eastAsia"/>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28D02B3"/>
    <w:rsid w:val="08AE02E0"/>
    <w:rsid w:val="2E253C8B"/>
    <w:rsid w:val="4C1C5324"/>
    <w:rsid w:val="51E445C9"/>
    <w:rsid w:val="728D02B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snapToGrid w:val="0"/>
      <w:spacing w:line="300" w:lineRule="auto"/>
      <w:jc w:val="both"/>
    </w:pPr>
    <w:rPr>
      <w:rFonts w:asciiTheme="minorEastAsia" w:hAnsiTheme="minorHAnsi" w:eastAsiaTheme="minorEastAsia" w:cstheme="minorBidi"/>
      <w:kern w:val="2"/>
      <w:sz w:val="24"/>
      <w:szCs w:val="21"/>
      <w:lang w:val="en-US" w:eastAsia="zh-CN" w:bidi="ar-SA"/>
    </w:rPr>
  </w:style>
  <w:style w:type="paragraph" w:styleId="3">
    <w:name w:val="heading 1"/>
    <w:basedOn w:val="1"/>
    <w:next w:val="1"/>
    <w:qFormat/>
    <w:uiPriority w:val="9"/>
    <w:pPr>
      <w:keepNext/>
      <w:keepLines/>
      <w:spacing w:line="360" w:lineRule="auto"/>
      <w:ind w:left="1325" w:hanging="1325"/>
      <w:jc w:val="center"/>
      <w:outlineLvl w:val="0"/>
    </w:pPr>
    <w:rPr>
      <w:rFonts w:hAnsi="Calibri" w:eastAsia="黑体" w:cs="Times New Roman"/>
      <w:b/>
      <w:bCs/>
      <w:w w:val="80"/>
      <w:kern w:val="44"/>
      <w:sz w:val="36"/>
      <w:szCs w:val="44"/>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99"/>
    <w:pPr>
      <w:spacing w:after="120"/>
    </w:pPr>
  </w:style>
  <w:style w:type="paragraph" w:styleId="4">
    <w:name w:val="Body Text Indent"/>
    <w:basedOn w:val="1"/>
    <w:qFormat/>
    <w:uiPriority w:val="0"/>
    <w:pPr>
      <w:spacing w:after="120" w:afterLines="0" w:afterAutospacing="0"/>
      <w:ind w:left="420" w:leftChars="200"/>
    </w:pPr>
  </w:style>
  <w:style w:type="paragraph" w:styleId="5">
    <w:name w:val="Body Text First Indent 2"/>
    <w:basedOn w:val="4"/>
    <w:qFormat/>
    <w:uiPriority w:val="0"/>
    <w:pPr>
      <w:ind w:firstLine="420" w:firstLineChars="200"/>
    </w:pPr>
  </w:style>
  <w:style w:type="paragraph" w:customStyle="1" w:styleId="8">
    <w:name w:val="二级标题"/>
    <w:basedOn w:val="1"/>
    <w:qFormat/>
    <w:uiPriority w:val="0"/>
    <w:pPr>
      <w:numPr>
        <w:ilvl w:val="0"/>
        <w:numId w:val="1"/>
      </w:numPr>
      <w:ind w:firstLine="420"/>
    </w:pPr>
    <w:rPr>
      <w:rFonts w:hint="eastAsia" w:ascii="宋体" w:hAnsi="宋体" w:eastAsia="宋体" w:cs="宋体"/>
      <w:color w:val="000000"/>
      <w:sz w:val="32"/>
      <w:szCs w:val="32"/>
    </w:rPr>
  </w:style>
  <w:style w:type="paragraph" w:customStyle="1" w:styleId="9">
    <w:name w:val="三级标题"/>
    <w:basedOn w:val="1"/>
    <w:qFormat/>
    <w:uiPriority w:val="0"/>
    <w:pPr>
      <w:snapToGrid w:val="0"/>
      <w:spacing w:line="360" w:lineRule="auto"/>
      <w:ind w:firstLine="480" w:firstLineChars="200"/>
    </w:pPr>
    <w:rPr>
      <w:rFonts w:hint="eastAsia" w:ascii="楷体_GB2312" w:hAnsi="楷体_GB2312" w:eastAsia="宋体"/>
      <w:color w:val="000000"/>
      <w:sz w:val="28"/>
      <w:szCs w:val="20"/>
    </w:rPr>
  </w:style>
  <w:style w:type="paragraph" w:customStyle="1" w:styleId="10">
    <w:name w:val="二级"/>
    <w:basedOn w:val="5"/>
    <w:qFormat/>
    <w:uiPriority w:val="0"/>
    <w:pPr>
      <w:snapToGrid w:val="0"/>
      <w:spacing w:line="360" w:lineRule="auto"/>
      <w:ind w:firstLine="480"/>
    </w:pPr>
    <w:rPr>
      <w:rFonts w:hint="eastAsia" w:ascii="楷体_GB2312" w:hAnsi="楷体_GB2312" w:eastAsia="宋体"/>
      <w:color w:val="000000"/>
      <w:sz w:val="32"/>
      <w:szCs w:val="20"/>
    </w:rPr>
  </w:style>
  <w:style w:type="paragraph" w:customStyle="1" w:styleId="11">
    <w:name w:val="正文-首缩2字符"/>
    <w:basedOn w:val="1"/>
    <w:qFormat/>
    <w:uiPriority w:val="99"/>
    <w:pPr>
      <w:ind w:firstLine="200" w:firstLineChars="200"/>
      <w:jc w:val="left"/>
    </w:pPr>
    <w:rPr>
      <w:rFonts w:hAnsi="宋体" w:cs="宋体"/>
      <w:szCs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11</Pages>
  <Words>6950</Words>
  <Characters>7155</Characters>
  <Lines>0</Lines>
  <Paragraphs>0</Paragraphs>
  <TotalTime>0</TotalTime>
  <ScaleCrop>false</ScaleCrop>
  <LinksUpToDate>false</LinksUpToDate>
  <CharactersWithSpaces>7183</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2025-09-01T08:27:00Z</dcterms:created>
  <dc:creator>蒋佳岑</dc:creator>
  <cp:lastModifiedBy>蒋佳岑</cp:lastModifiedBy>
  <dcterms:modified xsi:type="dcterms:W3CDTF">2025-09-01T09:10:23Z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2A8CB82A7ECB4BC1937A43F4DB3C7E34_11</vt:lpwstr>
  </property>
  <property fmtid="{D5CDD505-2E9C-101B-9397-08002B2CF9AE}" pid="4" name="KSOTemplateDocerSaveRecord">
    <vt:lpwstr>eyJoZGlkIjoiYjZkZTA1NzYwOTFhMzE3ZGE3ZDk0NjFlZWNhZThhY2YiLCJ1c2VySWQiOiIxNDU1NTcwMDQ0In0=</vt:lpwstr>
  </property>
</Properties>
</file>