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numId w:val="0"/>
        </w:numPr>
        <w:tabs>
          <w:tab w:val="left" w:pos="425"/>
        </w:tabs>
        <w:spacing w:after="0" w:line="360" w:lineRule="auto"/>
        <w:ind w:leftChars="0"/>
        <w:jc w:val="center"/>
        <w:rPr>
          <w:sz w:val="32"/>
          <w:szCs w:val="32"/>
        </w:rPr>
      </w:pPr>
      <w:bookmarkStart w:id="0" w:name="_Toc17234"/>
      <w:r>
        <w:rPr>
          <w:rFonts w:hAnsi="宋体"/>
          <w:sz w:val="32"/>
          <w:szCs w:val="32"/>
        </w:rPr>
        <w:t>招标项目技术、商务及其他要求</w:t>
      </w:r>
      <w:bookmarkEnd w:id="0"/>
    </w:p>
    <w:p>
      <w:pPr>
        <w:pStyle w:val="4"/>
        <w:numPr>
          <w:ilvl w:val="0"/>
          <w:numId w:val="2"/>
        </w:numPr>
        <w:rPr>
          <w:rFonts w:hint="eastAsia"/>
        </w:rPr>
      </w:pPr>
      <w:r>
        <w:rPr>
          <w:rFonts w:hint="eastAsia"/>
        </w:rPr>
        <w:t>项目概况</w:t>
      </w:r>
      <w:bookmarkStart w:id="2" w:name="_GoBack"/>
      <w:bookmarkEnd w:id="2"/>
    </w:p>
    <w:p>
      <w:pPr>
        <w:spacing w:line="360" w:lineRule="auto"/>
        <w:ind w:firstLine="482" w:firstLineChars="200"/>
        <w:rPr>
          <w:rFonts w:hint="eastAsia" w:ascii="宋体" w:hAnsi="宋体" w:cs="宋体"/>
          <w:b/>
          <w:bCs/>
          <w:sz w:val="24"/>
        </w:rPr>
      </w:pPr>
      <w:r>
        <w:rPr>
          <w:rFonts w:hint="eastAsia" w:ascii="宋体" w:hAnsi="宋体" w:cs="宋体"/>
          <w:b/>
          <w:bCs/>
          <w:sz w:val="24"/>
        </w:rPr>
        <w:t>特别说明：</w:t>
      </w:r>
    </w:p>
    <w:p>
      <w:pPr>
        <w:spacing w:line="360" w:lineRule="auto"/>
        <w:ind w:firstLine="482" w:firstLineChars="200"/>
        <w:rPr>
          <w:rFonts w:hint="eastAsia" w:ascii="宋体" w:hAnsi="宋体" w:cs="宋体"/>
          <w:b/>
          <w:bCs/>
          <w:sz w:val="24"/>
        </w:rPr>
      </w:pPr>
      <w:r>
        <w:rPr>
          <w:rFonts w:hint="eastAsia" w:ascii="宋体" w:hAnsi="宋体" w:cs="宋体"/>
          <w:b/>
          <w:bCs/>
          <w:sz w:val="24"/>
        </w:rPr>
        <w:t xml:space="preserve">1、2020年8月25日，中华人民共和国应急管理部《关于消防救援领域行业标准以“XF”代号重新编号发布的公告》（2020年 第5号）明确，消防救援领域165项现行行业标准类别由公安安全行业标准调整为消防救援行业标准，代号由“GA”调整为“XF”，顺序号和内容保持不变。 </w:t>
      </w:r>
    </w:p>
    <w:p>
      <w:pPr>
        <w:spacing w:line="360" w:lineRule="auto"/>
        <w:ind w:firstLine="482" w:firstLineChars="200"/>
        <w:rPr>
          <w:rFonts w:hint="eastAsia" w:ascii="宋体" w:hAnsi="宋体" w:cs="宋体"/>
          <w:b/>
          <w:bCs/>
          <w:sz w:val="24"/>
        </w:rPr>
      </w:pPr>
      <w:r>
        <w:rPr>
          <w:rFonts w:hint="eastAsia" w:ascii="宋体" w:hAnsi="宋体" w:cs="宋体"/>
          <w:b/>
          <w:bCs/>
          <w:sz w:val="24"/>
        </w:rPr>
        <w:t>2、为了落实公告要求，采购人将技术参数中的标准代号调整为XF。目前，参考资料、检测报告等相关资料，在实际投标中，使用代号GA标准仍有效。</w:t>
      </w:r>
    </w:p>
    <w:p>
      <w:pPr>
        <w:spacing w:line="360" w:lineRule="auto"/>
        <w:ind w:firstLine="480" w:firstLineChars="200"/>
        <w:rPr>
          <w:rFonts w:hint="eastAsia" w:hAnsi="宋体" w:cs="宋体"/>
          <w:sz w:val="24"/>
        </w:rPr>
      </w:pPr>
      <w:r>
        <w:rPr>
          <w:rFonts w:hint="eastAsia" w:ascii="宋体" w:hAnsi="宋体" w:cs="宋体"/>
          <w:sz w:val="24"/>
        </w:rPr>
        <w:t>（一）本章标注“★”条款为实质性要求，不允许负偏离，否则投标无效</w:t>
      </w:r>
      <w:r>
        <w:rPr>
          <w:rFonts w:hint="eastAsia" w:hAnsi="宋体" w:cs="宋体"/>
          <w:sz w:val="24"/>
        </w:rPr>
        <w:t>，须提供具有相关检测资质的第三方检测机构出具的检测报告复印件佐证（技术参数中有明确要求的除外）。</w:t>
      </w:r>
    </w:p>
    <w:p>
      <w:pPr>
        <w:spacing w:line="360" w:lineRule="auto"/>
        <w:ind w:firstLine="480" w:firstLineChars="200"/>
        <w:rPr>
          <w:rFonts w:hint="eastAsia" w:ascii="宋体" w:hAnsi="宋体" w:cs="宋体"/>
          <w:sz w:val="24"/>
        </w:rPr>
      </w:pPr>
      <w:r>
        <w:rPr>
          <w:rFonts w:hint="eastAsia" w:ascii="宋体" w:hAnsi="宋体" w:cs="宋体"/>
          <w:sz w:val="24"/>
        </w:rPr>
        <w:t>（二）“▲”条款为重要参数，</w:t>
      </w:r>
      <w:r>
        <w:rPr>
          <w:rFonts w:hint="eastAsia" w:ascii="宋体" w:hAnsi="宋体" w:cs="宋体"/>
          <w:sz w:val="24"/>
          <w:szCs w:val="24"/>
        </w:rPr>
        <w:t>须提供具有相关检测资质的第三方检测机构出具的检测报告复印件</w:t>
      </w:r>
      <w:r>
        <w:rPr>
          <w:rFonts w:hint="eastAsia" w:hAnsi="宋体" w:cs="宋体"/>
          <w:sz w:val="24"/>
        </w:rPr>
        <w:t>佐证（技术参数中有明确要求的除外）</w:t>
      </w:r>
      <w:r>
        <w:rPr>
          <w:rFonts w:hint="eastAsia" w:ascii="宋体" w:hAnsi="宋体" w:cs="宋体"/>
          <w:sz w:val="24"/>
          <w:szCs w:val="24"/>
        </w:rPr>
        <w:t>，无检测报告支撑或响应与检测报告对应项目不一致的指标项，该项不得分。</w:t>
      </w:r>
    </w:p>
    <w:p>
      <w:pPr>
        <w:spacing w:line="360" w:lineRule="auto"/>
        <w:ind w:firstLine="480" w:firstLineChars="200"/>
        <w:rPr>
          <w:rFonts w:hint="eastAsia" w:ascii="宋体" w:hAnsi="宋体" w:cs="宋体"/>
          <w:sz w:val="24"/>
        </w:rPr>
      </w:pPr>
      <w:r>
        <w:rPr>
          <w:rFonts w:hint="eastAsia" w:ascii="宋体" w:hAnsi="宋体" w:cs="宋体"/>
          <w:sz w:val="24"/>
        </w:rPr>
        <w:t>（</w:t>
      </w:r>
      <w:r>
        <w:rPr>
          <w:rFonts w:hint="eastAsia" w:hAnsi="宋体" w:cs="宋体"/>
          <w:sz w:val="24"/>
        </w:rPr>
        <w:t>三</w:t>
      </w:r>
      <w:r>
        <w:rPr>
          <w:rFonts w:hint="eastAsia" w:ascii="宋体" w:hAnsi="宋体" w:cs="宋体"/>
          <w:sz w:val="24"/>
        </w:rPr>
        <w:t>）样品要求：</w:t>
      </w:r>
    </w:p>
    <w:p>
      <w:pPr>
        <w:spacing w:line="360" w:lineRule="auto"/>
        <w:ind w:firstLine="480" w:firstLineChars="200"/>
        <w:rPr>
          <w:rFonts w:hint="eastAsia" w:ascii="宋体" w:hAnsi="宋体" w:cs="宋体"/>
          <w:sz w:val="24"/>
        </w:rPr>
      </w:pPr>
      <w:r>
        <w:rPr>
          <w:rFonts w:hint="eastAsia" w:ascii="宋体" w:hAnsi="宋体" w:cs="宋体"/>
          <w:sz w:val="24"/>
        </w:rPr>
        <w:t>1.投标人须按照技术参数要求提供样品。</w:t>
      </w:r>
    </w:p>
    <w:p>
      <w:pPr>
        <w:tabs>
          <w:tab w:val="left" w:pos="312"/>
        </w:tabs>
        <w:spacing w:line="360" w:lineRule="auto"/>
        <w:ind w:firstLine="480" w:firstLineChars="200"/>
        <w:rPr>
          <w:rFonts w:hint="eastAsia" w:ascii="宋体" w:hAnsi="宋体" w:cs="宋体"/>
          <w:bCs/>
          <w:sz w:val="24"/>
          <w:szCs w:val="24"/>
        </w:rPr>
      </w:pPr>
      <w:r>
        <w:rPr>
          <w:rFonts w:hint="eastAsia" w:ascii="宋体" w:hAnsi="宋体" w:cs="宋体"/>
          <w:bCs/>
          <w:sz w:val="24"/>
          <w:szCs w:val="24"/>
        </w:rPr>
        <w:t>2.投标人的样品制作、搬运、损耗等相关费用由投标人承担。</w:t>
      </w:r>
    </w:p>
    <w:p>
      <w:pPr>
        <w:pStyle w:val="2"/>
        <w:ind w:firstLine="480" w:firstLineChars="200"/>
        <w:rPr>
          <w:rFonts w:hint="eastAsia" w:ascii="宋体" w:hAnsi="宋体" w:cs="宋体"/>
          <w:bCs/>
          <w:sz w:val="24"/>
          <w:szCs w:val="24"/>
        </w:rPr>
      </w:pPr>
      <w:r>
        <w:rPr>
          <w:rFonts w:hint="eastAsia" w:ascii="宋体" w:hAnsi="宋体" w:cs="宋体"/>
          <w:bCs/>
          <w:sz w:val="24"/>
          <w:szCs w:val="24"/>
        </w:rPr>
        <w:t>3.样品递交截止时间见招标文件约定的递交截止时间，否则不予接收。</w:t>
      </w:r>
    </w:p>
    <w:p>
      <w:pPr>
        <w:spacing w:line="360" w:lineRule="auto"/>
        <w:ind w:firstLine="482" w:firstLineChars="200"/>
      </w:pPr>
      <w:r>
        <w:rPr>
          <w:rFonts w:hint="eastAsia" w:ascii="宋体" w:hAnsi="宋体" w:cs="宋体"/>
          <w:b/>
          <w:sz w:val="24"/>
          <w:szCs w:val="24"/>
        </w:rPr>
        <w:t>4.投标人递交样品时，需随投标样品提供样品清单，需写明样品明细，包括样品所属包号、样品名称，清单格式参照招标文件附件，注明投标人名称。</w:t>
      </w:r>
    </w:p>
    <w:p>
      <w:pPr>
        <w:spacing w:line="360" w:lineRule="auto"/>
        <w:ind w:firstLine="482" w:firstLineChars="200"/>
        <w:rPr>
          <w:rFonts w:hint="eastAsia" w:ascii="宋体" w:hAnsi="宋体" w:cs="宋体"/>
          <w:b/>
          <w:sz w:val="24"/>
          <w:szCs w:val="24"/>
        </w:rPr>
      </w:pPr>
      <w:r>
        <w:rPr>
          <w:rFonts w:hint="eastAsia" w:ascii="宋体" w:hAnsi="宋体" w:cs="宋体"/>
          <w:b/>
          <w:sz w:val="24"/>
          <w:szCs w:val="24"/>
        </w:rPr>
        <w:t>5.本项目样品评审采用“盲样”，即投标样品中不能出现生产厂商的文字、logo、图文等信息，必须由投标人自行进行粘贴覆盖。</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6.未中标人提供的样品在项目质疑投诉期结束后，并接到代理机构工作人员通知后可自行处理封样样品。</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7.中标人提供的样品由采购人保管，在验收完成后退还。</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8.样品移交、退还时，投标人按代理机构工作人员指定的时间、地点办理退还，因样品逾期未撤离而产生的废品处置费，由投标人承担。</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9.中标人提供的样品将作为项目验收依据的一部分，中标人最终提供的货物外观质量、制作工艺等不得低于样品的相关标准,且完全满足合同约定对货物的要求和标准。</w:t>
      </w:r>
    </w:p>
    <w:p>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10.样品提交时间：2021年</w:t>
      </w:r>
      <w:r>
        <w:rPr>
          <w:rFonts w:hint="eastAsia" w:ascii="宋体" w:hAnsi="宋体" w:cs="宋体"/>
          <w:b/>
          <w:bCs/>
          <w:sz w:val="24"/>
          <w:szCs w:val="24"/>
          <w:lang w:val="en-US" w:eastAsia="zh-CN"/>
        </w:rPr>
        <w:t>11</w:t>
      </w:r>
      <w:r>
        <w:rPr>
          <w:rFonts w:hint="eastAsia" w:ascii="宋体" w:hAnsi="宋体" w:cs="宋体"/>
          <w:b/>
          <w:bCs/>
          <w:sz w:val="24"/>
          <w:szCs w:val="24"/>
        </w:rPr>
        <w:t>月</w:t>
      </w:r>
      <w:r>
        <w:rPr>
          <w:rFonts w:hint="eastAsia" w:ascii="宋体" w:hAnsi="宋体" w:cs="宋体"/>
          <w:b/>
          <w:bCs/>
          <w:sz w:val="24"/>
          <w:szCs w:val="24"/>
          <w:lang w:val="en-US" w:eastAsia="zh-CN"/>
        </w:rPr>
        <w:t>24</w:t>
      </w:r>
      <w:r>
        <w:rPr>
          <w:rFonts w:hint="eastAsia" w:ascii="宋体" w:hAnsi="宋体" w:cs="宋体"/>
          <w:b/>
          <w:bCs/>
          <w:sz w:val="24"/>
          <w:szCs w:val="24"/>
        </w:rPr>
        <w:t>日 9:00——17:00（北京时间）</w:t>
      </w:r>
    </w:p>
    <w:p>
      <w:pPr>
        <w:pStyle w:val="2"/>
        <w:ind w:firstLine="482" w:firstLineChars="200"/>
        <w:rPr>
          <w:rFonts w:hint="eastAsia" w:ascii="宋体" w:hAnsi="宋体" w:cs="宋体"/>
          <w:b/>
          <w:bCs/>
          <w:sz w:val="24"/>
          <w:szCs w:val="24"/>
        </w:rPr>
      </w:pPr>
      <w:r>
        <w:rPr>
          <w:rFonts w:hint="eastAsia" w:ascii="宋体" w:hAnsi="宋体" w:cs="宋体"/>
          <w:b/>
          <w:bCs/>
          <w:sz w:val="24"/>
          <w:szCs w:val="24"/>
        </w:rPr>
        <w:t>11.样品提交地点：四川锦德招投标代理有限公司（地址：成都市高新区天益街38号理想中心1栋1410 ）。</w:t>
      </w:r>
    </w:p>
    <w:p>
      <w:pPr>
        <w:spacing w:line="360" w:lineRule="auto"/>
        <w:outlineLvl w:val="1"/>
        <w:rPr>
          <w:b/>
          <w:bCs/>
          <w:sz w:val="24"/>
          <w:szCs w:val="24"/>
        </w:rPr>
      </w:pPr>
      <w:r>
        <w:rPr>
          <w:rFonts w:hint="eastAsia" w:hAnsi="宋体"/>
          <w:b/>
          <w:bCs/>
          <w:sz w:val="24"/>
          <w:szCs w:val="24"/>
        </w:rPr>
        <w:t>二</w:t>
      </w:r>
      <w:r>
        <w:rPr>
          <w:rFonts w:hAnsi="宋体"/>
          <w:b/>
          <w:bCs/>
          <w:sz w:val="24"/>
          <w:szCs w:val="24"/>
        </w:rPr>
        <w:t>、技术参数及要求</w:t>
      </w:r>
    </w:p>
    <w:tbl>
      <w:tblPr>
        <w:tblStyle w:val="5"/>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8"/>
        <w:gridCol w:w="7123"/>
        <w:gridCol w:w="425"/>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68" w:type="dxa"/>
            <w:noWrap w:val="0"/>
            <w:vAlign w:val="center"/>
          </w:tcPr>
          <w:p>
            <w:pPr>
              <w:widowControl/>
              <w:spacing w:line="312" w:lineRule="auto"/>
              <w:jc w:val="center"/>
              <w:rPr>
                <w:rFonts w:hint="eastAsia" w:ascii="宋体" w:hAnsi="宋体" w:cs="宋体"/>
                <w:b/>
                <w:bCs/>
                <w:kern w:val="0"/>
                <w:sz w:val="24"/>
                <w:szCs w:val="24"/>
              </w:rPr>
            </w:pPr>
            <w:bookmarkStart w:id="1" w:name="_Hlt101846155"/>
            <w:bookmarkEnd w:id="1"/>
            <w:r>
              <w:rPr>
                <w:rFonts w:hint="eastAsia" w:ascii="宋体" w:hAnsi="宋体" w:cs="宋体"/>
                <w:b/>
                <w:bCs/>
                <w:kern w:val="0"/>
                <w:sz w:val="24"/>
                <w:szCs w:val="24"/>
              </w:rPr>
              <w:t>标包</w:t>
            </w:r>
            <w:r>
              <w:rPr>
                <w:rFonts w:hint="eastAsia" w:ascii="宋体" w:hAnsi="宋体" w:cs="宋体"/>
                <w:b/>
                <w:bCs/>
                <w:sz w:val="24"/>
                <w:szCs w:val="24"/>
              </w:rPr>
              <w:t>号</w:t>
            </w:r>
          </w:p>
        </w:tc>
        <w:tc>
          <w:tcPr>
            <w:tcW w:w="1098"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货物</w:t>
            </w:r>
          </w:p>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名称</w:t>
            </w:r>
          </w:p>
        </w:tc>
        <w:tc>
          <w:tcPr>
            <w:tcW w:w="7123"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技术参数</w:t>
            </w:r>
          </w:p>
        </w:tc>
        <w:tc>
          <w:tcPr>
            <w:tcW w:w="425"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单位</w:t>
            </w:r>
          </w:p>
        </w:tc>
        <w:tc>
          <w:tcPr>
            <w:tcW w:w="709" w:type="dxa"/>
            <w:noWrap w:val="0"/>
            <w:vAlign w:val="center"/>
          </w:tcPr>
          <w:p>
            <w:pPr>
              <w:widowControl/>
              <w:spacing w:line="312" w:lineRule="auto"/>
              <w:jc w:val="center"/>
              <w:rPr>
                <w:rFonts w:hint="eastAsia" w:ascii="宋体" w:hAnsi="宋体" w:cs="宋体"/>
                <w:b/>
                <w:bCs/>
                <w:kern w:val="0"/>
                <w:sz w:val="24"/>
                <w:szCs w:val="24"/>
              </w:rPr>
            </w:pPr>
            <w:r>
              <w:rPr>
                <w:rFonts w:hint="eastAsia" w:ascii="宋体" w:hAnsi="宋体" w:cs="宋体"/>
                <w:b/>
                <w:bCs/>
                <w:kern w:val="0"/>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30" w:hRule="atLeast"/>
        </w:trPr>
        <w:tc>
          <w:tcPr>
            <w:tcW w:w="56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6</w:t>
            </w: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手持电台B（防爆，800M）</w:t>
            </w:r>
          </w:p>
        </w:tc>
        <w:tc>
          <w:tcPr>
            <w:tcW w:w="7123" w:type="dxa"/>
            <w:noWrap w:val="0"/>
            <w:vAlign w:val="top"/>
          </w:tcPr>
          <w:p>
            <w:pPr>
              <w:rPr>
                <w:rStyle w:val="7"/>
                <w:rFonts w:hint="eastAsia" w:ascii="宋体" w:hAnsi="宋体" w:cs="宋体"/>
                <w:sz w:val="24"/>
                <w:szCs w:val="24"/>
                <w:lang w:bidi="ar"/>
              </w:rPr>
            </w:pPr>
            <w:r>
              <w:rPr>
                <w:rStyle w:val="7"/>
                <w:rFonts w:hint="eastAsia" w:ascii="宋体" w:hAnsi="宋体" w:cs="宋体"/>
                <w:sz w:val="24"/>
                <w:szCs w:val="24"/>
                <w:lang w:bidi="ar"/>
              </w:rPr>
              <w:t>★符合CNCA-C23-01:2019《强制性产品认证实施规则 防爆电气》的要求，提供国家强制性产品认证证书复印件；</w:t>
            </w:r>
          </w:p>
          <w:p>
            <w:pPr>
              <w:rPr>
                <w:rStyle w:val="7"/>
                <w:rFonts w:hint="eastAsia" w:ascii="宋体" w:hAnsi="宋体" w:cs="宋体"/>
                <w:sz w:val="24"/>
                <w:szCs w:val="24"/>
                <w:lang w:bidi="ar"/>
              </w:rPr>
            </w:pPr>
            <w:r>
              <w:rPr>
                <w:rStyle w:val="7"/>
                <w:rFonts w:hint="eastAsia" w:ascii="宋体" w:hAnsi="宋体" w:cs="宋体"/>
                <w:sz w:val="24"/>
                <w:szCs w:val="24"/>
                <w:lang w:bidi="ar"/>
              </w:rPr>
              <w:t>★提供中华人民共和国工业和信息化部颁发的无线电设备型号核准证书复印件；</w:t>
            </w:r>
          </w:p>
          <w:p>
            <w:pPr>
              <w:rPr>
                <w:rStyle w:val="7"/>
                <w:rFonts w:hint="eastAsia" w:ascii="宋体" w:hAnsi="宋体" w:cs="宋体"/>
                <w:sz w:val="24"/>
                <w:szCs w:val="24"/>
                <w:lang w:bidi="ar"/>
              </w:rPr>
            </w:pPr>
            <w:r>
              <w:rPr>
                <w:rStyle w:val="7"/>
                <w:rFonts w:hint="eastAsia" w:ascii="宋体" w:hAnsi="宋体" w:cs="宋体"/>
                <w:sz w:val="24"/>
                <w:szCs w:val="24"/>
                <w:lang w:bidi="ar"/>
              </w:rPr>
              <w:t>▲1、符合ia防爆等级的结构设计，可在爆炸性危险场所使用，满足IECE/ATEX/FM/CQST标准本质安全ia认证等级；（提供相关证书复印件）</w:t>
            </w:r>
          </w:p>
          <w:p>
            <w:pPr>
              <w:rPr>
                <w:rStyle w:val="7"/>
                <w:rFonts w:hint="eastAsia" w:ascii="宋体" w:hAnsi="宋体" w:cs="宋体"/>
                <w:sz w:val="24"/>
                <w:szCs w:val="24"/>
                <w:lang w:bidi="ar"/>
              </w:rPr>
            </w:pPr>
            <w:r>
              <w:rPr>
                <w:rStyle w:val="7"/>
                <w:rFonts w:hint="eastAsia" w:ascii="宋体" w:hAnsi="宋体" w:cs="宋体"/>
                <w:sz w:val="24"/>
                <w:szCs w:val="24"/>
                <w:lang w:bidi="ar"/>
              </w:rPr>
              <w:t>▲2、提供ⅡC防爆等级有效防爆合格证复印件；</w:t>
            </w:r>
          </w:p>
          <w:p>
            <w:pPr>
              <w:rPr>
                <w:rStyle w:val="7"/>
                <w:rFonts w:hint="eastAsia" w:ascii="宋体" w:hAnsi="宋体" w:cs="宋体"/>
                <w:sz w:val="24"/>
                <w:szCs w:val="24"/>
                <w:lang w:bidi="ar"/>
              </w:rPr>
            </w:pPr>
            <w:r>
              <w:rPr>
                <w:rStyle w:val="7"/>
                <w:rFonts w:hint="eastAsia" w:ascii="宋体" w:hAnsi="宋体" w:cs="宋体"/>
                <w:sz w:val="24"/>
                <w:szCs w:val="24"/>
                <w:lang w:bidi="ar"/>
              </w:rPr>
              <w:t>▲3、符合国军标（GJB150A-2009）和IP67及以上工业防护标准，提供检测报告复印件；</w:t>
            </w:r>
          </w:p>
          <w:p>
            <w:pPr>
              <w:rPr>
                <w:rStyle w:val="7"/>
                <w:rFonts w:hint="eastAsia" w:ascii="宋体" w:hAnsi="宋体" w:cs="宋体"/>
                <w:sz w:val="24"/>
                <w:szCs w:val="24"/>
                <w:lang w:bidi="ar"/>
              </w:rPr>
            </w:pPr>
            <w:r>
              <w:rPr>
                <w:rStyle w:val="7"/>
                <w:rFonts w:hint="eastAsia" w:ascii="宋体" w:hAnsi="宋体" w:cs="宋体"/>
                <w:sz w:val="24"/>
                <w:szCs w:val="24"/>
                <w:lang w:bidi="ar"/>
              </w:rPr>
              <w:t>4、1.8英寸及以上彩色显示屏，强光下可视；</w:t>
            </w:r>
          </w:p>
          <w:p>
            <w:pPr>
              <w:rPr>
                <w:rStyle w:val="7"/>
                <w:rFonts w:hint="eastAsia" w:ascii="宋体" w:hAnsi="宋体" w:cs="宋体"/>
                <w:sz w:val="24"/>
                <w:szCs w:val="24"/>
                <w:lang w:bidi="ar"/>
              </w:rPr>
            </w:pPr>
            <w:r>
              <w:rPr>
                <w:rStyle w:val="7"/>
                <w:rFonts w:hint="eastAsia" w:ascii="宋体" w:hAnsi="宋体" w:cs="宋体"/>
                <w:sz w:val="24"/>
                <w:szCs w:val="24"/>
                <w:lang w:bidi="ar"/>
              </w:rPr>
              <w:t>5、手持台机身颜色醒目（橙红色），易于识别和区分；</w:t>
            </w:r>
          </w:p>
          <w:p>
            <w:pPr>
              <w:rPr>
                <w:rStyle w:val="7"/>
                <w:rFonts w:hint="eastAsia" w:ascii="宋体" w:hAnsi="宋体" w:cs="宋体"/>
                <w:sz w:val="24"/>
                <w:szCs w:val="24"/>
                <w:lang w:bidi="ar"/>
              </w:rPr>
            </w:pPr>
            <w:r>
              <w:rPr>
                <w:rStyle w:val="7"/>
                <w:rFonts w:hint="eastAsia" w:ascii="宋体" w:hAnsi="宋体" w:cs="宋体"/>
                <w:sz w:val="24"/>
                <w:szCs w:val="24"/>
                <w:lang w:bidi="ar"/>
              </w:rPr>
              <w:t>6、内置高精度定位模块；</w:t>
            </w:r>
          </w:p>
          <w:p>
            <w:pPr>
              <w:rPr>
                <w:rStyle w:val="7"/>
                <w:rFonts w:hint="eastAsia" w:ascii="宋体" w:hAnsi="宋体" w:cs="宋体"/>
                <w:sz w:val="24"/>
                <w:szCs w:val="24"/>
                <w:lang w:bidi="ar"/>
              </w:rPr>
            </w:pPr>
            <w:r>
              <w:rPr>
                <w:rStyle w:val="7"/>
                <w:rFonts w:hint="eastAsia" w:ascii="宋体" w:hAnsi="宋体" w:cs="宋体"/>
                <w:sz w:val="24"/>
                <w:szCs w:val="24"/>
                <w:lang w:bidi="ar"/>
              </w:rPr>
              <w:t>7、具备全键盘，输入方式应包括：中文拼音、英文、数字、符号、中文联想、笔画；</w:t>
            </w:r>
          </w:p>
          <w:p>
            <w:pPr>
              <w:rPr>
                <w:rStyle w:val="7"/>
                <w:rFonts w:hint="eastAsia" w:ascii="宋体" w:hAnsi="宋体" w:cs="宋体"/>
                <w:sz w:val="24"/>
                <w:szCs w:val="24"/>
                <w:lang w:bidi="ar"/>
              </w:rPr>
            </w:pPr>
            <w:r>
              <w:rPr>
                <w:rStyle w:val="7"/>
                <w:rFonts w:hint="eastAsia" w:ascii="宋体" w:hAnsi="宋体" w:cs="宋体"/>
                <w:sz w:val="24"/>
                <w:szCs w:val="24"/>
                <w:lang w:bidi="ar"/>
              </w:rPr>
              <w:t>8、具备倒放告警功能；具备终端与终端间位置信息共享功能；具备TMO、DMO模式自动切换功能；具备数字降噪功能；</w:t>
            </w:r>
          </w:p>
          <w:p>
            <w:pPr>
              <w:rPr>
                <w:rStyle w:val="7"/>
                <w:rFonts w:hint="eastAsia" w:ascii="宋体" w:hAnsi="宋体" w:cs="宋体"/>
                <w:sz w:val="24"/>
                <w:szCs w:val="24"/>
                <w:lang w:bidi="ar"/>
              </w:rPr>
            </w:pPr>
            <w:r>
              <w:rPr>
                <w:rStyle w:val="7"/>
                <w:rFonts w:hint="eastAsia" w:ascii="宋体" w:hAnsi="宋体" w:cs="宋体"/>
                <w:sz w:val="24"/>
                <w:szCs w:val="24"/>
                <w:lang w:bidi="ar"/>
              </w:rPr>
              <w:t>9、具备屏幕反转功能，反转角底不低于180度，在不转动机器的情况下正常查阅屏幕信息；</w:t>
            </w:r>
          </w:p>
          <w:p>
            <w:pPr>
              <w:rPr>
                <w:rStyle w:val="7"/>
                <w:rFonts w:hint="eastAsia" w:ascii="宋体" w:hAnsi="宋体" w:cs="宋体"/>
                <w:sz w:val="24"/>
                <w:szCs w:val="24"/>
                <w:lang w:bidi="ar"/>
              </w:rPr>
            </w:pPr>
            <w:r>
              <w:rPr>
                <w:rStyle w:val="7"/>
                <w:rFonts w:hint="eastAsia" w:ascii="宋体" w:hAnsi="宋体" w:cs="宋体"/>
                <w:sz w:val="24"/>
                <w:szCs w:val="24"/>
                <w:lang w:bidi="ar"/>
              </w:rPr>
              <w:t>10、每台配备原厂防爆锂电池1块，电池容量≥1800毫安，5/5/90模式工作时间不低于15小时，符合并达到电池安全使用要求；</w:t>
            </w:r>
          </w:p>
          <w:p>
            <w:pPr>
              <w:rPr>
                <w:rStyle w:val="7"/>
                <w:rFonts w:hint="eastAsia" w:ascii="宋体" w:hAnsi="宋体" w:cs="宋体"/>
                <w:sz w:val="24"/>
                <w:szCs w:val="24"/>
                <w:lang w:bidi="ar"/>
              </w:rPr>
            </w:pPr>
            <w:r>
              <w:rPr>
                <w:rStyle w:val="7"/>
                <w:rFonts w:hint="eastAsia" w:ascii="宋体" w:hAnsi="宋体" w:cs="宋体"/>
                <w:sz w:val="24"/>
                <w:szCs w:val="24"/>
                <w:lang w:bidi="ar"/>
              </w:rPr>
              <w:t>▲11、全面兼容成都市800兆TETRA数字集群无线通信系统</w:t>
            </w:r>
          </w:p>
          <w:p>
            <w:pPr>
              <w:pStyle w:val="8"/>
            </w:pPr>
            <w:r>
              <w:rPr>
                <w:rFonts w:hint="eastAsia" w:ascii="宋体" w:hAnsi="宋体" w:eastAsia="宋体" w:cs="宋体"/>
                <w:kern w:val="2"/>
                <w:szCs w:val="24"/>
              </w:rPr>
              <w:t>【提供样品1套作为评标依据。】</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台</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restart"/>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7</w:t>
            </w: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消防员呼救器</w:t>
            </w:r>
          </w:p>
        </w:tc>
        <w:tc>
          <w:tcPr>
            <w:tcW w:w="7123" w:type="dxa"/>
            <w:noWrap w:val="0"/>
            <w:vAlign w:val="top"/>
          </w:tcPr>
          <w:p>
            <w:pPr>
              <w:rPr>
                <w:rFonts w:hint="eastAsia" w:ascii="宋体" w:hAnsi="宋体" w:cs="宋体"/>
                <w:b/>
                <w:bCs/>
                <w:sz w:val="24"/>
                <w:szCs w:val="24"/>
              </w:rPr>
            </w:pPr>
            <w:r>
              <w:rPr>
                <w:rFonts w:hint="eastAsia" w:ascii="宋体" w:hAnsi="宋体" w:cs="宋体"/>
                <w:sz w:val="24"/>
                <w:szCs w:val="24"/>
              </w:rPr>
              <w:t>★符合GB27900-2011《消防员呼救器》标准的要求。</w:t>
            </w:r>
            <w:r>
              <w:rPr>
                <w:rFonts w:hint="eastAsia" w:ascii="宋体" w:hAnsi="宋体" w:cs="宋体"/>
                <w:b/>
                <w:bCs/>
                <w:sz w:val="24"/>
                <w:szCs w:val="24"/>
              </w:rPr>
              <w:t>提供具有相关检测资质的第三方检测机构出具的检测报告复印件。</w:t>
            </w:r>
          </w:p>
          <w:p>
            <w:pPr>
              <w:rPr>
                <w:rFonts w:hint="eastAsia" w:ascii="宋体" w:hAnsi="宋体" w:cs="宋体"/>
                <w:sz w:val="24"/>
                <w:szCs w:val="24"/>
              </w:rPr>
            </w:pPr>
            <w:r>
              <w:rPr>
                <w:rFonts w:hint="eastAsia" w:ascii="宋体" w:hAnsi="宋体" w:cs="宋体"/>
                <w:sz w:val="24"/>
                <w:szCs w:val="24"/>
              </w:rPr>
              <w:t>1、设备应符合人体工程学设计规范，提供第三方人体工程学认证机构检验合格证书；</w:t>
            </w:r>
            <w:r>
              <w:rPr>
                <w:rFonts w:hint="eastAsia" w:ascii="宋体" w:hAnsi="宋体" w:cs="宋体"/>
                <w:sz w:val="24"/>
                <w:szCs w:val="24"/>
              </w:rPr>
              <w:br w:type="textWrapping"/>
            </w:r>
            <w:r>
              <w:rPr>
                <w:rFonts w:hint="eastAsia" w:ascii="宋体" w:hAnsi="宋体" w:cs="宋体"/>
                <w:sz w:val="24"/>
                <w:szCs w:val="24"/>
              </w:rPr>
              <w:t>2、须满足Ex（ib） IIB T3 Gb防爆等级和IP67防护等级，提供防爆证书和IP67检验报告的复印件；</w:t>
            </w:r>
            <w:r>
              <w:rPr>
                <w:rFonts w:hint="eastAsia" w:ascii="宋体" w:hAnsi="宋体" w:cs="宋体"/>
                <w:sz w:val="24"/>
                <w:szCs w:val="24"/>
              </w:rPr>
              <w:br w:type="textWrapping"/>
            </w:r>
            <w:r>
              <w:rPr>
                <w:rFonts w:hint="eastAsia" w:ascii="宋体" w:hAnsi="宋体" w:cs="宋体"/>
                <w:sz w:val="24"/>
                <w:szCs w:val="24"/>
              </w:rPr>
              <w:t>▲3、预报警声压≥86dB/m，强报警声压≥100dB/m，允许静止时间=30S±1S，连续报警时间≥480min；锂电池容量≥1800mAh； 方位灯不低于4个，分别朝向4个方向，至少红白黄三种颜色；</w:t>
            </w:r>
            <w:r>
              <w:rPr>
                <w:rFonts w:hint="eastAsia" w:ascii="宋体" w:hAnsi="宋体" w:cs="宋体"/>
                <w:sz w:val="24"/>
                <w:szCs w:val="24"/>
              </w:rPr>
              <w:br w:type="textWrapping"/>
            </w:r>
            <w:r>
              <w:rPr>
                <w:rFonts w:hint="eastAsia" w:ascii="宋体" w:hAnsi="宋体" w:cs="宋体"/>
                <w:sz w:val="24"/>
                <w:szCs w:val="24"/>
              </w:rPr>
              <w:t>4、应具有同伴互相搜救功能，搜救人员与求救人员应能互相显示对方的身份、高度和信号强度等信息，互相通信半径≥2公里（开阔地带）；</w:t>
            </w:r>
            <w:r>
              <w:rPr>
                <w:rFonts w:hint="eastAsia" w:ascii="宋体" w:hAnsi="宋体" w:cs="宋体"/>
                <w:sz w:val="24"/>
                <w:szCs w:val="24"/>
              </w:rPr>
              <w:br w:type="textWrapping"/>
            </w:r>
            <w:r>
              <w:rPr>
                <w:rFonts w:hint="eastAsia" w:ascii="宋体" w:hAnsi="宋体" w:cs="宋体"/>
                <w:sz w:val="24"/>
                <w:szCs w:val="24"/>
              </w:rPr>
              <w:t>▲5、应同时具有5G物联网（即NB-IOT）与自组网数传功能，双通道热备份，可以无缝升级接入后场指挥系统；自组网数传具备不少于8个频点可供设置选择，使8套系统同时工作互不干扰，数传距离≥2公里（开阔地带）；</w:t>
            </w:r>
            <w:r>
              <w:rPr>
                <w:rFonts w:hint="eastAsia" w:ascii="宋体" w:hAnsi="宋体" w:cs="宋体"/>
                <w:sz w:val="24"/>
                <w:szCs w:val="24"/>
              </w:rPr>
              <w:br w:type="textWrapping"/>
            </w:r>
            <w:r>
              <w:rPr>
                <w:rFonts w:hint="eastAsia" w:ascii="宋体" w:hAnsi="宋体" w:cs="宋体"/>
                <w:sz w:val="24"/>
                <w:szCs w:val="24"/>
              </w:rPr>
              <w:t>6、具备1.5英寸以上彩色户外显示屏，阳光下清晰可视，能显示空呼气瓶压力、动态剩余时间、返回时间提醒、高度、现场温度、报警信息、搜救信息、通信状态、电池电量等，并支持语音播报。</w:t>
            </w:r>
            <w:r>
              <w:rPr>
                <w:rFonts w:hint="eastAsia" w:ascii="宋体" w:hAnsi="宋体" w:cs="宋体"/>
                <w:sz w:val="24"/>
                <w:szCs w:val="24"/>
              </w:rPr>
              <w:br w:type="textWrapping"/>
            </w:r>
            <w:r>
              <w:rPr>
                <w:rFonts w:hint="eastAsia" w:ascii="宋体" w:hAnsi="宋体" w:cs="宋体"/>
                <w:sz w:val="24"/>
                <w:szCs w:val="24"/>
              </w:rPr>
              <w:t>7、应能扩展语音播报气瓶压力、撤退提醒、高温提醒、电量不足、求救信息等；应具有北斗卫星定位功能，具有卫星信号状态显示；应具有指南针功能；</w:t>
            </w:r>
            <w:r>
              <w:rPr>
                <w:rFonts w:hint="eastAsia" w:ascii="宋体" w:hAnsi="宋体" w:cs="宋体"/>
                <w:sz w:val="24"/>
                <w:szCs w:val="24"/>
              </w:rPr>
              <w:br w:type="textWrapping"/>
            </w:r>
            <w:r>
              <w:rPr>
                <w:rFonts w:hint="eastAsia" w:ascii="宋体" w:hAnsi="宋体" w:cs="宋体"/>
                <w:sz w:val="24"/>
                <w:szCs w:val="24"/>
              </w:rPr>
              <w:t>8、配备管理平台支持黑匣子与数据统计功能，黑匣子功能要包含每个队员的报警、温度、电量、通信等作战过程记录，统计分析功能包括设备统计、出警统计、报警统计等多维度图表统计；</w:t>
            </w:r>
          </w:p>
          <w:p>
            <w:pPr>
              <w:pStyle w:val="2"/>
              <w:rPr>
                <w:rFonts w:hint="eastAsia" w:ascii="宋体" w:hAnsi="宋体" w:cs="宋体"/>
                <w:sz w:val="24"/>
                <w:szCs w:val="24"/>
              </w:rPr>
            </w:pPr>
            <w:r>
              <w:rPr>
                <w:rFonts w:hint="eastAsia" w:ascii="宋体" w:hAnsi="宋体" w:cs="宋体"/>
                <w:b/>
                <w:sz w:val="24"/>
                <w:szCs w:val="24"/>
              </w:rPr>
              <w:t>【提供样品1套作为评标依据。】</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个</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4481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68" w:type="dxa"/>
            <w:vMerge w:val="continue"/>
            <w:noWrap w:val="0"/>
            <w:vAlign w:val="center"/>
          </w:tcPr>
          <w:p>
            <w:pPr>
              <w:widowControl/>
              <w:spacing w:line="312" w:lineRule="auto"/>
              <w:jc w:val="center"/>
              <w:rPr>
                <w:rFonts w:hint="eastAsia" w:ascii="宋体" w:hAnsi="宋体" w:cs="宋体"/>
                <w:kern w:val="0"/>
                <w:sz w:val="24"/>
                <w:szCs w:val="24"/>
              </w:rPr>
            </w:pPr>
          </w:p>
        </w:tc>
        <w:tc>
          <w:tcPr>
            <w:tcW w:w="1098"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消防员方位灯</w:t>
            </w:r>
          </w:p>
        </w:tc>
        <w:tc>
          <w:tcPr>
            <w:tcW w:w="7123" w:type="dxa"/>
            <w:noWrap w:val="0"/>
            <w:vAlign w:val="top"/>
          </w:tcPr>
          <w:p>
            <w:pPr>
              <w:rPr>
                <w:rStyle w:val="10"/>
                <w:rFonts w:hint="default" w:ascii="宋体" w:hAnsi="宋体" w:eastAsia="宋体" w:cs="宋体"/>
                <w:sz w:val="24"/>
                <w:szCs w:val="24"/>
                <w:lang w:bidi="ar"/>
              </w:rPr>
            </w:pPr>
            <w:r>
              <w:rPr>
                <w:rStyle w:val="7"/>
                <w:rFonts w:hint="eastAsia" w:ascii="宋体" w:hAnsi="宋体" w:cs="宋体"/>
                <w:sz w:val="24"/>
                <w:szCs w:val="24"/>
                <w:lang w:bidi="ar"/>
              </w:rPr>
              <w:t>★</w:t>
            </w:r>
            <w:r>
              <w:rPr>
                <w:rFonts w:hint="eastAsia" w:ascii="宋体" w:hAnsi="宋体" w:cs="宋体"/>
                <w:b/>
                <w:bCs/>
                <w:sz w:val="24"/>
                <w:szCs w:val="24"/>
              </w:rPr>
              <w:t>提供具有相关检测资质的第三方检测机构出具的检测报告复印件。</w:t>
            </w:r>
          </w:p>
          <w:p>
            <w:pPr>
              <w:rPr>
                <w:rStyle w:val="7"/>
                <w:rFonts w:hint="eastAsia" w:ascii="宋体" w:hAnsi="宋体" w:cs="宋体"/>
                <w:sz w:val="24"/>
                <w:szCs w:val="24"/>
                <w:lang w:bidi="ar"/>
              </w:rPr>
            </w:pPr>
            <w:r>
              <w:rPr>
                <w:rStyle w:val="7"/>
                <w:rFonts w:hint="eastAsia" w:ascii="宋体" w:hAnsi="宋体" w:cs="宋体"/>
                <w:sz w:val="24"/>
                <w:szCs w:val="24"/>
                <w:lang w:bidi="ar"/>
              </w:rPr>
              <w:t>9、防爆标志：Ex iaⅡCT6；外壳防护等级：IP68（100m）；提供防爆证书和IP68检测报告的复印件。</w:t>
            </w:r>
          </w:p>
          <w:p>
            <w:pPr>
              <w:rPr>
                <w:rStyle w:val="7"/>
                <w:rFonts w:hint="eastAsia" w:ascii="宋体" w:hAnsi="宋体" w:cs="宋体"/>
                <w:sz w:val="24"/>
                <w:szCs w:val="24"/>
                <w:lang w:bidi="ar"/>
              </w:rPr>
            </w:pPr>
            <w:r>
              <w:rPr>
                <w:rStyle w:val="7"/>
                <w:rFonts w:hint="eastAsia" w:ascii="宋体" w:hAnsi="宋体" w:cs="宋体"/>
                <w:sz w:val="24"/>
                <w:szCs w:val="24"/>
                <w:lang w:bidi="ar"/>
              </w:rPr>
              <w:t>10、具有防爆、防水、耐腐蚀等性能，能经受强力碰撞和冲击，可在-60℃严寒或150℃高温下正常工作。</w:t>
            </w:r>
          </w:p>
          <w:p>
            <w:pPr>
              <w:rPr>
                <w:rStyle w:val="7"/>
                <w:rFonts w:hint="eastAsia" w:ascii="宋体" w:hAnsi="宋体" w:cs="宋体"/>
                <w:sz w:val="24"/>
                <w:szCs w:val="24"/>
                <w:lang w:bidi="ar"/>
              </w:rPr>
            </w:pPr>
            <w:r>
              <w:rPr>
                <w:rStyle w:val="7"/>
                <w:rFonts w:hint="eastAsia" w:ascii="宋体" w:hAnsi="宋体" w:cs="宋体"/>
                <w:sz w:val="24"/>
                <w:szCs w:val="24"/>
                <w:lang w:bidi="ar"/>
              </w:rPr>
              <w:t>11、方位灯的可视距离≥200m；</w:t>
            </w:r>
          </w:p>
          <w:p>
            <w:pPr>
              <w:rPr>
                <w:rStyle w:val="7"/>
                <w:rFonts w:hint="eastAsia" w:ascii="宋体" w:hAnsi="宋体" w:cs="宋体"/>
                <w:sz w:val="24"/>
                <w:szCs w:val="24"/>
                <w:lang w:bidi="ar"/>
              </w:rPr>
            </w:pPr>
            <w:r>
              <w:rPr>
                <w:rStyle w:val="7"/>
                <w:rFonts w:hint="eastAsia" w:ascii="宋体" w:hAnsi="宋体" w:cs="宋体"/>
                <w:sz w:val="24"/>
                <w:szCs w:val="24"/>
                <w:lang w:bidi="ar"/>
              </w:rPr>
              <w:t>▲12、额定电压3V；静态电流＜3µA；脉冲电流＜80mA；</w:t>
            </w:r>
          </w:p>
          <w:p>
            <w:pPr>
              <w:rPr>
                <w:rStyle w:val="7"/>
                <w:rFonts w:hint="eastAsia" w:ascii="宋体" w:hAnsi="宋体" w:cs="宋体"/>
                <w:sz w:val="24"/>
                <w:szCs w:val="24"/>
                <w:lang w:bidi="ar"/>
              </w:rPr>
            </w:pPr>
            <w:r>
              <w:rPr>
                <w:rStyle w:val="7"/>
                <w:rFonts w:hint="eastAsia" w:ascii="宋体" w:hAnsi="宋体" w:cs="宋体"/>
                <w:sz w:val="24"/>
                <w:szCs w:val="24"/>
                <w:lang w:bidi="ar"/>
              </w:rPr>
              <w:t>13、闪光频率2.7Hz（±0.1Hz）；</w:t>
            </w:r>
          </w:p>
          <w:p>
            <w:pPr>
              <w:rPr>
                <w:rStyle w:val="7"/>
                <w:rFonts w:hint="eastAsia" w:ascii="宋体" w:hAnsi="宋体" w:cs="宋体"/>
                <w:sz w:val="24"/>
                <w:szCs w:val="24"/>
                <w:lang w:bidi="ar"/>
              </w:rPr>
            </w:pPr>
            <w:r>
              <w:rPr>
                <w:rStyle w:val="7"/>
                <w:rFonts w:hint="eastAsia" w:ascii="宋体" w:hAnsi="宋体" w:cs="宋体"/>
                <w:sz w:val="24"/>
                <w:szCs w:val="24"/>
                <w:lang w:bidi="ar"/>
              </w:rPr>
              <w:t>14、两节7号高能电池，连续工作时间≥100h；</w:t>
            </w:r>
          </w:p>
          <w:p>
            <w:pPr>
              <w:rPr>
                <w:rStyle w:val="7"/>
                <w:rFonts w:hint="eastAsia" w:ascii="宋体" w:hAnsi="宋体" w:cs="宋体"/>
                <w:sz w:val="24"/>
                <w:szCs w:val="24"/>
                <w:lang w:bidi="ar"/>
              </w:rPr>
            </w:pPr>
            <w:r>
              <w:rPr>
                <w:rStyle w:val="7"/>
                <w:rFonts w:hint="eastAsia" w:ascii="宋体" w:hAnsi="宋体" w:cs="宋体"/>
                <w:sz w:val="24"/>
                <w:szCs w:val="24"/>
                <w:lang w:bidi="ar"/>
              </w:rPr>
              <w:t>15、外形尺寸≤70*50*40㎜；</w:t>
            </w:r>
          </w:p>
          <w:p>
            <w:pPr>
              <w:rPr>
                <w:rFonts w:hint="eastAsia" w:ascii="宋体" w:hAnsi="宋体" w:cs="宋体"/>
                <w:sz w:val="24"/>
                <w:szCs w:val="24"/>
              </w:rPr>
            </w:pPr>
            <w:r>
              <w:rPr>
                <w:rStyle w:val="7"/>
                <w:rFonts w:hint="eastAsia" w:ascii="宋体" w:hAnsi="宋体" w:cs="宋体"/>
                <w:sz w:val="24"/>
                <w:szCs w:val="24"/>
                <w:lang w:bidi="ar"/>
              </w:rPr>
              <w:t>▲16、质量：≤0.1kg；</w:t>
            </w:r>
          </w:p>
        </w:tc>
        <w:tc>
          <w:tcPr>
            <w:tcW w:w="425" w:type="dxa"/>
            <w:noWrap w:val="0"/>
            <w:vAlign w:val="center"/>
          </w:tcPr>
          <w:p>
            <w:pPr>
              <w:widowControl/>
              <w:spacing w:line="312" w:lineRule="auto"/>
              <w:jc w:val="center"/>
              <w:rPr>
                <w:rFonts w:hint="eastAsia" w:ascii="宋体" w:hAnsi="宋体" w:cs="宋体"/>
                <w:kern w:val="0"/>
                <w:sz w:val="24"/>
                <w:szCs w:val="24"/>
              </w:rPr>
            </w:pPr>
            <w:r>
              <w:rPr>
                <w:rFonts w:hint="eastAsia" w:ascii="宋体" w:hAnsi="宋体" w:cs="宋体"/>
                <w:kern w:val="0"/>
                <w:sz w:val="24"/>
                <w:szCs w:val="24"/>
              </w:rPr>
              <w:t>个</w:t>
            </w:r>
          </w:p>
        </w:tc>
        <w:tc>
          <w:tcPr>
            <w:tcW w:w="709" w:type="dxa"/>
            <w:noWrap w:val="0"/>
            <w:vAlign w:val="center"/>
          </w:tcPr>
          <w:p>
            <w:pPr>
              <w:spacing w:line="312" w:lineRule="auto"/>
              <w:jc w:val="center"/>
              <w:rPr>
                <w:rFonts w:ascii="宋体" w:hAnsi="宋体" w:cs="宋体"/>
                <w:kern w:val="0"/>
                <w:sz w:val="24"/>
                <w:szCs w:val="24"/>
              </w:rPr>
            </w:pPr>
            <w:r>
              <w:rPr>
                <w:rFonts w:hint="eastAsia" w:ascii="宋体" w:hAnsi="宋体" w:cs="宋体"/>
                <w:kern w:val="0"/>
                <w:sz w:val="24"/>
                <w:szCs w:val="24"/>
              </w:rPr>
              <w:t>507</w:t>
            </w:r>
          </w:p>
        </w:tc>
      </w:tr>
    </w:tbl>
    <w:p>
      <w:pPr>
        <w:spacing w:line="360" w:lineRule="auto"/>
        <w:rPr>
          <w:rFonts w:hint="eastAsia"/>
          <w:b/>
          <w:bCs/>
          <w:sz w:val="24"/>
          <w:szCs w:val="24"/>
        </w:rPr>
      </w:pPr>
    </w:p>
    <w:p>
      <w:pPr>
        <w:spacing w:line="360" w:lineRule="auto"/>
        <w:rPr>
          <w:rFonts w:hint="eastAsia"/>
          <w:b/>
          <w:bCs/>
          <w:sz w:val="24"/>
          <w:szCs w:val="24"/>
        </w:rPr>
      </w:pPr>
      <w:r>
        <w:rPr>
          <w:rFonts w:hint="eastAsia"/>
          <w:b/>
          <w:bCs/>
          <w:sz w:val="24"/>
          <w:szCs w:val="24"/>
        </w:rPr>
        <w:t>备注：</w:t>
      </w:r>
      <w:r>
        <w:rPr>
          <w:rFonts w:hint="eastAsia" w:ascii="宋体" w:hAnsi="宋体" w:cs="宋体"/>
          <w:b/>
          <w:bCs/>
          <w:sz w:val="24"/>
          <w:szCs w:val="24"/>
        </w:rPr>
        <w:t>1、</w:t>
      </w:r>
      <w:r>
        <w:rPr>
          <w:rFonts w:hint="eastAsia"/>
          <w:b/>
          <w:bCs/>
          <w:sz w:val="24"/>
          <w:szCs w:val="24"/>
        </w:rPr>
        <w:t>技术参数中要求提供的产品第三方检测机构出具证书（检测、认证、测试等），除在投标文件中一并提供外，投标人还可提供在线查询途径。</w:t>
      </w:r>
    </w:p>
    <w:p>
      <w:pPr>
        <w:pStyle w:val="2"/>
        <w:rPr>
          <w:rFonts w:hint="eastAsia"/>
        </w:rPr>
      </w:pPr>
      <w:r>
        <w:rPr>
          <w:rFonts w:hint="eastAsia"/>
          <w:b/>
          <w:bCs/>
          <w:sz w:val="24"/>
          <w:szCs w:val="24"/>
        </w:rPr>
        <w:t>2、四川省消防救援总队现有图像综合管理平台的硬件基础设备为华平品牌。</w:t>
      </w:r>
    </w:p>
    <w:p>
      <w:pPr>
        <w:pStyle w:val="2"/>
      </w:pPr>
    </w:p>
    <w:p>
      <w:pPr>
        <w:spacing w:line="360" w:lineRule="auto"/>
        <w:outlineLvl w:val="1"/>
        <w:rPr>
          <w:b/>
          <w:sz w:val="24"/>
          <w:szCs w:val="24"/>
        </w:rPr>
      </w:pPr>
      <w:r>
        <w:rPr>
          <w:rFonts w:hint="eastAsia" w:ascii="宋体" w:hAnsi="宋体" w:cs="宋体"/>
        </w:rPr>
        <w:t>★</w:t>
      </w:r>
      <w:r>
        <w:rPr>
          <w:rFonts w:hint="eastAsia"/>
          <w:b/>
          <w:bCs/>
          <w:sz w:val="24"/>
          <w:szCs w:val="24"/>
        </w:rPr>
        <w:t>三</w:t>
      </w:r>
      <w:r>
        <w:rPr>
          <w:b/>
          <w:sz w:val="24"/>
          <w:szCs w:val="24"/>
        </w:rPr>
        <w:t>、商务要求</w:t>
      </w:r>
    </w:p>
    <w:p>
      <w:pPr>
        <w:numPr>
          <w:ilvl w:val="0"/>
          <w:numId w:val="3"/>
        </w:numPr>
        <w:spacing w:line="360" w:lineRule="auto"/>
        <w:rPr>
          <w:kern w:val="0"/>
          <w:sz w:val="24"/>
          <w:szCs w:val="24"/>
          <w:lang w:eastAsia="zh-Hans" w:bidi="ar"/>
        </w:rPr>
      </w:pPr>
      <w:r>
        <w:rPr>
          <w:b/>
          <w:bCs/>
          <w:sz w:val="24"/>
          <w:szCs w:val="24"/>
        </w:rPr>
        <w:t>交货时间：</w:t>
      </w:r>
      <w:r>
        <w:rPr>
          <w:rFonts w:hint="eastAsia" w:ascii="宋体" w:hAnsi="宋体" w:cs="宋体"/>
          <w:bCs/>
          <w:kern w:val="0"/>
          <w:sz w:val="24"/>
        </w:rPr>
        <w:t>合同签订后60天内。若遇不可抗力或其他特殊情况，经采购人确认后可适当延迟，最多不超过合同签订后120天</w:t>
      </w:r>
      <w:r>
        <w:rPr>
          <w:rFonts w:hint="eastAsia"/>
          <w:kern w:val="0"/>
          <w:sz w:val="24"/>
          <w:szCs w:val="24"/>
          <w:lang w:bidi="ar"/>
        </w:rPr>
        <w:t>。</w:t>
      </w:r>
    </w:p>
    <w:p>
      <w:pPr>
        <w:numPr>
          <w:ilvl w:val="0"/>
          <w:numId w:val="3"/>
        </w:numPr>
        <w:spacing w:line="360" w:lineRule="auto"/>
        <w:rPr>
          <w:sz w:val="24"/>
        </w:rPr>
      </w:pPr>
      <w:r>
        <w:rPr>
          <w:b/>
          <w:bCs/>
          <w:sz w:val="24"/>
          <w:szCs w:val="24"/>
        </w:rPr>
        <w:t>交货地点：</w:t>
      </w:r>
      <w:r>
        <w:rPr>
          <w:kern w:val="0"/>
          <w:sz w:val="24"/>
        </w:rPr>
        <w:t>采购人</w:t>
      </w:r>
      <w:r>
        <w:rPr>
          <w:sz w:val="24"/>
        </w:rPr>
        <w:t>指定四川省省内地点。</w:t>
      </w:r>
    </w:p>
    <w:p>
      <w:pPr>
        <w:numPr>
          <w:ilvl w:val="0"/>
          <w:numId w:val="3"/>
        </w:numPr>
        <w:spacing w:line="360" w:lineRule="auto"/>
        <w:rPr>
          <w:rFonts w:hint="eastAsia"/>
          <w:b/>
          <w:bCs/>
          <w:sz w:val="24"/>
          <w:szCs w:val="24"/>
        </w:rPr>
      </w:pPr>
      <w:r>
        <w:rPr>
          <w:rFonts w:hint="eastAsia"/>
          <w:b/>
          <w:bCs/>
          <w:sz w:val="24"/>
          <w:szCs w:val="24"/>
        </w:rPr>
        <w:t>交货资料：投标时提供的佐证材料复印件和其他投标文件要求的材料。</w:t>
      </w:r>
    </w:p>
    <w:p>
      <w:pPr>
        <w:pStyle w:val="11"/>
        <w:spacing w:line="360" w:lineRule="auto"/>
        <w:jc w:val="both"/>
        <w:rPr>
          <w:rFonts w:hint="eastAsia"/>
          <w:bCs/>
          <w:kern w:val="2"/>
          <w:lang w:val="zh-CN"/>
        </w:rPr>
      </w:pPr>
      <w:r>
        <w:rPr>
          <w:rFonts w:hint="eastAsia"/>
          <w:bCs/>
          <w:kern w:val="2"/>
        </w:rPr>
        <w:t>（四）履约保证金：</w:t>
      </w:r>
      <w:r>
        <w:rPr>
          <w:rFonts w:hint="eastAsia"/>
          <w:bCs/>
          <w:kern w:val="2"/>
          <w:lang w:val="zh-CN"/>
        </w:rPr>
        <w:t>金额：采购合同总金额的</w:t>
      </w:r>
      <w:r>
        <w:rPr>
          <w:rFonts w:hint="eastAsia"/>
          <w:bCs/>
          <w:kern w:val="2"/>
        </w:rPr>
        <w:t>3</w:t>
      </w:r>
      <w:r>
        <w:rPr>
          <w:rFonts w:hint="eastAsia"/>
          <w:bCs/>
          <w:kern w:val="2"/>
          <w:lang w:val="zh-CN"/>
        </w:rPr>
        <w:t>%。</w:t>
      </w:r>
    </w:p>
    <w:p>
      <w:pPr>
        <w:pStyle w:val="11"/>
        <w:spacing w:line="360" w:lineRule="auto"/>
        <w:ind w:firstLine="480" w:firstLineChars="200"/>
        <w:jc w:val="both"/>
        <w:rPr>
          <w:rFonts w:hint="eastAsia"/>
          <w:bCs/>
          <w:kern w:val="2"/>
          <w:lang w:val="zh-CN"/>
        </w:rPr>
      </w:pPr>
      <w:r>
        <w:rPr>
          <w:rFonts w:hint="eastAsia"/>
          <w:bCs/>
          <w:kern w:val="2"/>
          <w:lang w:val="zh-CN"/>
        </w:rPr>
        <w:t>交款方式：履约保证金可以以支票、汇票、本票或者金融机构出具的保函等非现金形式提交（包括网银转账，电汇等方式）。</w:t>
      </w:r>
    </w:p>
    <w:p>
      <w:pPr>
        <w:pStyle w:val="11"/>
        <w:spacing w:line="360" w:lineRule="auto"/>
        <w:ind w:firstLine="480" w:firstLineChars="200"/>
        <w:jc w:val="both"/>
        <w:rPr>
          <w:rFonts w:hint="eastAsia"/>
          <w:bCs/>
          <w:kern w:val="2"/>
          <w:lang w:val="zh-CN"/>
        </w:rPr>
      </w:pPr>
      <w:r>
        <w:rPr>
          <w:rFonts w:hint="eastAsia"/>
          <w:bCs/>
          <w:kern w:val="2"/>
          <w:lang w:val="zh-CN"/>
        </w:rPr>
        <w:t>收款单位：四川省消防救援总队。</w:t>
      </w:r>
    </w:p>
    <w:p>
      <w:pPr>
        <w:pStyle w:val="11"/>
        <w:spacing w:line="360" w:lineRule="auto"/>
        <w:ind w:firstLine="480" w:firstLineChars="200"/>
        <w:jc w:val="both"/>
        <w:rPr>
          <w:rFonts w:hint="eastAsia"/>
          <w:bCs/>
          <w:kern w:val="2"/>
          <w:lang w:val="zh-CN"/>
        </w:rPr>
      </w:pPr>
      <w:r>
        <w:rPr>
          <w:rFonts w:hint="eastAsia"/>
          <w:bCs/>
          <w:kern w:val="2"/>
          <w:lang w:val="zh-CN"/>
        </w:rPr>
        <w:t>交款时间：中标通知书发放后，《框架协议》合同签订前。</w:t>
      </w:r>
    </w:p>
    <w:p>
      <w:pPr>
        <w:pStyle w:val="11"/>
        <w:spacing w:line="360" w:lineRule="auto"/>
        <w:ind w:firstLine="480" w:firstLineChars="200"/>
        <w:jc w:val="both"/>
        <w:rPr>
          <w:rFonts w:hint="eastAsia"/>
          <w:lang w:bidi="ar"/>
        </w:rPr>
      </w:pPr>
      <w:r>
        <w:rPr>
          <w:rFonts w:hint="eastAsia"/>
          <w:lang w:bidi="ar"/>
        </w:rPr>
        <w:t>采用金融机构出具的保函方式提交履约保证金的，保函必须符合以下规定：</w:t>
      </w:r>
    </w:p>
    <w:p>
      <w:pPr>
        <w:pStyle w:val="11"/>
        <w:spacing w:line="360" w:lineRule="auto"/>
        <w:ind w:firstLine="480" w:firstLineChars="200"/>
        <w:jc w:val="both"/>
        <w:rPr>
          <w:rFonts w:hint="eastAsia"/>
          <w:lang w:bidi="ar"/>
        </w:rPr>
      </w:pPr>
      <w:r>
        <w:rPr>
          <w:rFonts w:hint="eastAsia"/>
          <w:lang w:bidi="ar"/>
        </w:rPr>
        <w:t>a.保函应为银行出具的合法保函，且应为无条件保函，并有详细明显的验证方法；</w:t>
      </w:r>
    </w:p>
    <w:p>
      <w:pPr>
        <w:pStyle w:val="11"/>
        <w:spacing w:line="360" w:lineRule="auto"/>
        <w:ind w:firstLine="480" w:firstLineChars="200"/>
        <w:jc w:val="both"/>
        <w:rPr>
          <w:rFonts w:hint="eastAsia"/>
          <w:lang w:bidi="ar"/>
        </w:rPr>
      </w:pPr>
      <w:r>
        <w:rPr>
          <w:rFonts w:hint="eastAsia"/>
          <w:lang w:bidi="ar"/>
        </w:rPr>
        <w:t>b.保函的受益人为</w:t>
      </w:r>
      <w:r>
        <w:rPr>
          <w:rFonts w:hint="eastAsia"/>
          <w:bCs/>
          <w:kern w:val="2"/>
          <w:lang w:val="zh-CN"/>
        </w:rPr>
        <w:t>四川省消防救援总队</w:t>
      </w:r>
      <w:r>
        <w:rPr>
          <w:rFonts w:hint="eastAsia"/>
          <w:lang w:bidi="ar"/>
        </w:rPr>
        <w:t>；</w:t>
      </w:r>
    </w:p>
    <w:p>
      <w:pPr>
        <w:pStyle w:val="11"/>
        <w:spacing w:line="360" w:lineRule="auto"/>
        <w:ind w:firstLine="480" w:firstLineChars="200"/>
        <w:jc w:val="both"/>
        <w:rPr>
          <w:rFonts w:hint="eastAsia"/>
          <w:lang w:bidi="ar"/>
        </w:rPr>
      </w:pPr>
      <w:r>
        <w:rPr>
          <w:rFonts w:hint="eastAsia"/>
          <w:lang w:bidi="ar"/>
        </w:rPr>
        <w:t>c.保函的内容包括但不限于供应商名称、项目名称（如有分包，载明分包号）、项目编号、履约金额、保函的有效期（</w:t>
      </w:r>
      <w:r>
        <w:rPr>
          <w:rFonts w:hint="eastAsia"/>
          <w:b/>
          <w:kern w:val="2"/>
          <w:lang w:eastAsia="zh-Hans"/>
        </w:rPr>
        <w:t>不少于</w:t>
      </w:r>
      <w:r>
        <w:rPr>
          <w:rFonts w:hint="eastAsia"/>
          <w:b/>
          <w:kern w:val="2"/>
        </w:rPr>
        <w:t>24</w:t>
      </w:r>
      <w:r>
        <w:rPr>
          <w:rFonts w:hint="eastAsia"/>
          <w:b/>
          <w:kern w:val="2"/>
          <w:lang w:eastAsia="zh-Hans"/>
        </w:rPr>
        <w:t>个月</w:t>
      </w:r>
      <w:r>
        <w:rPr>
          <w:rFonts w:hint="eastAsia"/>
          <w:lang w:bidi="ar"/>
        </w:rPr>
        <w:t>）、银行担保的内容（即：如因供应商原因发生法律法规或合同规定的</w:t>
      </w:r>
      <w:r>
        <w:rPr>
          <w:rFonts w:hint="eastAsia"/>
          <w:bCs/>
          <w:kern w:val="2"/>
        </w:rPr>
        <w:t>履约</w:t>
      </w:r>
      <w:r>
        <w:rPr>
          <w:rFonts w:hint="eastAsia"/>
          <w:lang w:bidi="ar"/>
        </w:rPr>
        <w:t>保证金不予退还或扣除的情况，由银行向受益人足额支付履约保证金）；</w:t>
      </w:r>
    </w:p>
    <w:p>
      <w:pPr>
        <w:pStyle w:val="11"/>
        <w:spacing w:line="360" w:lineRule="auto"/>
        <w:ind w:firstLine="480" w:firstLineChars="200"/>
        <w:jc w:val="both"/>
        <w:rPr>
          <w:rFonts w:hint="eastAsia"/>
          <w:bCs/>
          <w:kern w:val="2"/>
          <w:lang w:val="zh-CN"/>
        </w:rPr>
      </w:pPr>
      <w:r>
        <w:rPr>
          <w:rFonts w:hint="eastAsia"/>
          <w:bCs/>
          <w:kern w:val="2"/>
          <w:lang w:val="zh-CN"/>
        </w:rPr>
        <w:t>履约保证金退还方式：①以网银转账、电汇等方式提交的，履约保证金以网银转账、电汇等方式退至转款账户；②以保函方式提交的，退还保函原件。</w:t>
      </w:r>
    </w:p>
    <w:p>
      <w:pPr>
        <w:pStyle w:val="11"/>
        <w:spacing w:line="360" w:lineRule="auto"/>
        <w:jc w:val="both"/>
        <w:rPr>
          <w:rFonts w:hint="eastAsia"/>
          <w:bCs/>
          <w:kern w:val="2"/>
        </w:rPr>
      </w:pPr>
      <w:r>
        <w:rPr>
          <w:rFonts w:hint="eastAsia"/>
          <w:bCs/>
          <w:kern w:val="2"/>
          <w:lang w:val="zh-CN"/>
        </w:rPr>
        <w:t>履约保证金退还时间：验收合格后</w:t>
      </w:r>
      <w:r>
        <w:rPr>
          <w:rFonts w:hint="eastAsia"/>
          <w:bCs/>
          <w:kern w:val="2"/>
        </w:rPr>
        <w:t>18个月</w:t>
      </w:r>
      <w:r>
        <w:rPr>
          <w:rFonts w:hint="eastAsia"/>
          <w:bCs/>
          <w:kern w:val="2"/>
          <w:lang w:val="zh-CN"/>
        </w:rPr>
        <w:t>，</w:t>
      </w:r>
      <w:r>
        <w:rPr>
          <w:rFonts w:hint="eastAsia"/>
          <w:bCs/>
          <w:kern w:val="2"/>
        </w:rPr>
        <w:t>乙方提出退款申请之日起</w:t>
      </w:r>
      <w:r>
        <w:rPr>
          <w:rFonts w:hint="eastAsia"/>
          <w:bCs/>
          <w:kern w:val="2"/>
          <w:lang w:val="zh-CN"/>
        </w:rPr>
        <w:t>，</w:t>
      </w:r>
      <w:r>
        <w:rPr>
          <w:rFonts w:hint="eastAsia"/>
          <w:bCs/>
          <w:kern w:val="2"/>
        </w:rPr>
        <w:t>15</w:t>
      </w:r>
      <w:r>
        <w:rPr>
          <w:rFonts w:hint="eastAsia"/>
          <w:bCs/>
          <w:kern w:val="2"/>
          <w:lang w:val="zh-CN"/>
        </w:rPr>
        <w:t>个工作日内无息退还。采购人逾期退还</w:t>
      </w:r>
      <w:r>
        <w:rPr>
          <w:rFonts w:hint="eastAsia"/>
          <w:bCs/>
          <w:kern w:val="2"/>
        </w:rPr>
        <w:t>的</w:t>
      </w:r>
      <w:r>
        <w:rPr>
          <w:rFonts w:hint="eastAsia"/>
          <w:bCs/>
          <w:kern w:val="2"/>
          <w:lang w:val="zh-CN"/>
        </w:rPr>
        <w:t>，将承担应退还金额</w:t>
      </w:r>
      <w:r>
        <w:rPr>
          <w:rFonts w:hint="eastAsia"/>
          <w:bCs/>
          <w:kern w:val="2"/>
        </w:rPr>
        <w:t>万</w:t>
      </w:r>
      <w:r>
        <w:rPr>
          <w:rFonts w:hint="eastAsia"/>
          <w:bCs/>
          <w:kern w:val="2"/>
          <w:lang w:val="zh-CN"/>
        </w:rPr>
        <w:t>分之一每天的违约金。</w:t>
      </w:r>
      <w:r>
        <w:rPr>
          <w:rFonts w:hint="eastAsia"/>
          <w:bCs/>
        </w:rPr>
        <w:t>若遇项目单位因财务结算等原因封账而导致无法支付相应价款的，顺延至具备支付条件</w:t>
      </w:r>
      <w:r>
        <w:rPr>
          <w:rFonts w:hint="eastAsia"/>
        </w:rPr>
        <w:t>之日起15个工作日内</w:t>
      </w:r>
      <w:r>
        <w:rPr>
          <w:rFonts w:hint="eastAsia"/>
          <w:bCs/>
        </w:rPr>
        <w:t>，且不视为采购人违约。</w:t>
      </w:r>
    </w:p>
    <w:p>
      <w:pPr>
        <w:pStyle w:val="11"/>
        <w:spacing w:line="360" w:lineRule="auto"/>
        <w:ind w:firstLine="480" w:firstLineChars="200"/>
        <w:jc w:val="both"/>
        <w:rPr>
          <w:rFonts w:hint="eastAsia"/>
          <w:bCs/>
          <w:kern w:val="2"/>
          <w:lang w:val="zh-CN"/>
        </w:rPr>
      </w:pPr>
      <w:r>
        <w:rPr>
          <w:rFonts w:hint="eastAsia"/>
          <w:bCs/>
          <w:kern w:val="2"/>
          <w:lang w:val="zh-CN"/>
        </w:rPr>
        <w:t>履约保证金不予退还情形：出现合同约定的不予退还情形。</w:t>
      </w:r>
    </w:p>
    <w:p>
      <w:pPr>
        <w:spacing w:line="420" w:lineRule="exact"/>
        <w:ind w:firstLine="480" w:firstLineChars="200"/>
        <w:jc w:val="left"/>
        <w:rPr>
          <w:rFonts w:hint="eastAsia" w:hAnsi="宋体" w:cs="宋体"/>
          <w:bCs/>
          <w:sz w:val="24"/>
          <w:szCs w:val="24"/>
          <w:lang w:val="zh-CN"/>
        </w:rPr>
      </w:pPr>
      <w:r>
        <w:rPr>
          <w:rFonts w:hint="eastAsia" w:hAnsi="宋体" w:cs="宋体"/>
          <w:bCs/>
          <w:sz w:val="24"/>
          <w:szCs w:val="24"/>
          <w:lang w:val="zh-CN"/>
        </w:rPr>
        <w:t>履约保证金不予退还的，将按照有关规定上缴国库。逾期退还履约保证金的，将依法承担法律责任，并赔偿供应商损失。</w:t>
      </w:r>
    </w:p>
    <w:p>
      <w:pPr>
        <w:pStyle w:val="2"/>
        <w:spacing w:after="0" w:line="360" w:lineRule="auto"/>
        <w:rPr>
          <w:b/>
          <w:bCs/>
          <w:sz w:val="24"/>
          <w:szCs w:val="24"/>
        </w:rPr>
      </w:pPr>
      <w:r>
        <w:rPr>
          <w:b/>
          <w:bCs/>
          <w:sz w:val="24"/>
          <w:szCs w:val="24"/>
        </w:rPr>
        <w:t>（</w:t>
      </w:r>
      <w:r>
        <w:rPr>
          <w:rFonts w:hint="eastAsia"/>
          <w:b/>
          <w:bCs/>
          <w:sz w:val="24"/>
          <w:szCs w:val="24"/>
        </w:rPr>
        <w:t>五</w:t>
      </w:r>
      <w:r>
        <w:rPr>
          <w:b/>
          <w:bCs/>
          <w:sz w:val="24"/>
          <w:szCs w:val="24"/>
        </w:rPr>
        <w:t>）付款方式及时间：</w:t>
      </w:r>
    </w:p>
    <w:p>
      <w:pPr>
        <w:spacing w:line="360" w:lineRule="auto"/>
        <w:ind w:firstLine="420" w:firstLineChars="175"/>
        <w:rPr>
          <w:rFonts w:hint="eastAsia" w:ascii="宋体" w:hAnsi="宋体" w:cs="宋体"/>
          <w:sz w:val="24"/>
          <w:szCs w:val="24"/>
        </w:rPr>
      </w:pPr>
      <w:r>
        <w:rPr>
          <w:rFonts w:hint="eastAsia" w:ascii="宋体" w:hAnsi="宋体" w:cs="宋体"/>
          <w:sz w:val="24"/>
          <w:szCs w:val="24"/>
        </w:rPr>
        <w:t>1、合同签订前，中标供应商向采购人支付合同总额3%的履约保证金；</w:t>
      </w:r>
    </w:p>
    <w:p>
      <w:pPr>
        <w:spacing w:line="360" w:lineRule="auto"/>
        <w:ind w:firstLine="420" w:firstLineChars="175"/>
        <w:rPr>
          <w:rFonts w:ascii="宋体" w:hAnsi="宋体" w:cs="宋体"/>
          <w:sz w:val="24"/>
          <w:szCs w:val="24"/>
        </w:rPr>
      </w:pPr>
      <w:r>
        <w:rPr>
          <w:rFonts w:hint="eastAsia" w:ascii="宋体" w:hAnsi="宋体" w:cs="宋体"/>
          <w:sz w:val="24"/>
          <w:szCs w:val="24"/>
        </w:rPr>
        <w:t>2、预付款：合同生效后15个工作日内，甲方在收到乙方提供的合法合规发票及相关凭证资料后，支付合同总金额的30%合同款（以合同约定为准）。</w:t>
      </w:r>
    </w:p>
    <w:p>
      <w:pPr>
        <w:spacing w:line="360" w:lineRule="auto"/>
        <w:ind w:firstLine="420" w:firstLineChars="175"/>
        <w:rPr>
          <w:rFonts w:hint="eastAsia"/>
        </w:rPr>
      </w:pPr>
      <w:r>
        <w:rPr>
          <w:rFonts w:hint="eastAsia" w:ascii="宋体" w:hAnsi="宋体" w:cs="宋体"/>
          <w:sz w:val="24"/>
          <w:szCs w:val="24"/>
        </w:rPr>
        <w:t>3、尾款：所有货物安装调试完毕，经双方共同验收合格后</w:t>
      </w:r>
      <w:r>
        <w:rPr>
          <w:rFonts w:ascii="宋体" w:hAnsi="宋体" w:cs="宋体"/>
          <w:sz w:val="24"/>
          <w:szCs w:val="24"/>
        </w:rPr>
        <w:t>15</w:t>
      </w:r>
      <w:r>
        <w:rPr>
          <w:rFonts w:hint="eastAsia" w:ascii="宋体" w:hAnsi="宋体" w:cs="宋体"/>
          <w:sz w:val="24"/>
          <w:szCs w:val="24"/>
        </w:rPr>
        <w:t>个工作日内，甲方在收到乙方提供的合法合规发票及相关凭证资料后，支付合同总金额的70%合同款（以合同约定为准）。</w:t>
      </w:r>
    </w:p>
    <w:p>
      <w:pPr>
        <w:spacing w:line="360" w:lineRule="auto"/>
        <w:ind w:firstLine="420" w:firstLineChars="175"/>
        <w:rPr>
          <w:rFonts w:hint="eastAsia" w:ascii="宋体" w:hAnsi="宋体" w:cs="宋体"/>
          <w:sz w:val="24"/>
          <w:szCs w:val="24"/>
        </w:rPr>
      </w:pPr>
      <w:r>
        <w:rPr>
          <w:rFonts w:hint="eastAsia" w:ascii="宋体" w:hAnsi="宋体" w:cs="宋体"/>
          <w:sz w:val="24"/>
          <w:szCs w:val="24"/>
        </w:rPr>
        <w:t>4、履约保证金退还：在货物验收合格后满18个月，所投产品无质量问题，采购人根据中标人退还申请，于15个工作日内无息退还中标人履约保证金；产品存在质量问题的，履约保证金不予退还。</w:t>
      </w:r>
    </w:p>
    <w:p>
      <w:pPr>
        <w:spacing w:line="360" w:lineRule="auto"/>
        <w:rPr>
          <w:rFonts w:hint="eastAsia" w:ascii="宋体" w:hAnsi="宋体" w:cs="宋体"/>
          <w:sz w:val="24"/>
          <w:szCs w:val="24"/>
        </w:rPr>
      </w:pPr>
      <w:r>
        <w:rPr>
          <w:rFonts w:hint="eastAsia" w:ascii="宋体" w:hAnsi="宋体" w:cs="宋体"/>
          <w:b/>
          <w:bCs/>
          <w:sz w:val="24"/>
          <w:szCs w:val="24"/>
        </w:rPr>
        <w:t>（六）售后服务</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1、保修期：不少于3年（技术参数有特别规定的除外）。保修期期内提供7×24小时维修电话服务。易损配件及零件储备期不少于5年。</w:t>
      </w:r>
    </w:p>
    <w:p>
      <w:pPr>
        <w:spacing w:line="360" w:lineRule="auto"/>
        <w:ind w:firstLine="480" w:firstLineChars="200"/>
        <w:rPr>
          <w:rFonts w:hint="eastAsia" w:ascii="宋体" w:hAnsi="宋体" w:cs="宋体"/>
          <w:sz w:val="24"/>
          <w:szCs w:val="24"/>
        </w:rPr>
      </w:pPr>
      <w:r>
        <w:rPr>
          <w:rFonts w:hint="eastAsia" w:ascii="宋体" w:hAnsi="宋体" w:cs="宋体"/>
          <w:bCs/>
          <w:sz w:val="24"/>
          <w:szCs w:val="24"/>
        </w:rPr>
        <w:t>2、支持重大故障或特殊故障的紧急远程或现场抢修。一般故障，30分钟响应、4小时内到场、24小时内维修完毕；重大故障或特殊故障，30分钟响应、4小时内到场、72小时维修完毕。</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3、未经采购人同意，维修维护使用的备品备件及易损件，不得为非原厂件。</w:t>
      </w:r>
    </w:p>
    <w:p>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4、供应商需建立相应的售后维护档案，每次故障维修提交报告，并提出预防性维护措施，记录每次故障响应服务和预防性维护的详细情况。</w:t>
      </w:r>
    </w:p>
    <w:p>
      <w:pPr>
        <w:spacing w:line="360" w:lineRule="auto"/>
        <w:ind w:firstLine="480" w:firstLineChars="200"/>
        <w:rPr>
          <w:rFonts w:hint="eastAsia" w:ascii="宋体" w:hAnsi="宋体" w:cs="宋体"/>
          <w:sz w:val="24"/>
          <w:szCs w:val="24"/>
        </w:rPr>
      </w:pPr>
      <w:r>
        <w:rPr>
          <w:rFonts w:hint="eastAsia" w:ascii="宋体" w:hAnsi="宋体" w:cs="宋体"/>
          <w:bCs/>
          <w:sz w:val="24"/>
          <w:szCs w:val="24"/>
        </w:rPr>
        <w:t>5、供应商需建立专门的回访制度，设立专职服务人员，为用户提供至少每季度一次的回访、技术咨询和技术培训等服务。</w:t>
      </w:r>
    </w:p>
    <w:p>
      <w:pPr>
        <w:spacing w:line="360" w:lineRule="auto"/>
        <w:rPr>
          <w:rFonts w:hint="eastAsia" w:ascii="宋体" w:hAnsi="宋体" w:cs="宋体"/>
          <w:b/>
          <w:bCs/>
          <w:sz w:val="24"/>
          <w:szCs w:val="24"/>
        </w:rPr>
      </w:pPr>
      <w:r>
        <w:rPr>
          <w:rFonts w:hint="eastAsia" w:ascii="宋体" w:hAnsi="宋体" w:cs="宋体"/>
          <w:b/>
          <w:bCs/>
          <w:sz w:val="24"/>
          <w:szCs w:val="24"/>
        </w:rPr>
        <w:t>（七）验收要求</w:t>
      </w:r>
    </w:p>
    <w:p>
      <w:pPr>
        <w:pStyle w:val="2"/>
        <w:spacing w:after="0" w:line="360" w:lineRule="auto"/>
        <w:ind w:firstLine="480" w:firstLineChars="200"/>
        <w:rPr>
          <w:rFonts w:hint="eastAsia" w:ascii="宋体" w:hAnsi="宋体"/>
          <w:color w:val="000000"/>
          <w:sz w:val="24"/>
        </w:rPr>
      </w:pPr>
      <w:r>
        <w:rPr>
          <w:rFonts w:hint="eastAsia" w:ascii="宋体" w:hAnsi="宋体" w:cs="宋体"/>
          <w:bCs/>
          <w:sz w:val="24"/>
          <w:szCs w:val="24"/>
        </w:rPr>
        <w:t>1、</w:t>
      </w:r>
      <w:r>
        <w:rPr>
          <w:rFonts w:hint="eastAsia" w:ascii="宋体" w:hAnsi="宋体"/>
          <w:color w:val="000000"/>
          <w:sz w:val="24"/>
        </w:rPr>
        <w:t>合同货物安装调试完成并移交所有资料文档后5个工作日内进行初步验收，验收应在甲、乙双方共同参加下进行。装备物资采购（灭火救援装备和战勤保障物资），验收合格后出具</w:t>
      </w:r>
      <w:r>
        <w:rPr>
          <w:rFonts w:ascii="宋体" w:hAnsi="宋体"/>
          <w:color w:val="000000"/>
          <w:sz w:val="24"/>
        </w:rPr>
        <w:t>《消防装备质检验收登记表》</w:t>
      </w:r>
      <w:r>
        <w:rPr>
          <w:rFonts w:hint="eastAsia" w:ascii="宋体" w:hAnsi="宋体"/>
          <w:color w:val="000000"/>
          <w:sz w:val="24"/>
        </w:rPr>
        <w:t>验收报告。</w:t>
      </w:r>
    </w:p>
    <w:p>
      <w:pPr>
        <w:pStyle w:val="2"/>
        <w:spacing w:after="0" w:line="360" w:lineRule="auto"/>
        <w:ind w:firstLine="480" w:firstLineChars="200"/>
        <w:rPr>
          <w:rFonts w:hint="eastAsia" w:ascii="宋体" w:hAnsi="宋体" w:cs="宋体"/>
          <w:bCs/>
          <w:sz w:val="24"/>
          <w:szCs w:val="24"/>
        </w:rPr>
      </w:pPr>
      <w:r>
        <w:rPr>
          <w:rFonts w:hint="eastAsia" w:ascii="宋体" w:hAnsi="宋体" w:cs="宋体"/>
          <w:sz w:val="24"/>
          <w:szCs w:val="24"/>
        </w:rPr>
        <w:t>2、</w:t>
      </w:r>
      <w:r>
        <w:rPr>
          <w:rFonts w:hint="eastAsia" w:ascii="宋体" w:hAnsi="宋体" w:cs="宋体"/>
          <w:bCs/>
          <w:sz w:val="24"/>
          <w:szCs w:val="24"/>
        </w:rPr>
        <w:t>严格按照政府采购相关法律法规的要求，通过中标人提供的货物、文件、检测报告等，逐项对比采购文件、投标/响应文件、采购合同，确认是否完全满足各项要求。</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3、验收地点：四川省消防救援总队训练与战勤保障支队（四川省成都市温江区永宁镇芙蓉路119号）</w:t>
      </w:r>
    </w:p>
    <w:p>
      <w:pPr>
        <w:pStyle w:val="2"/>
        <w:spacing w:after="0" w:line="360" w:lineRule="auto"/>
        <w:ind w:firstLine="480" w:firstLineChars="200"/>
        <w:rPr>
          <w:rFonts w:hint="eastAsia" w:ascii="宋体" w:hAnsi="宋体" w:cs="宋体"/>
          <w:sz w:val="24"/>
          <w:szCs w:val="24"/>
        </w:rPr>
      </w:pPr>
      <w:r>
        <w:rPr>
          <w:rFonts w:hint="eastAsia" w:ascii="宋体" w:hAnsi="宋体" w:cs="宋体"/>
          <w:sz w:val="24"/>
          <w:szCs w:val="24"/>
        </w:rPr>
        <w:t>4、货物由四川省消防救援总队组织集中验收后，通过物流发往需求大队，邮费由供应商承担。</w:t>
      </w:r>
    </w:p>
    <w:p>
      <w:pPr>
        <w:adjustRightInd w:val="0"/>
        <w:snapToGrid w:val="0"/>
        <w:spacing w:line="440" w:lineRule="exact"/>
        <w:ind w:firstLine="480" w:firstLineChars="200"/>
        <w:jc w:val="left"/>
        <w:rPr>
          <w:rFonts w:hint="eastAsia" w:ascii="宋体" w:hAnsi="宋体"/>
          <w:color w:val="000000"/>
          <w:sz w:val="24"/>
        </w:rPr>
      </w:pPr>
      <w:r>
        <w:rPr>
          <w:rFonts w:hint="eastAsia" w:ascii="宋体" w:hAnsi="宋体" w:cs="宋体"/>
          <w:sz w:val="24"/>
          <w:szCs w:val="24"/>
        </w:rPr>
        <w:t>5.</w:t>
      </w:r>
      <w:r>
        <w:rPr>
          <w:rFonts w:hint="eastAsia" w:ascii="宋体" w:hAnsi="宋体"/>
          <w:color w:val="000000"/>
          <w:sz w:val="24"/>
        </w:rPr>
        <w:t>甲方可对乙方生产或销售的产品封存送检。送检的产品质量合格，检测费用由甲方承担；送检的产品质量不达标，检测费用由乙方承担。因乙方产品质量不达标带来的一切安全问题，甲方将进行追责，乙方承担相关法律责任。</w:t>
      </w:r>
    </w:p>
    <w:p>
      <w:pPr>
        <w:ind w:firstLine="420" w:firstLineChars="200"/>
      </w:pPr>
    </w:p>
    <w:p>
      <w:pPr>
        <w:rPr>
          <w:rFonts w:hint="eastAsia" w:ascii="宋体" w:hAnsi="宋体" w:cs="宋体"/>
          <w:sz w:val="24"/>
          <w:szCs w:val="24"/>
        </w:rPr>
      </w:pPr>
      <w:r>
        <w:rPr>
          <w:rFonts w:hint="eastAsia" w:ascii="宋体" w:hAnsi="宋体" w:cs="宋体"/>
          <w:sz w:val="24"/>
          <w:szCs w:val="24"/>
        </w:rPr>
        <w:t>（八）其他要求</w:t>
      </w:r>
    </w:p>
    <w:p>
      <w:pPr>
        <w:spacing w:line="360" w:lineRule="auto"/>
        <w:ind w:firstLine="480" w:firstLineChars="200"/>
        <w:jc w:val="left"/>
        <w:rPr>
          <w:rFonts w:hint="eastAsia" w:hAnsi="宋体" w:cs="宋体"/>
          <w:sz w:val="24"/>
        </w:rPr>
      </w:pPr>
      <w:r>
        <w:rPr>
          <w:rFonts w:hint="eastAsia" w:hAnsi="宋体" w:cs="宋体"/>
          <w:sz w:val="24"/>
        </w:rPr>
        <w:t>1、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w:t>
      </w:r>
    </w:p>
    <w:p>
      <w:pPr>
        <w:spacing w:line="420" w:lineRule="exact"/>
        <w:ind w:firstLine="482" w:firstLineChars="200"/>
        <w:jc w:val="left"/>
        <w:rPr>
          <w:rFonts w:hAnsi="宋体" w:cs="宋体"/>
          <w:b/>
          <w:bCs/>
          <w:sz w:val="24"/>
        </w:rPr>
      </w:pPr>
      <w:r>
        <w:rPr>
          <w:rFonts w:hint="eastAsia" w:hAnsi="宋体" w:cs="宋体"/>
          <w:b/>
          <w:bCs/>
          <w:sz w:val="24"/>
        </w:rPr>
        <w:t>2、政府采购合同签订前，中标人须将投标文件中关于技术参数的佐证材料原件交于采购人复核，若未在规定时间内提供的，采购人将以投标人涉嫌虚假响应报告财政部门。</w:t>
      </w:r>
    </w:p>
    <w:p>
      <w:pPr>
        <w:pStyle w:val="2"/>
      </w:pPr>
    </w:p>
    <w:p>
      <w:pPr>
        <w:spacing w:line="360" w:lineRule="auto"/>
        <w:rPr>
          <w:rFonts w:hint="eastAsia" w:ascii="宋体" w:hAnsi="宋体" w:cs="宋体"/>
          <w:b/>
          <w:bCs/>
          <w:sz w:val="24"/>
          <w:szCs w:val="24"/>
        </w:rPr>
      </w:pPr>
    </w:p>
    <w:p>
      <w:pPr>
        <w:spacing w:line="360" w:lineRule="auto"/>
        <w:rPr>
          <w:rFonts w:hint="eastAsia" w:ascii="宋体" w:hAnsi="宋体" w:cs="宋体"/>
          <w:b/>
          <w:bCs/>
          <w:sz w:val="24"/>
          <w:szCs w:val="24"/>
        </w:rPr>
      </w:pPr>
      <w:r>
        <w:rPr>
          <w:rFonts w:hint="eastAsia" w:ascii="宋体" w:hAnsi="宋体" w:cs="宋体"/>
          <w:b/>
          <w:bCs/>
          <w:sz w:val="24"/>
          <w:szCs w:val="24"/>
        </w:rPr>
        <w:t>注：★项条款为本项目实质性要求，不允许负偏离，否则作无效投标处理；“▲”项为本项目重要参数,负偏离将作分值扣分处理(详见各包评分细则）。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98CC5"/>
    <w:multiLevelType w:val="singleLevel"/>
    <w:tmpl w:val="A2598CC5"/>
    <w:lvl w:ilvl="0" w:tentative="0">
      <w:start w:val="1"/>
      <w:numFmt w:val="chineseCounting"/>
      <w:suff w:val="nothing"/>
      <w:lvlText w:val="%1、"/>
      <w:lvlJc w:val="left"/>
      <w:rPr>
        <w:rFonts w:hint="eastAsia"/>
      </w:rPr>
    </w:lvl>
  </w:abstractNum>
  <w:abstractNum w:abstractNumId="1">
    <w:nsid w:val="39AF7A38"/>
    <w:multiLevelType w:val="singleLevel"/>
    <w:tmpl w:val="39AF7A38"/>
    <w:lvl w:ilvl="0" w:tentative="0">
      <w:start w:val="1"/>
      <w:numFmt w:val="chineseCounting"/>
      <w:suff w:val="nothing"/>
      <w:lvlText w:val="（%1）"/>
      <w:lvlJc w:val="left"/>
      <w:rPr>
        <w:rFonts w:hint="eastAsia"/>
        <w:b/>
        <w:bCs/>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DA4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spacing w:after="120" w:afterLines="0"/>
    </w:pPr>
  </w:style>
  <w:style w:type="character" w:customStyle="1" w:styleId="7">
    <w:name w:val="font41"/>
    <w:basedOn w:val="6"/>
    <w:qFormat/>
    <w:uiPriority w:val="0"/>
    <w:rPr>
      <w:rFonts w:hint="default" w:ascii="Times New Roman" w:hAnsi="Times New Roman" w:cs="Times New Roman"/>
      <w:color w:val="000000"/>
      <w:sz w:val="20"/>
      <w:szCs w:val="20"/>
      <w:u w:val="none"/>
    </w:rPr>
  </w:style>
  <w:style w:type="paragraph" w:customStyle="1" w:styleId="8">
    <w:name w:val="标题 5（有编号）（绿盟科技）"/>
    <w:basedOn w:val="1"/>
    <w:next w:val="9"/>
    <w:qFormat/>
    <w:uiPriority w:val="99"/>
    <w:pPr>
      <w:keepNext/>
      <w:keepLines/>
      <w:numPr>
        <w:ilvl w:val="4"/>
        <w:numId w:val="1"/>
      </w:numPr>
      <w:tabs>
        <w:tab w:val="left" w:pos="0"/>
      </w:tabs>
      <w:spacing w:before="280" w:after="156" w:line="377" w:lineRule="auto"/>
      <w:jc w:val="left"/>
      <w:outlineLvl w:val="4"/>
    </w:pPr>
    <w:rPr>
      <w:rFonts w:ascii="Arial" w:hAnsi="Arial" w:eastAsia="黑体"/>
      <w:b/>
      <w:kern w:val="0"/>
      <w:sz w:val="24"/>
      <w:szCs w:val="28"/>
    </w:rPr>
  </w:style>
  <w:style w:type="paragraph" w:customStyle="1" w:styleId="9">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10">
    <w:name w:val="font51"/>
    <w:basedOn w:val="6"/>
    <w:qFormat/>
    <w:uiPriority w:val="0"/>
    <w:rPr>
      <w:rFonts w:hint="eastAsia" w:ascii="微软雅黑" w:hAnsi="微软雅黑" w:eastAsia="微软雅黑" w:cs="微软雅黑"/>
      <w:color w:val="000000"/>
      <w:sz w:val="16"/>
      <w:szCs w:val="16"/>
      <w:u w:val="none"/>
    </w:rPr>
  </w:style>
  <w:style w:type="paragraph" w:customStyle="1" w:styleId="11">
    <w:name w:val="样式"/>
    <w:qFormat/>
    <w:uiPriority w:val="0"/>
    <w:pPr>
      <w:widowControl w:val="0"/>
      <w:autoSpaceDE w:val="0"/>
      <w:autoSpaceDN w:val="0"/>
      <w:adjustRightInd w:val="0"/>
    </w:pPr>
    <w:rPr>
      <w:rFonts w:ascii="宋体" w:hAnsi="宋体" w:eastAsia="宋体" w:cs="Times New Roman"/>
      <w:sz w:val="24"/>
      <w:szCs w:val="24"/>
      <w:lang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2021-11-02T09:34:23Z</dcterms:created>
  <dc:creator>ROG</dc:creator>
  <cp:lastModifiedBy>圈圈</cp:lastModifiedBy>
  <dcterms:modified xsi:type="dcterms:W3CDTF">2021-11-02T09:35:09Z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9AE7507D567B4057BB1EBF43D8DC90B5</vt:lpwstr>
  </property>
</Properties>
</file>