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hd w:val="clear"/>
        <w:rPr>
          <w:rFonts w:ascii="黑体" w:hAnsi="黑体" w:eastAsia="黑体"/>
          <w:color w:val="000000" w:themeColor="text1"/>
          <w:sz w:val="32"/>
          <w:szCs w:val="32"/>
          <w:highlight w:val="none"/>
          <w14:textFill>
            <w14:solidFill>
              <w14:schemeClr w14:val="tx1"/>
            </w14:solidFill>
          </w14:textFill>
        </w:rPr>
      </w:pPr>
      <w:bookmarkStart w:id="0" w:name="_GoBack"/>
      <w:r>
        <w:rPr>
          <w:rFonts w:hint="eastAsia" w:ascii="黑体" w:hAnsi="黑体" w:eastAsia="黑体"/>
          <w:color w:val="000000" w:themeColor="text1"/>
          <w:sz w:val="32"/>
          <w:szCs w:val="32"/>
          <w:highlight w:val="none"/>
          <w14:textFill>
            <w14:solidFill>
              <w14:schemeClr w14:val="tx1"/>
            </w14:solidFill>
          </w14:textFill>
        </w:rPr>
        <w:t>采购需求</w:t>
      </w:r>
    </w:p>
    <w:bookmarkEnd w:id="0"/>
    <w:p>
      <w:pPr>
        <w:shd w:val="clear"/>
        <w:ind w:firstLine="422" w:firstLineChars="200"/>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采购项目名称: </w:t>
      </w:r>
      <w:r>
        <w:rPr>
          <w:rFonts w:hint="eastAsia" w:ascii="宋体" w:hAnsi="宋体" w:cs="宋体"/>
          <w:b/>
          <w:color w:val="000000" w:themeColor="text1"/>
          <w:szCs w:val="21"/>
          <w:highlight w:val="none"/>
          <w:lang w:eastAsia="zh-CN"/>
          <w14:textFill>
            <w14:solidFill>
              <w14:schemeClr w14:val="tx1"/>
            </w14:solidFill>
          </w14:textFill>
        </w:rPr>
        <w:t>岳阳市建筑固废资源化再利用项目机制砂设备采购</w:t>
      </w:r>
    </w:p>
    <w:p>
      <w:pPr>
        <w:keepNext w:val="0"/>
        <w:keepLines w:val="0"/>
        <w:pageBreakBefore w:val="0"/>
        <w:widowControl w:val="0"/>
        <w:kinsoku/>
        <w:wordWrap/>
        <w:overflowPunct/>
        <w:topLinePunct w:val="0"/>
        <w:autoSpaceDE/>
        <w:autoSpaceDN/>
        <w:bidi w:val="0"/>
        <w:adjustRightInd/>
        <w:snapToGrid/>
        <w:spacing w:line="440" w:lineRule="exact"/>
        <w:ind w:firstLine="411" w:firstLineChars="195"/>
        <w:textAlignment w:val="auto"/>
        <w:outlineLvl w:val="1"/>
        <w:rPr>
          <w:rFonts w:hint="eastAsia" w:ascii="宋体" w:hAnsi="宋体" w:cs="宋体"/>
          <w:b/>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招标内容：</w:t>
      </w:r>
    </w:p>
    <w:p>
      <w:pPr>
        <w:keepNext w:val="0"/>
        <w:keepLines w:val="0"/>
        <w:pageBreakBefore w:val="0"/>
        <w:widowControl w:val="0"/>
        <w:kinsoku/>
        <w:wordWrap/>
        <w:overflowPunct/>
        <w:topLinePunct w:val="0"/>
        <w:autoSpaceDE/>
        <w:autoSpaceDN/>
        <w:bidi w:val="0"/>
        <w:adjustRightInd/>
        <w:snapToGrid/>
        <w:spacing w:line="440" w:lineRule="exact"/>
        <w:ind w:firstLine="470" w:firstLineChars="195"/>
        <w:textAlignment w:val="auto"/>
        <w:outlineLvl w:val="1"/>
        <w:rPr>
          <w:rFonts w:ascii="宋体" w:hAnsi="宋体"/>
          <w:b/>
          <w:bCs/>
          <w:color w:val="0000FF"/>
          <w:sz w:val="24"/>
        </w:rPr>
      </w:pPr>
      <w:r>
        <w:rPr>
          <w:rFonts w:hint="eastAsia" w:ascii="宋体" w:hAnsi="宋体"/>
          <w:b/>
          <w:bCs/>
          <w:color w:val="0000FF"/>
          <w:sz w:val="24"/>
        </w:rPr>
        <w:t>一、制砂系统工艺技术及功能要求</w:t>
      </w:r>
    </w:p>
    <w:p>
      <w:pPr>
        <w:spacing w:line="440" w:lineRule="exact"/>
        <w:ind w:firstLine="480" w:firstLineChars="200"/>
        <w:rPr>
          <w:rFonts w:ascii="宋体" w:hAnsi="宋体"/>
          <w:color w:val="0000FF"/>
          <w:sz w:val="24"/>
        </w:rPr>
      </w:pPr>
      <w:r>
        <w:rPr>
          <w:rFonts w:hint="eastAsia" w:ascii="宋体" w:hAnsi="宋体"/>
          <w:color w:val="0000FF"/>
          <w:sz w:val="24"/>
        </w:rPr>
        <w:t>1.1工艺方案：</w:t>
      </w:r>
      <w:r>
        <w:rPr>
          <w:rFonts w:hint="eastAsia" w:ascii="宋体" w:hAnsi="宋体"/>
          <w:bCs/>
          <w:color w:val="0000FF"/>
          <w:sz w:val="24"/>
        </w:rPr>
        <w:t>以0－40mm（小于75μm以下粉料比例不大于3%）石灰石混合料为原料</w:t>
      </w:r>
      <w:r>
        <w:rPr>
          <w:rFonts w:hint="eastAsia" w:ascii="宋体" w:hAnsi="宋体" w:cs="宋体"/>
          <w:color w:val="0000FF"/>
          <w:kern w:val="0"/>
          <w:sz w:val="24"/>
        </w:rPr>
        <w:t>生产机制砂、细石粉两种产品，</w:t>
      </w:r>
      <w:r>
        <w:rPr>
          <w:rFonts w:hint="eastAsia" w:ascii="宋体" w:hAnsi="宋体"/>
          <w:bCs/>
          <w:color w:val="0000FF"/>
          <w:sz w:val="24"/>
        </w:rPr>
        <w:t>机</w:t>
      </w:r>
      <w:r>
        <w:rPr>
          <w:rFonts w:hint="eastAsia" w:ascii="宋体" w:hAnsi="宋体" w:cs="宋体"/>
          <w:color w:val="0000FF"/>
          <w:kern w:val="0"/>
          <w:sz w:val="24"/>
        </w:rPr>
        <w:t>制砂入料量100吨/小时。</w:t>
      </w:r>
      <w:r>
        <w:rPr>
          <w:rFonts w:hint="eastAsia" w:ascii="宋体" w:hAnsi="宋体"/>
          <w:color w:val="0000FF"/>
          <w:sz w:val="24"/>
        </w:rPr>
        <w:t>细石粉采用钢制粉料罐储存，除粉料罐外所有钢结构和设备均要求工厂化生产并做防腐处理。</w:t>
      </w:r>
    </w:p>
    <w:p>
      <w:pPr>
        <w:spacing w:line="440" w:lineRule="exact"/>
        <w:ind w:firstLine="480" w:firstLineChars="200"/>
        <w:rPr>
          <w:rFonts w:ascii="宋体" w:hAnsi="宋体"/>
          <w:bCs/>
          <w:color w:val="0000FF"/>
          <w:sz w:val="24"/>
        </w:rPr>
      </w:pPr>
      <w:r>
        <w:rPr>
          <w:rFonts w:hint="eastAsia" w:ascii="宋体" w:hAnsi="宋体"/>
          <w:color w:val="0000FF"/>
          <w:sz w:val="24"/>
        </w:rPr>
        <w:t>1.2功能要求：</w:t>
      </w:r>
      <w:r>
        <w:rPr>
          <w:rFonts w:hint="eastAsia" w:ascii="宋体" w:hAnsi="宋体" w:cs="宋体"/>
          <w:color w:val="0000FF"/>
          <w:kern w:val="0"/>
          <w:sz w:val="24"/>
        </w:rPr>
        <w:t>具有整形、去石粉、级配调整、机制砂加湿等功能。</w:t>
      </w:r>
      <w:r>
        <w:rPr>
          <w:rFonts w:ascii="宋体" w:hAnsi="宋体"/>
          <w:bCs/>
          <w:color w:val="0000FF"/>
          <w:sz w:val="24"/>
        </w:rPr>
        <w:t xml:space="preserve"> </w:t>
      </w:r>
    </w:p>
    <w:p>
      <w:pPr>
        <w:spacing w:line="440" w:lineRule="exact"/>
        <w:ind w:firstLine="480" w:firstLineChars="200"/>
        <w:rPr>
          <w:rFonts w:hint="eastAsia" w:ascii="宋体" w:hAnsi="宋体" w:cs="宋体"/>
          <w:color w:val="0000FF"/>
          <w:kern w:val="0"/>
          <w:sz w:val="24"/>
        </w:rPr>
      </w:pPr>
      <w:r>
        <w:rPr>
          <w:rFonts w:hint="eastAsia" w:ascii="宋体" w:hAnsi="宋体"/>
          <w:color w:val="0000FF"/>
          <w:sz w:val="24"/>
        </w:rPr>
        <w:t>1.3安全环保要求：</w:t>
      </w:r>
      <w:r>
        <w:rPr>
          <w:rFonts w:hint="eastAsia" w:ascii="宋体" w:hAnsi="宋体" w:cs="宋体"/>
          <w:color w:val="0000FF"/>
          <w:kern w:val="0"/>
          <w:sz w:val="24"/>
        </w:rPr>
        <w:t>整个系统所有粉尘必须做到有组织排放，排放浓度小于等于20mg/m</w:t>
      </w:r>
      <w:r>
        <w:rPr>
          <w:rFonts w:hint="eastAsia" w:ascii="宋体" w:hAnsi="宋体" w:cs="宋体"/>
          <w:color w:val="0000FF"/>
          <w:kern w:val="0"/>
          <w:sz w:val="24"/>
          <w:vertAlign w:val="superscript"/>
        </w:rPr>
        <w:t>3</w:t>
      </w:r>
      <w:r>
        <w:rPr>
          <w:rFonts w:hint="eastAsia" w:ascii="宋体" w:hAnsi="宋体" w:cs="宋体"/>
          <w:color w:val="0000FF"/>
          <w:kern w:val="0"/>
          <w:sz w:val="24"/>
        </w:rPr>
        <w:t>。</w:t>
      </w:r>
    </w:p>
    <w:p>
      <w:pPr>
        <w:pStyle w:val="2"/>
        <w:ind w:firstLine="480" w:firstLineChars="200"/>
        <w:rPr>
          <w:rFonts w:hint="default" w:eastAsia="宋体"/>
          <w:lang w:val="en-US" w:eastAsia="zh-CN"/>
        </w:rPr>
      </w:pPr>
      <w:r>
        <w:rPr>
          <w:rFonts w:hint="eastAsia" w:ascii="宋体" w:hAnsi="宋体" w:cs="宋体"/>
          <w:color w:val="0000FF"/>
          <w:kern w:val="0"/>
          <w:sz w:val="24"/>
          <w:lang w:val="en-US" w:eastAsia="zh-CN"/>
        </w:rPr>
        <w:t>1.4交货、安装期：承诺交货、安装在90天以内（包含90天）。</w:t>
      </w:r>
    </w:p>
    <w:p>
      <w:pPr>
        <w:spacing w:line="440" w:lineRule="exact"/>
        <w:ind w:firstLine="470" w:firstLineChars="195"/>
        <w:outlineLvl w:val="1"/>
        <w:rPr>
          <w:rFonts w:hint="eastAsia" w:ascii="宋体" w:hAnsi="宋体"/>
          <w:b/>
          <w:bCs/>
          <w:color w:val="0000FF"/>
          <w:sz w:val="24"/>
        </w:rPr>
      </w:pPr>
      <w:r>
        <w:rPr>
          <w:rFonts w:hint="eastAsia" w:ascii="宋体" w:hAnsi="宋体"/>
          <w:b/>
          <w:bCs/>
          <w:color w:val="0000FF"/>
          <w:sz w:val="24"/>
        </w:rPr>
        <w:t>二、建设条件</w:t>
      </w:r>
    </w:p>
    <w:p>
      <w:pPr>
        <w:spacing w:line="440" w:lineRule="exact"/>
        <w:ind w:left="1" w:firstLine="352" w:firstLineChars="147"/>
        <w:outlineLvl w:val="2"/>
        <w:rPr>
          <w:rFonts w:ascii="宋体" w:hAnsi="宋体"/>
          <w:color w:val="0000FF"/>
          <w:sz w:val="24"/>
        </w:rPr>
      </w:pPr>
      <w:r>
        <w:rPr>
          <w:rFonts w:hint="eastAsia" w:ascii="宋体" w:hAnsi="宋体"/>
          <w:color w:val="0000FF"/>
          <w:sz w:val="24"/>
        </w:rPr>
        <w:t xml:space="preserve">  2.1建设场地</w:t>
      </w:r>
    </w:p>
    <w:p>
      <w:pPr>
        <w:spacing w:line="440" w:lineRule="exact"/>
        <w:ind w:firstLine="480" w:firstLineChars="200"/>
        <w:rPr>
          <w:rFonts w:ascii="宋体" w:hAnsi="宋体"/>
          <w:bCs/>
          <w:color w:val="0000FF"/>
          <w:sz w:val="24"/>
        </w:rPr>
      </w:pPr>
      <w:r>
        <w:rPr>
          <w:rFonts w:hint="eastAsia" w:ascii="宋体" w:hAnsi="宋体"/>
          <w:color w:val="0000FF"/>
          <w:sz w:val="24"/>
        </w:rPr>
        <w:t>岳阳市建筑固废资源化再利用</w:t>
      </w:r>
      <w:r>
        <w:rPr>
          <w:rFonts w:hint="eastAsia" w:ascii="宋体" w:hAnsi="宋体"/>
          <w:color w:val="0000FF"/>
          <w:sz w:val="24"/>
          <w:lang w:eastAsia="zh-CN"/>
        </w:rPr>
        <w:t>产业园项目</w:t>
      </w:r>
      <w:r>
        <w:rPr>
          <w:rFonts w:hint="eastAsia" w:ascii="宋体" w:hAnsi="宋体"/>
          <w:bCs/>
          <w:color w:val="0000FF"/>
          <w:sz w:val="24"/>
        </w:rPr>
        <w:t>现场，已具备五通一平条件。</w:t>
      </w:r>
      <w:r>
        <w:rPr>
          <w:rFonts w:hint="eastAsia" w:ascii="宋体" w:hAnsi="宋体"/>
          <w:color w:val="0000FF"/>
          <w:sz w:val="24"/>
        </w:rPr>
        <w:t>安装期间用水、用电由业主负责在施工现场150米范围内提供水、电源；</w:t>
      </w:r>
    </w:p>
    <w:p>
      <w:pPr>
        <w:spacing w:line="440" w:lineRule="exact"/>
        <w:ind w:firstLine="480" w:firstLineChars="200"/>
        <w:outlineLvl w:val="2"/>
        <w:rPr>
          <w:rFonts w:ascii="宋体" w:hAnsi="宋体"/>
          <w:color w:val="0000FF"/>
          <w:sz w:val="24"/>
        </w:rPr>
      </w:pPr>
      <w:r>
        <w:rPr>
          <w:rFonts w:hint="eastAsia" w:ascii="宋体" w:hAnsi="宋体"/>
          <w:color w:val="0000FF"/>
          <w:sz w:val="24"/>
        </w:rPr>
        <w:t>2.2地震烈度</w:t>
      </w:r>
    </w:p>
    <w:p>
      <w:pPr>
        <w:spacing w:line="500" w:lineRule="exact"/>
        <w:ind w:firstLine="480" w:firstLineChars="200"/>
        <w:rPr>
          <w:color w:val="0000FF"/>
          <w:sz w:val="24"/>
        </w:rPr>
      </w:pPr>
      <w:r>
        <w:rPr>
          <w:rFonts w:hint="eastAsia"/>
          <w:color w:val="0000FF"/>
          <w:sz w:val="24"/>
        </w:rPr>
        <w:t>必须符合国家标准及当地实际的抗震要求</w:t>
      </w:r>
    </w:p>
    <w:p>
      <w:pPr>
        <w:spacing w:line="500" w:lineRule="exact"/>
        <w:ind w:firstLine="472" w:firstLineChars="196"/>
        <w:jc w:val="center"/>
        <w:outlineLvl w:val="3"/>
        <w:rPr>
          <w:b/>
          <w:color w:val="0000FF"/>
          <w:sz w:val="24"/>
        </w:rPr>
      </w:pPr>
      <w:r>
        <w:rPr>
          <w:rFonts w:hint="eastAsia"/>
          <w:b/>
          <w:color w:val="0000FF"/>
          <w:sz w:val="24"/>
        </w:rPr>
        <w:t>钢结构房屋的抗震等级</w:t>
      </w:r>
    </w:p>
    <w:tbl>
      <w:tblPr>
        <w:tblStyle w:val="10"/>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7"/>
        <w:gridCol w:w="1857"/>
        <w:gridCol w:w="1857"/>
        <w:gridCol w:w="1858"/>
        <w:gridCol w:w="1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房屋高度</w:t>
            </w:r>
          </w:p>
        </w:tc>
        <w:tc>
          <w:tcPr>
            <w:tcW w:w="7430" w:type="dxa"/>
            <w:gridSpan w:val="4"/>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p>
        </w:tc>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color w:val="0000FF"/>
                <w:sz w:val="24"/>
              </w:rPr>
              <w:t>6</w:t>
            </w:r>
          </w:p>
        </w:tc>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color w:val="0000FF"/>
                <w:sz w:val="24"/>
              </w:rPr>
              <w:t>7</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color w:val="0000FF"/>
                <w:sz w:val="24"/>
              </w:rPr>
              <w:t>8</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color w:val="0000FF"/>
                <w:sz w:val="24"/>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w:t>
            </w:r>
            <w:r>
              <w:rPr>
                <w:color w:val="0000FF"/>
                <w:sz w:val="24"/>
              </w:rPr>
              <w:t>50m</w:t>
            </w:r>
          </w:p>
        </w:tc>
        <w:tc>
          <w:tcPr>
            <w:tcW w:w="1857" w:type="dxa"/>
            <w:tcBorders>
              <w:top w:val="single" w:color="auto" w:sz="4" w:space="0"/>
              <w:left w:val="single" w:color="auto" w:sz="4" w:space="0"/>
              <w:bottom w:val="single" w:color="auto" w:sz="4" w:space="0"/>
              <w:right w:val="single" w:color="auto" w:sz="4" w:space="0"/>
              <w:tl2br w:val="single" w:color="auto" w:sz="4" w:space="0"/>
            </w:tcBorders>
          </w:tcPr>
          <w:p>
            <w:pPr>
              <w:spacing w:line="500" w:lineRule="exact"/>
              <w:jc w:val="center"/>
              <w:rPr>
                <w:color w:val="0000FF"/>
                <w:sz w:val="24"/>
              </w:rPr>
            </w:pPr>
          </w:p>
        </w:tc>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四</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三</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w:t>
            </w:r>
            <w:r>
              <w:rPr>
                <w:color w:val="0000FF"/>
                <w:sz w:val="24"/>
              </w:rPr>
              <w:t>50m</w:t>
            </w:r>
          </w:p>
        </w:tc>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四</w:t>
            </w:r>
          </w:p>
        </w:tc>
        <w:tc>
          <w:tcPr>
            <w:tcW w:w="1857"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三</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二</w:t>
            </w:r>
          </w:p>
        </w:tc>
        <w:tc>
          <w:tcPr>
            <w:tcW w:w="1858" w:type="dxa"/>
            <w:tcBorders>
              <w:top w:val="single" w:color="auto" w:sz="4" w:space="0"/>
              <w:left w:val="single" w:color="auto" w:sz="4" w:space="0"/>
              <w:bottom w:val="single" w:color="auto" w:sz="4" w:space="0"/>
              <w:right w:val="single" w:color="auto" w:sz="4" w:space="0"/>
            </w:tcBorders>
          </w:tcPr>
          <w:p>
            <w:pPr>
              <w:spacing w:line="500" w:lineRule="exact"/>
              <w:jc w:val="center"/>
              <w:rPr>
                <w:color w:val="0000FF"/>
                <w:sz w:val="24"/>
              </w:rPr>
            </w:pPr>
            <w:r>
              <w:rPr>
                <w:rFonts w:hint="eastAsia"/>
                <w:color w:val="0000FF"/>
                <w:sz w:val="24"/>
              </w:rPr>
              <w:t>一</w:t>
            </w:r>
          </w:p>
        </w:tc>
      </w:tr>
    </w:tbl>
    <w:p>
      <w:pPr>
        <w:spacing w:line="500" w:lineRule="exact"/>
        <w:rPr>
          <w:color w:val="0000FF"/>
          <w:sz w:val="24"/>
        </w:rPr>
      </w:pPr>
      <w:r>
        <w:rPr>
          <w:rFonts w:hint="eastAsia"/>
          <w:color w:val="0000FF"/>
          <w:sz w:val="24"/>
        </w:rPr>
        <w:t>注：</w:t>
      </w:r>
      <w:r>
        <w:rPr>
          <w:color w:val="0000FF"/>
          <w:sz w:val="24"/>
        </w:rPr>
        <w:t xml:space="preserve"> 1</w:t>
      </w:r>
      <w:r>
        <w:rPr>
          <w:rFonts w:hint="eastAsia"/>
          <w:color w:val="0000FF"/>
          <w:sz w:val="24"/>
        </w:rPr>
        <w:t>、标准摘自（《建筑抗震设计规范》</w:t>
      </w:r>
      <w:r>
        <w:rPr>
          <w:color w:val="0000FF"/>
          <w:sz w:val="24"/>
        </w:rPr>
        <w:t>GB50011-2010</w:t>
      </w:r>
      <w:r>
        <w:rPr>
          <w:rFonts w:hint="eastAsia"/>
          <w:color w:val="0000FF"/>
          <w:sz w:val="24"/>
        </w:rPr>
        <w:t>）</w:t>
      </w:r>
    </w:p>
    <w:p>
      <w:pPr>
        <w:spacing w:line="500" w:lineRule="exact"/>
        <w:ind w:firstLine="600" w:firstLineChars="250"/>
        <w:rPr>
          <w:color w:val="0000FF"/>
          <w:sz w:val="24"/>
        </w:rPr>
      </w:pPr>
      <w:r>
        <w:rPr>
          <w:color w:val="0000FF"/>
          <w:sz w:val="24"/>
        </w:rPr>
        <w:t>2</w:t>
      </w:r>
      <w:r>
        <w:rPr>
          <w:rFonts w:hint="eastAsia"/>
          <w:color w:val="0000FF"/>
          <w:sz w:val="24"/>
        </w:rPr>
        <w:t>、表中</w:t>
      </w:r>
      <w:r>
        <w:rPr>
          <w:color w:val="0000FF"/>
          <w:sz w:val="24"/>
        </w:rPr>
        <w:t>“</w:t>
      </w:r>
      <w:r>
        <w:rPr>
          <w:rFonts w:hint="eastAsia"/>
          <w:color w:val="0000FF"/>
          <w:sz w:val="24"/>
        </w:rPr>
        <w:t>一、二、三、四级</w:t>
      </w:r>
      <w:r>
        <w:rPr>
          <w:color w:val="0000FF"/>
          <w:sz w:val="24"/>
        </w:rPr>
        <w:t>”</w:t>
      </w:r>
      <w:r>
        <w:rPr>
          <w:rFonts w:hint="eastAsia"/>
          <w:color w:val="0000FF"/>
          <w:sz w:val="24"/>
        </w:rPr>
        <w:t>即</w:t>
      </w:r>
      <w:r>
        <w:rPr>
          <w:color w:val="0000FF"/>
          <w:sz w:val="24"/>
        </w:rPr>
        <w:t>“</w:t>
      </w:r>
      <w:r>
        <w:rPr>
          <w:rFonts w:hint="eastAsia"/>
          <w:color w:val="0000FF"/>
          <w:sz w:val="24"/>
        </w:rPr>
        <w:t>抗震等级为一、二、三、四级</w:t>
      </w:r>
      <w:r>
        <w:rPr>
          <w:color w:val="0000FF"/>
          <w:sz w:val="24"/>
        </w:rPr>
        <w:t>”</w:t>
      </w:r>
      <w:r>
        <w:rPr>
          <w:rFonts w:hint="eastAsia"/>
          <w:color w:val="0000FF"/>
          <w:sz w:val="24"/>
        </w:rPr>
        <w:t>的简称。</w:t>
      </w:r>
    </w:p>
    <w:p>
      <w:pPr>
        <w:spacing w:line="440" w:lineRule="exact"/>
        <w:ind w:firstLine="480" w:firstLineChars="200"/>
        <w:outlineLvl w:val="2"/>
        <w:rPr>
          <w:rFonts w:ascii="宋体" w:hAnsi="宋体"/>
          <w:color w:val="0000FF"/>
          <w:sz w:val="24"/>
        </w:rPr>
      </w:pPr>
      <w:r>
        <w:rPr>
          <w:rFonts w:hint="eastAsia" w:ascii="宋体" w:hAnsi="宋体"/>
          <w:color w:val="0000FF"/>
          <w:sz w:val="24"/>
        </w:rPr>
        <w:t>2.3环保要求</w:t>
      </w:r>
    </w:p>
    <w:p>
      <w:pPr>
        <w:spacing w:line="500" w:lineRule="exact"/>
        <w:ind w:firstLine="480" w:firstLineChars="200"/>
        <w:outlineLvl w:val="3"/>
        <w:rPr>
          <w:rFonts w:ascii="宋体" w:hAnsi="宋体"/>
          <w:color w:val="0000FF"/>
          <w:sz w:val="24"/>
        </w:rPr>
      </w:pPr>
      <w:r>
        <w:rPr>
          <w:rFonts w:hint="eastAsia" w:ascii="宋体" w:hAnsi="宋体"/>
          <w:color w:val="0000FF"/>
          <w:sz w:val="24"/>
        </w:rPr>
        <w:t>2.3.1噪音</w:t>
      </w:r>
    </w:p>
    <w:p>
      <w:pPr>
        <w:spacing w:line="500" w:lineRule="exact"/>
        <w:ind w:firstLine="480" w:firstLineChars="200"/>
        <w:rPr>
          <w:rFonts w:ascii="宋体" w:hAnsi="宋体"/>
          <w:color w:val="0000FF"/>
          <w:sz w:val="24"/>
        </w:rPr>
      </w:pPr>
      <w:r>
        <w:rPr>
          <w:rFonts w:hint="eastAsia" w:ascii="宋体" w:hAnsi="宋体"/>
          <w:color w:val="0000FF"/>
          <w:sz w:val="24"/>
        </w:rPr>
        <w:t>100型精品机制砂系统工作时噪音应该符合《建筑机械与设备噪声限值》（JG/T 5079.1-1996）规定。</w:t>
      </w:r>
    </w:p>
    <w:p>
      <w:pPr>
        <w:spacing w:line="500" w:lineRule="exact"/>
        <w:ind w:firstLine="480" w:firstLineChars="200"/>
        <w:outlineLvl w:val="3"/>
        <w:rPr>
          <w:rFonts w:ascii="宋体" w:hAnsi="宋体"/>
          <w:color w:val="0000FF"/>
          <w:sz w:val="24"/>
        </w:rPr>
      </w:pPr>
      <w:r>
        <w:rPr>
          <w:rFonts w:hint="eastAsia" w:ascii="宋体" w:hAnsi="宋体"/>
          <w:color w:val="0000FF"/>
          <w:sz w:val="24"/>
        </w:rPr>
        <w:t>2.3.2粉尘</w:t>
      </w:r>
    </w:p>
    <w:p>
      <w:pPr>
        <w:spacing w:line="500" w:lineRule="exact"/>
        <w:ind w:firstLine="480" w:firstLineChars="200"/>
        <w:rPr>
          <w:rFonts w:ascii="宋体" w:hAnsi="宋体"/>
          <w:color w:val="0000FF"/>
          <w:sz w:val="24"/>
        </w:rPr>
      </w:pPr>
      <w:r>
        <w:rPr>
          <w:rFonts w:hint="eastAsia" w:ascii="宋体" w:hAnsi="宋体"/>
          <w:color w:val="0000FF"/>
          <w:sz w:val="24"/>
        </w:rPr>
        <w:t>应符合水泥工业大气污染物排放标准GB 4915-2013规定:排气筒大气污染物排放限值颗粒物小于20mg/m</w:t>
      </w:r>
      <w:r>
        <w:rPr>
          <w:rFonts w:hint="eastAsia" w:ascii="宋体" w:hAnsi="宋体"/>
          <w:color w:val="0000FF"/>
          <w:sz w:val="24"/>
          <w:vertAlign w:val="superscript"/>
        </w:rPr>
        <w:t>3</w:t>
      </w:r>
      <w:r>
        <w:rPr>
          <w:rFonts w:hint="eastAsia" w:ascii="宋体" w:hAnsi="宋体"/>
          <w:color w:val="0000FF"/>
          <w:sz w:val="24"/>
        </w:rPr>
        <w:t>，无组织颗粒物排放小于0.5mg/m</w:t>
      </w:r>
      <w:r>
        <w:rPr>
          <w:rFonts w:hint="eastAsia" w:ascii="宋体" w:hAnsi="宋体"/>
          <w:color w:val="0000FF"/>
          <w:sz w:val="24"/>
          <w:vertAlign w:val="superscript"/>
        </w:rPr>
        <w:t>3</w:t>
      </w:r>
      <w:r>
        <w:rPr>
          <w:rFonts w:hint="eastAsia" w:ascii="宋体" w:hAnsi="宋体"/>
          <w:color w:val="0000FF"/>
          <w:sz w:val="24"/>
        </w:rPr>
        <w:t>。</w:t>
      </w:r>
    </w:p>
    <w:p>
      <w:pPr>
        <w:spacing w:line="500" w:lineRule="exact"/>
        <w:ind w:firstLine="480" w:firstLineChars="200"/>
        <w:outlineLvl w:val="3"/>
        <w:rPr>
          <w:rFonts w:ascii="宋体" w:hAnsi="宋体"/>
          <w:color w:val="0000FF"/>
          <w:sz w:val="24"/>
        </w:rPr>
      </w:pPr>
      <w:r>
        <w:rPr>
          <w:rFonts w:hint="eastAsia" w:ascii="宋体" w:hAnsi="宋体"/>
          <w:color w:val="0000FF"/>
          <w:sz w:val="24"/>
        </w:rPr>
        <w:t>2.3.3污水排放</w:t>
      </w:r>
    </w:p>
    <w:p>
      <w:pPr>
        <w:spacing w:line="500" w:lineRule="exact"/>
        <w:ind w:firstLine="480" w:firstLineChars="200"/>
        <w:rPr>
          <w:rFonts w:ascii="宋体" w:hAnsi="宋体"/>
          <w:color w:val="0000FF"/>
          <w:sz w:val="24"/>
        </w:rPr>
      </w:pPr>
      <w:r>
        <w:rPr>
          <w:rFonts w:hint="eastAsia" w:ascii="宋体" w:hAnsi="宋体"/>
          <w:color w:val="0000FF"/>
          <w:sz w:val="24"/>
        </w:rPr>
        <w:t>应符合国家《污水综合排放标准》(GB 8978-96)</w:t>
      </w:r>
    </w:p>
    <w:p>
      <w:pPr>
        <w:spacing w:line="500" w:lineRule="exact"/>
        <w:ind w:firstLine="480" w:firstLineChars="200"/>
        <w:outlineLvl w:val="2"/>
        <w:rPr>
          <w:rFonts w:ascii="宋体" w:hAnsi="宋体"/>
          <w:color w:val="0000FF"/>
          <w:sz w:val="24"/>
        </w:rPr>
      </w:pPr>
      <w:r>
        <w:rPr>
          <w:rFonts w:hint="eastAsia" w:ascii="宋体" w:hAnsi="宋体"/>
          <w:color w:val="0000FF"/>
          <w:sz w:val="24"/>
        </w:rPr>
        <w:t>2.4运输</w:t>
      </w:r>
    </w:p>
    <w:p>
      <w:pPr>
        <w:spacing w:line="500" w:lineRule="exact"/>
        <w:ind w:firstLine="480" w:firstLineChars="200"/>
        <w:rPr>
          <w:rFonts w:ascii="宋体" w:hAnsi="宋体"/>
          <w:color w:val="0000FF"/>
          <w:sz w:val="24"/>
        </w:rPr>
      </w:pPr>
      <w:r>
        <w:rPr>
          <w:rFonts w:hint="eastAsia" w:ascii="宋体" w:hAnsi="宋体"/>
          <w:color w:val="0000FF"/>
          <w:sz w:val="24"/>
        </w:rPr>
        <w:t>此项招标价包括设备运输费（运输费单列，须列明设备厂家到建设单位运输距离）</w:t>
      </w:r>
    </w:p>
    <w:p>
      <w:pPr>
        <w:spacing w:line="500" w:lineRule="exact"/>
        <w:ind w:firstLine="480" w:firstLineChars="200"/>
        <w:outlineLvl w:val="2"/>
        <w:rPr>
          <w:rFonts w:ascii="宋体" w:hAnsi="宋体"/>
          <w:color w:val="0000FF"/>
          <w:sz w:val="24"/>
        </w:rPr>
      </w:pPr>
      <w:r>
        <w:rPr>
          <w:rFonts w:hint="eastAsia" w:ascii="宋体" w:hAnsi="宋体"/>
          <w:color w:val="0000FF"/>
          <w:sz w:val="24"/>
        </w:rPr>
        <w:t>2.5吊装</w:t>
      </w:r>
    </w:p>
    <w:p>
      <w:pPr>
        <w:spacing w:line="500" w:lineRule="exact"/>
        <w:ind w:firstLine="480" w:firstLineChars="200"/>
        <w:rPr>
          <w:rFonts w:ascii="宋体" w:hAnsi="宋体"/>
          <w:color w:val="0000FF"/>
          <w:sz w:val="24"/>
        </w:rPr>
      </w:pPr>
      <w:r>
        <w:rPr>
          <w:rFonts w:hint="eastAsia" w:ascii="宋体" w:hAnsi="宋体"/>
          <w:color w:val="0000FF"/>
          <w:sz w:val="24"/>
        </w:rPr>
        <w:t>此项招标价包含吊装费。</w:t>
      </w:r>
    </w:p>
    <w:p>
      <w:pPr>
        <w:spacing w:line="500" w:lineRule="exact"/>
        <w:ind w:firstLine="480" w:firstLineChars="200"/>
        <w:rPr>
          <w:rFonts w:ascii="宋体" w:hAnsi="宋体"/>
          <w:color w:val="0000FF"/>
          <w:sz w:val="24"/>
        </w:rPr>
        <w:sectPr>
          <w:footerReference r:id="rId4" w:type="first"/>
          <w:footerReference r:id="rId3" w:type="default"/>
          <w:pgSz w:w="11906" w:h="16838"/>
          <w:pgMar w:top="1361" w:right="1474" w:bottom="1418" w:left="1361" w:header="851" w:footer="992" w:gutter="0"/>
          <w:pgNumType w:fmt="decimal" w:start="1"/>
          <w:cols w:space="720" w:num="1"/>
          <w:titlePg/>
          <w:docGrid w:type="lines" w:linePitch="312" w:charSpace="0"/>
        </w:sectPr>
      </w:pPr>
    </w:p>
    <w:p>
      <w:pPr>
        <w:spacing w:line="440" w:lineRule="exact"/>
        <w:ind w:firstLine="468" w:firstLineChars="195"/>
        <w:outlineLvl w:val="1"/>
        <w:rPr>
          <w:rFonts w:ascii="宋体" w:hAnsi="宋体"/>
          <w:b/>
          <w:bCs/>
          <w:color w:val="0000FF"/>
          <w:sz w:val="24"/>
        </w:rPr>
      </w:pPr>
      <w:r>
        <w:rPr>
          <w:rFonts w:hint="eastAsia" w:ascii="宋体" w:hAnsi="宋体"/>
          <w:b/>
          <w:bCs/>
          <w:color w:val="0000FF"/>
          <w:sz w:val="24"/>
        </w:rPr>
        <w:t>三、制砂系统主要技术参数、配置要求及制作要求</w:t>
      </w:r>
    </w:p>
    <w:p>
      <w:pPr>
        <w:spacing w:line="500" w:lineRule="exact"/>
        <w:ind w:firstLine="480" w:firstLineChars="200"/>
        <w:outlineLvl w:val="2"/>
        <w:rPr>
          <w:rFonts w:ascii="宋体" w:hAnsi="宋体"/>
          <w:color w:val="0000FF"/>
          <w:sz w:val="24"/>
        </w:rPr>
      </w:pPr>
      <w:r>
        <w:rPr>
          <w:rFonts w:hint="eastAsia" w:ascii="宋体" w:hAnsi="宋体"/>
          <w:color w:val="0000FF"/>
          <w:sz w:val="24"/>
        </w:rPr>
        <w:t>3.1生产能力：单条</w:t>
      </w:r>
      <w:r>
        <w:rPr>
          <w:rFonts w:hint="eastAsia" w:ascii="宋体" w:hAnsi="宋体" w:cs="宋体"/>
          <w:color w:val="0000FF"/>
          <w:kern w:val="0"/>
          <w:sz w:val="24"/>
        </w:rPr>
        <w:t>机制砂</w:t>
      </w:r>
      <w:r>
        <w:rPr>
          <w:rFonts w:hint="eastAsia" w:ascii="宋体" w:hAnsi="宋体" w:cs="宋体"/>
          <w:color w:val="0000FF"/>
          <w:kern w:val="0"/>
          <w:sz w:val="24"/>
          <w:lang w:val="en-US" w:eastAsia="zh-CN"/>
        </w:rPr>
        <w:t>理论</w:t>
      </w:r>
      <w:r>
        <w:rPr>
          <w:rFonts w:hint="eastAsia" w:ascii="宋体" w:hAnsi="宋体" w:cs="宋体"/>
          <w:color w:val="0000FF"/>
          <w:kern w:val="0"/>
          <w:sz w:val="24"/>
        </w:rPr>
        <w:t>入料量100t/h</w:t>
      </w:r>
      <w:r>
        <w:rPr>
          <w:rFonts w:hint="eastAsia" w:ascii="宋体" w:hAnsi="宋体"/>
          <w:color w:val="0000FF"/>
          <w:sz w:val="24"/>
        </w:rPr>
        <w:t>。</w:t>
      </w:r>
      <w:r>
        <w:rPr>
          <w:rFonts w:hint="eastAsia" w:ascii="宋体" w:hAnsi="宋体"/>
          <w:color w:val="0000FF"/>
          <w:sz w:val="24"/>
        </w:rPr>
        <w:tab/>
      </w:r>
    </w:p>
    <w:p>
      <w:pPr>
        <w:spacing w:line="500" w:lineRule="exact"/>
        <w:ind w:firstLine="480" w:firstLineChars="200"/>
        <w:rPr>
          <w:rFonts w:ascii="宋体" w:hAnsi="宋体"/>
          <w:color w:val="0000FF"/>
          <w:sz w:val="24"/>
        </w:rPr>
      </w:pPr>
      <w:r>
        <w:rPr>
          <w:rFonts w:hint="eastAsia" w:ascii="宋体" w:hAnsi="宋体"/>
          <w:color w:val="0000FF"/>
          <w:sz w:val="24"/>
        </w:rPr>
        <w:t>3.2产品质量：</w:t>
      </w:r>
      <w:r>
        <w:rPr>
          <w:rFonts w:hint="eastAsia" w:ascii="宋体" w:hAnsi="宋体" w:cs="宋体"/>
          <w:color w:val="0000FF"/>
          <w:kern w:val="0"/>
          <w:sz w:val="24"/>
        </w:rPr>
        <w:t>机制砂质量指标满足GB T14684-2011建设用砂(2)规范要求，细度模数在2.3~3.0可调、砂子中石粉含量在5%~15%可调，级配满足Ⅰ类机制砂级配2区要求（详见机制砂级配表），砂粒形圆度良好，含水均匀保持饱和面干状态；</w:t>
      </w:r>
      <w:r>
        <w:rPr>
          <w:rFonts w:ascii="宋体" w:hAnsi="宋体"/>
          <w:color w:val="0000FF"/>
          <w:sz w:val="24"/>
        </w:rPr>
        <w:t xml:space="preserve"> </w:t>
      </w:r>
    </w:p>
    <w:p>
      <w:pPr>
        <w:spacing w:line="500" w:lineRule="exact"/>
        <w:ind w:firstLine="480" w:firstLineChars="200"/>
        <w:rPr>
          <w:rFonts w:ascii="宋体" w:hAnsi="宋体"/>
          <w:color w:val="0000FF"/>
          <w:sz w:val="24"/>
        </w:rPr>
      </w:pPr>
      <w:r>
        <w:rPr>
          <w:rFonts w:hint="eastAsia" w:ascii="宋体" w:hAnsi="宋体"/>
          <w:color w:val="0000FF"/>
          <w:sz w:val="24"/>
        </w:rPr>
        <w:t>3.3配置：主要技术要求见下表。</w:t>
      </w:r>
    </w:p>
    <w:tbl>
      <w:tblPr>
        <w:tblStyle w:val="10"/>
        <w:tblW w:w="1432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21"/>
        <w:gridCol w:w="1697"/>
        <w:gridCol w:w="2835"/>
        <w:gridCol w:w="8975"/>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4" w:hRule="atLeast"/>
        </w:trPr>
        <w:tc>
          <w:tcPr>
            <w:tcW w:w="821" w:type="dxa"/>
            <w:tcBorders>
              <w:top w:val="single" w:color="000000" w:sz="12" w:space="0"/>
            </w:tcBorders>
            <w:vAlign w:val="center"/>
          </w:tcPr>
          <w:p>
            <w:pPr>
              <w:jc w:val="center"/>
              <w:rPr>
                <w:rFonts w:ascii="宋体" w:hAnsi="宋体"/>
                <w:b/>
                <w:color w:val="0000FF"/>
                <w:sz w:val="24"/>
              </w:rPr>
            </w:pPr>
            <w:r>
              <w:rPr>
                <w:rFonts w:hint="eastAsia" w:ascii="宋体" w:hAnsi="宋体"/>
                <w:b/>
                <w:color w:val="0000FF"/>
                <w:sz w:val="24"/>
              </w:rPr>
              <w:t>序号</w:t>
            </w:r>
          </w:p>
        </w:tc>
        <w:tc>
          <w:tcPr>
            <w:tcW w:w="1697" w:type="dxa"/>
            <w:tcBorders>
              <w:top w:val="single" w:color="000000" w:sz="12" w:space="0"/>
            </w:tcBorders>
            <w:vAlign w:val="center"/>
          </w:tcPr>
          <w:p>
            <w:pPr>
              <w:jc w:val="center"/>
              <w:rPr>
                <w:rFonts w:ascii="宋体" w:hAnsi="宋体"/>
                <w:b/>
                <w:color w:val="0000FF"/>
                <w:sz w:val="24"/>
              </w:rPr>
            </w:pPr>
            <w:r>
              <w:rPr>
                <w:rFonts w:hint="eastAsia" w:ascii="宋体" w:hAnsi="宋体"/>
                <w:b/>
                <w:color w:val="0000FF"/>
                <w:sz w:val="24"/>
              </w:rPr>
              <w:t>名称</w:t>
            </w:r>
          </w:p>
        </w:tc>
        <w:tc>
          <w:tcPr>
            <w:tcW w:w="2835" w:type="dxa"/>
            <w:tcBorders>
              <w:top w:val="single" w:color="000000" w:sz="12" w:space="0"/>
            </w:tcBorders>
            <w:vAlign w:val="center"/>
          </w:tcPr>
          <w:p>
            <w:pPr>
              <w:jc w:val="center"/>
              <w:rPr>
                <w:rFonts w:ascii="宋体" w:hAnsi="宋体"/>
                <w:b/>
                <w:color w:val="0000FF"/>
                <w:sz w:val="24"/>
              </w:rPr>
            </w:pPr>
            <w:r>
              <w:rPr>
                <w:rFonts w:hint="eastAsia" w:ascii="宋体" w:hAnsi="宋体"/>
                <w:b/>
                <w:color w:val="0000FF"/>
                <w:sz w:val="24"/>
              </w:rPr>
              <w:t>分项名称</w:t>
            </w:r>
          </w:p>
        </w:tc>
        <w:tc>
          <w:tcPr>
            <w:tcW w:w="8975" w:type="dxa"/>
            <w:tcBorders>
              <w:top w:val="single" w:color="000000" w:sz="12" w:space="0"/>
            </w:tcBorders>
            <w:vAlign w:val="center"/>
          </w:tcPr>
          <w:p>
            <w:pPr>
              <w:jc w:val="center"/>
              <w:rPr>
                <w:rFonts w:ascii="宋体" w:hAnsi="宋体"/>
                <w:b/>
                <w:color w:val="0000FF"/>
                <w:sz w:val="24"/>
              </w:rPr>
            </w:pPr>
            <w:r>
              <w:rPr>
                <w:rFonts w:hint="eastAsia" w:ascii="宋体" w:hAnsi="宋体"/>
                <w:b/>
                <w:color w:val="0000FF"/>
                <w:sz w:val="24"/>
              </w:rPr>
              <w:t>技术要求</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821" w:type="dxa"/>
            <w:vAlign w:val="center"/>
          </w:tcPr>
          <w:p>
            <w:pPr>
              <w:jc w:val="center"/>
              <w:rPr>
                <w:rFonts w:ascii="宋体" w:hAnsi="宋体"/>
                <w:color w:val="0000FF"/>
                <w:sz w:val="24"/>
              </w:rPr>
            </w:pPr>
            <w:r>
              <w:rPr>
                <w:rFonts w:hint="eastAsia" w:ascii="宋体" w:hAnsi="宋体"/>
                <w:color w:val="0000FF"/>
                <w:sz w:val="24"/>
              </w:rPr>
              <w:t>1</w:t>
            </w:r>
          </w:p>
        </w:tc>
        <w:tc>
          <w:tcPr>
            <w:tcW w:w="1697" w:type="dxa"/>
            <w:vAlign w:val="center"/>
          </w:tcPr>
          <w:p>
            <w:pPr>
              <w:jc w:val="center"/>
              <w:rPr>
                <w:rFonts w:ascii="宋体" w:hAnsi="宋体"/>
                <w:color w:val="0000FF"/>
                <w:sz w:val="24"/>
              </w:rPr>
            </w:pPr>
            <w:r>
              <w:rPr>
                <w:rFonts w:hint="eastAsia" w:ascii="宋体" w:hAnsi="宋体"/>
                <w:color w:val="0000FF"/>
                <w:sz w:val="24"/>
              </w:rPr>
              <w:t>制砂楼上料及输送系统</w:t>
            </w:r>
          </w:p>
        </w:tc>
        <w:tc>
          <w:tcPr>
            <w:tcW w:w="2835" w:type="dxa"/>
            <w:vAlign w:val="center"/>
          </w:tcPr>
          <w:p>
            <w:pPr>
              <w:jc w:val="center"/>
              <w:rPr>
                <w:rFonts w:ascii="宋体" w:hAnsi="宋体"/>
                <w:color w:val="0000FF"/>
                <w:sz w:val="24"/>
              </w:rPr>
            </w:pPr>
            <w:r>
              <w:rPr>
                <w:rFonts w:hint="eastAsia" w:ascii="宋体" w:hAnsi="宋体"/>
                <w:color w:val="0000FF"/>
                <w:sz w:val="24"/>
              </w:rPr>
              <w:t>皮带输送机、提升机</w:t>
            </w:r>
          </w:p>
        </w:tc>
        <w:tc>
          <w:tcPr>
            <w:tcW w:w="8975" w:type="dxa"/>
            <w:vAlign w:val="center"/>
          </w:tcPr>
          <w:p>
            <w:pPr>
              <w:pStyle w:val="9"/>
              <w:numPr>
                <w:ilvl w:val="0"/>
                <w:numId w:val="1"/>
              </w:numPr>
              <w:rPr>
                <w:color w:val="0000FF"/>
              </w:rPr>
            </w:pPr>
            <w:r>
              <w:rPr>
                <w:rFonts w:hint="eastAsia"/>
                <w:color w:val="0000FF"/>
              </w:rPr>
              <w:t>能满足定量给料要求，上料皮带长按实际施工图定,输送能力应与制砂系统处理能力及给料要求配套，要求变频调速。</w:t>
            </w:r>
          </w:p>
          <w:p>
            <w:pPr>
              <w:pStyle w:val="9"/>
              <w:numPr>
                <w:ilvl w:val="0"/>
                <w:numId w:val="1"/>
              </w:numPr>
              <w:rPr>
                <w:color w:val="0000FF"/>
              </w:rPr>
            </w:pPr>
            <w:r>
              <w:rPr>
                <w:rFonts w:hint="eastAsia"/>
                <w:color w:val="0000FF"/>
              </w:rPr>
              <w:t>皮带机配置单边拉绳开关、防跑偏开关、逆止器，采用</w:t>
            </w:r>
            <w:r>
              <w:rPr>
                <w:color w:val="0000FF"/>
              </w:rPr>
              <w:t>硫化橡</w:t>
            </w:r>
            <w:r>
              <w:rPr>
                <w:rFonts w:hint="eastAsia"/>
                <w:color w:val="0000FF"/>
              </w:rPr>
              <w:t>胶</w:t>
            </w:r>
            <w:r>
              <w:rPr>
                <w:color w:val="0000FF"/>
              </w:rPr>
              <w:t>覆面</w:t>
            </w:r>
            <w:r>
              <w:rPr>
                <w:rFonts w:hint="eastAsia"/>
                <w:color w:val="0000FF"/>
              </w:rPr>
              <w:t>滚筒，滚筒采用外置式节能高效电机，防护等级IP54以上。与制砂系统处理能力及给料要求配套。</w:t>
            </w:r>
          </w:p>
          <w:p>
            <w:pPr>
              <w:pStyle w:val="9"/>
              <w:numPr>
                <w:ilvl w:val="0"/>
                <w:numId w:val="1"/>
              </w:numPr>
              <w:rPr>
                <w:color w:val="0000FF"/>
              </w:rPr>
            </w:pPr>
            <w:r>
              <w:rPr>
                <w:rFonts w:hint="eastAsia"/>
                <w:color w:val="0000FF"/>
              </w:rPr>
              <w:t>斗式提升机采用国内一线斗提机厂家的产品(在杭州建德、江苏广能、杭州博宇中选择)。</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54" w:hRule="atLeast"/>
        </w:trPr>
        <w:tc>
          <w:tcPr>
            <w:tcW w:w="821" w:type="dxa"/>
            <w:vAlign w:val="center"/>
          </w:tcPr>
          <w:p>
            <w:pPr>
              <w:jc w:val="center"/>
              <w:rPr>
                <w:rFonts w:ascii="宋体" w:hAnsi="宋体"/>
                <w:color w:val="0000FF"/>
                <w:sz w:val="24"/>
              </w:rPr>
            </w:pPr>
            <w:r>
              <w:rPr>
                <w:rFonts w:hint="eastAsia" w:ascii="宋体" w:hAnsi="宋体"/>
                <w:color w:val="0000FF"/>
                <w:sz w:val="24"/>
              </w:rPr>
              <w:t>2</w:t>
            </w:r>
          </w:p>
        </w:tc>
        <w:tc>
          <w:tcPr>
            <w:tcW w:w="1697" w:type="dxa"/>
            <w:vAlign w:val="center"/>
          </w:tcPr>
          <w:p>
            <w:pPr>
              <w:jc w:val="center"/>
              <w:rPr>
                <w:rFonts w:ascii="宋体" w:hAnsi="宋体"/>
                <w:color w:val="0000FF"/>
                <w:sz w:val="24"/>
              </w:rPr>
            </w:pPr>
            <w:r>
              <w:rPr>
                <w:rFonts w:hint="eastAsia" w:ascii="宋体" w:hAnsi="宋体"/>
                <w:color w:val="0000FF"/>
                <w:sz w:val="24"/>
              </w:rPr>
              <w:t>制砂机</w:t>
            </w:r>
          </w:p>
        </w:tc>
        <w:tc>
          <w:tcPr>
            <w:tcW w:w="2835" w:type="dxa"/>
            <w:vAlign w:val="center"/>
          </w:tcPr>
          <w:p>
            <w:pPr>
              <w:jc w:val="center"/>
              <w:rPr>
                <w:rFonts w:ascii="宋体" w:hAnsi="宋体"/>
                <w:color w:val="0000FF"/>
                <w:sz w:val="24"/>
              </w:rPr>
            </w:pPr>
          </w:p>
        </w:tc>
        <w:tc>
          <w:tcPr>
            <w:tcW w:w="8975" w:type="dxa"/>
            <w:vAlign w:val="center"/>
          </w:tcPr>
          <w:p>
            <w:pPr>
              <w:jc w:val="left"/>
              <w:rPr>
                <w:rFonts w:ascii="宋体" w:hAnsi="宋体"/>
                <w:color w:val="0000FF"/>
                <w:sz w:val="24"/>
              </w:rPr>
            </w:pPr>
            <w:r>
              <w:rPr>
                <w:rFonts w:hint="eastAsia" w:ascii="宋体" w:hAnsi="宋体"/>
                <w:color w:val="0000FF"/>
                <w:sz w:val="24"/>
              </w:rPr>
              <w:t>采用立轴冲击式破碎机。制砂机采用稀油润滑。</w:t>
            </w:r>
            <w:r>
              <w:rPr>
                <w:rFonts w:ascii="Helvetica" w:hAnsi="Helvetica" w:cs="Helvetica"/>
                <w:color w:val="0000FF"/>
                <w:szCs w:val="21"/>
                <w:shd w:val="clear" w:color="auto" w:fill="FFFFFF"/>
              </w:rPr>
              <w:t>优选制砂机下置式</w:t>
            </w:r>
            <w:r>
              <w:rPr>
                <w:rFonts w:hint="eastAsia" w:ascii="Helvetica" w:hAnsi="Helvetica" w:cs="Helvetica"/>
                <w:color w:val="0000FF"/>
                <w:szCs w:val="21"/>
                <w:shd w:val="clear" w:color="auto" w:fill="FFFFFF"/>
              </w:rPr>
              <w:t>。</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163" w:hRule="atLeast"/>
        </w:trPr>
        <w:tc>
          <w:tcPr>
            <w:tcW w:w="821" w:type="dxa"/>
            <w:vAlign w:val="center"/>
          </w:tcPr>
          <w:p>
            <w:pPr>
              <w:jc w:val="center"/>
              <w:rPr>
                <w:rFonts w:ascii="宋体" w:hAnsi="宋体"/>
                <w:color w:val="0000FF"/>
                <w:sz w:val="24"/>
              </w:rPr>
            </w:pPr>
            <w:r>
              <w:rPr>
                <w:rFonts w:hint="eastAsia" w:ascii="宋体" w:hAnsi="宋体"/>
                <w:color w:val="0000FF"/>
                <w:sz w:val="24"/>
              </w:rPr>
              <w:t>3</w:t>
            </w:r>
          </w:p>
        </w:tc>
        <w:tc>
          <w:tcPr>
            <w:tcW w:w="1697" w:type="dxa"/>
            <w:vAlign w:val="center"/>
          </w:tcPr>
          <w:p>
            <w:pPr>
              <w:jc w:val="center"/>
              <w:rPr>
                <w:rFonts w:ascii="宋体" w:hAnsi="宋体"/>
                <w:color w:val="0000FF"/>
                <w:sz w:val="24"/>
              </w:rPr>
            </w:pPr>
            <w:r>
              <w:rPr>
                <w:rFonts w:hint="eastAsia" w:ascii="宋体" w:hAnsi="宋体"/>
                <w:color w:val="0000FF"/>
                <w:sz w:val="24"/>
              </w:rPr>
              <w:t>筛分系统</w:t>
            </w:r>
          </w:p>
        </w:tc>
        <w:tc>
          <w:tcPr>
            <w:tcW w:w="2835" w:type="dxa"/>
            <w:vAlign w:val="center"/>
          </w:tcPr>
          <w:p>
            <w:pPr>
              <w:jc w:val="center"/>
              <w:rPr>
                <w:rFonts w:ascii="宋体" w:hAnsi="宋体"/>
                <w:color w:val="0000FF"/>
                <w:sz w:val="24"/>
              </w:rPr>
            </w:pPr>
          </w:p>
        </w:tc>
        <w:tc>
          <w:tcPr>
            <w:tcW w:w="8975" w:type="dxa"/>
            <w:vAlign w:val="center"/>
          </w:tcPr>
          <w:p>
            <w:pPr>
              <w:jc w:val="left"/>
              <w:rPr>
                <w:rFonts w:ascii="宋体" w:hAnsi="宋体"/>
                <w:color w:val="0000FF"/>
                <w:sz w:val="24"/>
              </w:rPr>
            </w:pPr>
            <w:r>
              <w:rPr>
                <w:rFonts w:hint="eastAsia" w:ascii="宋体" w:hAnsi="宋体"/>
                <w:color w:val="0000FF"/>
                <w:sz w:val="24"/>
              </w:rPr>
              <w:t>采用4层概率筛，能对机制砂产品的级配进行精确控制。</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821" w:type="dxa"/>
            <w:vAlign w:val="center"/>
          </w:tcPr>
          <w:p>
            <w:pPr>
              <w:jc w:val="center"/>
              <w:rPr>
                <w:rFonts w:ascii="宋体" w:hAnsi="宋体"/>
                <w:color w:val="0000FF"/>
                <w:sz w:val="24"/>
              </w:rPr>
            </w:pPr>
            <w:r>
              <w:rPr>
                <w:rFonts w:hint="eastAsia" w:ascii="宋体" w:hAnsi="宋体"/>
                <w:color w:val="0000FF"/>
                <w:sz w:val="24"/>
              </w:rPr>
              <w:t>4</w:t>
            </w:r>
          </w:p>
        </w:tc>
        <w:tc>
          <w:tcPr>
            <w:tcW w:w="1697" w:type="dxa"/>
            <w:vAlign w:val="center"/>
          </w:tcPr>
          <w:p>
            <w:pPr>
              <w:jc w:val="center"/>
              <w:rPr>
                <w:rFonts w:ascii="宋体" w:hAnsi="宋体"/>
                <w:color w:val="0000FF"/>
                <w:sz w:val="24"/>
              </w:rPr>
            </w:pPr>
            <w:r>
              <w:rPr>
                <w:rFonts w:hint="eastAsia" w:ascii="宋体" w:hAnsi="宋体"/>
                <w:color w:val="0000FF"/>
                <w:sz w:val="24"/>
              </w:rPr>
              <w:t>除粉系统</w:t>
            </w:r>
          </w:p>
        </w:tc>
        <w:tc>
          <w:tcPr>
            <w:tcW w:w="2835" w:type="dxa"/>
            <w:vAlign w:val="center"/>
          </w:tcPr>
          <w:p>
            <w:pPr>
              <w:jc w:val="center"/>
              <w:rPr>
                <w:rFonts w:ascii="宋体" w:hAnsi="宋体"/>
                <w:color w:val="0000FF"/>
                <w:sz w:val="24"/>
              </w:rPr>
            </w:pPr>
          </w:p>
        </w:tc>
        <w:tc>
          <w:tcPr>
            <w:tcW w:w="8975" w:type="dxa"/>
            <w:vAlign w:val="center"/>
          </w:tcPr>
          <w:p>
            <w:pPr>
              <w:jc w:val="left"/>
              <w:rPr>
                <w:rFonts w:ascii="宋体" w:hAnsi="宋体"/>
                <w:color w:val="0000FF"/>
                <w:sz w:val="24"/>
              </w:rPr>
            </w:pPr>
            <w:r>
              <w:rPr>
                <w:rFonts w:hint="eastAsia" w:ascii="宋体" w:hAnsi="宋体"/>
                <w:color w:val="0000FF"/>
                <w:sz w:val="24"/>
              </w:rPr>
              <w:t>能精确控制砂子中石粉含量在5%~15%，石粉罐有效容积不小于120立方，配置粉料散装系统及粉料料位计等。</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821" w:type="dxa"/>
            <w:vAlign w:val="center"/>
          </w:tcPr>
          <w:p>
            <w:pPr>
              <w:jc w:val="center"/>
              <w:rPr>
                <w:rFonts w:ascii="宋体" w:hAnsi="宋体"/>
                <w:color w:val="0000FF"/>
                <w:sz w:val="24"/>
              </w:rPr>
            </w:pPr>
            <w:r>
              <w:rPr>
                <w:rFonts w:hint="eastAsia" w:ascii="宋体" w:hAnsi="宋体"/>
                <w:color w:val="0000FF"/>
                <w:sz w:val="24"/>
              </w:rPr>
              <w:t>6</w:t>
            </w:r>
          </w:p>
        </w:tc>
        <w:tc>
          <w:tcPr>
            <w:tcW w:w="1697" w:type="dxa"/>
            <w:vAlign w:val="center"/>
          </w:tcPr>
          <w:p>
            <w:pPr>
              <w:jc w:val="center"/>
              <w:rPr>
                <w:rFonts w:ascii="宋体" w:hAnsi="宋体"/>
                <w:color w:val="0000FF"/>
                <w:sz w:val="24"/>
              </w:rPr>
            </w:pPr>
            <w:r>
              <w:rPr>
                <w:rFonts w:hint="eastAsia" w:ascii="宋体" w:hAnsi="宋体"/>
                <w:color w:val="0000FF"/>
                <w:sz w:val="24"/>
              </w:rPr>
              <w:t>低压配电及控制系统</w:t>
            </w:r>
          </w:p>
        </w:tc>
        <w:tc>
          <w:tcPr>
            <w:tcW w:w="2835" w:type="dxa"/>
            <w:vAlign w:val="center"/>
          </w:tcPr>
          <w:p>
            <w:pPr>
              <w:jc w:val="center"/>
              <w:rPr>
                <w:rFonts w:ascii="宋体" w:hAnsi="宋体"/>
                <w:color w:val="0000FF"/>
                <w:sz w:val="24"/>
              </w:rPr>
            </w:pPr>
          </w:p>
        </w:tc>
        <w:tc>
          <w:tcPr>
            <w:tcW w:w="8975" w:type="dxa"/>
            <w:vAlign w:val="center"/>
          </w:tcPr>
          <w:p>
            <w:pPr>
              <w:jc w:val="left"/>
              <w:rPr>
                <w:rFonts w:ascii="宋体" w:hAnsi="宋体"/>
                <w:color w:val="0000FF"/>
                <w:sz w:val="24"/>
              </w:rPr>
            </w:pPr>
            <w:r>
              <w:rPr>
                <w:rFonts w:hint="eastAsia" w:ascii="宋体" w:hAnsi="宋体"/>
                <w:color w:val="0000FF"/>
                <w:sz w:val="24"/>
              </w:rPr>
              <w:t>采用PLC集中控制，能对机制砂生产系统运行情况进行监控及操作。</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4" w:hRule="atLeast"/>
        </w:trPr>
        <w:tc>
          <w:tcPr>
            <w:tcW w:w="821" w:type="dxa"/>
            <w:vAlign w:val="center"/>
          </w:tcPr>
          <w:p>
            <w:pPr>
              <w:jc w:val="center"/>
              <w:rPr>
                <w:rFonts w:ascii="宋体" w:hAnsi="宋体"/>
                <w:color w:val="0000FF"/>
                <w:sz w:val="24"/>
              </w:rPr>
            </w:pPr>
            <w:r>
              <w:rPr>
                <w:rFonts w:hint="eastAsia" w:ascii="宋体" w:hAnsi="宋体"/>
                <w:color w:val="0000FF"/>
                <w:sz w:val="24"/>
              </w:rPr>
              <w:t>7</w:t>
            </w:r>
          </w:p>
        </w:tc>
        <w:tc>
          <w:tcPr>
            <w:tcW w:w="1697" w:type="dxa"/>
            <w:vAlign w:val="center"/>
          </w:tcPr>
          <w:p>
            <w:pPr>
              <w:jc w:val="center"/>
              <w:rPr>
                <w:rFonts w:ascii="宋体" w:hAnsi="宋体"/>
                <w:color w:val="0000FF"/>
                <w:sz w:val="24"/>
              </w:rPr>
            </w:pPr>
            <w:r>
              <w:rPr>
                <w:rFonts w:hint="eastAsia" w:ascii="宋体" w:hAnsi="宋体"/>
                <w:color w:val="0000FF"/>
                <w:sz w:val="24"/>
              </w:rPr>
              <w:t>除尘控制</w:t>
            </w:r>
          </w:p>
        </w:tc>
        <w:tc>
          <w:tcPr>
            <w:tcW w:w="2835" w:type="dxa"/>
            <w:vAlign w:val="center"/>
          </w:tcPr>
          <w:p>
            <w:pPr>
              <w:rPr>
                <w:rFonts w:ascii="宋体" w:hAnsi="宋体"/>
                <w:color w:val="0000FF"/>
                <w:sz w:val="24"/>
              </w:rPr>
            </w:pPr>
            <w:r>
              <w:rPr>
                <w:rFonts w:hint="eastAsia" w:ascii="宋体" w:hAnsi="宋体"/>
                <w:color w:val="0000FF"/>
                <w:sz w:val="24"/>
              </w:rPr>
              <w:t>袋式收尘</w:t>
            </w:r>
          </w:p>
        </w:tc>
        <w:tc>
          <w:tcPr>
            <w:tcW w:w="8975" w:type="dxa"/>
            <w:vAlign w:val="center"/>
          </w:tcPr>
          <w:p>
            <w:pPr>
              <w:rPr>
                <w:rFonts w:ascii="宋体" w:hAnsi="宋体"/>
                <w:color w:val="0000FF"/>
                <w:sz w:val="24"/>
              </w:rPr>
            </w:pPr>
            <w:r>
              <w:rPr>
                <w:rFonts w:hint="eastAsia" w:ascii="宋体" w:hAnsi="宋体"/>
                <w:color w:val="0000FF"/>
                <w:sz w:val="24"/>
              </w:rPr>
              <w:t>采用无动力风选。收尘器采用2019年起生产的江苏宝华、</w:t>
            </w:r>
            <w:r>
              <w:rPr>
                <w:rFonts w:hint="eastAsia" w:hAnsi="宋体"/>
                <w:color w:val="0000FF"/>
                <w:sz w:val="24"/>
              </w:rPr>
              <w:t>金华华东、盐城市兰丰等品牌产品，</w:t>
            </w:r>
            <w:r>
              <w:rPr>
                <w:rFonts w:hint="eastAsia" w:ascii="宋体" w:hAnsi="宋体"/>
                <w:color w:val="0000FF"/>
                <w:sz w:val="24"/>
              </w:rPr>
              <w:t>保证振打不少于100万次一线品牌厂家产品，制砂系统内所有扬尘部分均设置收尘管道，固体颗粒物有组织排放低于20mg/m</w:t>
            </w:r>
            <w:r>
              <w:rPr>
                <w:rFonts w:hint="eastAsia" w:ascii="宋体" w:hAnsi="宋体"/>
                <w:color w:val="0000FF"/>
                <w:sz w:val="24"/>
                <w:vertAlign w:val="superscript"/>
              </w:rPr>
              <w:t>3</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74" w:hRule="atLeast"/>
        </w:trPr>
        <w:tc>
          <w:tcPr>
            <w:tcW w:w="821" w:type="dxa"/>
            <w:vAlign w:val="center"/>
          </w:tcPr>
          <w:p>
            <w:pPr>
              <w:jc w:val="center"/>
              <w:rPr>
                <w:rFonts w:ascii="宋体" w:hAnsi="宋体"/>
                <w:color w:val="0000FF"/>
                <w:sz w:val="24"/>
              </w:rPr>
            </w:pPr>
            <w:r>
              <w:rPr>
                <w:rFonts w:hint="eastAsia" w:ascii="宋体" w:hAnsi="宋体"/>
                <w:color w:val="0000FF"/>
                <w:sz w:val="24"/>
              </w:rPr>
              <w:t>8</w:t>
            </w:r>
          </w:p>
        </w:tc>
        <w:tc>
          <w:tcPr>
            <w:tcW w:w="1697" w:type="dxa"/>
            <w:vAlign w:val="center"/>
          </w:tcPr>
          <w:p>
            <w:pPr>
              <w:jc w:val="center"/>
              <w:rPr>
                <w:rFonts w:ascii="宋体" w:hAnsi="宋体"/>
                <w:color w:val="0000FF"/>
                <w:sz w:val="24"/>
              </w:rPr>
            </w:pPr>
            <w:r>
              <w:rPr>
                <w:rFonts w:hint="eastAsia" w:ascii="宋体" w:hAnsi="宋体"/>
                <w:color w:val="0000FF"/>
                <w:sz w:val="24"/>
              </w:rPr>
              <w:t>安全防护</w:t>
            </w:r>
          </w:p>
        </w:tc>
        <w:tc>
          <w:tcPr>
            <w:tcW w:w="2835" w:type="dxa"/>
            <w:vAlign w:val="center"/>
          </w:tcPr>
          <w:p>
            <w:pPr>
              <w:jc w:val="center"/>
              <w:rPr>
                <w:rFonts w:ascii="宋体" w:hAnsi="宋体"/>
                <w:color w:val="0000FF"/>
                <w:sz w:val="24"/>
              </w:rPr>
            </w:pPr>
            <w:r>
              <w:rPr>
                <w:rFonts w:hint="eastAsia" w:ascii="宋体" w:hAnsi="宋体"/>
                <w:color w:val="0000FF"/>
                <w:sz w:val="24"/>
              </w:rPr>
              <w:t>用电、机械伤害、高空防护等</w:t>
            </w:r>
          </w:p>
        </w:tc>
        <w:tc>
          <w:tcPr>
            <w:tcW w:w="8975" w:type="dxa"/>
            <w:vAlign w:val="center"/>
          </w:tcPr>
          <w:p>
            <w:pPr>
              <w:jc w:val="left"/>
              <w:rPr>
                <w:rFonts w:ascii="宋体" w:hAnsi="宋体"/>
                <w:color w:val="0000FF"/>
                <w:sz w:val="24"/>
              </w:rPr>
            </w:pPr>
            <w:r>
              <w:rPr>
                <w:rFonts w:hint="eastAsia" w:ascii="宋体" w:hAnsi="宋体"/>
                <w:color w:val="0000FF"/>
                <w:sz w:val="24"/>
              </w:rPr>
              <w:t>所有带电导体包括组成电器设备部份的导体都应该进行绝缘处理或用栅栏围或把它安装在可以防止危险发生的地方。所有旋转轴、联轴节、齿轮、飞轮、皮带轮和其它旋转部件应完全防护。所有高空人行通道、检修平台均须设置护栏、安全爬梯，符合安全规范要求。</w:t>
            </w:r>
          </w:p>
        </w:tc>
      </w:tr>
    </w:tbl>
    <w:p>
      <w:pPr>
        <w:spacing w:line="500" w:lineRule="exact"/>
        <w:ind w:firstLine="480" w:firstLineChars="200"/>
        <w:rPr>
          <w:rFonts w:ascii="宋体" w:hAnsi="宋体"/>
          <w:color w:val="0000FF"/>
          <w:sz w:val="24"/>
        </w:rPr>
      </w:pPr>
      <w:r>
        <w:rPr>
          <w:rFonts w:hint="eastAsia" w:ascii="宋体" w:hAnsi="宋体"/>
          <w:color w:val="0000FF"/>
          <w:sz w:val="24"/>
        </w:rPr>
        <w:t>3.5 建设用材标准</w:t>
      </w:r>
    </w:p>
    <w:tbl>
      <w:tblPr>
        <w:tblStyle w:val="10"/>
        <w:tblW w:w="14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2675"/>
        <w:gridCol w:w="10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序号</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名称</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1</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 xml:space="preserve">热轧板材 </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《热轧钢板和钢带尺寸、外形、重量及允许偏差》（GB/T709-2006）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2</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花纹钢板</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《花纹钢板》（GB/T3277-1991）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3</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热轧H型钢</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《H型钢截面尺寸、截面面积、理论重量及截面特性》、《H型钢尺寸、外形允许偏差》(摘自《热轧H型钢和部分T型钢》GB/T11263-2005)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4</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热轧等边角钢</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《热轧等边角钢截面尺寸、截面面积、理论重量及截面特性》、《角钢尺寸、外形允许偏差》（摘自《热轧型钢》GB/T706-2008）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5</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热轧槽钢</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《热轧槽钢截面尺寸、截面面积、理论重量及截面特性》、《工字钢、槽钢尺寸、外形允许偏差》（摘自《热轧型钢》GB/T706-2008）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6</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热轧工字钢</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《热轧工字钢截面尺寸、截面面积、理论重量及截面特性》、《工字钢、槽钢尺寸、外形允许偏差》（摘自《热轧型钢》GB/T706-2008）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3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olor w:val="0000FF"/>
                <w:sz w:val="24"/>
              </w:rPr>
            </w:pPr>
            <w:r>
              <w:rPr>
                <w:rFonts w:hint="eastAsia" w:ascii="宋体" w:hAnsi="宋体"/>
                <w:color w:val="0000FF"/>
                <w:sz w:val="24"/>
              </w:rPr>
              <w:t>7</w:t>
            </w:r>
          </w:p>
        </w:tc>
        <w:tc>
          <w:tcPr>
            <w:tcW w:w="2675"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普通焊接钢管</w:t>
            </w:r>
          </w:p>
        </w:tc>
        <w:tc>
          <w:tcPr>
            <w:tcW w:w="10042" w:type="dxa"/>
            <w:tcBorders>
              <w:top w:val="single" w:color="auto" w:sz="4" w:space="0"/>
              <w:left w:val="single" w:color="auto" w:sz="4" w:space="0"/>
              <w:bottom w:val="single" w:color="auto" w:sz="4" w:space="0"/>
              <w:right w:val="single" w:color="auto" w:sz="4" w:space="0"/>
            </w:tcBorders>
            <w:vAlign w:val="center"/>
          </w:tcPr>
          <w:p>
            <w:pPr>
              <w:spacing w:line="300" w:lineRule="exact"/>
              <w:rPr>
                <w:rFonts w:ascii="宋体" w:hAnsi="宋体"/>
                <w:color w:val="0000FF"/>
                <w:sz w:val="24"/>
              </w:rPr>
            </w:pPr>
            <w:r>
              <w:rPr>
                <w:rFonts w:hint="eastAsia" w:ascii="宋体" w:hAnsi="宋体"/>
                <w:color w:val="0000FF"/>
                <w:sz w:val="24"/>
              </w:rPr>
              <w:t>《普通焊接钢管尺寸及单位长度重量》（摘自《焊接钢管尺寸及单位长度重量》GB/T21835-2008）</w:t>
            </w:r>
          </w:p>
        </w:tc>
      </w:tr>
    </w:tbl>
    <w:p>
      <w:pPr>
        <w:spacing w:line="500" w:lineRule="exact"/>
        <w:ind w:firstLine="480" w:firstLineChars="200"/>
        <w:rPr>
          <w:rFonts w:ascii="宋体" w:hAnsi="宋体"/>
          <w:color w:val="0000FF"/>
          <w:sz w:val="24"/>
        </w:rPr>
      </w:pPr>
      <w:r>
        <w:rPr>
          <w:rFonts w:hint="eastAsia" w:ascii="宋体" w:hAnsi="宋体"/>
          <w:color w:val="0000FF"/>
          <w:sz w:val="24"/>
        </w:rPr>
        <w:t>3.6钢结构件要求</w:t>
      </w:r>
    </w:p>
    <w:p>
      <w:pPr>
        <w:spacing w:line="500" w:lineRule="exact"/>
        <w:ind w:firstLine="480" w:firstLineChars="200"/>
        <w:rPr>
          <w:rFonts w:ascii="宋体" w:hAnsi="宋体"/>
          <w:color w:val="0000FF"/>
          <w:sz w:val="24"/>
        </w:rPr>
      </w:pPr>
      <w:r>
        <w:rPr>
          <w:rFonts w:hint="eastAsia" w:ascii="宋体" w:hAnsi="宋体"/>
          <w:color w:val="0000FF"/>
          <w:sz w:val="24"/>
        </w:rPr>
        <w:t>3.6.1钢结构件的设计应符合《钢结构设计规范》（GB 50017-2003）有关规定;钢结构的制作、安装、验收应符合《钢结构工程施工质量验收规范》（GB 50205-2001）的有关规定;</w:t>
      </w:r>
    </w:p>
    <w:p>
      <w:pPr>
        <w:spacing w:line="500" w:lineRule="exact"/>
        <w:ind w:firstLine="480" w:firstLineChars="200"/>
        <w:rPr>
          <w:rFonts w:ascii="宋体" w:hAnsi="宋体"/>
          <w:color w:val="0000FF"/>
          <w:sz w:val="24"/>
        </w:rPr>
      </w:pPr>
      <w:r>
        <w:rPr>
          <w:rFonts w:hint="eastAsia" w:ascii="宋体" w:hAnsi="宋体"/>
          <w:color w:val="0000FF"/>
          <w:sz w:val="24"/>
        </w:rPr>
        <w:t>3.6.2可拆装式的钢结构件，对同规格、同类的结构件应有互换性。</w:t>
      </w:r>
    </w:p>
    <w:p>
      <w:pPr>
        <w:spacing w:line="500" w:lineRule="exact"/>
        <w:ind w:firstLine="480" w:firstLineChars="200"/>
        <w:outlineLvl w:val="1"/>
        <w:rPr>
          <w:rFonts w:ascii="宋体" w:hAnsi="宋体"/>
          <w:b/>
          <w:bCs/>
          <w:color w:val="0000FF"/>
          <w:sz w:val="24"/>
        </w:rPr>
      </w:pPr>
      <w:r>
        <w:rPr>
          <w:rFonts w:hint="eastAsia" w:ascii="宋体" w:hAnsi="宋体"/>
          <w:b/>
          <w:bCs/>
          <w:color w:val="0000FF"/>
          <w:sz w:val="24"/>
        </w:rPr>
        <w:t>四、项目建设范围与内容</w:t>
      </w:r>
    </w:p>
    <w:p>
      <w:pPr>
        <w:spacing w:line="500" w:lineRule="exact"/>
        <w:ind w:firstLine="480" w:firstLineChars="200"/>
        <w:outlineLvl w:val="2"/>
        <w:rPr>
          <w:rFonts w:ascii="宋体" w:hAnsi="宋体"/>
          <w:color w:val="0000FF"/>
          <w:sz w:val="24"/>
        </w:rPr>
      </w:pPr>
      <w:r>
        <w:rPr>
          <w:rFonts w:hint="eastAsia" w:ascii="宋体" w:hAnsi="宋体"/>
          <w:color w:val="0000FF"/>
          <w:sz w:val="24"/>
        </w:rPr>
        <w:t>4.1设计内容</w:t>
      </w:r>
    </w:p>
    <w:p>
      <w:pPr>
        <w:spacing w:line="500" w:lineRule="exact"/>
        <w:ind w:firstLine="480" w:firstLineChars="200"/>
        <w:rPr>
          <w:rFonts w:ascii="宋体" w:hAnsi="宋体"/>
          <w:color w:val="0000FF"/>
          <w:sz w:val="24"/>
        </w:rPr>
      </w:pPr>
      <w:r>
        <w:rPr>
          <w:rFonts w:hint="eastAsia" w:ascii="宋体" w:hAnsi="宋体"/>
          <w:color w:val="0000FF"/>
          <w:sz w:val="24"/>
        </w:rPr>
        <w:t>机制砂生产系统建设由中标单位按建设方的要求设计。</w:t>
      </w:r>
    </w:p>
    <w:p>
      <w:pPr>
        <w:spacing w:line="500" w:lineRule="exact"/>
        <w:ind w:firstLine="480" w:firstLineChars="200"/>
        <w:outlineLvl w:val="2"/>
        <w:rPr>
          <w:rFonts w:ascii="宋体" w:hAnsi="宋体"/>
          <w:color w:val="0000FF"/>
          <w:sz w:val="24"/>
        </w:rPr>
      </w:pPr>
      <w:r>
        <w:rPr>
          <w:rFonts w:hint="eastAsia" w:ascii="宋体" w:hAnsi="宋体"/>
          <w:color w:val="0000FF"/>
          <w:sz w:val="24"/>
        </w:rPr>
        <w:t>4.2土建工程</w:t>
      </w:r>
    </w:p>
    <w:p>
      <w:pPr>
        <w:spacing w:line="500" w:lineRule="exact"/>
        <w:ind w:firstLine="480" w:firstLineChars="200"/>
        <w:rPr>
          <w:rFonts w:ascii="宋体" w:hAnsi="宋体"/>
          <w:color w:val="0000FF"/>
          <w:sz w:val="24"/>
        </w:rPr>
      </w:pPr>
      <w:r>
        <w:rPr>
          <w:rFonts w:hint="eastAsia" w:ascii="宋体" w:hAnsi="宋体"/>
          <w:color w:val="0000FF"/>
          <w:sz w:val="24"/>
        </w:rPr>
        <w:t>设备基础土建部分由招标单位负责实施,设备基础的设计技术参数由设备中标单位提供,包括设备基础预埋件和防雷接地件.</w:t>
      </w:r>
    </w:p>
    <w:p>
      <w:pPr>
        <w:spacing w:line="500" w:lineRule="exact"/>
        <w:ind w:firstLine="480" w:firstLineChars="200"/>
        <w:outlineLvl w:val="2"/>
        <w:rPr>
          <w:rFonts w:ascii="宋体" w:hAnsi="宋体"/>
          <w:color w:val="0000FF"/>
          <w:sz w:val="24"/>
        </w:rPr>
      </w:pPr>
      <w:r>
        <w:rPr>
          <w:rFonts w:hint="eastAsia" w:ascii="宋体" w:hAnsi="宋体"/>
          <w:color w:val="0000FF"/>
          <w:sz w:val="24"/>
        </w:rPr>
        <w:t>4.3安装</w:t>
      </w:r>
    </w:p>
    <w:p>
      <w:pPr>
        <w:spacing w:line="500" w:lineRule="exact"/>
        <w:ind w:firstLine="480" w:firstLineChars="200"/>
        <w:rPr>
          <w:rFonts w:ascii="宋体" w:hAnsi="宋体"/>
          <w:color w:val="0000FF"/>
          <w:sz w:val="24"/>
        </w:rPr>
      </w:pPr>
      <w:r>
        <w:rPr>
          <w:rFonts w:hint="eastAsia" w:ascii="宋体" w:hAnsi="宋体"/>
          <w:color w:val="0000FF"/>
          <w:sz w:val="24"/>
        </w:rPr>
        <w:t>4.3.1机制砂生产系统涉及的全部水、电、气、机械设备安装。</w:t>
      </w:r>
    </w:p>
    <w:p>
      <w:pPr>
        <w:spacing w:line="500" w:lineRule="exact"/>
        <w:ind w:firstLine="480" w:firstLineChars="200"/>
        <w:rPr>
          <w:rFonts w:ascii="宋体" w:hAnsi="宋体"/>
          <w:color w:val="0000FF"/>
          <w:sz w:val="24"/>
        </w:rPr>
      </w:pPr>
      <w:r>
        <w:rPr>
          <w:rFonts w:hint="eastAsia" w:ascii="宋体" w:hAnsi="宋体"/>
          <w:color w:val="0000FF"/>
          <w:sz w:val="24"/>
        </w:rPr>
        <w:t>4.3.2设备调试、试运行、达标达产、配合竣工验收。</w:t>
      </w:r>
    </w:p>
    <w:p>
      <w:pPr>
        <w:spacing w:line="500" w:lineRule="exact"/>
        <w:ind w:firstLine="480" w:firstLineChars="200"/>
        <w:outlineLvl w:val="2"/>
        <w:rPr>
          <w:rFonts w:ascii="宋体" w:hAnsi="宋体"/>
          <w:color w:val="0000FF"/>
          <w:sz w:val="24"/>
        </w:rPr>
      </w:pPr>
      <w:r>
        <w:rPr>
          <w:rFonts w:hint="eastAsia" w:ascii="宋体" w:hAnsi="宋体"/>
          <w:color w:val="0000FF"/>
          <w:sz w:val="24"/>
        </w:rPr>
        <w:t>4.4业主负责的工程范围</w:t>
      </w:r>
    </w:p>
    <w:p>
      <w:pPr>
        <w:spacing w:line="500" w:lineRule="exact"/>
        <w:ind w:firstLine="480" w:firstLineChars="200"/>
        <w:rPr>
          <w:rFonts w:ascii="宋体" w:hAnsi="宋体"/>
          <w:color w:val="0000FF"/>
          <w:sz w:val="24"/>
        </w:rPr>
      </w:pPr>
      <w:r>
        <w:rPr>
          <w:rFonts w:hint="eastAsia" w:ascii="宋体" w:hAnsi="宋体"/>
          <w:color w:val="0000FF"/>
          <w:sz w:val="24"/>
        </w:rPr>
        <w:t>设备基础土建工程</w:t>
      </w:r>
    </w:p>
    <w:p>
      <w:pPr>
        <w:spacing w:line="440" w:lineRule="exact"/>
        <w:ind w:firstLine="468" w:firstLineChars="195"/>
        <w:outlineLvl w:val="1"/>
        <w:rPr>
          <w:rFonts w:ascii="宋体" w:hAnsi="宋体"/>
          <w:b/>
          <w:bCs/>
          <w:color w:val="0000FF"/>
          <w:sz w:val="24"/>
        </w:rPr>
      </w:pPr>
      <w:r>
        <w:rPr>
          <w:rFonts w:hint="eastAsia" w:ascii="宋体" w:hAnsi="宋体"/>
          <w:b/>
          <w:bCs/>
          <w:color w:val="0000FF"/>
          <w:sz w:val="24"/>
        </w:rPr>
        <w:t>五、项目设计的内容要求</w:t>
      </w:r>
    </w:p>
    <w:p>
      <w:pPr>
        <w:spacing w:line="500" w:lineRule="exact"/>
        <w:ind w:firstLine="480" w:firstLineChars="200"/>
        <w:outlineLvl w:val="2"/>
        <w:rPr>
          <w:rFonts w:ascii="宋体" w:hAnsi="宋体"/>
          <w:color w:val="0000FF"/>
          <w:sz w:val="24"/>
        </w:rPr>
      </w:pPr>
      <w:r>
        <w:rPr>
          <w:rFonts w:hint="eastAsia" w:ascii="宋体" w:hAnsi="宋体"/>
          <w:color w:val="0000FF"/>
          <w:sz w:val="24"/>
        </w:rPr>
        <w:t>5.1项目设计内容</w:t>
      </w:r>
    </w:p>
    <w:p>
      <w:pPr>
        <w:spacing w:line="500" w:lineRule="exact"/>
        <w:ind w:firstLine="480" w:firstLineChars="200"/>
        <w:rPr>
          <w:rFonts w:ascii="宋体" w:hAnsi="宋体"/>
          <w:color w:val="0000FF"/>
          <w:sz w:val="24"/>
        </w:rPr>
      </w:pPr>
      <w:r>
        <w:rPr>
          <w:rFonts w:hint="eastAsia" w:ascii="宋体" w:hAnsi="宋体"/>
          <w:color w:val="0000FF"/>
          <w:sz w:val="24"/>
        </w:rPr>
        <w:t>项目设计内容为上述由投标人负责建设内容的建筑、结构、工艺、设备、电气、自动化、照明施工设计及工程经济和工程概算的编制。</w:t>
      </w:r>
    </w:p>
    <w:p>
      <w:pPr>
        <w:spacing w:line="500" w:lineRule="exact"/>
        <w:ind w:firstLine="480" w:firstLineChars="200"/>
        <w:outlineLvl w:val="2"/>
        <w:rPr>
          <w:rFonts w:ascii="宋体" w:hAnsi="宋体"/>
          <w:color w:val="0000FF"/>
          <w:sz w:val="24"/>
        </w:rPr>
      </w:pPr>
      <w:r>
        <w:rPr>
          <w:rFonts w:hint="eastAsia" w:ascii="宋体" w:hAnsi="宋体"/>
          <w:color w:val="0000FF"/>
          <w:sz w:val="24"/>
        </w:rPr>
        <w:t>5.2 项目设计原则</w:t>
      </w:r>
    </w:p>
    <w:p>
      <w:pPr>
        <w:spacing w:line="500" w:lineRule="exact"/>
        <w:ind w:firstLine="480" w:firstLineChars="200"/>
        <w:rPr>
          <w:rFonts w:ascii="宋体" w:hAnsi="宋体"/>
          <w:color w:val="0000FF"/>
          <w:sz w:val="24"/>
        </w:rPr>
      </w:pPr>
      <w:r>
        <w:rPr>
          <w:rFonts w:hint="eastAsia" w:ascii="宋体" w:hAnsi="宋体"/>
          <w:color w:val="0000FF"/>
          <w:sz w:val="24"/>
        </w:rPr>
        <w:t>项目设计应符合国家相关标准，并满足建设方招标书要求。</w:t>
      </w:r>
    </w:p>
    <w:p>
      <w:pPr>
        <w:spacing w:line="440" w:lineRule="exact"/>
        <w:ind w:firstLine="468" w:firstLineChars="195"/>
        <w:outlineLvl w:val="1"/>
        <w:rPr>
          <w:rFonts w:ascii="宋体" w:hAnsi="宋体"/>
          <w:b/>
          <w:bCs/>
          <w:color w:val="0000FF"/>
          <w:sz w:val="24"/>
        </w:rPr>
      </w:pPr>
      <w:r>
        <w:rPr>
          <w:rFonts w:hint="eastAsia" w:ascii="宋体" w:hAnsi="宋体"/>
          <w:b/>
          <w:bCs/>
          <w:color w:val="0000FF"/>
          <w:sz w:val="24"/>
        </w:rPr>
        <w:t>六、岗位技术培训要求</w:t>
      </w:r>
    </w:p>
    <w:p>
      <w:pPr>
        <w:spacing w:line="500" w:lineRule="exact"/>
        <w:ind w:firstLine="480" w:firstLineChars="200"/>
        <w:rPr>
          <w:rFonts w:ascii="宋体" w:hAnsi="宋体"/>
          <w:color w:val="0000FF"/>
          <w:sz w:val="24"/>
        </w:rPr>
      </w:pPr>
      <w:r>
        <w:rPr>
          <w:rFonts w:hint="eastAsia" w:ascii="宋体" w:hAnsi="宋体"/>
          <w:color w:val="0000FF"/>
          <w:sz w:val="24"/>
        </w:rPr>
        <w:t>为保证制砂生产线系统正常运行，中标单位应对建设单位操作人员进行岗位技术培训，培训应分为理论培训、操作培训、维护维修培训。应通过培训使建设单位相关员工达到下列要求：</w:t>
      </w:r>
    </w:p>
    <w:p>
      <w:pPr>
        <w:spacing w:line="500" w:lineRule="exact"/>
        <w:ind w:firstLine="480" w:firstLineChars="200"/>
        <w:rPr>
          <w:rFonts w:ascii="宋体" w:hAnsi="宋体"/>
          <w:color w:val="0000FF"/>
          <w:sz w:val="24"/>
        </w:rPr>
      </w:pPr>
      <w:r>
        <w:rPr>
          <w:rFonts w:hint="eastAsia" w:ascii="宋体" w:hAnsi="宋体"/>
          <w:color w:val="0000FF"/>
          <w:sz w:val="24"/>
        </w:rPr>
        <w:t>6.1、熟悉工艺流程、工作原理；</w:t>
      </w:r>
    </w:p>
    <w:p>
      <w:pPr>
        <w:spacing w:line="500" w:lineRule="exact"/>
        <w:ind w:firstLine="480" w:firstLineChars="200"/>
        <w:rPr>
          <w:rFonts w:ascii="宋体" w:hAnsi="宋体"/>
          <w:color w:val="0000FF"/>
          <w:sz w:val="24"/>
        </w:rPr>
      </w:pPr>
      <w:r>
        <w:rPr>
          <w:rFonts w:hint="eastAsia" w:ascii="宋体" w:hAnsi="宋体"/>
          <w:color w:val="0000FF"/>
          <w:sz w:val="24"/>
        </w:rPr>
        <w:t>6.2、熟悉操作步骤、程序，能够根据信息数据调整工艺参数；</w:t>
      </w:r>
    </w:p>
    <w:p>
      <w:pPr>
        <w:spacing w:line="500" w:lineRule="exact"/>
        <w:ind w:firstLine="480" w:firstLineChars="200"/>
        <w:rPr>
          <w:rFonts w:ascii="宋体" w:hAnsi="宋体"/>
          <w:color w:val="0000FF"/>
          <w:sz w:val="24"/>
        </w:rPr>
      </w:pPr>
      <w:r>
        <w:rPr>
          <w:rFonts w:hint="eastAsia" w:ascii="宋体" w:hAnsi="宋体"/>
          <w:color w:val="0000FF"/>
          <w:sz w:val="24"/>
        </w:rPr>
        <w:t>6.3、熟悉相关设备原理、型号、技术性能；</w:t>
      </w:r>
    </w:p>
    <w:p>
      <w:pPr>
        <w:spacing w:line="500" w:lineRule="exact"/>
        <w:ind w:firstLine="480" w:firstLineChars="200"/>
        <w:rPr>
          <w:rFonts w:ascii="宋体" w:hAnsi="宋体"/>
          <w:color w:val="0000FF"/>
          <w:sz w:val="24"/>
        </w:rPr>
      </w:pPr>
      <w:r>
        <w:rPr>
          <w:rFonts w:hint="eastAsia" w:ascii="宋体" w:hAnsi="宋体"/>
          <w:color w:val="0000FF"/>
          <w:sz w:val="24"/>
        </w:rPr>
        <w:t>6.4、能够独立维护设备，处理一般性故障及紧急事故的处理措施；</w:t>
      </w:r>
    </w:p>
    <w:p>
      <w:pPr>
        <w:spacing w:line="500" w:lineRule="exact"/>
        <w:ind w:firstLine="480" w:firstLineChars="200"/>
        <w:outlineLvl w:val="2"/>
        <w:rPr>
          <w:rFonts w:ascii="宋体" w:hAnsi="宋体"/>
          <w:color w:val="0000FF"/>
          <w:sz w:val="24"/>
        </w:rPr>
      </w:pPr>
      <w:r>
        <w:rPr>
          <w:rFonts w:hint="eastAsia" w:ascii="宋体" w:hAnsi="宋体"/>
          <w:color w:val="0000FF"/>
          <w:sz w:val="24"/>
        </w:rPr>
        <w:t>6.5、掌握安全操作相关知识和技能。</w:t>
      </w:r>
    </w:p>
    <w:p>
      <w:pPr>
        <w:spacing w:line="500" w:lineRule="exact"/>
        <w:ind w:firstLine="480" w:firstLineChars="200"/>
        <w:rPr>
          <w:rFonts w:ascii="宋体" w:hAnsi="宋体"/>
          <w:color w:val="0000FF"/>
          <w:sz w:val="24"/>
        </w:rPr>
        <w:sectPr>
          <w:footerReference r:id="rId6" w:type="first"/>
          <w:footerReference r:id="rId5" w:type="default"/>
          <w:pgSz w:w="16838" w:h="11906" w:orient="landscape"/>
          <w:pgMar w:top="1361" w:right="1361" w:bottom="1474" w:left="1418" w:header="851" w:footer="992" w:gutter="0"/>
          <w:pgNumType w:fmt="decimal"/>
          <w:cols w:space="720" w:num="1"/>
          <w:titlePg/>
          <w:docGrid w:type="linesAndChars" w:linePitch="312" w:charSpace="0"/>
        </w:sectPr>
      </w:pPr>
    </w:p>
    <w:p>
      <w:pPr>
        <w:spacing w:line="440" w:lineRule="exact"/>
        <w:ind w:firstLine="470" w:firstLineChars="195"/>
        <w:outlineLvl w:val="1"/>
        <w:rPr>
          <w:rFonts w:ascii="宋体" w:hAnsi="宋体"/>
          <w:b/>
          <w:bCs/>
          <w:color w:val="0000FF"/>
          <w:sz w:val="24"/>
        </w:rPr>
      </w:pPr>
      <w:r>
        <w:rPr>
          <w:rFonts w:hint="eastAsia" w:ascii="宋体" w:hAnsi="宋体"/>
          <w:b/>
          <w:bCs/>
          <w:color w:val="0000FF"/>
          <w:sz w:val="24"/>
        </w:rPr>
        <w:t>七、试验、调试及试运行要求</w:t>
      </w:r>
    </w:p>
    <w:p>
      <w:pPr>
        <w:spacing w:line="500" w:lineRule="exact"/>
        <w:ind w:firstLine="480" w:firstLineChars="200"/>
        <w:rPr>
          <w:rFonts w:ascii="宋体" w:hAnsi="宋体"/>
          <w:color w:val="0000FF"/>
          <w:sz w:val="24"/>
        </w:rPr>
      </w:pPr>
      <w:r>
        <w:rPr>
          <w:rFonts w:hint="eastAsia" w:ascii="宋体" w:hAnsi="宋体"/>
          <w:color w:val="0000FF"/>
          <w:sz w:val="24"/>
        </w:rPr>
        <w:t>对制砂生产线的有关试验、检测、调试和试运行负全面责任。生产线计量设备、生产线的防雷设施等应通过法定检测部门的检测并获取合格证书。</w:t>
      </w:r>
    </w:p>
    <w:p>
      <w:pPr>
        <w:spacing w:line="500" w:lineRule="exact"/>
        <w:ind w:firstLine="480" w:firstLineChars="200"/>
        <w:rPr>
          <w:rFonts w:ascii="宋体" w:hAnsi="宋体"/>
          <w:color w:val="0000FF"/>
          <w:sz w:val="24"/>
        </w:rPr>
      </w:pPr>
      <w:r>
        <w:rPr>
          <w:rFonts w:hint="eastAsia" w:ascii="宋体" w:hAnsi="宋体"/>
          <w:color w:val="0000FF"/>
          <w:sz w:val="24"/>
        </w:rPr>
        <w:t>通过制砂生产线的调试和试运行，保证系统能够正常、稳定运行，各项技术指标达到设计要求。系统调试过程中中标单位应对建设单位操作人员进行技术培训。</w:t>
      </w:r>
    </w:p>
    <w:p>
      <w:pPr>
        <w:spacing w:line="440" w:lineRule="exact"/>
        <w:ind w:firstLine="470" w:firstLineChars="195"/>
        <w:outlineLvl w:val="1"/>
        <w:rPr>
          <w:rFonts w:ascii="宋体" w:hAnsi="宋体"/>
          <w:b/>
          <w:bCs/>
          <w:color w:val="0000FF"/>
          <w:sz w:val="24"/>
        </w:rPr>
      </w:pPr>
      <w:r>
        <w:rPr>
          <w:rFonts w:hint="eastAsia" w:ascii="宋体" w:hAnsi="宋体"/>
          <w:b/>
          <w:bCs/>
          <w:color w:val="0000FF"/>
          <w:sz w:val="24"/>
        </w:rPr>
        <w:t>八、运行达标</w:t>
      </w:r>
    </w:p>
    <w:p>
      <w:pPr>
        <w:spacing w:line="500" w:lineRule="exact"/>
        <w:ind w:firstLine="480" w:firstLineChars="200"/>
        <w:rPr>
          <w:rFonts w:ascii="宋体" w:hAnsi="宋体"/>
          <w:color w:val="0000FF"/>
          <w:sz w:val="24"/>
        </w:rPr>
      </w:pPr>
      <w:r>
        <w:rPr>
          <w:rFonts w:hint="eastAsia" w:ascii="宋体" w:hAnsi="宋体"/>
          <w:color w:val="0000FF"/>
          <w:sz w:val="24"/>
        </w:rPr>
        <w:t>制砂生产线系统调试完成，经试运行正常，投入正常运行后，由中标单位和业主单位共同提出验收申请。</w:t>
      </w:r>
    </w:p>
    <w:p>
      <w:pPr>
        <w:spacing w:line="440" w:lineRule="exact"/>
        <w:ind w:firstLine="470" w:firstLineChars="195"/>
        <w:outlineLvl w:val="1"/>
        <w:rPr>
          <w:rFonts w:ascii="宋体" w:hAnsi="宋体"/>
          <w:b/>
          <w:bCs/>
          <w:color w:val="0000FF"/>
          <w:sz w:val="24"/>
        </w:rPr>
      </w:pPr>
      <w:r>
        <w:rPr>
          <w:rFonts w:hint="eastAsia" w:ascii="宋体" w:hAnsi="宋体"/>
          <w:b/>
          <w:bCs/>
          <w:color w:val="0000FF"/>
          <w:sz w:val="24"/>
        </w:rPr>
        <w:t>九、移交</w:t>
      </w:r>
    </w:p>
    <w:p>
      <w:pPr>
        <w:spacing w:line="500" w:lineRule="exact"/>
        <w:ind w:firstLine="480" w:firstLineChars="200"/>
        <w:outlineLvl w:val="2"/>
        <w:rPr>
          <w:rFonts w:ascii="宋体" w:hAnsi="宋体"/>
          <w:color w:val="0000FF"/>
          <w:sz w:val="24"/>
        </w:rPr>
      </w:pPr>
      <w:r>
        <w:rPr>
          <w:rFonts w:hint="eastAsia" w:ascii="宋体" w:hAnsi="宋体"/>
          <w:color w:val="0000FF"/>
          <w:sz w:val="24"/>
        </w:rPr>
        <w:t>10.1移交技术文件</w:t>
      </w:r>
    </w:p>
    <w:p>
      <w:pPr>
        <w:spacing w:line="500" w:lineRule="exact"/>
        <w:ind w:firstLine="480" w:firstLineChars="200"/>
        <w:rPr>
          <w:rFonts w:ascii="宋体" w:hAnsi="宋体"/>
          <w:color w:val="0000FF"/>
          <w:sz w:val="24"/>
        </w:rPr>
      </w:pPr>
      <w:r>
        <w:rPr>
          <w:rFonts w:hint="eastAsia" w:ascii="宋体" w:hAnsi="宋体"/>
          <w:color w:val="0000FF"/>
          <w:sz w:val="24"/>
        </w:rPr>
        <w:t>（1）、工艺设计施工图2套</w:t>
      </w:r>
    </w:p>
    <w:p>
      <w:pPr>
        <w:spacing w:line="500" w:lineRule="exact"/>
        <w:ind w:firstLine="480" w:firstLineChars="200"/>
        <w:rPr>
          <w:rFonts w:ascii="宋体" w:hAnsi="宋体"/>
          <w:color w:val="0000FF"/>
          <w:sz w:val="24"/>
        </w:rPr>
      </w:pPr>
      <w:r>
        <w:rPr>
          <w:rFonts w:hint="eastAsia" w:ascii="宋体" w:hAnsi="宋体"/>
          <w:color w:val="0000FF"/>
          <w:sz w:val="24"/>
        </w:rPr>
        <w:t>（2）、操作说明书2套</w:t>
      </w:r>
    </w:p>
    <w:p>
      <w:pPr>
        <w:spacing w:line="500" w:lineRule="exact"/>
        <w:ind w:firstLine="480" w:firstLineChars="200"/>
        <w:rPr>
          <w:rFonts w:ascii="宋体" w:hAnsi="宋体"/>
          <w:color w:val="0000FF"/>
          <w:sz w:val="24"/>
        </w:rPr>
      </w:pPr>
      <w:r>
        <w:rPr>
          <w:rFonts w:hint="eastAsia" w:ascii="宋体" w:hAnsi="宋体"/>
          <w:color w:val="0000FF"/>
          <w:sz w:val="24"/>
        </w:rPr>
        <w:t>（3）、系统设备明细2套</w:t>
      </w:r>
    </w:p>
    <w:p>
      <w:pPr>
        <w:spacing w:line="500" w:lineRule="exact"/>
        <w:ind w:firstLine="480" w:firstLineChars="200"/>
        <w:rPr>
          <w:rFonts w:ascii="宋体" w:hAnsi="宋体"/>
          <w:color w:val="0000FF"/>
          <w:sz w:val="24"/>
        </w:rPr>
      </w:pPr>
      <w:r>
        <w:rPr>
          <w:rFonts w:hint="eastAsia" w:ascii="宋体" w:hAnsi="宋体"/>
          <w:color w:val="0000FF"/>
          <w:sz w:val="24"/>
        </w:rPr>
        <w:t>（4）、设备合格证书1套</w:t>
      </w:r>
    </w:p>
    <w:p>
      <w:pPr>
        <w:spacing w:line="500" w:lineRule="exact"/>
        <w:ind w:firstLine="480" w:firstLineChars="200"/>
        <w:rPr>
          <w:rFonts w:ascii="宋体" w:hAnsi="宋体"/>
          <w:color w:val="0000FF"/>
          <w:sz w:val="24"/>
        </w:rPr>
      </w:pPr>
      <w:r>
        <w:rPr>
          <w:rFonts w:hint="eastAsia" w:ascii="宋体" w:hAnsi="宋体"/>
          <w:color w:val="0000FF"/>
          <w:sz w:val="24"/>
        </w:rPr>
        <w:t>（5）、其它必要的技术文件</w:t>
      </w:r>
    </w:p>
    <w:p>
      <w:pPr>
        <w:spacing w:line="500" w:lineRule="exact"/>
        <w:ind w:firstLine="480" w:firstLineChars="200"/>
        <w:rPr>
          <w:rFonts w:ascii="宋体" w:hAnsi="宋体"/>
          <w:color w:val="0000FF"/>
          <w:sz w:val="24"/>
        </w:rPr>
      </w:pPr>
      <w:r>
        <w:rPr>
          <w:rFonts w:hint="eastAsia" w:ascii="宋体" w:hAnsi="宋体"/>
          <w:color w:val="0000FF"/>
          <w:sz w:val="24"/>
        </w:rPr>
        <w:t>以上文件中的（2）项应同时提交电子版（光盘）2套</w:t>
      </w:r>
    </w:p>
    <w:p>
      <w:pPr>
        <w:spacing w:line="500" w:lineRule="exact"/>
        <w:ind w:firstLine="480" w:firstLineChars="200"/>
        <w:outlineLvl w:val="2"/>
        <w:rPr>
          <w:rFonts w:ascii="宋体" w:hAnsi="宋体"/>
          <w:color w:val="0000FF"/>
          <w:sz w:val="24"/>
        </w:rPr>
      </w:pPr>
      <w:r>
        <w:rPr>
          <w:rFonts w:hint="eastAsia" w:ascii="宋体" w:hAnsi="宋体"/>
          <w:color w:val="0000FF"/>
          <w:sz w:val="24"/>
        </w:rPr>
        <w:t>10.2竣工验收</w:t>
      </w:r>
    </w:p>
    <w:p>
      <w:pPr>
        <w:spacing w:line="500" w:lineRule="exact"/>
        <w:ind w:firstLine="480" w:firstLineChars="200"/>
        <w:rPr>
          <w:rFonts w:ascii="宋体" w:hAnsi="宋体"/>
          <w:color w:val="0000FF"/>
          <w:sz w:val="24"/>
        </w:rPr>
      </w:pPr>
      <w:r>
        <w:rPr>
          <w:rFonts w:hint="eastAsia" w:ascii="宋体" w:hAnsi="宋体"/>
          <w:color w:val="0000FF"/>
          <w:sz w:val="24"/>
        </w:rPr>
        <w:t>由业主组织验收合格后，出具相关验收合格报告。</w:t>
      </w:r>
    </w:p>
    <w:p>
      <w:pPr>
        <w:spacing w:line="440" w:lineRule="exact"/>
        <w:ind w:firstLine="470" w:firstLineChars="195"/>
        <w:outlineLvl w:val="1"/>
        <w:rPr>
          <w:rFonts w:ascii="宋体" w:hAnsi="宋体"/>
          <w:b/>
          <w:bCs/>
          <w:color w:val="0000FF"/>
          <w:sz w:val="24"/>
        </w:rPr>
      </w:pPr>
      <w:r>
        <w:rPr>
          <w:rFonts w:hint="eastAsia" w:ascii="宋体" w:hAnsi="宋体"/>
          <w:b/>
          <w:bCs/>
          <w:color w:val="0000FF"/>
          <w:sz w:val="24"/>
        </w:rPr>
        <w:t>十、保修期服务要求</w:t>
      </w:r>
    </w:p>
    <w:p>
      <w:pPr>
        <w:spacing w:line="500" w:lineRule="exact"/>
        <w:ind w:firstLine="480" w:firstLineChars="200"/>
        <w:rPr>
          <w:rFonts w:ascii="宋体" w:hAnsi="宋体"/>
          <w:color w:val="0000FF"/>
          <w:sz w:val="24"/>
        </w:rPr>
      </w:pPr>
      <w:r>
        <w:rPr>
          <w:rFonts w:hint="eastAsia" w:ascii="宋体" w:hAnsi="宋体"/>
          <w:color w:val="0000FF"/>
          <w:sz w:val="24"/>
        </w:rPr>
        <w:t>系统各项指标达到设计标准后，应对系统提供保修服务，保修周期为1年，自验收合格当日起计。</w:t>
      </w:r>
    </w:p>
    <w:p>
      <w:pPr>
        <w:spacing w:line="500" w:lineRule="exact"/>
        <w:ind w:firstLine="480" w:firstLineChars="200"/>
        <w:rPr>
          <w:rFonts w:ascii="宋体" w:hAnsi="宋体"/>
          <w:color w:val="0000FF"/>
          <w:sz w:val="24"/>
          <w:u w:val="single"/>
        </w:rPr>
      </w:pPr>
      <w:r>
        <w:rPr>
          <w:rFonts w:hint="eastAsia" w:ascii="宋体" w:hAnsi="宋体"/>
          <w:color w:val="0000FF"/>
          <w:sz w:val="24"/>
          <w:u w:val="single"/>
        </w:rPr>
        <w:t>在保修期内，任何属于合同范围内的维修、更换设备及材料、备品备件供应、技术咨询、技术指导等的费用均包含在中标价款内。</w:t>
      </w:r>
    </w:p>
    <w:p>
      <w:pPr>
        <w:spacing w:line="440" w:lineRule="exact"/>
        <w:ind w:firstLine="470" w:firstLineChars="195"/>
        <w:outlineLvl w:val="1"/>
        <w:rPr>
          <w:rFonts w:ascii="宋体" w:hAnsi="宋体"/>
          <w:b/>
          <w:bCs/>
          <w:color w:val="0000FF"/>
          <w:sz w:val="24"/>
        </w:rPr>
      </w:pPr>
      <w:r>
        <w:rPr>
          <w:rFonts w:hint="eastAsia" w:ascii="宋体" w:hAnsi="宋体"/>
          <w:b/>
          <w:bCs/>
          <w:color w:val="0000FF"/>
          <w:sz w:val="24"/>
        </w:rPr>
        <w:t>十一、其他要求</w:t>
      </w:r>
    </w:p>
    <w:p>
      <w:pPr>
        <w:spacing w:line="500" w:lineRule="exact"/>
        <w:ind w:firstLine="480" w:firstLineChars="200"/>
        <w:rPr>
          <w:rFonts w:ascii="宋体" w:hAnsi="宋体"/>
          <w:color w:val="0000FF"/>
          <w:sz w:val="24"/>
        </w:rPr>
      </w:pPr>
      <w:r>
        <w:rPr>
          <w:rFonts w:hint="eastAsia" w:ascii="宋体" w:hAnsi="宋体"/>
          <w:color w:val="0000FF"/>
          <w:sz w:val="24"/>
        </w:rPr>
        <w:t>13.1 在项目实施的阶段，须确保现场有足够的、合适的人员驻地进行工程建设；</w:t>
      </w:r>
    </w:p>
    <w:p>
      <w:pPr>
        <w:spacing w:line="500" w:lineRule="exact"/>
        <w:ind w:firstLine="480" w:firstLineChars="200"/>
      </w:pPr>
      <w:r>
        <w:rPr>
          <w:rFonts w:hint="eastAsia" w:ascii="宋体" w:hAnsi="宋体"/>
          <w:color w:val="0000FF"/>
          <w:sz w:val="24"/>
        </w:rPr>
        <w:t>13.2 在保修期内，一旦控制系统和机械设备出现故障，应确保24小时内响应，36小时内排除故障；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single" w:color="auto" w:sz="6" w:space="1"/>
      </w:pBdr>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single" w:color="auto" w:sz="6" w:space="1"/>
      </w:pBdr>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AD5D3D"/>
    <w:multiLevelType w:val="multilevel"/>
    <w:tmpl w:val="3DAD5D3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2OTdlOTM2MjA2MTllMDAyODUzYTQ5YTE1YmUyYmUifQ=="/>
  </w:docVars>
  <w:rsids>
    <w:rsidRoot w:val="76ED2D8A"/>
    <w:rsid w:val="76ED2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qFormat/>
    <w:uiPriority w:val="0"/>
    <w:pPr>
      <w:keepNext/>
      <w:jc w:val="center"/>
      <w:outlineLvl w:val="0"/>
    </w:pPr>
    <w:rPr>
      <w:b/>
      <w:bCs/>
      <w:kern w:val="0"/>
      <w:sz w:val="24"/>
      <w:szCs w:val="20"/>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next w:val="4"/>
    <w:qFormat/>
    <w:uiPriority w:val="0"/>
    <w:pPr>
      <w:spacing w:after="120"/>
    </w:pPr>
    <w:rPr>
      <w:kern w:val="0"/>
      <w:sz w:val="20"/>
    </w:rPr>
  </w:style>
  <w:style w:type="paragraph" w:customStyle="1" w:styleId="4">
    <w:name w:val="一级条标题"/>
    <w:basedOn w:val="5"/>
    <w:next w:val="6"/>
    <w:qFormat/>
    <w:uiPriority w:val="0"/>
    <w:pPr>
      <w:spacing w:line="240" w:lineRule="auto"/>
      <w:ind w:left="420"/>
      <w:outlineLvl w:val="2"/>
    </w:pPr>
  </w:style>
  <w:style w:type="paragraph" w:customStyle="1" w:styleId="5">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6">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8">
    <w:name w:val="footer"/>
    <w:basedOn w:val="1"/>
    <w:qFormat/>
    <w:uiPriority w:val="99"/>
    <w:pPr>
      <w:tabs>
        <w:tab w:val="center" w:pos="4153"/>
        <w:tab w:val="right" w:pos="8306"/>
      </w:tabs>
      <w:snapToGrid w:val="0"/>
      <w:jc w:val="left"/>
    </w:pPr>
    <w:rPr>
      <w:kern w:val="0"/>
      <w:sz w:val="18"/>
      <w:szCs w:val="18"/>
    </w:rPr>
  </w:style>
  <w:style w:type="paragraph" w:styleId="9">
    <w:name w:val="Normal (Web)"/>
    <w:basedOn w:val="1"/>
    <w:qFormat/>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2023-06-13T02:42:00Z</dcterms:created>
  <dc:creator>～Cytheria慧慧</dc:creator>
  <cp:lastModifiedBy>～Cytheria慧慧</cp:lastModifiedBy>
  <dcterms:modified xsi:type="dcterms:W3CDTF">2023-06-13T02:43:21Z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54D1907B18984DD389DC89CB1CB8EE91_11</vt:lpwstr>
  </property>
</Properties>
</file>