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第三十七标段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-37</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17385"/>
      <w:bookmarkStart w:id="2" w:name="_Toc31787"/>
      <w:bookmarkStart w:id="3" w:name="_Toc8474"/>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highlight w:val="none"/>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highlight w:val="none"/>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_Toc5103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_Toc32539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_Toc28515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25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第四章 合同条款（参考格式）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_Toc32413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第五章 技术需求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_Toc9767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54</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_Toc32331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28359002"/>
      <w:bookmarkStart w:id="7" w:name="_Toc28359079"/>
      <w:bookmarkStart w:id="8" w:name="_Toc35393790"/>
      <w:bookmarkStart w:id="9" w:name="_Toc35393621"/>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35393791"/>
      <w:bookmarkStart w:id="12" w:name="_Toc28359080"/>
      <w:bookmarkStart w:id="13" w:name="_Toc35393622"/>
      <w:bookmarkStart w:id="14" w:name="_Toc28359003"/>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792"/>
      <w:bookmarkStart w:id="18" w:name="_Toc35393623"/>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82"/>
      <w:bookmarkStart w:id="20" w:name="_Toc28359005"/>
      <w:bookmarkStart w:id="21" w:name="_Toc35393624"/>
      <w:bookmarkStart w:id="22" w:name="_Toc35393793"/>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35393794"/>
      <w:bookmarkStart w:id="24" w:name="_Toc35393625"/>
      <w:bookmarkStart w:id="25" w:name="_Toc28359084"/>
      <w:bookmarkStart w:id="26" w:name="_Toc28359007"/>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626"/>
      <w:bookmarkStart w:id="28" w:name="_Toc35393795"/>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28359008"/>
      <w:bookmarkStart w:id="30" w:name="_Toc28359085"/>
      <w:bookmarkStart w:id="31" w:name="_Toc35393796"/>
      <w:bookmarkStart w:id="32" w:name="_Toc35393627"/>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09"/>
      <w:bookmarkStart w:id="34" w:name="_Toc28359086"/>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10"/>
      <w:bookmarkStart w:id="36" w:name="_Toc28359087"/>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35393645"/>
      <w:bookmarkStart w:id="39" w:name="_Toc28359027"/>
      <w:bookmarkStart w:id="40" w:name="_Toc35393814"/>
      <w:bookmarkStart w:id="41" w:name="_Toc28359104"/>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35393815"/>
      <w:bookmarkStart w:id="43" w:name="_Toc28359028"/>
      <w:bookmarkStart w:id="44" w:name="_Toc35393646"/>
      <w:bookmarkStart w:id="45" w:name="_Toc28359105"/>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647"/>
      <w:bookmarkStart w:id="47" w:name="_Toc35393816"/>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35393648"/>
      <w:bookmarkStart w:id="49" w:name="_Toc28359029"/>
      <w:bookmarkStart w:id="50" w:name="_Toc35393817"/>
      <w:bookmarkStart w:id="51" w:name="_Toc28359106"/>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电　话：0431-84916666、13514491583</w:t>
      </w:r>
    </w:p>
    <w:p>
      <w:pPr>
        <w:rPr>
          <w:rFonts w:hint="eastAsia" w:ascii="宋体" w:hAnsi="宋体" w:eastAsia="宋体" w:cs="宋体"/>
          <w:sz w:val="28"/>
          <w:szCs w:val="28"/>
        </w:rPr>
      </w:pPr>
      <w:r>
        <w:rPr>
          <w:rFonts w:hint="eastAsia" w:ascii="宋体" w:hAnsi="宋体" w:eastAsia="宋体" w:cs="宋体"/>
          <w:sz w:val="28"/>
          <w:szCs w:val="28"/>
        </w:rPr>
        <w:br w:type="page"/>
      </w:r>
    </w:p>
    <w:p>
      <w:pPr>
        <w:pStyle w:val="3"/>
        <w:tabs>
          <w:tab w:val="left" w:pos="0"/>
        </w:tabs>
        <w:autoSpaceDE w:val="0"/>
        <w:autoSpaceDN w:val="0"/>
        <w:adjustRightInd w:val="0"/>
        <w:spacing w:before="0" w:after="0" w:line="360" w:lineRule="auto"/>
        <w:jc w:val="center"/>
        <w:rPr>
          <w:rFonts w:hint="eastAsia" w:ascii="华文中宋" w:hAnsi="华文中宋" w:eastAsia="华文中宋"/>
          <w:lang w:eastAsia="zh-CN"/>
        </w:rPr>
      </w:pPr>
      <w:r>
        <w:rPr>
          <w:rFonts w:hint="eastAsia" w:ascii="华文中宋" w:hAnsi="华文中宋" w:eastAsia="华文中宋"/>
          <w:lang w:eastAsia="zh-CN"/>
        </w:rPr>
        <w:t>吉林省消防救援总队“自然灾害应急能力提升工程”装备配备项目（地震化工装备）(第4、13、27至第38标段）更正公告</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一、项目基本情况</w:t>
      </w:r>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r>
        <w:rPr>
          <w:rFonts w:hint="eastAsia" w:ascii="宋体" w:hAnsi="宋体" w:eastAsia="宋体" w:cs="宋体"/>
          <w:sz w:val="28"/>
          <w:szCs w:val="28"/>
          <w:lang w:val="en-US" w:eastAsia="zh-CN"/>
        </w:rPr>
        <w:t>(第4、13、27至第38标段）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二、更正信息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更正事项：采购公告</w:t>
      </w:r>
      <w:r>
        <w:rPr>
          <w:rFonts w:hint="eastAsia" w:ascii="宋体" w:hAnsi="宋体" w:eastAsia="宋体" w:cs="宋体"/>
          <w:sz w:val="28"/>
          <w:szCs w:val="28"/>
          <w:lang w:eastAsia="zh-CN"/>
        </w:rPr>
        <w:t>、</w:t>
      </w:r>
      <w:r>
        <w:rPr>
          <w:rFonts w:hint="eastAsia" w:ascii="宋体" w:hAnsi="宋体" w:eastAsia="宋体" w:cs="宋体"/>
          <w:sz w:val="28"/>
          <w:szCs w:val="28"/>
        </w:rPr>
        <w:t xml:space="preserve">采购文件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：将</w:t>
      </w:r>
      <w:r>
        <w:rPr>
          <w:rFonts w:hint="eastAsia" w:ascii="宋体" w:hAnsi="宋体" w:eastAsia="宋体" w:cs="宋体"/>
          <w:sz w:val="28"/>
          <w:szCs w:val="28"/>
          <w:lang w:val="en-US" w:eastAsia="zh-CN"/>
        </w:rPr>
        <w:t>第4、13、27至第38</w:t>
      </w:r>
      <w:r>
        <w:rPr>
          <w:rFonts w:hint="eastAsia" w:ascii="宋体" w:hAnsi="宋体" w:eastAsia="宋体" w:cs="宋体"/>
          <w:sz w:val="28"/>
          <w:szCs w:val="28"/>
        </w:rPr>
        <w:t>标段的招标文件中“投标文件递交、开标地点：东北亚国际金融中心（人民大街与谊民路交汇东行100米）3号楼1楼（仅开放东门、从东门进入）</w:t>
      </w:r>
      <w:r>
        <w:rPr>
          <w:rFonts w:hint="eastAsia" w:ascii="宋体" w:hAnsi="宋体" w:eastAsia="宋体" w:cs="宋体"/>
          <w:sz w:val="28"/>
          <w:szCs w:val="28"/>
          <w:lang w:eastAsia="zh-CN"/>
        </w:rPr>
        <w:t>第一开标室</w:t>
      </w:r>
      <w:r>
        <w:rPr>
          <w:rFonts w:hint="eastAsia" w:ascii="宋体" w:hAnsi="宋体" w:eastAsia="宋体" w:cs="宋体"/>
          <w:sz w:val="28"/>
          <w:szCs w:val="28"/>
        </w:rPr>
        <w:t>”</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更正为：第4、13、27至第38标段的招标文件中“投标文件递交、开标地点：</w:t>
      </w:r>
      <w:r>
        <w:rPr>
          <w:rFonts w:hint="eastAsia" w:ascii="宋体" w:hAnsi="宋体" w:eastAsia="宋体" w:cs="宋体"/>
          <w:b/>
          <w:bCs/>
          <w:sz w:val="28"/>
          <w:szCs w:val="28"/>
          <w:lang w:val="en-US" w:eastAsia="zh-CN"/>
        </w:rPr>
        <w:t>长春市高新区鸿达街248号吉林日报副楼4楼第一开标室</w:t>
      </w:r>
      <w:r>
        <w:rPr>
          <w:rFonts w:hint="eastAsia" w:ascii="宋体" w:hAnsi="宋体" w:eastAsia="宋体" w:cs="宋体"/>
          <w:sz w:val="28"/>
          <w:szCs w:val="28"/>
          <w:lang w:val="en-US" w:eastAsia="zh-CN"/>
        </w:rPr>
        <w:t>”</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原开标时间不变，只更正开标地点！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19</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三、其他补充事宜</w:t>
      </w:r>
    </w:p>
    <w:p>
      <w:pPr>
        <w:numPr>
          <w:ilvl w:val="0"/>
          <w:numId w:val="0"/>
        </w:numPr>
        <w:ind w:firstLine="560" w:firstLineChars="20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发布媒体：中国政府采购网、采购与招标网。</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四、凡对本次公告内容提出询问，请按以下方式联系。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三十七</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w:t>
            </w:r>
            <w:r>
              <w:rPr>
                <w:rFonts w:hint="eastAsia" w:ascii="宋体" w:hAnsi="宋体" w:eastAsia="宋体" w:cs="宋体"/>
                <w:bCs/>
                <w:color w:val="auto"/>
                <w:sz w:val="24"/>
                <w:highlight w:val="none"/>
              </w:rPr>
              <w:t>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w:t>
            </w:r>
            <w:r>
              <w:rPr>
                <w:rFonts w:hint="eastAsia" w:ascii="宋体" w:hAnsi="宋体" w:eastAsia="宋体" w:cs="宋体"/>
                <w:b w:val="0"/>
                <w:bCs w:val="0"/>
                <w:color w:val="auto"/>
                <w:spacing w:val="6"/>
                <w:sz w:val="24"/>
                <w:highlight w:val="none"/>
                <w:lang w:eastAsia="zh-CN"/>
              </w:rPr>
              <w:t>经会计师事务所出具的财务审计报告。</w:t>
            </w:r>
            <w:r>
              <w:rPr>
                <w:rFonts w:hint="eastAsia" w:ascii="宋体" w:hAnsi="宋体" w:eastAsia="宋体" w:cs="宋体"/>
                <w:color w:val="auto"/>
                <w:sz w:val="24"/>
                <w:highlight w:val="none"/>
                <w:lang w:eastAsia="zh-CN"/>
              </w:rPr>
              <w:t>（若投标人为20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3）具有履行合同所必需的设备和专业技术能力（可以提供类似业绩合同或者可以提供承诺书</w:t>
            </w:r>
            <w:r>
              <w:rPr>
                <w:rFonts w:hint="eastAsia" w:ascii="宋体" w:hAnsi="宋体" w:eastAsia="宋体" w:cs="宋体"/>
                <w:b w:val="0"/>
                <w:bCs w:val="0"/>
                <w:color w:val="auto"/>
                <w:spacing w:val="6"/>
                <w:sz w:val="24"/>
                <w:highlight w:val="none"/>
                <w:lang w:val="en-US" w:eastAsia="zh-CN"/>
              </w:rPr>
              <w:t>&lt;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提供近一年（2023年3月以后）任意两个月的依法缴纳税收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pacing w:val="6"/>
                <w:sz w:val="24"/>
                <w:highlight w:val="none"/>
              </w:rPr>
              <w:t>，应提供相应文件证明其依法免税或不需要缴纳社会保障资金）</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5）参加政府采购活动前三年内</w:t>
            </w:r>
            <w:r>
              <w:rPr>
                <w:rFonts w:hint="eastAsia" w:ascii="宋体" w:hAnsi="宋体" w:eastAsia="宋体" w:cs="宋体"/>
                <w:b w:val="0"/>
                <w:bCs w:val="0"/>
                <w:color w:val="auto"/>
                <w:spacing w:val="6"/>
                <w:sz w:val="24"/>
                <w:highlight w:val="none"/>
                <w:lang w:eastAsia="zh-CN"/>
              </w:rPr>
              <w:t>在经营活动中没有重大违法记录的书面声明（</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eastAsia="zh-CN"/>
              </w:rPr>
              <w:t>6）法律、行政法规规定的其他条件。</w:t>
            </w:r>
          </w:p>
          <w:p>
            <w:pPr>
              <w:spacing w:line="240" w:lineRule="auto"/>
              <w:rPr>
                <w:rFonts w:hint="eastAsia" w:ascii="宋体" w:hAnsi="宋体" w:eastAsia="宋体" w:cs="宋体"/>
                <w:b/>
                <w:bCs/>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2</w:t>
            </w:r>
            <w:r>
              <w:rPr>
                <w:rFonts w:hint="eastAsia" w:ascii="宋体" w:hAnsi="宋体" w:eastAsia="宋体" w:cs="宋体"/>
                <w:b w:val="0"/>
                <w:bCs w:val="0"/>
                <w:color w:val="auto"/>
                <w:spacing w:val="6"/>
                <w:sz w:val="24"/>
                <w:highlight w:val="none"/>
                <w:lang w:eastAsia="zh-CN"/>
              </w:rPr>
              <w:t>落实政府采购政策需满足的资格要求：</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17</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30</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32</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专门面向中小企业采购</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15</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16</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37</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专门面向小微企业采购；其余标段非专门面向中小企业采购</w:t>
            </w:r>
            <w:r>
              <w:rPr>
                <w:rFonts w:hint="eastAsia" w:ascii="宋体" w:hAnsi="宋体" w:eastAsia="宋体" w:cs="宋体"/>
                <w:b/>
                <w:bCs/>
                <w:color w:val="auto"/>
                <w:spacing w:val="6"/>
                <w:sz w:val="24"/>
                <w:highlight w:val="none"/>
                <w:lang w:val="en-US"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1）</w:t>
            </w:r>
            <w:r>
              <w:rPr>
                <w:rFonts w:hint="eastAsia" w:ascii="宋体" w:hAnsi="宋体" w:eastAsia="宋体" w:cs="宋体"/>
                <w:b w:val="0"/>
                <w:bCs w:val="0"/>
                <w:color w:val="auto"/>
                <w:spacing w:val="6"/>
                <w:sz w:val="24"/>
                <w:highlight w:val="none"/>
                <w:lang w:eastAsia="zh-CN"/>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 ）营业执照副本；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 ）具有履行合同所必需的设备和专业技术能力的证明材料（可以提供类似业绩合同或者可以提供承诺书</w:t>
            </w:r>
            <w:r>
              <w:rPr>
                <w:rFonts w:hint="eastAsia" w:ascii="宋体" w:hAnsi="宋体" w:eastAsia="宋体" w:cs="宋体"/>
                <w:b w:val="0"/>
                <w:bCs w:val="0"/>
                <w:color w:val="auto"/>
                <w:sz w:val="24"/>
                <w:highlight w:val="none"/>
                <w:lang w:val="en-US" w:eastAsia="zh-CN"/>
              </w:rPr>
              <w:t>&lt;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 ）参加政府采购活动前三年内在经营活动中没有重大违法记录的书面声明；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lang w:eastAsia="zh-CN"/>
              </w:rPr>
              <w:t>提供近三年（20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年-202</w:t>
            </w: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年）经会计师事务所或审计机构出具的财务审计报告。（若投标人为20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年以后注册成立的公司，即需提供从成立日期起的财务审计报告；若投标人为202</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年以后注册成立的公司，即需提供一份银行资信证明）</w:t>
            </w: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eastAsia="zh-CN"/>
              </w:rPr>
              <w:t>提供近一年（2023年3月以后）任意两个月的依法缴纳税收和社会保障资金的相关材料</w:t>
            </w:r>
            <w:r>
              <w:rPr>
                <w:rFonts w:hint="eastAsia" w:ascii="宋体" w:hAnsi="宋体" w:eastAsia="宋体" w:cs="宋体"/>
                <w:b w:val="0"/>
                <w:bCs w:val="0"/>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rPr>
              <w:t>，应提供相应文件证明其依法免税或不需要缴纳社会保障资金）；</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6 ）</w:t>
            </w:r>
            <w:r>
              <w:rPr>
                <w:rFonts w:hint="eastAsia" w:ascii="宋体" w:hAnsi="宋体" w:eastAsia="宋体" w:cs="宋体"/>
                <w:b w:val="0"/>
                <w:bCs w:val="0"/>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三十七</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i w:val="0"/>
                <w:iCs w:val="0"/>
                <w:color w:val="000000"/>
                <w:kern w:val="0"/>
                <w:sz w:val="24"/>
                <w:szCs w:val="24"/>
                <w:highlight w:val="none"/>
                <w:u w:val="none"/>
                <w:lang w:val="en-US" w:eastAsia="zh-CN" w:bidi="ar"/>
              </w:rPr>
              <w:t>134.00</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w:t>
            </w:r>
            <w:r>
              <w:rPr>
                <w:rFonts w:hint="eastAsia" w:ascii="宋体" w:hAnsi="宋体" w:eastAsia="宋体" w:cs="宋体"/>
                <w:b/>
                <w:bCs/>
                <w:color w:val="auto"/>
                <w:sz w:val="24"/>
                <w:highlight w:val="none"/>
                <w:lang w:val="en-US" w:eastAsia="zh-CN"/>
              </w:rPr>
              <w:t>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67</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三十七</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13037元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w:t>
            </w:r>
            <w:r>
              <w:rPr>
                <w:rFonts w:hint="eastAsia" w:ascii="宋体" w:hAnsi="宋体" w:eastAsia="宋体" w:cs="宋体"/>
                <w:sz w:val="24"/>
                <w:highlight w:val="none"/>
              </w:rPr>
              <w:t>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05</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长春市高新区鸿达街248号吉林日报副楼4楼</w:t>
            </w:r>
            <w:bookmarkStart w:id="140" w:name="_GoBack"/>
            <w:bookmarkEnd w:id="140"/>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2、截止时点：2024年05月0</w:t>
            </w:r>
            <w:r>
              <w:rPr>
                <w:rFonts w:hint="eastAsia" w:ascii="宋体" w:hAnsi="宋体" w:cs="宋体"/>
                <w:b w:val="0"/>
                <w:bCs w:val="0"/>
                <w:color w:val="0000FF"/>
                <w:sz w:val="24"/>
                <w:highlight w:val="none"/>
                <w:lang w:val="en-US" w:eastAsia="zh-CN"/>
              </w:rPr>
              <w:t>9</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提供近一年（2023年3月以后）任意两个月的依法缴纳税收和社会保障资金的相关材料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提供近一年（2023年3月以后）任意两个月的依法缴纳税收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，不得参加同一合同项下的政府采购活动(提供声明</w:t>
            </w:r>
            <w:r>
              <w:rPr>
                <w:rFonts w:hint="eastAsia" w:ascii="宋体" w:hAnsi="宋体" w:eastAsia="宋体" w:cs="宋体"/>
                <w:color w:val="auto"/>
                <w:sz w:val="24"/>
                <w:highlight w:val="none"/>
                <w:lang w:val="en-US" w:eastAsia="zh-CN"/>
              </w:rPr>
              <w:t>函</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32"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8.提供有效的中小企业声明函加盖投标单位公章。</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w:t>
      </w:r>
      <w:r>
        <w:rPr>
          <w:rFonts w:hint="eastAsia" w:ascii="宋体" w:hAnsi="宋体" w:eastAsia="宋体" w:cs="宋体"/>
          <w:color w:val="auto"/>
          <w:sz w:val="24"/>
          <w:highlight w:val="none"/>
          <w:lang w:val="en-US" w:eastAsia="zh-CN"/>
        </w:rPr>
        <w:t>见公告招标代理公司信息</w:t>
      </w:r>
      <w:r>
        <w:rPr>
          <w:rFonts w:hint="eastAsia" w:ascii="宋体" w:hAnsi="宋体" w:eastAsia="宋体" w:cs="宋体"/>
          <w:color w:val="auto"/>
          <w:sz w:val="24"/>
          <w:highlight w:val="none"/>
        </w:rPr>
        <w:t>）投标人对采购人的质疑答复不满意或者采购人未在规定时间内作出答复的，可以在答复期满后十五个工作日内向同级采购监管部门投诉。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highlight w:val="none"/>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满足招标文件要求且投标价格最低的投标报价为评标基准价，其价格分为满分。其他投标人的价格分统一按照下列公式计算（保留两位小数）：投标报价得分=（评标基准价/投标报价）×33%×100</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highlight w:val="none"/>
              </w:rPr>
              <w:t>每份业绩的证明材料须齐全，否则该份业绩不予计分。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color w:val="auto"/>
                <w:sz w:val="24"/>
                <w:szCs w:val="24"/>
                <w:highlight w:val="none"/>
                <w:vertAlign w:val="baseline"/>
                <w:lang w:eastAsia="zh-CN"/>
              </w:rPr>
              <w:t>条款</w:t>
            </w:r>
            <w:r>
              <w:rPr>
                <w:rFonts w:hint="eastAsia" w:ascii="宋体" w:hAnsi="宋体" w:eastAsia="宋体" w:cs="宋体"/>
                <w:color w:val="auto"/>
                <w:sz w:val="24"/>
                <w:szCs w:val="24"/>
                <w:highlight w:val="none"/>
                <w:vertAlign w:val="baseline"/>
              </w:rPr>
              <w:t>负偏离扣</w:t>
            </w:r>
            <w:r>
              <w:rPr>
                <w:rFonts w:hint="eastAsia" w:ascii="宋体" w:hAnsi="宋体" w:eastAsia="宋体" w:cs="宋体"/>
                <w:color w:val="auto"/>
                <w:sz w:val="24"/>
                <w:szCs w:val="24"/>
                <w:highlight w:val="none"/>
                <w:vertAlign w:val="baseline"/>
                <w:lang w:val="en-US" w:eastAsia="zh-CN"/>
              </w:rPr>
              <w:t>5</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，非</w:t>
            </w:r>
            <w:r>
              <w:rPr>
                <w:rFonts w:hint="eastAsia" w:ascii="宋体" w:hAnsi="宋体" w:eastAsia="宋体" w:cs="宋体"/>
                <w:color w:val="auto"/>
                <w:sz w:val="24"/>
                <w:szCs w:val="24"/>
                <w:highlight w:val="none"/>
                <w:vertAlign w:val="baseline"/>
              </w:rPr>
              <w:t>★</w:t>
            </w:r>
            <w:r>
              <w:rPr>
                <w:rFonts w:hint="eastAsia" w:ascii="宋体" w:hAnsi="宋体" w:eastAsia="宋体" w:cs="宋体"/>
                <w:color w:val="auto"/>
                <w:sz w:val="24"/>
                <w:szCs w:val="24"/>
                <w:highlight w:val="none"/>
                <w:lang w:eastAsia="zh-CN"/>
              </w:rPr>
              <w:t>条款</w:t>
            </w:r>
            <w:r>
              <w:rPr>
                <w:rFonts w:hint="eastAsia" w:ascii="宋体" w:hAnsi="宋体" w:eastAsia="宋体" w:cs="宋体"/>
                <w:color w:val="auto"/>
                <w:sz w:val="24"/>
                <w:szCs w:val="24"/>
                <w:highlight w:val="none"/>
                <w:vertAlign w:val="baseline"/>
              </w:rPr>
              <w:t>每有一项负偏离扣</w:t>
            </w:r>
            <w:r>
              <w:rPr>
                <w:rFonts w:hint="eastAsia" w:ascii="宋体" w:hAnsi="宋体" w:eastAsia="宋体" w:cs="宋体"/>
                <w:color w:val="auto"/>
                <w:sz w:val="24"/>
                <w:szCs w:val="24"/>
                <w:highlight w:val="none"/>
                <w:vertAlign w:val="baseline"/>
                <w:lang w:val="en-US" w:eastAsia="zh-CN"/>
              </w:rPr>
              <w:t>3</w:t>
            </w:r>
            <w:r>
              <w:rPr>
                <w:rFonts w:hint="eastAsia" w:ascii="宋体" w:hAnsi="宋体" w:eastAsia="宋体" w:cs="宋体"/>
                <w:color w:val="auto"/>
                <w:sz w:val="24"/>
                <w:szCs w:val="24"/>
                <w:highlight w:val="none"/>
                <w:vertAlign w:val="baseline"/>
              </w:rPr>
              <w:t>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w:t>
            </w:r>
            <w:r>
              <w:rPr>
                <w:rFonts w:hint="eastAsia" w:ascii="宋体" w:hAnsi="宋体" w:eastAsia="宋体" w:cs="宋体"/>
                <w:b/>
                <w:bCs/>
                <w:color w:val="auto"/>
                <w:sz w:val="24"/>
                <w:szCs w:val="24"/>
                <w:highlight w:val="none"/>
                <w:vertAlign w:val="baseline"/>
                <w:lang w:val="en-US" w:eastAsia="zh-CN"/>
              </w:rPr>
              <w:t>0</w:t>
            </w:r>
            <w:r>
              <w:rPr>
                <w:rFonts w:hint="eastAsia" w:ascii="宋体" w:hAnsi="宋体" w:eastAsia="宋体" w:cs="宋体"/>
                <w:b/>
                <w:bCs/>
                <w:color w:val="auto"/>
                <w:sz w:val="24"/>
                <w:szCs w:val="24"/>
                <w:highlight w:val="none"/>
                <w:vertAlign w:val="baseline"/>
              </w:rPr>
              <w:t>明的官方截图；无前两项的，应提供经发行的市场产品宣传册。</w:t>
            </w:r>
          </w:p>
          <w:p>
            <w:pPr>
              <w:pStyle w:val="2"/>
              <w:rPr>
                <w:rFonts w:hint="eastAsia" w:ascii="宋体" w:hAnsi="宋体" w:eastAsia="宋体" w:cs="宋体"/>
                <w:b/>
                <w:bCs/>
                <w:color w:val="FF0000"/>
                <w:kern w:val="0"/>
                <w:sz w:val="24"/>
                <w:szCs w:val="24"/>
                <w:highlight w:val="none"/>
                <w:lang w:bidi="ar"/>
              </w:rPr>
            </w:pPr>
            <w:r>
              <w:rPr>
                <w:rFonts w:hint="eastAsia" w:ascii="宋体" w:hAnsi="宋体" w:eastAsia="宋体" w:cs="宋体"/>
                <w:b/>
                <w:bCs/>
                <w:color w:val="FF0000"/>
                <w:kern w:val="0"/>
                <w:sz w:val="24"/>
                <w:szCs w:val="24"/>
                <w:highlight w:val="none"/>
                <w:lang w:bidi="ar"/>
              </w:rPr>
              <w:t xml:space="preserve">注： </w:t>
            </w:r>
          </w:p>
          <w:p>
            <w:pPr>
              <w:pStyle w:val="2"/>
              <w:rPr>
                <w:rFonts w:hint="eastAsia" w:ascii="宋体" w:hAnsi="宋体" w:eastAsia="宋体" w:cs="宋体"/>
                <w:color w:val="FF0000"/>
                <w:sz w:val="24"/>
                <w:szCs w:val="24"/>
                <w:highlight w:val="none"/>
              </w:rPr>
            </w:pPr>
            <w:r>
              <w:rPr>
                <w:rFonts w:hint="eastAsia" w:ascii="宋体" w:hAnsi="宋体" w:eastAsia="宋体" w:cs="宋体"/>
                <w:b/>
                <w:bCs/>
                <w:color w:val="FF0000"/>
                <w:kern w:val="0"/>
                <w:sz w:val="24"/>
                <w:szCs w:val="24"/>
                <w:highlight w:val="none"/>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highlight w:val="none"/>
                <w:lang w:bidi="ar"/>
              </w:rPr>
              <w:t>2.技术参数中指标性数值完全复制招标文件要求的属于负偏离，文字性描述复制的不属于负偏离，技术参数响应指标与检测报告（采购需求中若要求提供时）不一致的属于负偏离。</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招标文件技术参数中“☆”为产品优势项，得分为固定分值。</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对技术规格偏离表中技术参数的响应进行评审，比较各投标单位该项指标性能参数。</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四</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 xml:space="preserve"> 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五</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5、4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技术参数偏离表中关于产品优势的响应内容，须提供带有CMA或CNAS标识的检测报告，否则不予认定。</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质保期响应招标文件要求，在招标文件要求基础上每增加</w:t>
            </w:r>
            <w:r>
              <w:rPr>
                <w:rFonts w:hint="eastAsia" w:ascii="宋体" w:hAnsi="宋体" w:eastAsia="宋体" w:cs="宋体"/>
                <w:sz w:val="24"/>
                <w:szCs w:val="24"/>
                <w:highlight w:val="none"/>
                <w:lang w:val="en-US" w:eastAsia="zh-CN"/>
              </w:rPr>
              <w:t>1年</w:t>
            </w:r>
            <w:r>
              <w:rPr>
                <w:rFonts w:hint="eastAsia" w:ascii="宋体" w:hAnsi="宋体" w:eastAsia="宋体" w:cs="宋体"/>
                <w:sz w:val="24"/>
                <w:szCs w:val="24"/>
                <w:highlight w:val="none"/>
                <w:lang w:eastAsia="zh-CN"/>
              </w:rPr>
              <w:t>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w:t>
            </w:r>
            <w:r>
              <w:rPr>
                <w:rFonts w:hint="eastAsia" w:ascii="宋体" w:hAnsi="宋体" w:eastAsia="宋体" w:cs="宋体"/>
                <w:sz w:val="24"/>
                <w:szCs w:val="24"/>
                <w:highlight w:val="none"/>
                <w:lang w:val="en-US" w:eastAsia="zh-CN"/>
              </w:rPr>
              <w:t>未提供不得分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质保期内提供维护保养，每提供1次，得0.5分，满分1分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技术培训</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结合项目采购需求，提供售后培训，装备交付时对指战员进行集中培训，确保学懂弄通并熟练操作，对投标人的售后培训方案进行评审：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①培训内容、培训时间计划及培训人员安排；</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②产品使用注意事项、重点难点情况分析及培训结果保障措施；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应急事故响应及处理方案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①如可能发生的应急事故、装备抢修情况分析；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ind w:firstLine="480" w:firstLineChars="200"/>
        <w:rPr>
          <w:rFonts w:hint="eastAsia" w:ascii="宋体" w:hAnsi="宋体" w:eastAsia="宋体" w:cs="宋体"/>
          <w:b w:val="0"/>
          <w:bCs/>
          <w:color w:val="auto"/>
          <w:kern w:val="2"/>
          <w:sz w:val="24"/>
          <w:szCs w:val="24"/>
          <w:highlight w:val="none"/>
          <w:lang w:val="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7895"/>
      <w:bookmarkStart w:id="76" w:name="_Toc32413"/>
      <w:r>
        <w:rPr>
          <w:rFonts w:hint="eastAsia" w:ascii="宋体" w:hAnsi="宋体" w:eastAsia="宋体" w:cs="宋体"/>
          <w:b/>
          <w:sz w:val="36"/>
          <w:szCs w:val="36"/>
          <w:highlight w:val="none"/>
        </w:rPr>
        <w:t xml:space="preserve">第四章 </w:t>
      </w:r>
      <w:bookmarkEnd w:id="75"/>
      <w:bookmarkEnd w:id="76"/>
      <w:r>
        <w:rPr>
          <w:rFonts w:hint="eastAsia" w:ascii="宋体" w:hAnsi="宋体" w:eastAsia="宋体" w:cs="宋体"/>
          <w:b/>
          <w:sz w:val="36"/>
          <w:szCs w:val="36"/>
          <w:highlight w:val="none"/>
        </w:rPr>
        <w:t>合同条款（参考格式）</w:t>
      </w:r>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13414"/>
      <w:bookmarkStart w:id="78" w:name="_Toc26975"/>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6135"/>
      <w:bookmarkStart w:id="80" w:name="_Toc24374"/>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22275"/>
      <w:bookmarkStart w:id="82" w:name="_Toc17914"/>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highlight w:val="none"/>
          <w:lang w:eastAsia="zh-Hans"/>
        </w:rPr>
      </w:pPr>
      <w:bookmarkStart w:id="83" w:name="_Toc13078"/>
      <w:bookmarkStart w:id="84" w:name="_Toc793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highlight w:val="none"/>
          <w:lang w:eastAsia="zh-Hans"/>
        </w:rPr>
      </w:pPr>
    </w:p>
    <w:p>
      <w:pPr>
        <w:pStyle w:val="4"/>
        <w:outlineLvl w:val="9"/>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142819438"/>
      <w:bookmarkStart w:id="87" w:name="_Toc155544236"/>
      <w:bookmarkStart w:id="88" w:name="_Toc419230801"/>
      <w:bookmarkStart w:id="89" w:name="_Toc356283733"/>
      <w:bookmarkStart w:id="90" w:name="_Toc137493721"/>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rPr>
        <w:t>01</w:t>
      </w:r>
      <w:r>
        <w:rPr>
          <w:rFonts w:hint="eastAsia" w:ascii="宋体" w:hAnsi="宋体" w:eastAsia="宋体" w:cs="宋体"/>
          <w:color w:val="auto"/>
          <w:highlight w:val="none"/>
        </w:rPr>
        <w:t>凿岩机</w:t>
      </w:r>
    </w:p>
    <w:bookmarkEnd w:id="86"/>
    <w:bookmarkEnd w:id="87"/>
    <w:bookmarkEnd w:id="88"/>
    <w:bookmarkEnd w:id="89"/>
    <w:bookmarkEnd w:id="90"/>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一、总体要求</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lang w:val="en-US" w:eastAsia="zh-CN"/>
        </w:rPr>
        <w:t>可</w:t>
      </w:r>
      <w:r>
        <w:rPr>
          <w:rFonts w:hint="eastAsia" w:ascii="宋体" w:hAnsi="宋体" w:eastAsia="宋体" w:cs="宋体"/>
          <w:color w:val="auto"/>
          <w:kern w:val="0"/>
          <w:sz w:val="24"/>
          <w:szCs w:val="24"/>
          <w:highlight w:val="none"/>
        </w:rPr>
        <w:t>用于混凝土、石料等破拆、打孔等。</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二、性能要求</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kern w:val="0"/>
          <w:sz w:val="24"/>
          <w:szCs w:val="24"/>
          <w:highlight w:val="none"/>
        </w:rPr>
        <w:t>2.1发动机最大输出功率≥2.0kw。</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*2.2冲击频率≥1000次/min。</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kern w:val="0"/>
          <w:sz w:val="24"/>
          <w:szCs w:val="24"/>
          <w:highlight w:val="none"/>
        </w:rPr>
        <w:t>冲击频率</w:t>
      </w:r>
      <w:r>
        <w:rPr>
          <w:rFonts w:hint="eastAsia" w:ascii="宋体" w:hAnsi="宋体" w:eastAsia="宋体" w:cs="宋体"/>
          <w:color w:val="FF0000"/>
          <w:kern w:val="0"/>
          <w:sz w:val="24"/>
          <w:szCs w:val="24"/>
          <w:highlight w:val="none"/>
          <w:lang w:eastAsia="zh-CN"/>
        </w:rPr>
        <w:t>：</w:t>
      </w:r>
      <w:r>
        <w:rPr>
          <w:rFonts w:hint="eastAsia" w:ascii="宋体" w:hAnsi="宋体" w:eastAsia="宋体" w:cs="宋体"/>
          <w:bCs/>
          <w:color w:val="FF0000"/>
          <w:sz w:val="24"/>
          <w:szCs w:val="24"/>
          <w:highlight w:val="none"/>
        </w:rPr>
        <w:t>分为四档，一至四挡分别为：冲击频率＞1900；1900≥冲击频率＞1600；1600≥冲击频率＞1300；1300≥冲击频率＞1000；</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*2.3冲击能≥50J。</w:t>
      </w:r>
    </w:p>
    <w:p>
      <w:pPr>
        <w:spacing w:line="360" w:lineRule="auto"/>
        <w:rPr>
          <w:rFonts w:hint="eastAsia" w:ascii="宋体" w:hAnsi="宋体" w:eastAsia="宋体" w:cs="宋体"/>
          <w:bCs/>
          <w:color w:val="FF0000"/>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kern w:val="0"/>
          <w:sz w:val="24"/>
          <w:szCs w:val="24"/>
          <w:highlight w:val="none"/>
        </w:rPr>
        <w:t>冲击能</w:t>
      </w:r>
      <w:r>
        <w:rPr>
          <w:rFonts w:hint="eastAsia" w:ascii="宋体" w:hAnsi="宋体" w:eastAsia="宋体" w:cs="宋体"/>
          <w:color w:val="FF0000"/>
          <w:kern w:val="0"/>
          <w:sz w:val="24"/>
          <w:szCs w:val="24"/>
          <w:highlight w:val="none"/>
          <w:lang w:eastAsia="zh-CN"/>
        </w:rPr>
        <w:t>：</w:t>
      </w:r>
      <w:r>
        <w:rPr>
          <w:rFonts w:hint="eastAsia" w:ascii="宋体" w:hAnsi="宋体" w:eastAsia="宋体" w:cs="宋体"/>
          <w:bCs/>
          <w:color w:val="FF0000"/>
          <w:sz w:val="24"/>
          <w:szCs w:val="24"/>
          <w:highlight w:val="none"/>
        </w:rPr>
        <w:t>分为五档，一至五挡分别为：冲击能力＞70；70≥冲击能力＞65；</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bCs/>
          <w:color w:val="FF0000"/>
          <w:sz w:val="24"/>
          <w:szCs w:val="24"/>
          <w:highlight w:val="none"/>
        </w:rPr>
        <w:t>65≥冲击能力＞60；60≥冲击能力＞55；55≥冲击能力＞50；</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*2.4、质量≤25kg。</w:t>
      </w:r>
    </w:p>
    <w:p>
      <w:pPr>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val="en-US" w:eastAsia="zh-CN"/>
        </w:rPr>
        <w:t>质量</w:t>
      </w:r>
      <w:r>
        <w:rPr>
          <w:rFonts w:hint="eastAsia" w:ascii="宋体" w:hAnsi="宋体" w:eastAsia="宋体" w:cs="宋体"/>
          <w:bCs/>
          <w:color w:val="FF0000"/>
          <w:sz w:val="24"/>
          <w:szCs w:val="24"/>
          <w:highlight w:val="none"/>
        </w:rPr>
        <w:t>分为四档，一至四挡分别为：质量＜19；19≤质量＜21；21≤质量＜23；23≤质量＜25；</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kern w:val="0"/>
          <w:sz w:val="24"/>
          <w:szCs w:val="24"/>
          <w:highlight w:val="none"/>
          <w:lang w:val="en-US" w:eastAsia="zh-CN"/>
        </w:rPr>
        <w:t>2.5</w:t>
      </w:r>
      <w:r>
        <w:rPr>
          <w:rFonts w:hint="eastAsia" w:ascii="宋体" w:hAnsi="宋体" w:eastAsia="宋体" w:cs="宋体"/>
          <w:color w:val="auto"/>
          <w:kern w:val="0"/>
          <w:sz w:val="24"/>
          <w:szCs w:val="24"/>
          <w:highlight w:val="none"/>
        </w:rPr>
        <w:t>发动机类型：气冷式、二冲程、汽油发动机</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三、其他要求</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3.1供货时，须提供</w:t>
      </w:r>
      <w:r>
        <w:rPr>
          <w:rFonts w:hint="eastAsia" w:ascii="宋体" w:hAnsi="宋体" w:eastAsia="宋体" w:cs="宋体"/>
          <w:color w:val="auto"/>
          <w:kern w:val="0"/>
          <w:sz w:val="24"/>
          <w:szCs w:val="24"/>
          <w:highlight w:val="none"/>
          <w:lang w:eastAsia="zh-CN"/>
        </w:rPr>
        <w:t>使用说明书</w:t>
      </w:r>
      <w:r>
        <w:rPr>
          <w:rFonts w:hint="eastAsia" w:ascii="宋体" w:hAnsi="宋体" w:eastAsia="宋体" w:cs="宋体"/>
          <w:color w:val="auto"/>
          <w:kern w:val="0"/>
          <w:sz w:val="24"/>
          <w:szCs w:val="24"/>
          <w:highlight w:val="none"/>
        </w:rPr>
        <w:t>、产品品牌、生产厂家详细地址、联络方式及代理商的详细地址和售后服务联络方式。</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3.2投标时，提供省级或省级以上检测机构出具的检测报告。</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可能采取的验收办法</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4.1现场对</w:t>
      </w:r>
      <w:r>
        <w:rPr>
          <w:rFonts w:hint="eastAsia" w:ascii="宋体" w:hAnsi="宋体" w:eastAsia="宋体" w:cs="宋体"/>
          <w:bCs/>
          <w:color w:val="auto"/>
          <w:sz w:val="24"/>
          <w:szCs w:val="24"/>
          <w:highlight w:val="none"/>
        </w:rPr>
        <w:t>发动机功率</w:t>
      </w:r>
      <w:r>
        <w:rPr>
          <w:rFonts w:hint="eastAsia" w:ascii="宋体" w:hAnsi="宋体" w:eastAsia="宋体" w:cs="宋体"/>
          <w:color w:val="auto"/>
          <w:sz w:val="24"/>
          <w:szCs w:val="24"/>
          <w:highlight w:val="none"/>
          <w:lang w:val="en-US" w:eastAsia="zh-CN"/>
        </w:rPr>
        <w:t>进行</w:t>
      </w:r>
      <w:r>
        <w:rPr>
          <w:rFonts w:hint="eastAsia" w:ascii="宋体" w:hAnsi="宋体" w:eastAsia="宋体" w:cs="宋体"/>
          <w:bCs/>
          <w:color w:val="auto"/>
          <w:sz w:val="24"/>
          <w:szCs w:val="24"/>
          <w:highlight w:val="none"/>
          <w:lang w:val="en-US" w:eastAsia="zh-CN"/>
        </w:rPr>
        <w:t>测试</w:t>
      </w:r>
      <w:r>
        <w:rPr>
          <w:rFonts w:hint="eastAsia" w:ascii="宋体" w:hAnsi="宋体" w:eastAsia="宋体" w:cs="宋体"/>
          <w:color w:val="auto"/>
          <w:sz w:val="24"/>
          <w:szCs w:val="24"/>
          <w:highlight w:val="none"/>
          <w:lang w:val="en-US" w:eastAsia="zh-CN"/>
        </w:rPr>
        <w:t>。</w:t>
      </w:r>
    </w:p>
    <w:p>
      <w:pPr>
        <w:pStyle w:val="33"/>
        <w:numPr>
          <w:ilvl w:val="0"/>
          <w:numId w:val="0"/>
        </w:numPr>
        <w:spacing w:line="360" w:lineRule="auto"/>
        <w:rPr>
          <w:rFonts w:hint="eastAsia" w:ascii="宋体" w:hAnsi="宋体" w:eastAsia="宋体" w:cs="宋体"/>
          <w:b/>
          <w:bCs/>
          <w:color w:val="0000FF"/>
          <w:kern w:val="0"/>
          <w:sz w:val="24"/>
          <w:szCs w:val="24"/>
          <w:highlight w:val="none"/>
          <w:lang w:eastAsia="zh-CN" w:bidi="ar"/>
        </w:rPr>
      </w:pPr>
      <w:r>
        <w:rPr>
          <w:rFonts w:hint="eastAsia" w:ascii="宋体" w:hAnsi="宋体" w:eastAsia="宋体" w:cs="宋体"/>
          <w:color w:val="auto"/>
          <w:sz w:val="24"/>
          <w:szCs w:val="24"/>
          <w:highlight w:val="none"/>
          <w:lang w:val="en-US" w:eastAsia="zh-CN"/>
        </w:rPr>
        <w:t>4.2聘请未中标人员进行验收。</w:t>
      </w: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pStyle w:val="2"/>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1.自货物最终验收合格之日起质保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年，质保期自验收合格之日起计算，保修期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2.投标人对消防救援队伍提出的维修需求,要及时响应、远程指导修复。对远程指导不能修复的,要派技术人员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小时内到场维修。国内有配件的一般故障在</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小时内修复,较大故障</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内修复。国内没有配件的,应在60日内提供配件并修复。同时设立24小时值守电话（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highlight w:val="none"/>
        </w:rPr>
        <w:t>3.售后服务其他相关要求内容</w:t>
      </w:r>
      <w:r>
        <w:rPr>
          <w:rFonts w:hint="eastAsia" w:ascii="宋体" w:hAnsi="宋体" w:eastAsia="宋体" w:cs="宋体"/>
          <w:b/>
          <w:bCs/>
          <w:sz w:val="24"/>
          <w:szCs w:val="24"/>
          <w:highlight w:val="none"/>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B0382"/>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3D0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518F1"/>
    <w:rsid w:val="09EF6C13"/>
    <w:rsid w:val="0A025187"/>
    <w:rsid w:val="0A046516"/>
    <w:rsid w:val="0A132C02"/>
    <w:rsid w:val="0A14667A"/>
    <w:rsid w:val="0A171CC6"/>
    <w:rsid w:val="0A1C5AFB"/>
    <w:rsid w:val="0A1E3055"/>
    <w:rsid w:val="0A252635"/>
    <w:rsid w:val="0A2A7852"/>
    <w:rsid w:val="0A46326B"/>
    <w:rsid w:val="0A4972F7"/>
    <w:rsid w:val="0A4E1BC9"/>
    <w:rsid w:val="0A561BE3"/>
    <w:rsid w:val="0A767E31"/>
    <w:rsid w:val="0A7C6506"/>
    <w:rsid w:val="0A8A2498"/>
    <w:rsid w:val="0A995807"/>
    <w:rsid w:val="0AA01CBB"/>
    <w:rsid w:val="0AA20035"/>
    <w:rsid w:val="0AA25A34"/>
    <w:rsid w:val="0AA3524B"/>
    <w:rsid w:val="0AAC0660"/>
    <w:rsid w:val="0AB1457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6A0F78"/>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F0EA7"/>
    <w:rsid w:val="0C143C92"/>
    <w:rsid w:val="0C175FAD"/>
    <w:rsid w:val="0C2D57D1"/>
    <w:rsid w:val="0C3E178C"/>
    <w:rsid w:val="0C3F131E"/>
    <w:rsid w:val="0C402AA0"/>
    <w:rsid w:val="0C5B0DF3"/>
    <w:rsid w:val="0C5D5C8B"/>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E000FA"/>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36721"/>
    <w:rsid w:val="131D046B"/>
    <w:rsid w:val="13272BE8"/>
    <w:rsid w:val="13427DB4"/>
    <w:rsid w:val="134A5690"/>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05579"/>
    <w:rsid w:val="140137CB"/>
    <w:rsid w:val="14024910"/>
    <w:rsid w:val="14092680"/>
    <w:rsid w:val="14213E6D"/>
    <w:rsid w:val="1432417D"/>
    <w:rsid w:val="14456D19"/>
    <w:rsid w:val="147246C9"/>
    <w:rsid w:val="14792A17"/>
    <w:rsid w:val="147E12BF"/>
    <w:rsid w:val="148B578A"/>
    <w:rsid w:val="148F527B"/>
    <w:rsid w:val="14B4753E"/>
    <w:rsid w:val="14BC5944"/>
    <w:rsid w:val="14C01186"/>
    <w:rsid w:val="14C0618C"/>
    <w:rsid w:val="14C12F5A"/>
    <w:rsid w:val="14C52A4A"/>
    <w:rsid w:val="14CE4E21"/>
    <w:rsid w:val="14DA401C"/>
    <w:rsid w:val="14DE1D5E"/>
    <w:rsid w:val="14DF6D1B"/>
    <w:rsid w:val="14E1184E"/>
    <w:rsid w:val="14EA0703"/>
    <w:rsid w:val="14F43995"/>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9B7843"/>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A2257E"/>
    <w:rsid w:val="1BB22884"/>
    <w:rsid w:val="1BBA79BA"/>
    <w:rsid w:val="1BBE01F3"/>
    <w:rsid w:val="1BDF4B6E"/>
    <w:rsid w:val="1BE539D2"/>
    <w:rsid w:val="1BF1169D"/>
    <w:rsid w:val="1BF73705"/>
    <w:rsid w:val="1BFE15F2"/>
    <w:rsid w:val="1BFF5A71"/>
    <w:rsid w:val="1C00080C"/>
    <w:rsid w:val="1C00267E"/>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7961F5"/>
    <w:rsid w:val="218D114E"/>
    <w:rsid w:val="21A12149"/>
    <w:rsid w:val="21A41C3A"/>
    <w:rsid w:val="21A659B2"/>
    <w:rsid w:val="21A812C1"/>
    <w:rsid w:val="21BA145D"/>
    <w:rsid w:val="21C422DC"/>
    <w:rsid w:val="21D249F9"/>
    <w:rsid w:val="21F93D33"/>
    <w:rsid w:val="21FC28D6"/>
    <w:rsid w:val="21FE134A"/>
    <w:rsid w:val="220B1CB9"/>
    <w:rsid w:val="220F3557"/>
    <w:rsid w:val="22123047"/>
    <w:rsid w:val="221C125D"/>
    <w:rsid w:val="221D711C"/>
    <w:rsid w:val="221E4FCE"/>
    <w:rsid w:val="22244B28"/>
    <w:rsid w:val="22396826"/>
    <w:rsid w:val="22431452"/>
    <w:rsid w:val="224C3750"/>
    <w:rsid w:val="224D26CF"/>
    <w:rsid w:val="224F6049"/>
    <w:rsid w:val="22511DC1"/>
    <w:rsid w:val="22535DAF"/>
    <w:rsid w:val="226129BC"/>
    <w:rsid w:val="22721D38"/>
    <w:rsid w:val="2280475D"/>
    <w:rsid w:val="22823C2A"/>
    <w:rsid w:val="22A31EF1"/>
    <w:rsid w:val="22AA563A"/>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7E6D28"/>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995AE5"/>
    <w:rsid w:val="26B20955"/>
    <w:rsid w:val="26BA342F"/>
    <w:rsid w:val="26BC60C2"/>
    <w:rsid w:val="26C1503C"/>
    <w:rsid w:val="26C568DA"/>
    <w:rsid w:val="26C94DFB"/>
    <w:rsid w:val="26D7660D"/>
    <w:rsid w:val="26E14ED6"/>
    <w:rsid w:val="26FF6A0B"/>
    <w:rsid w:val="27005B64"/>
    <w:rsid w:val="270A0791"/>
    <w:rsid w:val="270C275B"/>
    <w:rsid w:val="2725381D"/>
    <w:rsid w:val="272E26D1"/>
    <w:rsid w:val="273A786C"/>
    <w:rsid w:val="273E668C"/>
    <w:rsid w:val="274E52FB"/>
    <w:rsid w:val="27593A7F"/>
    <w:rsid w:val="275B0FEC"/>
    <w:rsid w:val="27611F1D"/>
    <w:rsid w:val="276161F4"/>
    <w:rsid w:val="276205CD"/>
    <w:rsid w:val="27730567"/>
    <w:rsid w:val="27736336"/>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524F49"/>
    <w:rsid w:val="29657F00"/>
    <w:rsid w:val="29670395"/>
    <w:rsid w:val="297F6741"/>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500845"/>
    <w:rsid w:val="2B6A577E"/>
    <w:rsid w:val="2B6C5576"/>
    <w:rsid w:val="2B856638"/>
    <w:rsid w:val="2B8A00F2"/>
    <w:rsid w:val="2B8D373E"/>
    <w:rsid w:val="2B903E10"/>
    <w:rsid w:val="2B9D6077"/>
    <w:rsid w:val="2B9F687E"/>
    <w:rsid w:val="2BA07020"/>
    <w:rsid w:val="2BAE091B"/>
    <w:rsid w:val="2BB1567F"/>
    <w:rsid w:val="2BB94533"/>
    <w:rsid w:val="2BC27474"/>
    <w:rsid w:val="2BC929C8"/>
    <w:rsid w:val="2BCA4992"/>
    <w:rsid w:val="2BDB3036"/>
    <w:rsid w:val="2BE617CC"/>
    <w:rsid w:val="2BEC264E"/>
    <w:rsid w:val="2BF13CCD"/>
    <w:rsid w:val="2C0063BD"/>
    <w:rsid w:val="2C043A01"/>
    <w:rsid w:val="2C144D04"/>
    <w:rsid w:val="2C153E60"/>
    <w:rsid w:val="2C1B6F9C"/>
    <w:rsid w:val="2C2C2EC6"/>
    <w:rsid w:val="2C33078A"/>
    <w:rsid w:val="2C3F2C8B"/>
    <w:rsid w:val="2C4F5BEA"/>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228B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26B4B"/>
    <w:rsid w:val="30253997"/>
    <w:rsid w:val="30314FE0"/>
    <w:rsid w:val="30395C43"/>
    <w:rsid w:val="304331AF"/>
    <w:rsid w:val="30466CDD"/>
    <w:rsid w:val="304765B2"/>
    <w:rsid w:val="30556F21"/>
    <w:rsid w:val="30580762"/>
    <w:rsid w:val="305A22D9"/>
    <w:rsid w:val="305D7B83"/>
    <w:rsid w:val="305E56A9"/>
    <w:rsid w:val="3063094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1E382E"/>
    <w:rsid w:val="342015F4"/>
    <w:rsid w:val="34211AAB"/>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2873D2"/>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073D32"/>
    <w:rsid w:val="3911775D"/>
    <w:rsid w:val="391B4A1A"/>
    <w:rsid w:val="391B4A7F"/>
    <w:rsid w:val="39202096"/>
    <w:rsid w:val="392456E2"/>
    <w:rsid w:val="393A4F06"/>
    <w:rsid w:val="39416530"/>
    <w:rsid w:val="39477943"/>
    <w:rsid w:val="394C69E7"/>
    <w:rsid w:val="394D28ED"/>
    <w:rsid w:val="394F0285"/>
    <w:rsid w:val="39580843"/>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97EF0"/>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D1792F"/>
    <w:rsid w:val="3CEB2A8A"/>
    <w:rsid w:val="3CF7310E"/>
    <w:rsid w:val="3D0A2E41"/>
    <w:rsid w:val="3D0C0967"/>
    <w:rsid w:val="3D0F66A9"/>
    <w:rsid w:val="3D156F03"/>
    <w:rsid w:val="3D1B6DFC"/>
    <w:rsid w:val="3D2739F3"/>
    <w:rsid w:val="3D281519"/>
    <w:rsid w:val="3D363C36"/>
    <w:rsid w:val="3D393726"/>
    <w:rsid w:val="3D3F626A"/>
    <w:rsid w:val="3D453E79"/>
    <w:rsid w:val="3D475E43"/>
    <w:rsid w:val="3D4A37C3"/>
    <w:rsid w:val="3D54332A"/>
    <w:rsid w:val="3D5642D8"/>
    <w:rsid w:val="3D572CA8"/>
    <w:rsid w:val="3D7B3D3F"/>
    <w:rsid w:val="3D9C7F56"/>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77BDC"/>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7E67E9"/>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A93FBD"/>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4F3F36"/>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9A7"/>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9524B"/>
    <w:rsid w:val="4C65211D"/>
    <w:rsid w:val="4C79769B"/>
    <w:rsid w:val="4C884529"/>
    <w:rsid w:val="4C92075D"/>
    <w:rsid w:val="4CA30BBC"/>
    <w:rsid w:val="4CD474A8"/>
    <w:rsid w:val="4CD80866"/>
    <w:rsid w:val="4CDF5113"/>
    <w:rsid w:val="4CE0596C"/>
    <w:rsid w:val="4CE3746E"/>
    <w:rsid w:val="4CEE77C7"/>
    <w:rsid w:val="4CF03E01"/>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C6BD2"/>
    <w:rsid w:val="4E6525CD"/>
    <w:rsid w:val="4E992277"/>
    <w:rsid w:val="4E9E0130"/>
    <w:rsid w:val="4EA604F0"/>
    <w:rsid w:val="4EAD157E"/>
    <w:rsid w:val="4EC254B1"/>
    <w:rsid w:val="4ECC3B73"/>
    <w:rsid w:val="4ED137BE"/>
    <w:rsid w:val="4EDD6607"/>
    <w:rsid w:val="4EDE26B3"/>
    <w:rsid w:val="4EE74D90"/>
    <w:rsid w:val="4EEB0F14"/>
    <w:rsid w:val="4EFB083B"/>
    <w:rsid w:val="4F053468"/>
    <w:rsid w:val="4F084D4E"/>
    <w:rsid w:val="4F135B85"/>
    <w:rsid w:val="4F1638C7"/>
    <w:rsid w:val="4F195165"/>
    <w:rsid w:val="4F227A85"/>
    <w:rsid w:val="4F265553"/>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9816CF"/>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CF36DE"/>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427959"/>
    <w:rsid w:val="59571349"/>
    <w:rsid w:val="59596CAE"/>
    <w:rsid w:val="595C45CC"/>
    <w:rsid w:val="596173AF"/>
    <w:rsid w:val="596A6CE9"/>
    <w:rsid w:val="596B480F"/>
    <w:rsid w:val="597E3727"/>
    <w:rsid w:val="59804AD3"/>
    <w:rsid w:val="59835FFD"/>
    <w:rsid w:val="598429A4"/>
    <w:rsid w:val="5986716D"/>
    <w:rsid w:val="598E7E44"/>
    <w:rsid w:val="59904D71"/>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D62D09"/>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CF2ED0"/>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03FC0"/>
    <w:rsid w:val="63F2026A"/>
    <w:rsid w:val="640A4042"/>
    <w:rsid w:val="6412215E"/>
    <w:rsid w:val="641937E6"/>
    <w:rsid w:val="642A14F1"/>
    <w:rsid w:val="64432611"/>
    <w:rsid w:val="644F0FB6"/>
    <w:rsid w:val="6453553C"/>
    <w:rsid w:val="6454481E"/>
    <w:rsid w:val="64610CE9"/>
    <w:rsid w:val="646D768E"/>
    <w:rsid w:val="646E5E05"/>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697FE5"/>
    <w:rsid w:val="67806025"/>
    <w:rsid w:val="67915D89"/>
    <w:rsid w:val="679D64DC"/>
    <w:rsid w:val="67A535E2"/>
    <w:rsid w:val="67A55390"/>
    <w:rsid w:val="67A755AC"/>
    <w:rsid w:val="67A770D3"/>
    <w:rsid w:val="67B33F51"/>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DD7E39"/>
    <w:rsid w:val="69E95A08"/>
    <w:rsid w:val="69EE614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51AEC"/>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B0786"/>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B1969"/>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C63AF2"/>
    <w:rsid w:val="71DB657E"/>
    <w:rsid w:val="71E35433"/>
    <w:rsid w:val="71F15DA2"/>
    <w:rsid w:val="71F65166"/>
    <w:rsid w:val="71FE04BF"/>
    <w:rsid w:val="72085BC5"/>
    <w:rsid w:val="72190E55"/>
    <w:rsid w:val="721E646B"/>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BB42FE"/>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6D0C35"/>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050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2D78A1"/>
    <w:rsid w:val="783469E8"/>
    <w:rsid w:val="78393BDC"/>
    <w:rsid w:val="783B7D77"/>
    <w:rsid w:val="7840538D"/>
    <w:rsid w:val="784116AF"/>
    <w:rsid w:val="784604CA"/>
    <w:rsid w:val="784D3606"/>
    <w:rsid w:val="78542A90"/>
    <w:rsid w:val="7856695F"/>
    <w:rsid w:val="78656BA2"/>
    <w:rsid w:val="7871539C"/>
    <w:rsid w:val="787212BF"/>
    <w:rsid w:val="7880578A"/>
    <w:rsid w:val="7885276D"/>
    <w:rsid w:val="78853F6C"/>
    <w:rsid w:val="78886285"/>
    <w:rsid w:val="78A54E3F"/>
    <w:rsid w:val="78B47B29"/>
    <w:rsid w:val="78BD058C"/>
    <w:rsid w:val="78CB76BC"/>
    <w:rsid w:val="78D747B9"/>
    <w:rsid w:val="78E0091E"/>
    <w:rsid w:val="78E33F6B"/>
    <w:rsid w:val="78EA5225"/>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BF90052"/>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96296"/>
    <w:rsid w:val="7EFB3DBC"/>
    <w:rsid w:val="7F231565"/>
    <w:rsid w:val="7F4F263F"/>
    <w:rsid w:val="7F54171E"/>
    <w:rsid w:val="7F590AE3"/>
    <w:rsid w:val="7F6F0306"/>
    <w:rsid w:val="7F791185"/>
    <w:rsid w:val="7F7D0C75"/>
    <w:rsid w:val="7F875650"/>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autoRedefine/>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40875</Words>
  <Characters>43732</Characters>
  <Lines>179</Lines>
  <Paragraphs>50</Paragraphs>
  <TotalTime>0</TotalTime>
  <ScaleCrop>false</ScaleCrop>
  <LinksUpToDate>false</LinksUpToDate>
  <CharactersWithSpaces>45494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2024-02-23T07:23:00Z</cp:lastPrinted>
  <dcterms:modified xsi:type="dcterms:W3CDTF">2024-05-06T04:44:25Z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