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第三十五标段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-35</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17385"/>
      <w:bookmarkStart w:id="2" w:name="_Toc31787"/>
      <w:bookmarkStart w:id="3" w:name="_Toc8474"/>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_Toc5103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_Toc28515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第四章 合同条款（参考格式）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_Toc32413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第五章 技术需求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_Toc9767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54</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_Toc32331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790"/>
      <w:bookmarkStart w:id="7" w:name="_Toc28359002"/>
      <w:bookmarkStart w:id="8" w:name="_Toc28359079"/>
      <w:bookmarkStart w:id="9" w:name="_Toc35393621"/>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35393622"/>
      <w:bookmarkStart w:id="12" w:name="_Toc28359003"/>
      <w:bookmarkStart w:id="13" w:name="_Toc35393791"/>
      <w:bookmarkStart w:id="14" w:name="_Toc28359080"/>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792"/>
      <w:bookmarkStart w:id="18" w:name="_Toc35393623"/>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793"/>
      <w:bookmarkStart w:id="22" w:name="_Toc35393624"/>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794"/>
      <w:bookmarkStart w:id="24" w:name="_Toc28359084"/>
      <w:bookmarkStart w:id="25" w:name="_Toc28359007"/>
      <w:bookmarkStart w:id="26" w:name="_Toc35393625"/>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795"/>
      <w:bookmarkStart w:id="28" w:name="_Toc35393626"/>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08"/>
      <w:bookmarkStart w:id="30" w:name="_Toc28359085"/>
      <w:bookmarkStart w:id="31" w:name="_Toc35393627"/>
      <w:bookmarkStart w:id="32" w:name="_Toc35393796"/>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645"/>
      <w:bookmarkStart w:id="39" w:name="_Toc28359104"/>
      <w:bookmarkStart w:id="40" w:name="_Toc35393814"/>
      <w:bookmarkStart w:id="41" w:name="_Toc28359027"/>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028"/>
      <w:bookmarkStart w:id="43" w:name="_Toc35393646"/>
      <w:bookmarkStart w:id="44" w:name="_Toc28359105"/>
      <w:bookmarkStart w:id="45" w:name="_Toc3539381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35393817"/>
      <w:bookmarkStart w:id="49" w:name="_Toc35393648"/>
      <w:bookmarkStart w:id="50" w:name="_Toc28359029"/>
      <w:bookmarkStart w:id="51" w:name="_Toc28359106"/>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电　话：0431-84916666、13514491583</w:t>
      </w:r>
    </w:p>
    <w:p>
      <w:pPr>
        <w:rPr>
          <w:rFonts w:hint="eastAsia" w:ascii="宋体" w:hAnsi="宋体" w:eastAsia="宋体" w:cs="宋体"/>
          <w:sz w:val="28"/>
          <w:szCs w:val="28"/>
        </w:rPr>
      </w:pPr>
      <w:r>
        <w:rPr>
          <w:rFonts w:hint="eastAsia" w:ascii="宋体" w:hAnsi="宋体" w:eastAsia="宋体" w:cs="宋体"/>
          <w:sz w:val="28"/>
          <w:szCs w:val="28"/>
        </w:rPr>
        <w:br w:type="page"/>
      </w:r>
    </w:p>
    <w:p>
      <w:pPr>
        <w:pStyle w:val="3"/>
        <w:tabs>
          <w:tab w:val="left" w:pos="0"/>
        </w:tabs>
        <w:autoSpaceDE w:val="0"/>
        <w:autoSpaceDN w:val="0"/>
        <w:adjustRightInd w:val="0"/>
        <w:spacing w:before="0" w:after="0" w:line="360" w:lineRule="auto"/>
        <w:jc w:val="center"/>
        <w:rPr>
          <w:rFonts w:hint="eastAsia" w:ascii="华文中宋" w:hAnsi="华文中宋" w:eastAsia="华文中宋"/>
          <w:lang w:eastAsia="zh-CN"/>
        </w:rPr>
      </w:pPr>
      <w:r>
        <w:rPr>
          <w:rFonts w:hint="eastAsia" w:ascii="华文中宋" w:hAnsi="华文中宋" w:eastAsia="华文中宋"/>
          <w:lang w:eastAsia="zh-CN"/>
        </w:rPr>
        <w:t>吉林省消防救援总队“自然灾害应急能力提升工程”装备配备项目（地震化工装备）(第4、13、27至第38标段）更正公告</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一、项目基本情况</w:t>
      </w:r>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r>
        <w:rPr>
          <w:rFonts w:hint="eastAsia" w:ascii="宋体" w:hAnsi="宋体" w:eastAsia="宋体" w:cs="宋体"/>
          <w:sz w:val="28"/>
          <w:szCs w:val="28"/>
          <w:lang w:val="en-US" w:eastAsia="zh-CN"/>
        </w:rPr>
        <w:t>(第4、13、27至第38标段）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二、更正信息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更正事项：采购公告</w:t>
      </w:r>
      <w:r>
        <w:rPr>
          <w:rFonts w:hint="eastAsia" w:ascii="宋体" w:hAnsi="宋体" w:eastAsia="宋体" w:cs="宋体"/>
          <w:sz w:val="28"/>
          <w:szCs w:val="28"/>
          <w:lang w:eastAsia="zh-CN"/>
        </w:rPr>
        <w:t>、</w:t>
      </w:r>
      <w:r>
        <w:rPr>
          <w:rFonts w:hint="eastAsia" w:ascii="宋体" w:hAnsi="宋体" w:eastAsia="宋体" w:cs="宋体"/>
          <w:sz w:val="28"/>
          <w:szCs w:val="28"/>
        </w:rPr>
        <w:t xml:space="preserve">采购文件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：将</w:t>
      </w:r>
      <w:r>
        <w:rPr>
          <w:rFonts w:hint="eastAsia" w:ascii="宋体" w:hAnsi="宋体" w:eastAsia="宋体" w:cs="宋体"/>
          <w:sz w:val="28"/>
          <w:szCs w:val="28"/>
          <w:lang w:val="en-US" w:eastAsia="zh-CN"/>
        </w:rPr>
        <w:t>第4、13、27至第38</w:t>
      </w:r>
      <w:r>
        <w:rPr>
          <w:rFonts w:hint="eastAsia" w:ascii="宋体" w:hAnsi="宋体" w:eastAsia="宋体" w:cs="宋体"/>
          <w:sz w:val="28"/>
          <w:szCs w:val="28"/>
        </w:rPr>
        <w:t>标段的招标文件中“投标文件递交、开标地点：东北亚国际金融中心（人民大街与谊民路交汇东行100米）3号楼1楼（仅开放东门、从东门进入）</w:t>
      </w:r>
      <w:r>
        <w:rPr>
          <w:rFonts w:hint="eastAsia" w:ascii="宋体" w:hAnsi="宋体" w:eastAsia="宋体" w:cs="宋体"/>
          <w:sz w:val="28"/>
          <w:szCs w:val="28"/>
          <w:lang w:eastAsia="zh-CN"/>
        </w:rPr>
        <w:t>第一开标室</w:t>
      </w:r>
      <w:r>
        <w:rPr>
          <w:rFonts w:hint="eastAsia" w:ascii="宋体" w:hAnsi="宋体" w:eastAsia="宋体" w:cs="宋体"/>
          <w:sz w:val="28"/>
          <w:szCs w:val="28"/>
        </w:rPr>
        <w:t>”</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更正为：第4、13、27至第38标段的招标文件中“投标文件递交、开标地点：</w:t>
      </w:r>
      <w:r>
        <w:rPr>
          <w:rFonts w:hint="eastAsia" w:ascii="宋体" w:hAnsi="宋体" w:eastAsia="宋体" w:cs="宋体"/>
          <w:b/>
          <w:bCs/>
          <w:sz w:val="28"/>
          <w:szCs w:val="28"/>
          <w:lang w:val="en-US" w:eastAsia="zh-CN"/>
        </w:rPr>
        <w:t>长春市高新区鸿达街248号吉林日报副楼4楼第一开标室</w:t>
      </w:r>
      <w:r>
        <w:rPr>
          <w:rFonts w:hint="eastAsia" w:ascii="宋体" w:hAnsi="宋体" w:eastAsia="宋体" w:cs="宋体"/>
          <w:sz w:val="28"/>
          <w:szCs w:val="28"/>
          <w:lang w:val="en-US" w:eastAsia="zh-CN"/>
        </w:rPr>
        <w:t>”</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原开标时间不变，只更正开标地点！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三、其他补充事宜</w:t>
      </w:r>
    </w:p>
    <w:p>
      <w:pPr>
        <w:numPr>
          <w:ilvl w:val="0"/>
          <w:numId w:val="0"/>
        </w:numPr>
        <w:ind w:firstLine="560" w:firstLineChars="2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发布媒体：中国政府采购网、采购与招标网。</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四、凡对本次公告内容提出询问，请按以下方式联系。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三十五</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提供近一年（2023年3月以后）任意两个月的依法缴纳税收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提供近一年（2023年3月以后）任意两个月的依法缴纳税收和社会保障资金的相关材料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三十五</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i w:val="0"/>
                <w:iCs w:val="0"/>
                <w:color w:val="000000"/>
                <w:kern w:val="0"/>
                <w:sz w:val="24"/>
                <w:szCs w:val="24"/>
                <w:highlight w:val="none"/>
                <w:u w:val="none"/>
                <w:lang w:val="en-US" w:eastAsia="zh-CN" w:bidi="ar"/>
              </w:rPr>
              <w:t>665.50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eastAsia="宋体" w:cs="宋体"/>
                <w:b/>
                <w:bCs/>
                <w:color w:val="auto"/>
                <w:sz w:val="24"/>
                <w:highlight w:val="none"/>
                <w:lang w:val="en-US" w:eastAsia="zh-CN"/>
              </w:rPr>
              <w:t>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121</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665.50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三十五</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66035元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w:t>
            </w:r>
            <w:r>
              <w:rPr>
                <w:rFonts w:hint="eastAsia" w:ascii="宋体" w:hAnsi="宋体" w:eastAsia="宋体" w:cs="宋体"/>
                <w:sz w:val="24"/>
                <w:highlight w:val="none"/>
              </w:rPr>
              <w:t>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05</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长春市高新区鸿达街248号吉林日报副楼4楼</w:t>
            </w:r>
            <w:bookmarkStart w:id="140" w:name="_GoBack"/>
            <w:bookmarkEnd w:id="140"/>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2、截止时点：2024年05月0</w:t>
            </w:r>
            <w:r>
              <w:rPr>
                <w:rFonts w:hint="eastAsia" w:ascii="宋体" w:hAnsi="宋体" w:cs="宋体"/>
                <w:b w:val="0"/>
                <w:bCs w:val="0"/>
                <w:color w:val="0000FF"/>
                <w:sz w:val="24"/>
                <w:highlight w:val="none"/>
                <w:lang w:val="en-US" w:eastAsia="zh-CN"/>
              </w:rPr>
              <w:t>9</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提供近一年（2023年3月以后）任意两个月的依法缴纳税收和社会保障资金的相关材料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提供近一年（2023年3月以后）任意两个月的依法缴纳税收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w:t>
      </w:r>
      <w:r>
        <w:rPr>
          <w:rFonts w:hint="eastAsia" w:ascii="宋体" w:hAnsi="宋体" w:eastAsia="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highlight w:val="none"/>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满足招标文件要求且投标价格最低的投标报价为评标基准价，其价格分为满分。其他投标人的价格分统一按照下列公式计算（保留两位小数）：投标报价得分=（评标基准价/投标报价）×37%×100</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highlight w:val="none"/>
              </w:rPr>
              <w:t>每份业绩的证明材料须齐全，否则该份业绩不予计分。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vertAlign w:val="baseline"/>
              </w:rPr>
              <w:t>★</w:t>
            </w:r>
            <w:r>
              <w:rPr>
                <w:rFonts w:hint="eastAsia" w:ascii="宋体" w:hAnsi="宋体" w:eastAsia="宋体" w:cs="宋体"/>
                <w:color w:val="auto"/>
                <w:sz w:val="24"/>
                <w:szCs w:val="24"/>
                <w:highlight w:val="none"/>
                <w:lang w:eastAsia="zh-CN"/>
              </w:rPr>
              <w:t>条款</w:t>
            </w:r>
            <w:r>
              <w:rPr>
                <w:rFonts w:hint="eastAsia" w:ascii="宋体" w:hAnsi="宋体" w:eastAsia="宋体" w:cs="宋体"/>
                <w:color w:val="auto"/>
                <w:sz w:val="24"/>
                <w:szCs w:val="24"/>
                <w:highlight w:val="none"/>
                <w:vertAlign w:val="baseline"/>
              </w:rPr>
              <w:t>每有一项负偏离扣</w:t>
            </w:r>
            <w:r>
              <w:rPr>
                <w:rFonts w:hint="eastAsia" w:ascii="宋体" w:hAnsi="宋体" w:eastAsia="宋体" w:cs="宋体"/>
                <w:color w:val="auto"/>
                <w:sz w:val="24"/>
                <w:szCs w:val="24"/>
                <w:highlight w:val="none"/>
                <w:vertAlign w:val="baseline"/>
                <w:lang w:val="en-US" w:eastAsia="zh-CN"/>
              </w:rPr>
              <w:t>3</w:t>
            </w:r>
            <w:r>
              <w:rPr>
                <w:rFonts w:hint="eastAsia" w:ascii="宋体" w:hAnsi="宋体" w:eastAsia="宋体" w:cs="宋体"/>
                <w:color w:val="auto"/>
                <w:sz w:val="24"/>
                <w:szCs w:val="24"/>
                <w:highlight w:val="none"/>
                <w:vertAlign w:val="baseline"/>
              </w:rPr>
              <w:t>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highlight w:val="none"/>
                <w:lang w:bidi="ar"/>
              </w:rPr>
            </w:pPr>
            <w:r>
              <w:rPr>
                <w:rFonts w:hint="eastAsia" w:ascii="宋体" w:hAnsi="宋体" w:eastAsia="宋体" w:cs="宋体"/>
                <w:b/>
                <w:bCs/>
                <w:color w:val="FF0000"/>
                <w:kern w:val="0"/>
                <w:sz w:val="24"/>
                <w:szCs w:val="24"/>
                <w:highlight w:val="none"/>
                <w:lang w:bidi="ar"/>
              </w:rPr>
              <w:t xml:space="preserve">注： </w:t>
            </w:r>
          </w:p>
          <w:p>
            <w:pPr>
              <w:pStyle w:val="2"/>
              <w:rPr>
                <w:rFonts w:hint="eastAsia" w:ascii="宋体" w:hAnsi="宋体" w:eastAsia="宋体" w:cs="宋体"/>
                <w:color w:val="FF0000"/>
                <w:sz w:val="24"/>
                <w:szCs w:val="24"/>
                <w:highlight w:val="none"/>
              </w:rPr>
            </w:pPr>
            <w:r>
              <w:rPr>
                <w:rFonts w:hint="eastAsia" w:ascii="宋体" w:hAnsi="宋体" w:eastAsia="宋体" w:cs="宋体"/>
                <w:b/>
                <w:bCs/>
                <w:color w:val="FF0000"/>
                <w:kern w:val="0"/>
                <w:sz w:val="24"/>
                <w:szCs w:val="24"/>
                <w:highlight w:val="none"/>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9"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四</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 xml:space="preserve"> 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五</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5、4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质保期响应招标文件要求，在招标文件要求基础上每增加</w:t>
            </w:r>
            <w:r>
              <w:rPr>
                <w:rFonts w:hint="eastAsia" w:ascii="宋体" w:hAnsi="宋体" w:eastAsia="宋体" w:cs="宋体"/>
                <w:sz w:val="24"/>
                <w:szCs w:val="24"/>
                <w:highlight w:val="none"/>
                <w:lang w:val="en-US" w:eastAsia="zh-CN"/>
              </w:rPr>
              <w:t>1年</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未提供不得分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质保期内提供维护保养，每提供1次，得0.2分，满分1分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6"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提供的方案完全满足且优于本项目需求得2分；内容完整与本项目相符得1分；所提供的内容有缺失的得0.5分，不满足项目需求或未提供得0分。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7895"/>
      <w:bookmarkStart w:id="76" w:name="_Toc32413"/>
      <w:r>
        <w:rPr>
          <w:rFonts w:hint="eastAsia" w:ascii="宋体" w:hAnsi="宋体" w:eastAsia="宋体" w:cs="宋体"/>
          <w:b/>
          <w:sz w:val="36"/>
          <w:szCs w:val="36"/>
          <w:highlight w:val="none"/>
        </w:rPr>
        <w:t xml:space="preserve">第四章 </w:t>
      </w:r>
      <w:bookmarkEnd w:id="75"/>
      <w:bookmarkEnd w:id="76"/>
      <w:r>
        <w:rPr>
          <w:rFonts w:hint="eastAsia" w:ascii="宋体" w:hAnsi="宋体" w:eastAsia="宋体" w:cs="宋体"/>
          <w:b/>
          <w:sz w:val="36"/>
          <w:szCs w:val="36"/>
          <w:highlight w:val="none"/>
        </w:rPr>
        <w:t>合同条款（参考格式）</w:t>
      </w:r>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26975"/>
      <w:bookmarkStart w:id="78" w:name="_Toc13414"/>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w:t>
      </w:r>
      <w:r>
        <w:rPr>
          <w:rFonts w:hint="eastAsia" w:ascii="宋体" w:hAnsi="宋体" w:eastAsia="宋体" w:cs="宋体"/>
          <w:kern w:val="0"/>
          <w:sz w:val="24"/>
          <w:szCs w:val="24"/>
          <w:highlight w:val="none"/>
          <w:u w:val="none"/>
        </w:rPr>
        <w:t>接收</w:t>
      </w:r>
      <w:r>
        <w:rPr>
          <w:rFonts w:hint="eastAsia" w:ascii="宋体" w:hAnsi="宋体" w:eastAsia="宋体" w:cs="宋体"/>
          <w:kern w:val="0"/>
          <w:sz w:val="24"/>
          <w:szCs w:val="24"/>
          <w:highlight w:val="none"/>
          <w:u w:val="none"/>
          <w:lang w:val="en-US" w:eastAsia="zh-CN"/>
        </w:rPr>
        <w:t>货</w:t>
      </w:r>
      <w:r>
        <w:rPr>
          <w:rFonts w:hint="eastAsia" w:ascii="宋体" w:hAnsi="宋体" w:eastAsia="宋体" w:cs="宋体"/>
          <w:kern w:val="0"/>
          <w:sz w:val="24"/>
          <w:szCs w:val="24"/>
          <w:highlight w:val="none"/>
          <w:u w:val="none"/>
        </w:rPr>
        <w:t>物，</w:t>
      </w:r>
      <w:r>
        <w:rPr>
          <w:rFonts w:hint="eastAsia" w:ascii="宋体" w:hAnsi="宋体" w:eastAsia="宋体" w:cs="宋体"/>
          <w:color w:val="auto"/>
          <w:kern w:val="0"/>
          <w:sz w:val="24"/>
          <w:szCs w:val="24"/>
          <w:highlight w:val="none"/>
          <w:u w:val="none"/>
        </w:rPr>
        <w:t>验</w:t>
      </w:r>
      <w:r>
        <w:rPr>
          <w:rFonts w:hint="eastAsia" w:ascii="宋体" w:hAnsi="宋体" w:eastAsia="宋体" w:cs="宋体"/>
          <w:color w:val="auto"/>
          <w:kern w:val="0"/>
          <w:sz w:val="24"/>
          <w:szCs w:val="24"/>
          <w:highlight w:val="none"/>
        </w:rPr>
        <w:t>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6135"/>
      <w:bookmarkStart w:id="80" w:name="_Toc24374"/>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highlight w:val="none"/>
          <w:lang w:eastAsia="zh-Hans"/>
        </w:rPr>
      </w:pPr>
      <w:bookmarkStart w:id="83" w:name="_Toc7938"/>
      <w:bookmarkStart w:id="84" w:name="_Toc1307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highlight w:val="none"/>
          <w:lang w:eastAsia="zh-Hans"/>
        </w:rPr>
      </w:pPr>
    </w:p>
    <w:p>
      <w:pPr>
        <w:pStyle w:val="4"/>
        <w:outlineLvl w:val="9"/>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137493721"/>
      <w:bookmarkStart w:id="87" w:name="_Toc155544236"/>
      <w:bookmarkStart w:id="88" w:name="_Toc142819438"/>
      <w:bookmarkStart w:id="89" w:name="_Toc419230801"/>
      <w:bookmarkStart w:id="90" w:name="_Toc356283733"/>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01</w:t>
      </w:r>
      <w:r>
        <w:rPr>
          <w:rFonts w:hint="eastAsia" w:ascii="宋体" w:hAnsi="宋体" w:eastAsia="宋体" w:cs="宋体"/>
          <w:color w:val="auto"/>
          <w:highlight w:val="none"/>
        </w:rPr>
        <w:t>液压万向剪切钳</w:t>
      </w:r>
    </w:p>
    <w:bookmarkEnd w:id="86"/>
    <w:bookmarkEnd w:id="87"/>
    <w:bookmarkEnd w:id="88"/>
    <w:bookmarkEnd w:id="89"/>
    <w:bookmarkEnd w:id="90"/>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一、总体要求</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1.1</w:t>
      </w:r>
      <w:r>
        <w:rPr>
          <w:rFonts w:hint="eastAsia" w:ascii="宋体" w:hAnsi="宋体" w:eastAsia="宋体" w:cs="宋体"/>
          <w:bCs/>
          <w:color w:val="auto"/>
          <w:sz w:val="24"/>
          <w:szCs w:val="24"/>
          <w:highlight w:val="none"/>
          <w:lang w:val="en-US" w:eastAsia="zh-CN"/>
        </w:rPr>
        <w:t>符合</w:t>
      </w:r>
      <w:r>
        <w:rPr>
          <w:rFonts w:hint="eastAsia" w:ascii="宋体" w:hAnsi="宋体" w:eastAsia="宋体" w:cs="宋体"/>
          <w:bCs/>
          <w:color w:val="auto"/>
          <w:sz w:val="24"/>
          <w:szCs w:val="24"/>
          <w:highlight w:val="none"/>
        </w:rPr>
        <w:t>《消防应急救援装备液压破拆工具通用技术条件》（GB/T 17906-2021）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lang w:val="en-US" w:eastAsia="zh-CN"/>
        </w:rPr>
        <w:t>提供带有CMA的</w:t>
      </w:r>
      <w:r>
        <w:rPr>
          <w:rFonts w:hint="eastAsia" w:ascii="宋体" w:hAnsi="宋体" w:eastAsia="宋体" w:cs="宋体"/>
          <w:color w:val="auto"/>
          <w:sz w:val="24"/>
          <w:szCs w:val="24"/>
          <w:highlight w:val="none"/>
        </w:rPr>
        <w:t>检测报告</w:t>
      </w:r>
      <w:r>
        <w:rPr>
          <w:rFonts w:hint="eastAsia" w:ascii="宋体" w:hAnsi="宋体" w:eastAsia="宋体" w:cs="宋体"/>
          <w:bCs/>
          <w:color w:val="auto"/>
          <w:sz w:val="24"/>
          <w:szCs w:val="24"/>
          <w:highlight w:val="none"/>
        </w:rPr>
        <w:t>。</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1.2主要功能：消防员在灭火或救人时强行开启门窗、拆毁建筑物的装备。</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二、性能要求</w:t>
      </w:r>
    </w:p>
    <w:p>
      <w:pPr>
        <w:pStyle w:val="8"/>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★2.1刀头旋转角度：</w:t>
      </w:r>
      <w:r>
        <w:rPr>
          <w:rFonts w:hint="eastAsia" w:ascii="宋体" w:hAnsi="宋体" w:eastAsia="宋体" w:cs="宋体"/>
          <w:bCs/>
          <w:color w:val="auto"/>
          <w:sz w:val="24"/>
          <w:szCs w:val="24"/>
          <w:highlight w:val="none"/>
          <w:lang w:val="en-US" w:eastAsia="zh-CN"/>
        </w:rPr>
        <w:t>≥180°</w:t>
      </w:r>
      <w:r>
        <w:rPr>
          <w:rFonts w:hint="eastAsia" w:ascii="宋体" w:hAnsi="宋体" w:eastAsia="宋体" w:cs="宋体"/>
          <w:bCs/>
          <w:color w:val="auto"/>
          <w:sz w:val="24"/>
          <w:szCs w:val="24"/>
          <w:highlight w:val="none"/>
        </w:rPr>
        <w:t>旋转。</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*2.2最大</w:t>
      </w:r>
      <w:r>
        <w:rPr>
          <w:rFonts w:hint="eastAsia" w:ascii="宋体" w:hAnsi="宋体" w:eastAsia="宋体" w:cs="宋体"/>
          <w:color w:val="auto"/>
          <w:sz w:val="24"/>
          <w:szCs w:val="24"/>
          <w:highlight w:val="none"/>
          <w:lang w:val="en-US" w:eastAsia="zh-CN"/>
        </w:rPr>
        <w:t>开口</w:t>
      </w:r>
      <w:r>
        <w:rPr>
          <w:rFonts w:hint="eastAsia" w:ascii="宋体" w:hAnsi="宋体" w:eastAsia="宋体" w:cs="宋体"/>
          <w:bCs/>
          <w:color w:val="auto"/>
          <w:sz w:val="24"/>
          <w:szCs w:val="24"/>
          <w:highlight w:val="none"/>
        </w:rPr>
        <w:t>距离：≥55</w:t>
      </w:r>
      <w:r>
        <w:rPr>
          <w:rFonts w:hint="eastAsia" w:ascii="宋体" w:hAnsi="宋体" w:eastAsia="宋体" w:cs="宋体"/>
          <w:bCs/>
          <w:color w:val="auto"/>
          <w:sz w:val="24"/>
          <w:szCs w:val="24"/>
          <w:highlight w:val="none"/>
          <w:lang w:val="en-US" w:eastAsia="zh-CN"/>
        </w:rPr>
        <w:t>mm</w:t>
      </w:r>
      <w:r>
        <w:rPr>
          <w:rFonts w:hint="eastAsia" w:ascii="宋体" w:hAnsi="宋体" w:eastAsia="宋体" w:cs="宋体"/>
          <w:bCs/>
          <w:color w:val="auto"/>
          <w:sz w:val="24"/>
          <w:szCs w:val="24"/>
          <w:highlight w:val="none"/>
        </w:rPr>
        <w:t>。</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*2.3剪切力：≥15吨。</w:t>
      </w:r>
    </w:p>
    <w:p>
      <w:pPr>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bCs/>
          <w:color w:val="FF0000"/>
          <w:sz w:val="24"/>
          <w:szCs w:val="24"/>
          <w:highlight w:val="none"/>
        </w:rPr>
        <w:t>剪切力</w:t>
      </w:r>
      <w:r>
        <w:rPr>
          <w:rFonts w:hint="eastAsia" w:ascii="宋体" w:hAnsi="宋体" w:eastAsia="宋体" w:cs="宋体"/>
          <w:bCs/>
          <w:color w:val="FF0000"/>
          <w:sz w:val="24"/>
          <w:szCs w:val="24"/>
          <w:highlight w:val="none"/>
          <w:lang w:val="en-US" w:eastAsia="zh-CN"/>
        </w:rPr>
        <w:t>:</w:t>
      </w:r>
      <w:r>
        <w:rPr>
          <w:rFonts w:hint="eastAsia" w:ascii="宋体" w:hAnsi="宋体" w:eastAsia="宋体" w:cs="宋体"/>
          <w:bCs/>
          <w:color w:val="FF0000"/>
          <w:sz w:val="24"/>
          <w:szCs w:val="24"/>
          <w:highlight w:val="none"/>
        </w:rPr>
        <w:t>分为五档，一至五档分别为：剪切力＞23；23≥剪切力＞21；21≥剪切力＞19；19≥剪切力＞17；17≥剪切力＞15；</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*2.4剪切圆钢直径：≥</w:t>
      </w:r>
      <w:r>
        <w:rPr>
          <w:rFonts w:hint="eastAsia" w:ascii="宋体" w:hAnsi="宋体" w:eastAsia="宋体" w:cs="宋体"/>
          <w:color w:val="auto"/>
          <w:kern w:val="0"/>
          <w:sz w:val="24"/>
          <w:szCs w:val="24"/>
          <w:highlight w:val="none"/>
        </w:rPr>
        <w:t>Φ20mm(</w:t>
      </w:r>
      <w:r>
        <w:rPr>
          <w:rFonts w:hint="eastAsia" w:ascii="宋体" w:hAnsi="宋体" w:eastAsia="宋体" w:cs="宋体"/>
          <w:color w:val="auto"/>
          <w:kern w:val="0"/>
          <w:sz w:val="24"/>
          <w:szCs w:val="24"/>
          <w:highlight w:val="none"/>
          <w:lang w:val="en-US" w:eastAsia="zh-CN"/>
        </w:rPr>
        <w:t>Q</w:t>
      </w:r>
      <w:r>
        <w:rPr>
          <w:rFonts w:hint="eastAsia" w:ascii="宋体" w:hAnsi="宋体" w:eastAsia="宋体" w:cs="宋体"/>
          <w:color w:val="auto"/>
          <w:kern w:val="0"/>
          <w:sz w:val="24"/>
          <w:szCs w:val="24"/>
          <w:highlight w:val="none"/>
        </w:rPr>
        <w:t>235材料圆钢)</w:t>
      </w:r>
      <w:r>
        <w:rPr>
          <w:rFonts w:hint="eastAsia" w:ascii="宋体" w:hAnsi="宋体" w:eastAsia="宋体" w:cs="宋体"/>
          <w:bCs/>
          <w:color w:val="auto"/>
          <w:sz w:val="24"/>
          <w:szCs w:val="24"/>
          <w:highlight w:val="none"/>
        </w:rPr>
        <w:t>。</w:t>
      </w:r>
    </w:p>
    <w:p>
      <w:pPr>
        <w:pStyle w:val="8"/>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★2.5配有电动和手动液压泵配合刀头使用</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2.6刀头</w:t>
      </w:r>
      <w:r>
        <w:rPr>
          <w:rFonts w:hint="eastAsia" w:ascii="宋体" w:hAnsi="宋体" w:eastAsia="宋体" w:cs="宋体"/>
          <w:bCs/>
          <w:color w:val="auto"/>
          <w:sz w:val="24"/>
          <w:szCs w:val="24"/>
          <w:highlight w:val="none"/>
          <w:lang w:val="en-US" w:eastAsia="zh-CN"/>
        </w:rPr>
        <w:t>质量</w:t>
      </w:r>
      <w:r>
        <w:rPr>
          <w:rFonts w:hint="eastAsia" w:ascii="宋体" w:hAnsi="宋体" w:eastAsia="宋体" w:cs="宋体"/>
          <w:bCs/>
          <w:color w:val="auto"/>
          <w:sz w:val="24"/>
          <w:szCs w:val="24"/>
          <w:highlight w:val="none"/>
        </w:rPr>
        <w:t>：≤5</w:t>
      </w:r>
      <w:r>
        <w:rPr>
          <w:rFonts w:hint="eastAsia" w:ascii="宋体" w:hAnsi="宋体" w:eastAsia="宋体" w:cs="宋体"/>
          <w:color w:val="auto"/>
          <w:sz w:val="24"/>
          <w:szCs w:val="24"/>
          <w:highlight w:val="none"/>
        </w:rPr>
        <w:t>kg</w:t>
      </w:r>
      <w:r>
        <w:rPr>
          <w:rFonts w:hint="eastAsia" w:ascii="宋体" w:hAnsi="宋体" w:eastAsia="宋体" w:cs="宋体"/>
          <w:bCs/>
          <w:color w:val="auto"/>
          <w:sz w:val="24"/>
          <w:szCs w:val="24"/>
          <w:highlight w:val="none"/>
        </w:rPr>
        <w:t>。</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bCs/>
          <w:color w:val="FF0000"/>
          <w:sz w:val="24"/>
          <w:szCs w:val="24"/>
          <w:highlight w:val="none"/>
        </w:rPr>
        <w:t>刀头</w:t>
      </w:r>
      <w:r>
        <w:rPr>
          <w:rFonts w:hint="eastAsia" w:ascii="宋体" w:hAnsi="宋体" w:eastAsia="宋体" w:cs="宋体"/>
          <w:bCs/>
          <w:color w:val="FF0000"/>
          <w:sz w:val="24"/>
          <w:szCs w:val="24"/>
          <w:highlight w:val="none"/>
          <w:lang w:val="en-US" w:eastAsia="zh-CN"/>
        </w:rPr>
        <w:t>质量</w:t>
      </w:r>
      <w:r>
        <w:rPr>
          <w:rFonts w:hint="eastAsia" w:ascii="宋体" w:hAnsi="宋体" w:eastAsia="宋体" w:cs="宋体"/>
          <w:bCs/>
          <w:color w:val="FF0000"/>
          <w:sz w:val="24"/>
          <w:szCs w:val="24"/>
          <w:highlight w:val="none"/>
        </w:rPr>
        <w:t>：分为四档，一至四挡分别为： 质量＜3.8；3.8≤质量＜4.2；4.2≤质量＜4.6；4.6≤质量＜5；</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三、其他要求</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3.1供货时，须提供</w:t>
      </w:r>
      <w:r>
        <w:rPr>
          <w:rFonts w:hint="eastAsia" w:ascii="宋体" w:hAnsi="宋体" w:eastAsia="宋体" w:cs="宋体"/>
          <w:color w:val="auto"/>
          <w:kern w:val="0"/>
          <w:sz w:val="24"/>
          <w:szCs w:val="24"/>
          <w:highlight w:val="none"/>
          <w:lang w:eastAsia="zh-CN"/>
        </w:rPr>
        <w:t>使用说明书</w:t>
      </w:r>
      <w:r>
        <w:rPr>
          <w:rFonts w:hint="eastAsia" w:ascii="宋体" w:hAnsi="宋体" w:eastAsia="宋体" w:cs="宋体"/>
          <w:color w:val="auto"/>
          <w:kern w:val="0"/>
          <w:sz w:val="24"/>
          <w:szCs w:val="24"/>
          <w:highlight w:val="none"/>
        </w:rPr>
        <w:t>、产品品牌、生产厂家详细地址、联络方式及代理商的详细地址和售后服务联络方式。</w:t>
      </w:r>
    </w:p>
    <w:p>
      <w:pPr>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可能采取的验收办法</w:t>
      </w:r>
    </w:p>
    <w:p>
      <w:pPr>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4.1现场对</w:t>
      </w:r>
      <w:r>
        <w:rPr>
          <w:rFonts w:hint="eastAsia" w:ascii="宋体" w:hAnsi="宋体" w:eastAsia="宋体" w:cs="宋体"/>
          <w:color w:val="auto"/>
          <w:kern w:val="0"/>
          <w:sz w:val="24"/>
          <w:szCs w:val="24"/>
          <w:highlight w:val="none"/>
        </w:rPr>
        <w:t>刀头旋转角度</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最大</w:t>
      </w:r>
      <w:r>
        <w:rPr>
          <w:rFonts w:hint="eastAsia" w:ascii="宋体" w:hAnsi="宋体" w:eastAsia="宋体" w:cs="宋体"/>
          <w:color w:val="auto"/>
          <w:kern w:val="0"/>
          <w:sz w:val="24"/>
          <w:szCs w:val="24"/>
          <w:highlight w:val="none"/>
          <w:lang w:val="en-US" w:eastAsia="zh-CN"/>
        </w:rPr>
        <w:t>开口</w:t>
      </w:r>
      <w:r>
        <w:rPr>
          <w:rFonts w:hint="eastAsia" w:ascii="宋体" w:hAnsi="宋体" w:eastAsia="宋体" w:cs="宋体"/>
          <w:color w:val="auto"/>
          <w:kern w:val="0"/>
          <w:sz w:val="24"/>
          <w:szCs w:val="24"/>
          <w:highlight w:val="none"/>
        </w:rPr>
        <w:t>距离</w:t>
      </w:r>
      <w:r>
        <w:rPr>
          <w:rFonts w:hint="eastAsia" w:ascii="宋体" w:hAnsi="宋体" w:eastAsia="宋体" w:cs="宋体"/>
          <w:color w:val="auto"/>
          <w:kern w:val="0"/>
          <w:sz w:val="24"/>
          <w:szCs w:val="24"/>
          <w:highlight w:val="none"/>
          <w:lang w:val="en-US" w:eastAsia="zh-CN"/>
        </w:rPr>
        <w:t>进行测量。</w:t>
      </w:r>
    </w:p>
    <w:p>
      <w:pPr>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4.2通过剪切</w:t>
      </w:r>
      <w:r>
        <w:rPr>
          <w:rFonts w:hint="eastAsia" w:ascii="宋体" w:hAnsi="宋体" w:eastAsia="宋体" w:cs="宋体"/>
          <w:color w:val="auto"/>
          <w:kern w:val="0"/>
          <w:sz w:val="24"/>
          <w:szCs w:val="24"/>
          <w:highlight w:val="none"/>
        </w:rPr>
        <w:t>≥Φ20mm(</w:t>
      </w:r>
      <w:r>
        <w:rPr>
          <w:rFonts w:hint="eastAsia" w:ascii="宋体" w:hAnsi="宋体" w:eastAsia="宋体" w:cs="宋体"/>
          <w:color w:val="auto"/>
          <w:kern w:val="0"/>
          <w:sz w:val="24"/>
          <w:szCs w:val="24"/>
          <w:highlight w:val="none"/>
          <w:lang w:val="en-US" w:eastAsia="zh-CN"/>
        </w:rPr>
        <w:t>Q</w:t>
      </w:r>
      <w:r>
        <w:rPr>
          <w:rFonts w:hint="eastAsia" w:ascii="宋体" w:hAnsi="宋体" w:eastAsia="宋体" w:cs="宋体"/>
          <w:color w:val="auto"/>
          <w:kern w:val="0"/>
          <w:sz w:val="24"/>
          <w:szCs w:val="24"/>
          <w:highlight w:val="none"/>
        </w:rPr>
        <w:t>235材料圆钢)</w:t>
      </w:r>
      <w:r>
        <w:rPr>
          <w:rFonts w:hint="eastAsia" w:ascii="宋体" w:hAnsi="宋体" w:eastAsia="宋体" w:cs="宋体"/>
          <w:color w:val="auto"/>
          <w:kern w:val="0"/>
          <w:sz w:val="24"/>
          <w:szCs w:val="24"/>
          <w:highlight w:val="none"/>
          <w:lang w:val="en-US" w:eastAsia="zh-CN"/>
        </w:rPr>
        <w:t>对</w:t>
      </w:r>
      <w:r>
        <w:rPr>
          <w:rFonts w:hint="eastAsia" w:ascii="宋体" w:hAnsi="宋体" w:eastAsia="宋体" w:cs="宋体"/>
          <w:color w:val="auto"/>
          <w:kern w:val="0"/>
          <w:sz w:val="24"/>
          <w:szCs w:val="24"/>
          <w:highlight w:val="none"/>
        </w:rPr>
        <w:t>剪切力</w:t>
      </w:r>
      <w:r>
        <w:rPr>
          <w:rFonts w:hint="eastAsia" w:ascii="宋体" w:hAnsi="宋体" w:eastAsia="宋体" w:cs="宋体"/>
          <w:color w:val="auto"/>
          <w:kern w:val="0"/>
          <w:sz w:val="24"/>
          <w:szCs w:val="24"/>
          <w:highlight w:val="none"/>
          <w:lang w:val="en-US" w:eastAsia="zh-CN"/>
        </w:rPr>
        <w:t>进行测试。</w:t>
      </w:r>
    </w:p>
    <w:p>
      <w:pPr>
        <w:pStyle w:val="33"/>
        <w:numPr>
          <w:ilvl w:val="0"/>
          <w:numId w:val="0"/>
        </w:numPr>
        <w:spacing w:line="360" w:lineRule="auto"/>
        <w:rPr>
          <w:rFonts w:hint="eastAsia" w:ascii="宋体" w:hAnsi="宋体" w:eastAsia="宋体" w:cs="宋体"/>
          <w:b/>
          <w:bCs/>
          <w:color w:val="0000FF"/>
          <w:kern w:val="0"/>
          <w:sz w:val="24"/>
          <w:szCs w:val="24"/>
          <w:highlight w:val="none"/>
          <w:lang w:eastAsia="zh-CN" w:bidi="ar"/>
        </w:rPr>
      </w:pPr>
      <w:r>
        <w:rPr>
          <w:rFonts w:hint="eastAsia" w:ascii="宋体" w:hAnsi="宋体" w:eastAsia="宋体" w:cs="宋体"/>
          <w:color w:val="auto"/>
          <w:sz w:val="24"/>
          <w:szCs w:val="24"/>
          <w:highlight w:val="none"/>
          <w:lang w:val="en-US" w:eastAsia="zh-CN"/>
        </w:rPr>
        <w:t>4.3聘请未中标人员进行验收。</w:t>
      </w: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1.自货物最终验收合格之日起质保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年，质保期自验收合格之日起计算，保修期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2.投标人对消防救援队伍提出的维修需求,要及时响应、远程指导修复。对远程指导不能修复的,要派技术人员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小时内到场维修。国内有配件的一般故障在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小时内修复,较大故障</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内修复。国内没有配件的,应在60日内提供配件并修复。同时设立24小时值守电话（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highlight w:val="none"/>
        </w:rPr>
        <w:t>3.售后服务其他相关要求内容</w:t>
      </w:r>
      <w:r>
        <w:rPr>
          <w:rFonts w:hint="eastAsia" w:ascii="宋体" w:hAnsi="宋体" w:eastAsia="宋体" w:cs="宋体"/>
          <w:b/>
          <w:bCs/>
          <w:sz w:val="24"/>
          <w:szCs w:val="24"/>
          <w:highlight w:val="none"/>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5353F5"/>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9EF6C13"/>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995807"/>
    <w:rsid w:val="0AA01CBB"/>
    <w:rsid w:val="0AA20035"/>
    <w:rsid w:val="0AA25A34"/>
    <w:rsid w:val="0AA3524B"/>
    <w:rsid w:val="0AAC0660"/>
    <w:rsid w:val="0AB1457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E000FA"/>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064DC6"/>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36721"/>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0557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0618C"/>
    <w:rsid w:val="14C12F5A"/>
    <w:rsid w:val="14C52A4A"/>
    <w:rsid w:val="14CE4E21"/>
    <w:rsid w:val="14DA401C"/>
    <w:rsid w:val="14DE1D5E"/>
    <w:rsid w:val="14DF6D1B"/>
    <w:rsid w:val="14E1184E"/>
    <w:rsid w:val="14EA0703"/>
    <w:rsid w:val="14F43995"/>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2257E"/>
    <w:rsid w:val="1BB22884"/>
    <w:rsid w:val="1BBA79BA"/>
    <w:rsid w:val="1BBE01F3"/>
    <w:rsid w:val="1BDC262C"/>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7D0093"/>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D711C"/>
    <w:rsid w:val="221E4FCE"/>
    <w:rsid w:val="22244B28"/>
    <w:rsid w:val="22396826"/>
    <w:rsid w:val="22431452"/>
    <w:rsid w:val="224C3750"/>
    <w:rsid w:val="224D26CF"/>
    <w:rsid w:val="224F6049"/>
    <w:rsid w:val="22511DC1"/>
    <w:rsid w:val="22535DAF"/>
    <w:rsid w:val="226129BC"/>
    <w:rsid w:val="22721D38"/>
    <w:rsid w:val="2280475D"/>
    <w:rsid w:val="22823C2A"/>
    <w:rsid w:val="22A31EF1"/>
    <w:rsid w:val="22AA563A"/>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96C33"/>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36336"/>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741"/>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8429E2"/>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228B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10FC5"/>
    <w:rsid w:val="301C38BE"/>
    <w:rsid w:val="30226B4B"/>
    <w:rsid w:val="30253997"/>
    <w:rsid w:val="30314FE0"/>
    <w:rsid w:val="30395C43"/>
    <w:rsid w:val="304331AF"/>
    <w:rsid w:val="30466CDD"/>
    <w:rsid w:val="304765B2"/>
    <w:rsid w:val="30556F21"/>
    <w:rsid w:val="30580762"/>
    <w:rsid w:val="305A22D9"/>
    <w:rsid w:val="305D7B83"/>
    <w:rsid w:val="305E56A9"/>
    <w:rsid w:val="3063094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1E382E"/>
    <w:rsid w:val="342015F4"/>
    <w:rsid w:val="34211AAB"/>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2873D2"/>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073D32"/>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97EF0"/>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572CA8"/>
    <w:rsid w:val="3D7B3D3F"/>
    <w:rsid w:val="3D9C7F56"/>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744EE9"/>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AE45D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A93FBD"/>
    <w:rsid w:val="43B6785F"/>
    <w:rsid w:val="43BA1EB5"/>
    <w:rsid w:val="43CF26EE"/>
    <w:rsid w:val="43D146B8"/>
    <w:rsid w:val="43D63A7D"/>
    <w:rsid w:val="43D917BF"/>
    <w:rsid w:val="43DB1093"/>
    <w:rsid w:val="43F634F5"/>
    <w:rsid w:val="441647C1"/>
    <w:rsid w:val="44321DF3"/>
    <w:rsid w:val="443D1D4E"/>
    <w:rsid w:val="44532FF5"/>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CC7980"/>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723F2"/>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CA1ED1"/>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75014"/>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6A7575"/>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7D1A39"/>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04D71"/>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40BC5"/>
    <w:rsid w:val="5B656F38"/>
    <w:rsid w:val="5B8027F4"/>
    <w:rsid w:val="5B98472C"/>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D62D09"/>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E7533C"/>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03FC0"/>
    <w:rsid w:val="63F2026A"/>
    <w:rsid w:val="640A4042"/>
    <w:rsid w:val="6412215E"/>
    <w:rsid w:val="641937E6"/>
    <w:rsid w:val="642A14F1"/>
    <w:rsid w:val="64432611"/>
    <w:rsid w:val="644F0FB6"/>
    <w:rsid w:val="6453553C"/>
    <w:rsid w:val="6454481E"/>
    <w:rsid w:val="64610CE9"/>
    <w:rsid w:val="646D768E"/>
    <w:rsid w:val="646E5E05"/>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CF4B61"/>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697FE5"/>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DD7E39"/>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51AEC"/>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B0786"/>
    <w:rsid w:val="6FFD5D56"/>
    <w:rsid w:val="700F3CEF"/>
    <w:rsid w:val="70193726"/>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B1969"/>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C63AF2"/>
    <w:rsid w:val="71DB657E"/>
    <w:rsid w:val="71E35433"/>
    <w:rsid w:val="71F15DA2"/>
    <w:rsid w:val="71F65166"/>
    <w:rsid w:val="71FE04BF"/>
    <w:rsid w:val="72084E9A"/>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27D8D"/>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BB42FE"/>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6D0C35"/>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42A90"/>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D39CC"/>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9285E"/>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autoRedefine/>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40878</Words>
  <Characters>43749</Characters>
  <Lines>179</Lines>
  <Paragraphs>50</Paragraphs>
  <TotalTime>0</TotalTime>
  <ScaleCrop>false</ScaleCrop>
  <LinksUpToDate>false</LinksUpToDate>
  <CharactersWithSpaces>45512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2024-05-06T04:43:34Z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