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82EEB8">
      <w:pPr>
        <w:spacing w:line="360" w:lineRule="auto"/>
        <w:ind w:firstLine="422" w:firstLineChars="50"/>
        <w:rPr>
          <w:color w:val="auto"/>
          <w:sz w:val="60"/>
          <w:szCs w:val="60"/>
          <w:highlight w:val="none"/>
        </w:rPr>
      </w:pPr>
      <w:bookmarkStart w:id="0" w:name="_Toc74227630"/>
      <w:bookmarkStart w:id="1" w:name="_Toc99301417"/>
      <w:r>
        <w:rPr>
          <w:rFonts w:hint="eastAsia" w:eastAsia="仿宋_GB2312"/>
          <w:b/>
          <w:color w:val="auto"/>
          <w:sz w:val="84"/>
          <w:highlight w:val="none"/>
        </w:rPr>
        <w:drawing>
          <wp:anchor distT="0" distB="0" distL="114300" distR="114300" simplePos="0" relativeHeight="251659264" behindDoc="0" locked="0" layoutInCell="1" allowOverlap="1">
            <wp:simplePos x="0" y="0"/>
            <wp:positionH relativeFrom="margin">
              <wp:posOffset>0</wp:posOffset>
            </wp:positionH>
            <wp:positionV relativeFrom="paragraph">
              <wp:posOffset>-635</wp:posOffset>
            </wp:positionV>
            <wp:extent cx="941070" cy="847090"/>
            <wp:effectExtent l="0" t="0" r="11430" b="1016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22"/>
                    <a:stretch>
                      <a:fillRect/>
                    </a:stretch>
                  </pic:blipFill>
                  <pic:spPr>
                    <a:xfrm>
                      <a:off x="0" y="0"/>
                      <a:ext cx="941070" cy="847090"/>
                    </a:xfrm>
                    <a:prstGeom prst="rect">
                      <a:avLst/>
                    </a:prstGeom>
                    <a:noFill/>
                    <a:ln>
                      <a:noFill/>
                    </a:ln>
                  </pic:spPr>
                </pic:pic>
              </a:graphicData>
            </a:graphic>
          </wp:anchor>
        </w:drawing>
      </w:r>
    </w:p>
    <w:p w14:paraId="26065009">
      <w:pPr>
        <w:jc w:val="center"/>
        <w:rPr>
          <w:b/>
          <w:bCs/>
          <w:color w:val="auto"/>
          <w:sz w:val="60"/>
          <w:szCs w:val="60"/>
          <w:highlight w:val="none"/>
        </w:rPr>
      </w:pPr>
    </w:p>
    <w:p w14:paraId="07FDAD95">
      <w:pPr>
        <w:spacing w:line="360" w:lineRule="auto"/>
        <w:jc w:val="center"/>
        <w:rPr>
          <w:color w:val="auto"/>
          <w:sz w:val="60"/>
          <w:szCs w:val="60"/>
          <w:highlight w:val="none"/>
        </w:rPr>
      </w:pPr>
    </w:p>
    <w:p w14:paraId="5F9B2A02">
      <w:pPr>
        <w:pStyle w:val="5"/>
        <w:rPr>
          <w:color w:val="auto"/>
          <w:sz w:val="44"/>
          <w:szCs w:val="44"/>
          <w:highlight w:val="none"/>
        </w:rPr>
      </w:pPr>
    </w:p>
    <w:p w14:paraId="11274EC6">
      <w:pPr>
        <w:pStyle w:val="5"/>
        <w:jc w:val="center"/>
        <w:rPr>
          <w:b/>
          <w:color w:val="auto"/>
          <w:sz w:val="44"/>
          <w:szCs w:val="44"/>
          <w:highlight w:val="none"/>
        </w:rPr>
      </w:pPr>
      <w:bookmarkStart w:id="2" w:name="OLE_LINK2"/>
      <w:bookmarkStart w:id="3" w:name="OLE_LINK1"/>
      <w:r>
        <w:rPr>
          <w:rFonts w:hint="eastAsia" w:hAnsi="宋体" w:cs="宋体"/>
          <w:b/>
          <w:color w:val="auto"/>
          <w:sz w:val="44"/>
          <w:szCs w:val="44"/>
          <w:highlight w:val="none"/>
        </w:rPr>
        <w:t>国家危险废物环境风险防控技术中心建设项目-危险废物智慧环境监管技术应用开发（一期）</w:t>
      </w:r>
      <w:bookmarkEnd w:id="2"/>
      <w:bookmarkEnd w:id="3"/>
      <w:r>
        <w:rPr>
          <w:rFonts w:hint="eastAsia" w:hAnsi="宋体" w:cs="宋体"/>
          <w:b/>
          <w:color w:val="auto"/>
          <w:sz w:val="44"/>
          <w:szCs w:val="44"/>
          <w:highlight w:val="none"/>
        </w:rPr>
        <w:t>招标文件</w:t>
      </w:r>
    </w:p>
    <w:p w14:paraId="2D940889">
      <w:pPr>
        <w:pStyle w:val="5"/>
        <w:rPr>
          <w:color w:val="auto"/>
          <w:sz w:val="60"/>
          <w:szCs w:val="60"/>
          <w:highlight w:val="none"/>
        </w:rPr>
      </w:pPr>
    </w:p>
    <w:p w14:paraId="5D50416B">
      <w:pPr>
        <w:pStyle w:val="5"/>
        <w:rPr>
          <w:color w:val="auto"/>
          <w:sz w:val="60"/>
          <w:szCs w:val="60"/>
          <w:highlight w:val="none"/>
        </w:rPr>
      </w:pPr>
    </w:p>
    <w:p w14:paraId="758717A5">
      <w:pPr>
        <w:pStyle w:val="5"/>
        <w:rPr>
          <w:color w:val="auto"/>
          <w:sz w:val="60"/>
          <w:szCs w:val="60"/>
          <w:highlight w:val="none"/>
        </w:rPr>
      </w:pPr>
    </w:p>
    <w:p w14:paraId="60D2EA1D">
      <w:pPr>
        <w:pStyle w:val="5"/>
        <w:rPr>
          <w:color w:val="auto"/>
          <w:sz w:val="60"/>
          <w:szCs w:val="60"/>
          <w:highlight w:val="none"/>
        </w:rPr>
      </w:pPr>
    </w:p>
    <w:p w14:paraId="6B9AD161">
      <w:pPr>
        <w:tabs>
          <w:tab w:val="left" w:pos="3240"/>
          <w:tab w:val="left" w:pos="3420"/>
        </w:tabs>
        <w:spacing w:line="360" w:lineRule="auto"/>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rPr>
        <w:t>国家危险废物环境风险防控技术中心建设项目-危险废物智慧环境监管技术应用开发（一期）</w:t>
      </w:r>
    </w:p>
    <w:p w14:paraId="0736BACF">
      <w:pPr>
        <w:tabs>
          <w:tab w:val="left" w:pos="3240"/>
          <w:tab w:val="left" w:pos="3420"/>
        </w:tabs>
        <w:spacing w:line="360" w:lineRule="auto"/>
        <w:jc w:val="left"/>
        <w:rPr>
          <w:bCs/>
          <w:color w:val="auto"/>
          <w:sz w:val="36"/>
          <w:szCs w:val="36"/>
          <w:highlight w:val="none"/>
        </w:rPr>
      </w:pPr>
      <w:r>
        <w:rPr>
          <w:bCs/>
          <w:color w:val="auto"/>
          <w:sz w:val="36"/>
          <w:szCs w:val="36"/>
          <w:highlight w:val="none"/>
        </w:rPr>
        <w:t>项目编号：</w:t>
      </w:r>
      <w:r>
        <w:rPr>
          <w:rFonts w:hint="eastAsia"/>
          <w:bCs/>
          <w:color w:val="auto"/>
          <w:sz w:val="36"/>
          <w:szCs w:val="36"/>
          <w:highlight w:val="none"/>
        </w:rPr>
        <w:t>GXTC-C-26780081</w:t>
      </w:r>
    </w:p>
    <w:p w14:paraId="1B0E2C44">
      <w:pPr>
        <w:tabs>
          <w:tab w:val="left" w:pos="3240"/>
          <w:tab w:val="left" w:pos="3420"/>
        </w:tabs>
        <w:spacing w:line="360" w:lineRule="auto"/>
        <w:jc w:val="left"/>
        <w:rPr>
          <w:bCs/>
          <w:color w:val="auto"/>
          <w:sz w:val="36"/>
          <w:szCs w:val="36"/>
          <w:highlight w:val="none"/>
        </w:rPr>
      </w:pPr>
      <w:r>
        <w:rPr>
          <w:bCs/>
          <w:color w:val="auto"/>
          <w:sz w:val="36"/>
          <w:szCs w:val="36"/>
          <w:highlight w:val="none"/>
        </w:rPr>
        <w:t>采 购 人：</w:t>
      </w:r>
      <w:r>
        <w:rPr>
          <w:rFonts w:hint="eastAsia"/>
          <w:bCs/>
          <w:color w:val="auto"/>
          <w:sz w:val="36"/>
          <w:szCs w:val="36"/>
          <w:highlight w:val="none"/>
        </w:rPr>
        <w:t>生态环境部固体废物与化学品管理技术中心</w:t>
      </w:r>
    </w:p>
    <w:p w14:paraId="0E4D2449">
      <w:pPr>
        <w:tabs>
          <w:tab w:val="left" w:pos="3240"/>
          <w:tab w:val="left" w:pos="3420"/>
        </w:tabs>
        <w:spacing w:line="360" w:lineRule="auto"/>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国信招标集团股份有限公司</w:t>
      </w:r>
    </w:p>
    <w:p w14:paraId="4BF2310D">
      <w:pPr>
        <w:pStyle w:val="36"/>
        <w:rPr>
          <w:bCs/>
          <w:color w:val="auto"/>
          <w:sz w:val="36"/>
          <w:szCs w:val="36"/>
          <w:highlight w:val="none"/>
        </w:rPr>
      </w:pPr>
    </w:p>
    <w:p w14:paraId="266321D9">
      <w:pPr>
        <w:pStyle w:val="36"/>
        <w:jc w:val="center"/>
        <w:rPr>
          <w:bCs/>
          <w:color w:val="auto"/>
          <w:sz w:val="36"/>
          <w:szCs w:val="36"/>
          <w:highlight w:val="none"/>
        </w:rPr>
      </w:pPr>
      <w:r>
        <w:rPr>
          <w:rFonts w:hint="eastAsia"/>
          <w:bCs/>
          <w:color w:val="auto"/>
          <w:sz w:val="36"/>
          <w:szCs w:val="36"/>
          <w:highlight w:val="none"/>
        </w:rPr>
        <w:t>日期：2026年</w:t>
      </w:r>
      <w:r>
        <w:rPr>
          <w:rFonts w:hint="eastAsia"/>
          <w:bCs/>
          <w:color w:val="auto"/>
          <w:sz w:val="36"/>
          <w:szCs w:val="36"/>
          <w:highlight w:val="none"/>
          <w:lang w:val="en-US" w:eastAsia="zh-CN"/>
        </w:rPr>
        <w:t>9</w:t>
      </w:r>
      <w:r>
        <w:rPr>
          <w:rFonts w:hint="eastAsia"/>
          <w:bCs/>
          <w:color w:val="auto"/>
          <w:sz w:val="36"/>
          <w:szCs w:val="36"/>
          <w:highlight w:val="none"/>
        </w:rPr>
        <w:t>月</w:t>
      </w:r>
    </w:p>
    <w:bookmarkEnd w:id="0"/>
    <w:bookmarkEnd w:id="1"/>
    <w:p w14:paraId="2B30BDCF">
      <w:pPr>
        <w:spacing w:line="360" w:lineRule="auto"/>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14:paraId="0A89EEE7">
      <w:pPr>
        <w:spacing w:line="360" w:lineRule="auto"/>
        <w:jc w:val="center"/>
        <w:outlineLvl w:val="0"/>
        <w:rPr>
          <w:b/>
          <w:color w:val="auto"/>
          <w:sz w:val="36"/>
          <w:szCs w:val="36"/>
          <w:highlight w:val="none"/>
        </w:rPr>
      </w:pPr>
      <w:bookmarkStart w:id="4" w:name="_Toc99301418"/>
      <w:r>
        <w:rPr>
          <w:b/>
          <w:color w:val="auto"/>
          <w:sz w:val="36"/>
          <w:szCs w:val="36"/>
          <w:highlight w:val="none"/>
        </w:rPr>
        <w:t>目      录</w:t>
      </w:r>
      <w:bookmarkEnd w:id="4"/>
    </w:p>
    <w:p w14:paraId="0E363FC2">
      <w:pPr>
        <w:pStyle w:val="30"/>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78FC1D04">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75A170F">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B97B2C4">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20</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9E424FF">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79C14E1">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38</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E5B8763">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63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67B9A38">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79</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9C04435">
      <w:pPr>
        <w:pStyle w:val="30"/>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57839A8E">
      <w:pPr>
        <w:rPr>
          <w:color w:val="auto"/>
          <w:highlight w:val="none"/>
        </w:rPr>
      </w:pPr>
    </w:p>
    <w:p w14:paraId="6CEC4BEA">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5A93950D">
      <w:pPr>
        <w:pStyle w:val="30"/>
        <w:spacing w:line="360" w:lineRule="auto"/>
        <w:rPr>
          <w:rFonts w:ascii="Times New Roman" w:hAnsi="Times New Roman"/>
          <w:b w:val="0"/>
          <w:color w:val="auto"/>
          <w:highlight w:val="none"/>
        </w:rPr>
      </w:pPr>
    </w:p>
    <w:p w14:paraId="0E54ED84">
      <w:pPr>
        <w:spacing w:line="360" w:lineRule="auto"/>
        <w:jc w:val="center"/>
        <w:outlineLvl w:val="0"/>
        <w:rPr>
          <w:b/>
          <w:color w:val="auto"/>
          <w:sz w:val="36"/>
          <w:szCs w:val="36"/>
          <w:highlight w:val="none"/>
        </w:rPr>
        <w:sectPr>
          <w:headerReference r:id="rId8" w:type="first"/>
          <w:footerReference r:id="rId10" w:type="first"/>
          <w:footerReference r:id="rId9" w:type="default"/>
          <w:type w:val="nextColumn"/>
          <w:pgSz w:w="11907" w:h="16840"/>
          <w:pgMar w:top="1418" w:right="1134" w:bottom="1418" w:left="1701" w:header="851" w:footer="851" w:gutter="0"/>
          <w:pgNumType w:fmt="decimal" w:start="1"/>
          <w:cols w:space="720" w:num="1"/>
          <w:titlePg/>
          <w:docGrid w:linePitch="462" w:charSpace="0"/>
        </w:sectPr>
      </w:pPr>
      <w:bookmarkStart w:id="5" w:name="_Toc99301419"/>
    </w:p>
    <w:p w14:paraId="6F8B0AEA">
      <w:pPr>
        <w:spacing w:line="360" w:lineRule="auto"/>
        <w:jc w:val="center"/>
        <w:outlineLvl w:val="0"/>
        <w:rPr>
          <w:b/>
          <w:color w:val="auto"/>
          <w:sz w:val="36"/>
          <w:szCs w:val="36"/>
          <w:highlight w:val="none"/>
        </w:rPr>
      </w:pPr>
      <w:r>
        <w:rPr>
          <w:b/>
          <w:color w:val="auto"/>
          <w:sz w:val="36"/>
          <w:szCs w:val="36"/>
          <w:highlight w:val="none"/>
        </w:rPr>
        <w:t>第一章   投标邀请</w:t>
      </w:r>
      <w:bookmarkEnd w:id="5"/>
    </w:p>
    <w:p w14:paraId="3BD66855">
      <w:pPr>
        <w:spacing w:line="360" w:lineRule="auto"/>
        <w:ind w:firstLine="640" w:firstLineChars="200"/>
        <w:rPr>
          <w:color w:val="auto"/>
          <w:sz w:val="32"/>
          <w:szCs w:val="32"/>
          <w:highlight w:val="none"/>
        </w:rPr>
      </w:pPr>
    </w:p>
    <w:p w14:paraId="063CA6A0">
      <w:pPr>
        <w:pStyle w:val="3"/>
        <w:spacing w:before="0" w:line="360" w:lineRule="auto"/>
        <w:jc w:val="left"/>
        <w:rPr>
          <w:rFonts w:ascii="Times New Roman" w:hAnsi="Times New Roman" w:eastAsia="宋体"/>
          <w:color w:val="auto"/>
          <w:sz w:val="24"/>
          <w:szCs w:val="24"/>
          <w:highlight w:val="none"/>
        </w:rPr>
      </w:pPr>
      <w:bookmarkStart w:id="6" w:name="_Toc35393790"/>
      <w:bookmarkStart w:id="7" w:name="_Toc28359002"/>
      <w:bookmarkStart w:id="8" w:name="_Toc28359079"/>
      <w:bookmarkStart w:id="9" w:name="_Toc35393621"/>
      <w:bookmarkStart w:id="10" w:name="_Hlk24379207"/>
      <w:r>
        <w:rPr>
          <w:rFonts w:ascii="Times New Roman" w:hAnsi="Times New Roman" w:eastAsia="宋体"/>
          <w:color w:val="auto"/>
          <w:sz w:val="24"/>
          <w:szCs w:val="24"/>
          <w:highlight w:val="none"/>
        </w:rPr>
        <w:t>一、项目基本情况</w:t>
      </w:r>
      <w:bookmarkEnd w:id="6"/>
      <w:bookmarkEnd w:id="7"/>
      <w:bookmarkEnd w:id="8"/>
      <w:bookmarkEnd w:id="9"/>
    </w:p>
    <w:p w14:paraId="79CC7AE1">
      <w:pPr>
        <w:spacing w:line="360" w:lineRule="auto"/>
        <w:ind w:firstLine="480" w:firstLineChars="200"/>
        <w:rPr>
          <w:color w:val="auto"/>
          <w:sz w:val="24"/>
          <w:highlight w:val="none"/>
        </w:rPr>
      </w:pPr>
      <w:r>
        <w:rPr>
          <w:color w:val="auto"/>
          <w:sz w:val="24"/>
          <w:highlight w:val="none"/>
        </w:rPr>
        <w:t>1.项目编号：</w:t>
      </w:r>
      <w:r>
        <w:rPr>
          <w:rFonts w:hint="eastAsia"/>
          <w:color w:val="auto"/>
          <w:sz w:val="24"/>
          <w:highlight w:val="none"/>
        </w:rPr>
        <w:t>GXTC-C-26780081</w:t>
      </w:r>
    </w:p>
    <w:p w14:paraId="697D7539">
      <w:pPr>
        <w:spacing w:line="360" w:lineRule="auto"/>
        <w:ind w:firstLine="480" w:firstLineChars="200"/>
        <w:rPr>
          <w:color w:val="auto"/>
          <w:sz w:val="24"/>
          <w:highlight w:val="none"/>
        </w:rPr>
      </w:pPr>
      <w:r>
        <w:rPr>
          <w:color w:val="auto"/>
          <w:sz w:val="24"/>
          <w:highlight w:val="none"/>
        </w:rPr>
        <w:t>2.项目名称：</w:t>
      </w:r>
      <w:r>
        <w:rPr>
          <w:rFonts w:hint="eastAsia" w:ascii="宋体" w:hAnsi="宋体" w:cs="宋体"/>
          <w:color w:val="auto"/>
          <w:kern w:val="0"/>
          <w:sz w:val="24"/>
          <w:highlight w:val="none"/>
        </w:rPr>
        <w:t>国家危险废物环境风险防控技术中心建设项目-危险废物智慧环境监管技术应用开发（一期）</w:t>
      </w:r>
    </w:p>
    <w:bookmarkEnd w:id="10"/>
    <w:p w14:paraId="7A6A91FE">
      <w:pPr>
        <w:spacing w:line="360" w:lineRule="auto"/>
        <w:ind w:firstLine="480" w:firstLineChars="200"/>
        <w:rPr>
          <w:color w:val="auto"/>
          <w:sz w:val="24"/>
          <w:highlight w:val="none"/>
        </w:rPr>
      </w:pPr>
      <w:r>
        <w:rPr>
          <w:color w:val="auto"/>
          <w:sz w:val="24"/>
          <w:highlight w:val="none"/>
        </w:rPr>
        <w:t>3.项目预算金额：</w:t>
      </w:r>
      <w:r>
        <w:rPr>
          <w:rFonts w:hint="eastAsia" w:ascii="宋体" w:hAnsi="宋体" w:cs="宋体"/>
          <w:b/>
          <w:bCs/>
          <w:color w:val="auto"/>
          <w:kern w:val="0"/>
          <w:sz w:val="24"/>
          <w:highlight w:val="none"/>
          <w:lang w:bidi="ar"/>
        </w:rPr>
        <w:t>811</w:t>
      </w:r>
      <w:r>
        <w:rPr>
          <w:color w:val="auto"/>
          <w:sz w:val="24"/>
          <w:highlight w:val="none"/>
        </w:rPr>
        <w:t>万元、项目最高限价（如有）：</w:t>
      </w:r>
      <w:r>
        <w:rPr>
          <w:rFonts w:hint="eastAsia" w:ascii="宋体" w:hAnsi="宋体" w:cs="宋体"/>
          <w:b/>
          <w:bCs/>
          <w:color w:val="auto"/>
          <w:kern w:val="0"/>
          <w:sz w:val="24"/>
          <w:highlight w:val="none"/>
          <w:lang w:bidi="ar"/>
        </w:rPr>
        <w:t>811</w:t>
      </w:r>
      <w:r>
        <w:rPr>
          <w:color w:val="auto"/>
          <w:sz w:val="24"/>
          <w:highlight w:val="none"/>
        </w:rPr>
        <w:t>万元</w:t>
      </w:r>
    </w:p>
    <w:p w14:paraId="54E16D39">
      <w:pPr>
        <w:spacing w:line="360" w:lineRule="auto"/>
        <w:ind w:firstLine="480" w:firstLineChars="200"/>
        <w:rPr>
          <w:color w:val="auto"/>
          <w:sz w:val="24"/>
          <w:highlight w:val="none"/>
        </w:rPr>
      </w:pPr>
      <w:r>
        <w:rPr>
          <w:color w:val="auto"/>
          <w:sz w:val="24"/>
          <w:highlight w:val="none"/>
        </w:rPr>
        <w:t>4.采购需求：</w:t>
      </w:r>
      <w:r>
        <w:rPr>
          <w:rFonts w:hint="eastAsia"/>
          <w:color w:val="auto"/>
          <w:sz w:val="24"/>
          <w:highlight w:val="none"/>
        </w:rPr>
        <w:t>本次招标共1包</w:t>
      </w:r>
    </w:p>
    <w:p w14:paraId="79543496">
      <w:pPr>
        <w:spacing w:line="360" w:lineRule="auto"/>
        <w:ind w:firstLine="480" w:firstLineChars="200"/>
        <w:rPr>
          <w:color w:val="auto"/>
          <w:sz w:val="24"/>
          <w:highlight w:val="none"/>
        </w:rPr>
      </w:pPr>
      <w:r>
        <w:rPr>
          <w:rFonts w:hint="eastAsia"/>
          <w:color w:val="auto"/>
          <w:sz w:val="24"/>
          <w:highlight w:val="none"/>
        </w:rPr>
        <w:t>项目内容：信息化服务</w:t>
      </w:r>
    </w:p>
    <w:p w14:paraId="5EE88BB5">
      <w:pPr>
        <w:spacing w:line="360" w:lineRule="auto"/>
        <w:ind w:firstLine="480" w:firstLineChars="200"/>
        <w:rPr>
          <w:color w:val="auto"/>
          <w:sz w:val="24"/>
          <w:highlight w:val="none"/>
        </w:rPr>
      </w:pPr>
      <w:bookmarkStart w:id="11" w:name="_Hlk182386543"/>
      <w:r>
        <w:rPr>
          <w:rFonts w:hint="eastAsia"/>
          <w:color w:val="auto"/>
          <w:sz w:val="24"/>
          <w:highlight w:val="none"/>
        </w:rPr>
        <w:t>招标范围：本项目</w:t>
      </w:r>
      <w:bookmarkEnd w:id="11"/>
      <w:r>
        <w:rPr>
          <w:rFonts w:hint="eastAsia"/>
          <w:color w:val="auto"/>
          <w:sz w:val="24"/>
          <w:highlight w:val="none"/>
        </w:rPr>
        <w:t>主要建设内容包括遥感技术应用、物联网技术应用、区块链技术应用、移动互联网应用、物联网装备评估、集中转运装备评估等系列软件系统，以全面支撑危险废物、工业固体废物、新兴固体废物等智慧监管体系建设（具体参数：</w:t>
      </w:r>
      <w:bookmarkStart w:id="12" w:name="OLE_LINK8"/>
      <w:bookmarkStart w:id="13" w:name="OLE_LINK9"/>
      <w:r>
        <w:rPr>
          <w:rFonts w:hint="eastAsia"/>
          <w:color w:val="auto"/>
          <w:sz w:val="24"/>
          <w:highlight w:val="none"/>
        </w:rPr>
        <w:t>详见第五章采购需求</w:t>
      </w:r>
      <w:bookmarkEnd w:id="12"/>
      <w:bookmarkEnd w:id="13"/>
      <w:r>
        <w:rPr>
          <w:rFonts w:hint="eastAsia"/>
          <w:color w:val="auto"/>
          <w:sz w:val="24"/>
          <w:highlight w:val="none"/>
        </w:rPr>
        <w:t>）。</w:t>
      </w:r>
    </w:p>
    <w:p w14:paraId="7E3CB4AE">
      <w:pPr>
        <w:spacing w:line="360" w:lineRule="auto"/>
        <w:ind w:firstLine="480" w:firstLineChars="200"/>
        <w:rPr>
          <w:color w:val="auto"/>
          <w:sz w:val="24"/>
          <w:highlight w:val="none"/>
        </w:rPr>
      </w:pPr>
      <w:bookmarkStart w:id="14" w:name="OLE_LINK28"/>
      <w:r>
        <w:rPr>
          <w:rFonts w:hint="eastAsia"/>
          <w:color w:val="auto"/>
          <w:sz w:val="24"/>
          <w:highlight w:val="none"/>
        </w:rPr>
        <w:t>服务地点：北京市房山区长阳镇水碾屯村。</w:t>
      </w:r>
    </w:p>
    <w:p w14:paraId="7D426E18">
      <w:pPr>
        <w:spacing w:line="360" w:lineRule="auto"/>
        <w:ind w:firstLine="480" w:firstLineChars="200"/>
        <w:rPr>
          <w:color w:val="auto"/>
          <w:sz w:val="24"/>
          <w:highlight w:val="none"/>
        </w:rPr>
      </w:pPr>
      <w:r>
        <w:rPr>
          <w:rFonts w:hint="eastAsia"/>
          <w:color w:val="auto"/>
          <w:sz w:val="24"/>
          <w:highlight w:val="none"/>
        </w:rPr>
        <w:t>服务周期：</w:t>
      </w:r>
      <w:r>
        <w:rPr>
          <w:color w:val="auto"/>
          <w:sz w:val="24"/>
          <w:highlight w:val="none"/>
        </w:rPr>
        <w:t>项目实施周期为1年，运维服务期为3年。</w:t>
      </w:r>
      <w:bookmarkEnd w:id="14"/>
    </w:p>
    <w:p w14:paraId="00488374">
      <w:pPr>
        <w:spacing w:line="360" w:lineRule="auto"/>
        <w:ind w:firstLine="480" w:firstLineChars="200"/>
        <w:rPr>
          <w:color w:val="auto"/>
          <w:sz w:val="24"/>
          <w:highlight w:val="none"/>
        </w:rPr>
      </w:pPr>
      <w:r>
        <w:rPr>
          <w:rFonts w:hint="eastAsia"/>
          <w:color w:val="auto"/>
          <w:sz w:val="24"/>
          <w:highlight w:val="none"/>
        </w:rPr>
        <w:t>5</w:t>
      </w:r>
      <w:r>
        <w:rPr>
          <w:color w:val="auto"/>
          <w:sz w:val="24"/>
          <w:highlight w:val="none"/>
        </w:rPr>
        <w:t xml:space="preserve">.本项目是否接受联合体投标：□是  </w:t>
      </w:r>
      <w:bookmarkStart w:id="15" w:name="OLE_LINK38"/>
      <w:bookmarkStart w:id="16" w:name="OLE_LINK39"/>
      <w:r>
        <w:rPr>
          <w:rFonts w:hint="eastAsia" w:ascii="宋体" w:hAnsi="宋体"/>
          <w:color w:val="auto"/>
          <w:highlight w:val="none"/>
        </w:rPr>
        <w:t>▇</w:t>
      </w:r>
      <w:bookmarkEnd w:id="15"/>
      <w:bookmarkEnd w:id="16"/>
      <w:r>
        <w:rPr>
          <w:color w:val="auto"/>
          <w:sz w:val="24"/>
          <w:highlight w:val="none"/>
        </w:rPr>
        <w:t>否。</w:t>
      </w:r>
    </w:p>
    <w:p w14:paraId="5FA851CF">
      <w:pPr>
        <w:spacing w:line="360" w:lineRule="auto"/>
        <w:ind w:firstLine="480" w:firstLineChars="200"/>
        <w:rPr>
          <w:color w:val="auto"/>
          <w:sz w:val="24"/>
          <w:highlight w:val="none"/>
        </w:rPr>
      </w:pPr>
    </w:p>
    <w:p w14:paraId="6D838ACB">
      <w:pPr>
        <w:pStyle w:val="3"/>
        <w:spacing w:before="0" w:line="360" w:lineRule="auto"/>
        <w:jc w:val="left"/>
        <w:rPr>
          <w:rFonts w:ascii="Times New Roman" w:hAnsi="Times New Roman" w:eastAsia="宋体"/>
          <w:color w:val="auto"/>
          <w:sz w:val="24"/>
          <w:szCs w:val="24"/>
          <w:highlight w:val="none"/>
        </w:rPr>
      </w:pPr>
      <w:bookmarkStart w:id="17" w:name="_Toc35393791"/>
      <w:bookmarkStart w:id="18" w:name="_Toc35393622"/>
      <w:bookmarkStart w:id="19" w:name="_Toc28359080"/>
      <w:bookmarkStart w:id="20" w:name="_Toc28359003"/>
      <w:r>
        <w:rPr>
          <w:rFonts w:ascii="Times New Roman" w:hAnsi="Times New Roman" w:eastAsia="宋体"/>
          <w:color w:val="auto"/>
          <w:sz w:val="24"/>
          <w:szCs w:val="24"/>
          <w:highlight w:val="none"/>
        </w:rPr>
        <w:t>二、申请人的资格要求（须同时满足）</w:t>
      </w:r>
      <w:bookmarkEnd w:id="17"/>
      <w:bookmarkEnd w:id="18"/>
      <w:bookmarkEnd w:id="19"/>
      <w:bookmarkEnd w:id="20"/>
    </w:p>
    <w:p w14:paraId="0611F9EC">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5B05154C">
      <w:pPr>
        <w:spacing w:line="360" w:lineRule="auto"/>
        <w:ind w:firstLine="480" w:firstLineChars="200"/>
        <w:rPr>
          <w:color w:val="auto"/>
          <w:sz w:val="24"/>
          <w:highlight w:val="none"/>
        </w:rPr>
      </w:pPr>
      <w:bookmarkStart w:id="21" w:name="_Toc28359081"/>
      <w:bookmarkStart w:id="22" w:name="_Toc28359004"/>
      <w:r>
        <w:rPr>
          <w:color w:val="auto"/>
          <w:sz w:val="24"/>
          <w:highlight w:val="none"/>
        </w:rPr>
        <w:t>2.落实政府采购政策需满足的资格要求：</w:t>
      </w:r>
    </w:p>
    <w:p w14:paraId="5808B60D">
      <w:pPr>
        <w:spacing w:line="360" w:lineRule="auto"/>
        <w:ind w:firstLine="480" w:firstLineChars="200"/>
        <w:rPr>
          <w:color w:val="auto"/>
          <w:sz w:val="24"/>
          <w:highlight w:val="none"/>
        </w:rPr>
      </w:pPr>
      <w:r>
        <w:rPr>
          <w:color w:val="auto"/>
          <w:sz w:val="24"/>
          <w:highlight w:val="none"/>
        </w:rPr>
        <w:t>2.1 中小企业政策</w:t>
      </w:r>
    </w:p>
    <w:p w14:paraId="391DE48B">
      <w:pPr>
        <w:spacing w:line="360" w:lineRule="auto"/>
        <w:ind w:firstLine="450" w:firstLineChars="300"/>
        <w:rPr>
          <w:color w:val="auto"/>
          <w:sz w:val="24"/>
          <w:highlight w:val="none"/>
        </w:rPr>
      </w:pPr>
      <w:bookmarkStart w:id="23" w:name="OLE_LINK44"/>
      <w:bookmarkStart w:id="24" w:name="OLE_LINK43"/>
      <w:bookmarkStart w:id="25" w:name="OLE_LINK61"/>
      <w:r>
        <w:rPr>
          <w:rFonts w:hint="eastAsia" w:ascii="宋体" w:hAnsi="宋体"/>
          <w:color w:val="auto"/>
          <w:sz w:val="15"/>
          <w:highlight w:val="none"/>
        </w:rPr>
        <w:t>▇</w:t>
      </w:r>
      <w:bookmarkEnd w:id="23"/>
      <w:bookmarkEnd w:id="24"/>
      <w:bookmarkEnd w:id="25"/>
      <w:r>
        <w:rPr>
          <w:color w:val="auto"/>
          <w:sz w:val="24"/>
          <w:highlight w:val="none"/>
        </w:rPr>
        <w:t>本项目不专门面向中小企业预留采购份额。</w:t>
      </w:r>
    </w:p>
    <w:p w14:paraId="2F452E18">
      <w:pPr>
        <w:spacing w:line="360" w:lineRule="auto"/>
        <w:ind w:firstLine="480" w:firstLineChars="200"/>
        <w:rPr>
          <w:color w:val="auto"/>
          <w:sz w:val="24"/>
          <w:highlight w:val="none"/>
        </w:rPr>
      </w:pPr>
      <w:r>
        <w:rPr>
          <w:color w:val="auto"/>
          <w:sz w:val="24"/>
          <w:highlight w:val="none"/>
        </w:rPr>
        <w:t>□本项目专门面向  □中小 □小微企业  采购。即：提供的货物全部由符合政策要求的中小/小微企业制造、服务全部由符合政策要求的中小/小微企业承接。</w:t>
      </w:r>
    </w:p>
    <w:p w14:paraId="178D1C7D">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w:t>
      </w:r>
      <w:r>
        <w:rPr>
          <w:color w:val="auto"/>
          <w:sz w:val="24"/>
          <w:highlight w:val="none"/>
        </w:rPr>
        <w:t>。</w:t>
      </w:r>
    </w:p>
    <w:p w14:paraId="4527DA5F">
      <w:pPr>
        <w:widowControl/>
        <w:adjustRightInd w:val="0"/>
        <w:snapToGrid w:val="0"/>
        <w:spacing w:line="360" w:lineRule="auto"/>
        <w:ind w:firstLine="480" w:firstLineChars="200"/>
        <w:rPr>
          <w:color w:val="auto"/>
          <w:sz w:val="24"/>
          <w:highlight w:val="none"/>
          <w:u w:val="single"/>
        </w:rPr>
      </w:pPr>
      <w:r>
        <w:rPr>
          <w:color w:val="auto"/>
          <w:sz w:val="24"/>
          <w:highlight w:val="none"/>
        </w:rPr>
        <w:t>2.2 其它落实政府采购政策的资格要求：</w:t>
      </w:r>
      <w:r>
        <w:rPr>
          <w:rFonts w:hint="eastAsia"/>
          <w:color w:val="auto"/>
          <w:sz w:val="24"/>
          <w:highlight w:val="none"/>
          <w:u w:val="single"/>
        </w:rPr>
        <w:t>(1)节能产品强制采购;节能产品、环境标志产品优先采购;扶持不发达地区和少数民族地区;政府采购促进中小企业发展;政府采购支持监狱企业、戒毒企业发展;政府采购促进残疾人就业;商品包装政府采购需求标准(试行);政府采购信用担保;进口产品管理等。(2)本项目执行《国务院办公厅关于在政府采购中实施本国产品标准及相关政策的通知》（国办发〔2025〕34号）的规定。</w:t>
      </w:r>
    </w:p>
    <w:p w14:paraId="212015AE">
      <w:pPr>
        <w:spacing w:line="360" w:lineRule="auto"/>
        <w:ind w:firstLine="480" w:firstLineChars="200"/>
        <w:rPr>
          <w:i/>
          <w:iCs/>
          <w:color w:val="auto"/>
          <w:sz w:val="24"/>
          <w:highlight w:val="none"/>
          <w:u w:val="single"/>
        </w:rPr>
      </w:pPr>
      <w:r>
        <w:rPr>
          <w:color w:val="auto"/>
          <w:sz w:val="24"/>
          <w:highlight w:val="none"/>
        </w:rPr>
        <w:t>3.本项目的特定资格要求：</w:t>
      </w:r>
    </w:p>
    <w:p w14:paraId="1145BAA2">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3D97A4F1">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ascii="宋体" w:hAnsi="宋体"/>
          <w:color w:val="auto"/>
          <w:sz w:val="15"/>
          <w:highlight w:val="none"/>
        </w:rPr>
        <w:t>▇</w:t>
      </w:r>
      <w:r>
        <w:rPr>
          <w:color w:val="auto"/>
          <w:sz w:val="24"/>
          <w:highlight w:val="none"/>
        </w:rPr>
        <w:t>否</w:t>
      </w:r>
    </w:p>
    <w:p w14:paraId="45BEEF64">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□是，公益一类事业单位、使用事业编制且由财政拨款保障的群团组织，不得作为承接主体；</w:t>
      </w:r>
    </w:p>
    <w:p w14:paraId="01CB2B4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Theme="minorEastAsia"/>
          <w:color w:val="auto"/>
          <w:sz w:val="24"/>
          <w:highlight w:val="none"/>
        </w:rPr>
        <w:t>：</w:t>
      </w:r>
      <w:r>
        <w:rPr>
          <w:rFonts w:hint="eastAsia" w:eastAsiaTheme="minorEastAsia"/>
          <w:color w:val="auto"/>
          <w:sz w:val="24"/>
          <w:highlight w:val="none"/>
          <w:u w:val="single"/>
        </w:rPr>
        <w:t>/</w:t>
      </w:r>
      <w:r>
        <w:rPr>
          <w:color w:val="auto"/>
          <w:sz w:val="24"/>
          <w:highlight w:val="none"/>
        </w:rPr>
        <w:t>。</w:t>
      </w:r>
    </w:p>
    <w:p w14:paraId="12F7D5B4">
      <w:pPr>
        <w:spacing w:line="360" w:lineRule="auto"/>
        <w:ind w:firstLine="480" w:firstLineChars="200"/>
        <w:rPr>
          <w:i/>
          <w:iCs/>
          <w:color w:val="auto"/>
          <w:sz w:val="24"/>
          <w:highlight w:val="none"/>
          <w:u w:val="single"/>
        </w:rPr>
      </w:pPr>
    </w:p>
    <w:bookmarkEnd w:id="21"/>
    <w:bookmarkEnd w:id="22"/>
    <w:p w14:paraId="6AEA7FC4">
      <w:pPr>
        <w:pStyle w:val="3"/>
        <w:widowControl/>
        <w:spacing w:before="0" w:line="360" w:lineRule="auto"/>
        <w:jc w:val="left"/>
        <w:rPr>
          <w:rFonts w:ascii="Times New Roman" w:hAnsi="Times New Roman" w:eastAsia="宋体"/>
          <w:color w:val="auto"/>
          <w:sz w:val="24"/>
          <w:szCs w:val="24"/>
          <w:highlight w:val="none"/>
        </w:rPr>
      </w:pPr>
      <w:bookmarkStart w:id="26" w:name="_Toc35393792"/>
      <w:bookmarkStart w:id="27" w:name="_Toc35393623"/>
      <w:r>
        <w:rPr>
          <w:rFonts w:ascii="Times New Roman" w:hAnsi="Times New Roman" w:eastAsia="宋体"/>
          <w:color w:val="auto"/>
          <w:sz w:val="24"/>
          <w:szCs w:val="24"/>
          <w:highlight w:val="none"/>
        </w:rPr>
        <w:t>三、获取招标文件</w:t>
      </w:r>
      <w:bookmarkEnd w:id="26"/>
      <w:bookmarkEnd w:id="27"/>
    </w:p>
    <w:p w14:paraId="3680A059">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u w:val="single"/>
          <w:lang w:bidi="ar"/>
        </w:rPr>
        <w:t>2026</w:t>
      </w:r>
      <w:r>
        <w:rPr>
          <w:color w:val="auto"/>
          <w:sz w:val="24"/>
          <w:highlight w:val="none"/>
          <w:lang w:bidi="ar"/>
        </w:rPr>
        <w:t>年</w:t>
      </w:r>
      <w:r>
        <w:rPr>
          <w:rFonts w:hint="eastAsia"/>
          <w:color w:val="auto"/>
          <w:sz w:val="24"/>
          <w:highlight w:val="none"/>
          <w:u w:val="single"/>
          <w:lang w:val="en-US" w:eastAsia="zh-CN" w:bidi="ar"/>
        </w:rPr>
        <w:t>9</w:t>
      </w:r>
      <w:r>
        <w:rPr>
          <w:color w:val="auto"/>
          <w:sz w:val="24"/>
          <w:highlight w:val="none"/>
          <w:lang w:bidi="ar"/>
        </w:rPr>
        <w:t>月</w:t>
      </w:r>
      <w:r>
        <w:rPr>
          <w:rFonts w:hint="eastAsia"/>
          <w:color w:val="auto"/>
          <w:sz w:val="24"/>
          <w:highlight w:val="none"/>
          <w:u w:val="single"/>
          <w:lang w:val="en-US" w:eastAsia="zh-CN" w:bidi="ar"/>
        </w:rPr>
        <w:t>21</w:t>
      </w:r>
      <w:r>
        <w:rPr>
          <w:color w:val="auto"/>
          <w:sz w:val="24"/>
          <w:highlight w:val="none"/>
          <w:lang w:bidi="ar"/>
        </w:rPr>
        <w:t>日至</w:t>
      </w:r>
      <w:r>
        <w:rPr>
          <w:rFonts w:hint="eastAsia"/>
          <w:color w:val="auto"/>
          <w:sz w:val="24"/>
          <w:highlight w:val="none"/>
          <w:u w:val="single"/>
          <w:lang w:bidi="ar"/>
        </w:rPr>
        <w:t>2026</w:t>
      </w:r>
      <w:r>
        <w:rPr>
          <w:color w:val="auto"/>
          <w:sz w:val="24"/>
          <w:highlight w:val="none"/>
          <w:lang w:bidi="ar"/>
        </w:rPr>
        <w:t>年</w:t>
      </w:r>
      <w:r>
        <w:rPr>
          <w:rFonts w:hint="eastAsia"/>
          <w:color w:val="auto"/>
          <w:sz w:val="24"/>
          <w:highlight w:val="none"/>
          <w:u w:val="single"/>
          <w:lang w:val="en-US" w:eastAsia="zh-CN" w:bidi="ar"/>
        </w:rPr>
        <w:t>9</w:t>
      </w:r>
      <w:r>
        <w:rPr>
          <w:color w:val="auto"/>
          <w:sz w:val="24"/>
          <w:highlight w:val="none"/>
          <w:lang w:bidi="ar"/>
        </w:rPr>
        <w:t>月</w:t>
      </w:r>
      <w:r>
        <w:rPr>
          <w:rFonts w:hint="eastAsia"/>
          <w:color w:val="auto"/>
          <w:sz w:val="24"/>
          <w:highlight w:val="none"/>
          <w:u w:val="single"/>
          <w:lang w:val="en-US" w:eastAsia="zh-CN" w:bidi="ar"/>
        </w:rPr>
        <w:t>29</w:t>
      </w:r>
      <w:r>
        <w:rPr>
          <w:color w:val="auto"/>
          <w:sz w:val="24"/>
          <w:highlight w:val="none"/>
          <w:lang w:bidi="ar"/>
        </w:rPr>
        <w:t>日，每天上午</w:t>
      </w:r>
      <w:r>
        <w:rPr>
          <w:rFonts w:hint="eastAsia"/>
          <w:color w:val="auto"/>
          <w:sz w:val="24"/>
          <w:highlight w:val="none"/>
          <w:u w:val="single"/>
          <w:lang w:bidi="ar"/>
        </w:rPr>
        <w:t>9：00</w:t>
      </w:r>
      <w:r>
        <w:rPr>
          <w:color w:val="auto"/>
          <w:sz w:val="24"/>
          <w:highlight w:val="none"/>
          <w:lang w:bidi="ar"/>
        </w:rPr>
        <w:t>至</w:t>
      </w:r>
      <w:r>
        <w:rPr>
          <w:rFonts w:hint="eastAsia"/>
          <w:color w:val="auto"/>
          <w:sz w:val="24"/>
          <w:highlight w:val="none"/>
          <w:u w:val="single"/>
          <w:lang w:bidi="ar"/>
        </w:rPr>
        <w:t>11：30</w:t>
      </w:r>
      <w:r>
        <w:rPr>
          <w:color w:val="auto"/>
          <w:sz w:val="24"/>
          <w:highlight w:val="none"/>
          <w:lang w:bidi="ar"/>
        </w:rPr>
        <w:t>，下午</w:t>
      </w:r>
      <w:r>
        <w:rPr>
          <w:rFonts w:hint="eastAsia"/>
          <w:color w:val="auto"/>
          <w:sz w:val="24"/>
          <w:highlight w:val="none"/>
          <w:u w:val="single"/>
          <w:lang w:bidi="ar"/>
        </w:rPr>
        <w:t>1：00</w:t>
      </w:r>
      <w:r>
        <w:rPr>
          <w:color w:val="auto"/>
          <w:sz w:val="24"/>
          <w:highlight w:val="none"/>
          <w:lang w:bidi="ar"/>
        </w:rPr>
        <w:t>至</w:t>
      </w:r>
      <w:r>
        <w:rPr>
          <w:rFonts w:hint="eastAsia"/>
          <w:color w:val="auto"/>
          <w:sz w:val="24"/>
          <w:highlight w:val="none"/>
          <w:u w:val="single"/>
          <w:lang w:bidi="ar"/>
        </w:rPr>
        <w:t>16：30</w:t>
      </w:r>
      <w:r>
        <w:rPr>
          <w:color w:val="auto"/>
          <w:sz w:val="24"/>
          <w:highlight w:val="none"/>
          <w:lang w:bidi="ar"/>
        </w:rPr>
        <w:t>（北京时间，法定节假日除外）。</w:t>
      </w:r>
    </w:p>
    <w:p w14:paraId="77B3EFBF">
      <w:pPr>
        <w:adjustRightInd w:val="0"/>
        <w:snapToGrid w:val="0"/>
        <w:spacing w:line="360" w:lineRule="auto"/>
        <w:ind w:firstLine="480" w:firstLineChars="200"/>
        <w:rPr>
          <w:color w:val="auto"/>
          <w:sz w:val="24"/>
          <w:highlight w:val="none"/>
        </w:rPr>
      </w:pPr>
      <w:r>
        <w:rPr>
          <w:color w:val="auto"/>
          <w:sz w:val="24"/>
          <w:highlight w:val="none"/>
          <w:lang w:bidi="ar"/>
        </w:rPr>
        <w:t>2.地点：</w:t>
      </w:r>
      <w:bookmarkStart w:id="28" w:name="OLE_LINK49"/>
      <w:bookmarkStart w:id="29" w:name="OLE_LINK50"/>
      <w:bookmarkStart w:id="30" w:name="OLE_LINK45"/>
      <w:r>
        <w:rPr>
          <w:rFonts w:hint="eastAsia"/>
          <w:color w:val="auto"/>
          <w:sz w:val="24"/>
          <w:highlight w:val="none"/>
        </w:rPr>
        <w:t>北京市海淀区常青路和泓四季6号楼</w:t>
      </w:r>
      <w:bookmarkEnd w:id="28"/>
      <w:bookmarkEnd w:id="29"/>
      <w:r>
        <w:rPr>
          <w:rFonts w:hint="eastAsia"/>
          <w:color w:val="auto"/>
          <w:sz w:val="24"/>
          <w:highlight w:val="none"/>
        </w:rPr>
        <w:t>国信招标一层</w:t>
      </w:r>
      <w:bookmarkEnd w:id="30"/>
    </w:p>
    <w:p w14:paraId="5C652736">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w:t>
      </w:r>
      <w:r>
        <w:rPr>
          <w:rFonts w:hint="eastAsia"/>
          <w:color w:val="auto"/>
          <w:sz w:val="24"/>
          <w:highlight w:val="none"/>
        </w:rPr>
        <w:t>现场领取。领取文件时请携带以下资料:如领取人为法定代表人:投标单位开具的法人身份证明原件、法人本人身份证原件及加盖公章复印件;如领取人为授权代理人:法定代表人或负责人授权委托书原件(内容自拟，但必须包括法人或负责人签字或人名章，单位公章，以及授权事项必须包含针对本项目领取招标文件事宜)、领取人本人身份证原件及加盖公章复印件;</w:t>
      </w:r>
    </w:p>
    <w:p w14:paraId="021E8083">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w:t>
      </w:r>
      <w:r>
        <w:rPr>
          <w:rFonts w:hint="eastAsia"/>
          <w:color w:val="auto"/>
          <w:sz w:val="24"/>
          <w:highlight w:val="none"/>
          <w:lang w:bidi="ar"/>
        </w:rPr>
        <w:t>500</w:t>
      </w:r>
      <w:r>
        <w:rPr>
          <w:color w:val="auto"/>
          <w:sz w:val="24"/>
          <w:highlight w:val="none"/>
          <w:lang w:bidi="ar"/>
        </w:rPr>
        <w:t>元。</w:t>
      </w:r>
    </w:p>
    <w:p w14:paraId="35CA3D1F">
      <w:pPr>
        <w:tabs>
          <w:tab w:val="left" w:pos="900"/>
          <w:tab w:val="left" w:pos="1980"/>
        </w:tabs>
        <w:snapToGrid w:val="0"/>
        <w:spacing w:line="360" w:lineRule="auto"/>
        <w:ind w:left="840"/>
        <w:rPr>
          <w:color w:val="auto"/>
          <w:sz w:val="24"/>
          <w:highlight w:val="none"/>
        </w:rPr>
      </w:pPr>
    </w:p>
    <w:p w14:paraId="6031C4D6">
      <w:pPr>
        <w:pStyle w:val="3"/>
        <w:widowControl/>
        <w:spacing w:before="0" w:line="360" w:lineRule="auto"/>
        <w:jc w:val="left"/>
        <w:rPr>
          <w:rFonts w:ascii="Times New Roman" w:hAnsi="Times New Roman" w:eastAsia="宋体"/>
          <w:color w:val="auto"/>
          <w:sz w:val="24"/>
          <w:szCs w:val="24"/>
          <w:highlight w:val="none"/>
        </w:rPr>
      </w:pPr>
      <w:bookmarkStart w:id="31" w:name="_Toc28359082"/>
      <w:bookmarkStart w:id="32" w:name="_Toc28359005"/>
      <w:bookmarkStart w:id="33" w:name="_Toc35393793"/>
      <w:bookmarkStart w:id="34" w:name="_Toc35393624"/>
      <w:r>
        <w:rPr>
          <w:rFonts w:ascii="Times New Roman" w:hAnsi="Times New Roman" w:eastAsia="宋体"/>
          <w:color w:val="auto"/>
          <w:sz w:val="24"/>
          <w:szCs w:val="24"/>
          <w:highlight w:val="none"/>
        </w:rPr>
        <w:t>四、提交投标文件</w:t>
      </w:r>
      <w:bookmarkEnd w:id="31"/>
      <w:bookmarkEnd w:id="32"/>
      <w:r>
        <w:rPr>
          <w:rFonts w:ascii="Times New Roman" w:hAnsi="Times New Roman" w:eastAsia="宋体"/>
          <w:color w:val="auto"/>
          <w:sz w:val="24"/>
          <w:szCs w:val="24"/>
          <w:highlight w:val="none"/>
        </w:rPr>
        <w:t>截止时间、开标时间和地点</w:t>
      </w:r>
      <w:bookmarkEnd w:id="33"/>
      <w:bookmarkEnd w:id="34"/>
    </w:p>
    <w:p w14:paraId="0E3B4F52">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u w:val="single"/>
          <w:lang w:bidi="ar"/>
        </w:rPr>
        <w:t>2026</w:t>
      </w:r>
      <w:r>
        <w:rPr>
          <w:color w:val="auto"/>
          <w:sz w:val="24"/>
          <w:highlight w:val="none"/>
          <w:lang w:bidi="ar"/>
        </w:rPr>
        <w:t>年</w:t>
      </w:r>
      <w:r>
        <w:rPr>
          <w:rFonts w:hint="eastAsia"/>
          <w:color w:val="auto"/>
          <w:sz w:val="24"/>
          <w:highlight w:val="none"/>
          <w:u w:val="single"/>
          <w:lang w:val="en-US" w:eastAsia="zh-CN" w:bidi="ar"/>
        </w:rPr>
        <w:t>10</w:t>
      </w:r>
      <w:r>
        <w:rPr>
          <w:color w:val="auto"/>
          <w:sz w:val="24"/>
          <w:highlight w:val="none"/>
          <w:lang w:bidi="ar"/>
        </w:rPr>
        <w:t>月</w:t>
      </w:r>
      <w:r>
        <w:rPr>
          <w:rFonts w:hint="eastAsia"/>
          <w:color w:val="auto"/>
          <w:sz w:val="24"/>
          <w:highlight w:val="none"/>
          <w:u w:val="single"/>
          <w:lang w:val="en-US" w:eastAsia="zh-CN" w:bidi="ar"/>
        </w:rPr>
        <w:t>14</w:t>
      </w:r>
      <w:r>
        <w:rPr>
          <w:color w:val="auto"/>
          <w:sz w:val="24"/>
          <w:highlight w:val="none"/>
          <w:lang w:bidi="ar"/>
        </w:rPr>
        <w:t>日</w:t>
      </w:r>
      <w:r>
        <w:rPr>
          <w:rFonts w:hint="eastAsia"/>
          <w:color w:val="auto"/>
          <w:sz w:val="24"/>
          <w:highlight w:val="none"/>
          <w:u w:val="single"/>
          <w:lang w:bidi="ar"/>
        </w:rPr>
        <w:t>9</w:t>
      </w:r>
      <w:r>
        <w:rPr>
          <w:color w:val="auto"/>
          <w:sz w:val="24"/>
          <w:highlight w:val="none"/>
          <w:lang w:bidi="ar"/>
        </w:rPr>
        <w:t>点</w:t>
      </w:r>
      <w:r>
        <w:rPr>
          <w:rFonts w:hint="eastAsia"/>
          <w:color w:val="auto"/>
          <w:sz w:val="24"/>
          <w:highlight w:val="none"/>
          <w:u w:val="single"/>
          <w:lang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4FE5948A">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color w:val="auto"/>
          <w:sz w:val="24"/>
          <w:highlight w:val="none"/>
        </w:rPr>
        <w:t>北京市海淀区常青路和泓四季6号楼国信招标</w:t>
      </w:r>
    </w:p>
    <w:p w14:paraId="2880374C">
      <w:pPr>
        <w:spacing w:line="360" w:lineRule="auto"/>
        <w:ind w:firstLine="480" w:firstLineChars="200"/>
        <w:rPr>
          <w:bCs/>
          <w:color w:val="auto"/>
          <w:sz w:val="24"/>
          <w:highlight w:val="none"/>
          <w:u w:val="single"/>
        </w:rPr>
      </w:pPr>
    </w:p>
    <w:p w14:paraId="63275E28">
      <w:pPr>
        <w:pStyle w:val="3"/>
        <w:spacing w:before="0" w:line="360" w:lineRule="auto"/>
        <w:jc w:val="left"/>
        <w:rPr>
          <w:rFonts w:ascii="Times New Roman" w:hAnsi="Times New Roman" w:eastAsia="宋体"/>
          <w:color w:val="auto"/>
          <w:sz w:val="24"/>
          <w:szCs w:val="24"/>
          <w:highlight w:val="none"/>
        </w:rPr>
      </w:pPr>
      <w:bookmarkStart w:id="35" w:name="_Toc35393625"/>
      <w:bookmarkStart w:id="36" w:name="_Toc35393794"/>
      <w:bookmarkStart w:id="37" w:name="_Toc28359007"/>
      <w:bookmarkStart w:id="38" w:name="_Toc28359084"/>
      <w:r>
        <w:rPr>
          <w:rFonts w:ascii="Times New Roman" w:hAnsi="Times New Roman" w:eastAsia="宋体"/>
          <w:color w:val="auto"/>
          <w:sz w:val="24"/>
          <w:szCs w:val="24"/>
          <w:highlight w:val="none"/>
        </w:rPr>
        <w:t>五、公告期限</w:t>
      </w:r>
      <w:bookmarkEnd w:id="35"/>
      <w:bookmarkEnd w:id="36"/>
      <w:bookmarkEnd w:id="37"/>
      <w:bookmarkEnd w:id="38"/>
    </w:p>
    <w:p w14:paraId="629B0ED2">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7C797B5">
      <w:pPr>
        <w:spacing w:line="360" w:lineRule="auto"/>
        <w:ind w:firstLine="480" w:firstLineChars="200"/>
        <w:rPr>
          <w:color w:val="auto"/>
          <w:kern w:val="0"/>
          <w:sz w:val="24"/>
          <w:highlight w:val="none"/>
        </w:rPr>
      </w:pPr>
    </w:p>
    <w:p w14:paraId="177C254F">
      <w:pPr>
        <w:pStyle w:val="3"/>
        <w:spacing w:before="0" w:line="360" w:lineRule="auto"/>
        <w:jc w:val="left"/>
        <w:rPr>
          <w:rFonts w:ascii="Times New Roman" w:hAnsi="Times New Roman" w:eastAsia="宋体"/>
          <w:color w:val="auto"/>
          <w:sz w:val="24"/>
          <w:szCs w:val="24"/>
          <w:highlight w:val="none"/>
        </w:rPr>
      </w:pPr>
      <w:bookmarkStart w:id="39" w:name="_Toc35393626"/>
      <w:bookmarkStart w:id="40" w:name="_Toc35393795"/>
      <w:r>
        <w:rPr>
          <w:rFonts w:ascii="Times New Roman" w:hAnsi="Times New Roman" w:eastAsia="宋体"/>
          <w:color w:val="auto"/>
          <w:sz w:val="24"/>
          <w:szCs w:val="24"/>
          <w:highlight w:val="none"/>
        </w:rPr>
        <w:t>六、其他补充事宜</w:t>
      </w:r>
      <w:bookmarkEnd w:id="39"/>
      <w:bookmarkEnd w:id="40"/>
    </w:p>
    <w:p w14:paraId="34C45320">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color w:val="auto"/>
          <w:sz w:val="24"/>
          <w:highlight w:val="none"/>
          <w:u w:val="single"/>
          <w:lang w:bidi="ar"/>
        </w:rPr>
        <w:t>优先采购节能环保产品（注：所采购的货物在政府采购节能产品、环境标志产品实施品目清单范围内，且具有国家确定的认证机构出具的、处于有效期之内的节能产品、环境标志产品认证证书）</w:t>
      </w:r>
      <w:r>
        <w:rPr>
          <w:color w:val="auto"/>
          <w:sz w:val="24"/>
          <w:highlight w:val="none"/>
          <w:u w:val="single"/>
          <w:lang w:bidi="ar"/>
        </w:rPr>
        <w:t>。</w:t>
      </w:r>
      <w:r>
        <w:rPr>
          <w:color w:val="auto"/>
          <w:sz w:val="24"/>
          <w:highlight w:val="none"/>
        </w:rPr>
        <w:t xml:space="preserve"> </w:t>
      </w:r>
    </w:p>
    <w:p w14:paraId="0CF0030D">
      <w:pPr>
        <w:spacing w:line="360" w:lineRule="auto"/>
        <w:ind w:firstLine="480" w:firstLineChars="200"/>
        <w:rPr>
          <w:color w:val="auto"/>
          <w:sz w:val="24"/>
          <w:highlight w:val="none"/>
        </w:rPr>
      </w:pPr>
      <w:r>
        <w:rPr>
          <w:rFonts w:hint="eastAsia"/>
          <w:color w:val="auto"/>
          <w:sz w:val="24"/>
          <w:highlight w:val="none"/>
        </w:rPr>
        <w:t>2.本项目投标截止期前被“信用中国”网站（www.creditchina.gov.cn）中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p>
    <w:p w14:paraId="486ADA7C">
      <w:pPr>
        <w:spacing w:line="360" w:lineRule="auto"/>
        <w:ind w:firstLine="480" w:firstLineChars="200"/>
        <w:rPr>
          <w:color w:val="auto"/>
          <w:sz w:val="24"/>
          <w:highlight w:val="none"/>
        </w:rPr>
      </w:pPr>
      <w:r>
        <w:rPr>
          <w:rFonts w:hint="eastAsia"/>
          <w:color w:val="auto"/>
          <w:sz w:val="24"/>
          <w:highlight w:val="none"/>
        </w:rPr>
        <w:t>3.单位负责人为同一人或者存在直接控股、管理关系的不同单位，不得参加同一合同项下的政府采购活动。为本项目提供整体设计、规范编制或者项目管理、监理、检测等服务的投标人，不得再参加本项目投标。</w:t>
      </w:r>
    </w:p>
    <w:p w14:paraId="285F515B">
      <w:pPr>
        <w:spacing w:line="360" w:lineRule="auto"/>
        <w:ind w:firstLine="480" w:firstLineChars="200"/>
        <w:rPr>
          <w:color w:val="auto"/>
          <w:sz w:val="24"/>
          <w:highlight w:val="none"/>
        </w:rPr>
      </w:pPr>
      <w:r>
        <w:rPr>
          <w:rFonts w:hint="eastAsia"/>
          <w:color w:val="auto"/>
          <w:sz w:val="24"/>
          <w:highlight w:val="none"/>
        </w:rPr>
        <w:t>4.请投标人在汇款时务必注明所投标项目的招标编号及款项用途，否则，因款项用途不明导致投标无效等后果由投标人自行承担。</w:t>
      </w:r>
    </w:p>
    <w:p w14:paraId="33F012DF">
      <w:pPr>
        <w:spacing w:line="360" w:lineRule="auto"/>
        <w:ind w:firstLine="480" w:firstLineChars="200"/>
        <w:rPr>
          <w:color w:val="auto"/>
          <w:sz w:val="24"/>
          <w:highlight w:val="none"/>
        </w:rPr>
      </w:pPr>
      <w:r>
        <w:rPr>
          <w:rFonts w:hint="eastAsia"/>
          <w:color w:val="auto"/>
          <w:sz w:val="24"/>
          <w:highlight w:val="none"/>
        </w:rPr>
        <w:t>5.根据《国务院关于开展营商环境创新试点工作的意见》（国发〔2021〕24号）简化对政府采购供应商资格条件的形式审查，简化对供应商资格条件等的形式审查，不再要求供应商提供相关财务状况、缴纳税收和社会保障资金等证明材料，降低政府采购供应商交易成本。</w:t>
      </w:r>
    </w:p>
    <w:p w14:paraId="6D78136D">
      <w:pPr>
        <w:pStyle w:val="3"/>
        <w:spacing w:before="0" w:line="360" w:lineRule="auto"/>
        <w:jc w:val="left"/>
        <w:rPr>
          <w:rFonts w:ascii="Times New Roman" w:hAnsi="Times New Roman" w:eastAsia="宋体"/>
          <w:color w:val="auto"/>
          <w:sz w:val="24"/>
          <w:szCs w:val="24"/>
          <w:highlight w:val="none"/>
        </w:rPr>
      </w:pPr>
      <w:bookmarkStart w:id="41" w:name="_Toc35393627"/>
      <w:bookmarkStart w:id="42" w:name="_Toc35393796"/>
      <w:bookmarkStart w:id="43" w:name="_Toc28359085"/>
      <w:bookmarkStart w:id="44" w:name="_Toc28359008"/>
      <w:r>
        <w:rPr>
          <w:rFonts w:ascii="Times New Roman" w:hAnsi="Times New Roman" w:eastAsia="宋体"/>
          <w:color w:val="auto"/>
          <w:sz w:val="24"/>
          <w:szCs w:val="24"/>
          <w:highlight w:val="none"/>
        </w:rPr>
        <w:t>七、对本次招标提出询问，请按以下方式联系。</w:t>
      </w:r>
      <w:bookmarkEnd w:id="41"/>
      <w:bookmarkEnd w:id="42"/>
      <w:bookmarkEnd w:id="43"/>
      <w:bookmarkEnd w:id="44"/>
    </w:p>
    <w:p w14:paraId="040CEAAF">
      <w:pPr>
        <w:spacing w:line="360" w:lineRule="auto"/>
        <w:ind w:left="1080" w:leftChars="371" w:hanging="301" w:hangingChars="125"/>
        <w:jc w:val="left"/>
        <w:rPr>
          <w:b/>
          <w:color w:val="auto"/>
          <w:sz w:val="24"/>
          <w:highlight w:val="none"/>
        </w:rPr>
      </w:pPr>
      <w:r>
        <w:rPr>
          <w:b/>
          <w:color w:val="auto"/>
          <w:sz w:val="24"/>
          <w:highlight w:val="none"/>
        </w:rPr>
        <w:t>1.采购人信息</w:t>
      </w:r>
    </w:p>
    <w:p w14:paraId="16EB464E">
      <w:pPr>
        <w:spacing w:line="360" w:lineRule="auto"/>
        <w:ind w:firstLine="720" w:firstLineChars="300"/>
        <w:jc w:val="left"/>
        <w:rPr>
          <w:color w:val="auto"/>
          <w:sz w:val="24"/>
          <w:highlight w:val="none"/>
        </w:rPr>
      </w:pPr>
      <w:bookmarkStart w:id="45" w:name="_Toc28359009"/>
      <w:bookmarkStart w:id="46" w:name="_Toc28359086"/>
      <w:r>
        <w:rPr>
          <w:rFonts w:hint="eastAsia"/>
          <w:color w:val="auto"/>
          <w:sz w:val="24"/>
          <w:highlight w:val="none"/>
        </w:rPr>
        <w:t>名称：生态环境部固体废物与化学品管理技术中心</w:t>
      </w:r>
    </w:p>
    <w:p w14:paraId="2A51796A">
      <w:pPr>
        <w:spacing w:line="360" w:lineRule="auto"/>
        <w:ind w:left="1079" w:leftChars="371" w:hanging="300" w:hangingChars="125"/>
        <w:jc w:val="left"/>
        <w:rPr>
          <w:color w:val="auto"/>
          <w:sz w:val="24"/>
          <w:highlight w:val="none"/>
        </w:rPr>
      </w:pPr>
      <w:r>
        <w:rPr>
          <w:rFonts w:hint="eastAsia"/>
          <w:color w:val="auto"/>
          <w:sz w:val="24"/>
          <w:highlight w:val="none"/>
        </w:rPr>
        <w:t>地址：北京市朝阳区育慧南路</w:t>
      </w:r>
      <w:r>
        <w:rPr>
          <w:color w:val="auto"/>
          <w:sz w:val="24"/>
          <w:highlight w:val="none"/>
        </w:rPr>
        <w:t>1</w:t>
      </w:r>
      <w:r>
        <w:rPr>
          <w:rFonts w:hint="eastAsia"/>
          <w:color w:val="auto"/>
          <w:sz w:val="24"/>
          <w:highlight w:val="none"/>
        </w:rPr>
        <w:t>号</w:t>
      </w:r>
    </w:p>
    <w:p w14:paraId="1FB038F9">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45"/>
      <w:bookmarkEnd w:id="46"/>
    </w:p>
    <w:p w14:paraId="25FBBB9A">
      <w:pPr>
        <w:spacing w:line="360" w:lineRule="auto"/>
        <w:ind w:left="1076" w:leftChars="371" w:hanging="297" w:hangingChars="124"/>
        <w:jc w:val="left"/>
        <w:rPr>
          <w:color w:val="auto"/>
          <w:sz w:val="24"/>
          <w:highlight w:val="none"/>
        </w:rPr>
      </w:pPr>
      <w:bookmarkStart w:id="47" w:name="_Toc28359087"/>
      <w:bookmarkStart w:id="48" w:name="_Toc28359010"/>
      <w:r>
        <w:rPr>
          <w:color w:val="auto"/>
          <w:sz w:val="24"/>
          <w:highlight w:val="none"/>
        </w:rPr>
        <w:t>名称：</w:t>
      </w:r>
      <w:r>
        <w:rPr>
          <w:rFonts w:hint="eastAsia"/>
          <w:color w:val="auto"/>
          <w:sz w:val="24"/>
          <w:highlight w:val="none"/>
        </w:rPr>
        <w:t>国信招标集团股份有限公司</w:t>
      </w:r>
    </w:p>
    <w:p w14:paraId="23154F51">
      <w:pPr>
        <w:spacing w:line="360" w:lineRule="auto"/>
        <w:ind w:left="1076" w:leftChars="371" w:hanging="297" w:hangingChars="124"/>
        <w:jc w:val="left"/>
        <w:rPr>
          <w:color w:val="auto"/>
          <w:sz w:val="24"/>
          <w:highlight w:val="none"/>
        </w:rPr>
      </w:pPr>
      <w:r>
        <w:rPr>
          <w:rFonts w:hint="eastAsia"/>
          <w:color w:val="auto"/>
          <w:sz w:val="24"/>
          <w:highlight w:val="none"/>
        </w:rPr>
        <w:t>地址：北京市海淀区常青路和泓四季6号楼</w:t>
      </w:r>
    </w:p>
    <w:p w14:paraId="306AACE2">
      <w:pPr>
        <w:spacing w:line="360" w:lineRule="auto"/>
        <w:ind w:left="1076" w:leftChars="371" w:hanging="297" w:hangingChars="124"/>
        <w:jc w:val="left"/>
        <w:rPr>
          <w:color w:val="auto"/>
          <w:sz w:val="24"/>
          <w:highlight w:val="none"/>
        </w:rPr>
      </w:pPr>
      <w:r>
        <w:rPr>
          <w:rFonts w:hint="eastAsia"/>
          <w:color w:val="auto"/>
          <w:sz w:val="24"/>
          <w:highlight w:val="none"/>
        </w:rPr>
        <w:t>联 系 人：龚璟羽、蒋泽童、邓会龙</w:t>
      </w:r>
    </w:p>
    <w:p w14:paraId="5F178747">
      <w:pPr>
        <w:spacing w:line="360" w:lineRule="auto"/>
        <w:ind w:left="1076" w:leftChars="371" w:hanging="297" w:hangingChars="124"/>
        <w:jc w:val="left"/>
        <w:rPr>
          <w:rFonts w:hint="default" w:eastAsia="宋体"/>
          <w:color w:val="auto"/>
          <w:sz w:val="24"/>
          <w:highlight w:val="none"/>
          <w:lang w:val="en-US" w:eastAsia="zh-CN"/>
        </w:rPr>
      </w:pPr>
      <w:r>
        <w:rPr>
          <w:rFonts w:hint="eastAsia"/>
          <w:color w:val="auto"/>
          <w:sz w:val="24"/>
          <w:highlight w:val="none"/>
        </w:rPr>
        <w:t>电    话：</w:t>
      </w:r>
      <w:r>
        <w:rPr>
          <w:rFonts w:hint="eastAsia"/>
          <w:color w:val="auto"/>
          <w:sz w:val="24"/>
          <w:highlight w:val="none"/>
          <w:lang w:val="en-US" w:eastAsia="zh-CN"/>
        </w:rPr>
        <w:t>13716154092</w:t>
      </w:r>
    </w:p>
    <w:p w14:paraId="72F44E9F">
      <w:pPr>
        <w:spacing w:line="360" w:lineRule="auto"/>
        <w:ind w:left="1079" w:leftChars="371" w:hanging="300" w:hangingChars="125"/>
        <w:jc w:val="left"/>
        <w:rPr>
          <w:color w:val="auto"/>
          <w:sz w:val="24"/>
          <w:highlight w:val="none"/>
        </w:rPr>
      </w:pPr>
      <w:r>
        <w:rPr>
          <w:rFonts w:hint="eastAsia"/>
          <w:color w:val="auto"/>
          <w:sz w:val="24"/>
          <w:highlight w:val="none"/>
        </w:rPr>
        <w:t>电子信箱：</w:t>
      </w:r>
      <w:r>
        <w:rPr>
          <w:color w:val="auto"/>
          <w:highlight w:val="none"/>
        </w:rPr>
        <w:fldChar w:fldCharType="begin"/>
      </w:r>
      <w:r>
        <w:rPr>
          <w:color w:val="auto"/>
          <w:highlight w:val="none"/>
        </w:rPr>
        <w:instrText xml:space="preserve"> HYPERLINK "mailto:denghuilong@gxzb.com.cn" </w:instrText>
      </w:r>
      <w:r>
        <w:rPr>
          <w:color w:val="auto"/>
          <w:highlight w:val="none"/>
        </w:rPr>
        <w:fldChar w:fldCharType="separate"/>
      </w:r>
      <w:r>
        <w:rPr>
          <w:rStyle w:val="51"/>
          <w:color w:val="auto"/>
          <w:sz w:val="24"/>
          <w:highlight w:val="none"/>
        </w:rPr>
        <w:t>denghuilong@gxzb.com.cn</w:t>
      </w:r>
      <w:r>
        <w:rPr>
          <w:rStyle w:val="51"/>
          <w:color w:val="auto"/>
          <w:sz w:val="24"/>
          <w:highlight w:val="none"/>
        </w:rPr>
        <w:fldChar w:fldCharType="end"/>
      </w:r>
    </w:p>
    <w:p w14:paraId="49E6A96D">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47"/>
      <w:bookmarkEnd w:id="48"/>
    </w:p>
    <w:p w14:paraId="6FF73FF6">
      <w:pPr>
        <w:spacing w:line="360" w:lineRule="auto"/>
        <w:ind w:left="1076" w:leftChars="371" w:hanging="297" w:hangingChars="124"/>
        <w:jc w:val="left"/>
        <w:rPr>
          <w:color w:val="auto"/>
          <w:sz w:val="24"/>
          <w:highlight w:val="none"/>
        </w:rPr>
      </w:pPr>
      <w:r>
        <w:rPr>
          <w:rFonts w:hint="eastAsia"/>
          <w:color w:val="auto"/>
          <w:sz w:val="24"/>
          <w:highlight w:val="none"/>
        </w:rPr>
        <w:t>联 系 人：龚璟羽、蒋泽童、邓会龙</w:t>
      </w:r>
    </w:p>
    <w:p w14:paraId="5BA72AC0">
      <w:pPr>
        <w:spacing w:line="360" w:lineRule="auto"/>
        <w:ind w:left="1076" w:leftChars="371" w:hanging="297" w:hangingChars="124"/>
        <w:jc w:val="left"/>
        <w:rPr>
          <w:rFonts w:hint="default" w:eastAsia="宋体"/>
          <w:color w:val="auto"/>
          <w:sz w:val="24"/>
          <w:highlight w:val="none"/>
          <w:lang w:val="en-US" w:eastAsia="zh-CN"/>
        </w:rPr>
      </w:pPr>
      <w:r>
        <w:rPr>
          <w:rFonts w:hint="eastAsia"/>
          <w:color w:val="auto"/>
          <w:sz w:val="24"/>
          <w:highlight w:val="none"/>
        </w:rPr>
        <w:t>电    话：</w:t>
      </w:r>
      <w:r>
        <w:rPr>
          <w:rFonts w:hint="eastAsia"/>
          <w:color w:val="auto"/>
          <w:sz w:val="24"/>
          <w:highlight w:val="none"/>
          <w:lang w:val="en-US" w:eastAsia="zh-CN"/>
        </w:rPr>
        <w:t>13716154092</w:t>
      </w:r>
    </w:p>
    <w:p w14:paraId="786A35AF">
      <w:pPr>
        <w:spacing w:line="360" w:lineRule="auto"/>
        <w:ind w:left="1076" w:leftChars="371" w:hanging="297" w:hangingChars="124"/>
        <w:jc w:val="left"/>
        <w:rPr>
          <w:color w:val="auto"/>
          <w:sz w:val="24"/>
          <w:highlight w:val="none"/>
        </w:rPr>
        <w:sectPr>
          <w:footerReference r:id="rId12" w:type="first"/>
          <w:footerReference r:id="rId11" w:type="default"/>
          <w:pgSz w:w="11907" w:h="16840"/>
          <w:pgMar w:top="1418" w:right="1134" w:bottom="1418" w:left="1701" w:header="851" w:footer="851" w:gutter="0"/>
          <w:pgNumType w:fmt="decimal" w:start="1"/>
          <w:cols w:space="720" w:num="1"/>
          <w:docGrid w:linePitch="462" w:charSpace="0"/>
        </w:sectPr>
      </w:pPr>
      <w:r>
        <w:rPr>
          <w:rFonts w:hint="eastAsia"/>
          <w:color w:val="auto"/>
          <w:sz w:val="24"/>
          <w:highlight w:val="none"/>
        </w:rPr>
        <w:t>电子信箱：</w:t>
      </w:r>
      <w:r>
        <w:rPr>
          <w:color w:val="auto"/>
          <w:sz w:val="24"/>
          <w:highlight w:val="none"/>
        </w:rPr>
        <w:t>denghuilong@gxzb.com.cn</w:t>
      </w:r>
    </w:p>
    <w:p w14:paraId="25FB7810">
      <w:pPr>
        <w:spacing w:line="360" w:lineRule="auto"/>
        <w:jc w:val="center"/>
        <w:outlineLvl w:val="0"/>
        <w:rPr>
          <w:b/>
          <w:color w:val="auto"/>
          <w:sz w:val="32"/>
          <w:szCs w:val="32"/>
          <w:highlight w:val="none"/>
        </w:rPr>
      </w:pPr>
      <w:bookmarkStart w:id="49" w:name="_Toc305158854"/>
      <w:bookmarkStart w:id="50" w:name="_Toc127161488"/>
      <w:bookmarkStart w:id="51" w:name="_Toc305158928"/>
      <w:bookmarkStart w:id="52" w:name="_Toc265228423"/>
      <w:bookmarkStart w:id="53" w:name="_Toc512937850"/>
      <w:bookmarkStart w:id="54" w:name="_Toc127151777"/>
      <w:bookmarkStart w:id="55" w:name="_Toc353825548"/>
      <w:bookmarkStart w:id="56" w:name="_Toc353873938"/>
      <w:bookmarkStart w:id="57" w:name="_Toc226965856"/>
      <w:bookmarkStart w:id="58" w:name="_Toc264969275"/>
      <w:bookmarkStart w:id="59" w:name="_Toc99301420"/>
      <w:bookmarkStart w:id="60" w:name="_Toc195842950"/>
      <w:bookmarkStart w:id="61" w:name="_Toc150774783"/>
      <w:r>
        <w:rPr>
          <w:b/>
          <w:color w:val="auto"/>
          <w:sz w:val="36"/>
          <w:szCs w:val="36"/>
          <w:highlight w:val="none"/>
        </w:rPr>
        <w:t>第二章   投标人须知</w:t>
      </w:r>
      <w:bookmarkEnd w:id="49"/>
      <w:bookmarkEnd w:id="50"/>
      <w:bookmarkEnd w:id="51"/>
      <w:bookmarkEnd w:id="52"/>
      <w:bookmarkEnd w:id="53"/>
      <w:bookmarkEnd w:id="54"/>
      <w:bookmarkEnd w:id="55"/>
      <w:bookmarkEnd w:id="56"/>
      <w:bookmarkEnd w:id="57"/>
      <w:bookmarkEnd w:id="58"/>
      <w:bookmarkEnd w:id="59"/>
      <w:bookmarkEnd w:id="60"/>
      <w:bookmarkEnd w:id="61"/>
    </w:p>
    <w:p w14:paraId="1BFBF70A">
      <w:pPr>
        <w:pStyle w:val="3"/>
        <w:tabs>
          <w:tab w:val="center" w:pos="4592"/>
          <w:tab w:val="left" w:pos="7860"/>
        </w:tabs>
        <w:spacing w:before="0" w:line="360" w:lineRule="auto"/>
        <w:rPr>
          <w:rFonts w:ascii="Times New Roman" w:hAnsi="Times New Roman" w:eastAsia="宋体"/>
          <w:color w:val="auto"/>
          <w:sz w:val="28"/>
          <w:highlight w:val="none"/>
        </w:rPr>
      </w:pPr>
      <w:bookmarkStart w:id="62" w:name="_Toc150509270"/>
      <w:bookmarkStart w:id="63" w:name="_Toc164229214"/>
      <w:bookmarkStart w:id="64" w:name="_Toc164608788"/>
      <w:bookmarkStart w:id="65" w:name="_Toc150480757"/>
      <w:bookmarkStart w:id="66" w:name="_Toc151193689"/>
      <w:bookmarkStart w:id="67" w:name="_Toc127151720"/>
      <w:bookmarkStart w:id="68" w:name="_Toc164608633"/>
      <w:bookmarkStart w:id="69" w:name="_Toc226309763"/>
      <w:bookmarkStart w:id="70" w:name="_Toc164229360"/>
      <w:bookmarkStart w:id="71" w:name="_Toc127161433"/>
      <w:bookmarkStart w:id="72" w:name="_Toc151193761"/>
      <w:bookmarkStart w:id="73" w:name="_Toc149720812"/>
      <w:bookmarkStart w:id="74" w:name="_Toc151193833"/>
      <w:bookmarkStart w:id="75" w:name="_Toc142311021"/>
      <w:bookmarkStart w:id="76" w:name="_Toc226337215"/>
      <w:bookmarkStart w:id="77" w:name="_Toc164351613"/>
      <w:bookmarkStart w:id="78" w:name="_Toc151193617"/>
      <w:bookmarkStart w:id="79" w:name="_Toc150774619"/>
      <w:bookmarkStart w:id="80" w:name="_Toc226965792"/>
      <w:bookmarkStart w:id="81" w:name="_Toc151190146"/>
      <w:bookmarkStart w:id="82" w:name="_Toc151193907"/>
      <w:bookmarkStart w:id="83" w:name="_Toc520356144"/>
      <w:bookmarkStart w:id="84" w:name="_Toc127151519"/>
      <w:bookmarkStart w:id="85" w:name="_Toc195842884"/>
      <w:bookmarkStart w:id="86" w:name="_Toc150774724"/>
      <w:bookmarkStart w:id="87" w:name="_Toc226965709"/>
      <w:r>
        <w:rPr>
          <w:rFonts w:ascii="Times New Roman" w:hAnsi="Times New Roman" w:eastAsia="宋体"/>
          <w:color w:val="auto"/>
          <w:sz w:val="28"/>
          <w:highlight w:val="none"/>
        </w:rPr>
        <w:t>投标人须知资料表</w:t>
      </w:r>
    </w:p>
    <w:p w14:paraId="11D8F8A7">
      <w:pPr>
        <w:jc w:val="center"/>
        <w:rPr>
          <w:b/>
          <w:color w:val="auto"/>
          <w:sz w:val="28"/>
          <w:szCs w:val="28"/>
          <w:highlight w:val="none"/>
        </w:rPr>
      </w:pPr>
    </w:p>
    <w:p w14:paraId="65D395BC">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0E9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9A1C773">
            <w:pPr>
              <w:jc w:val="center"/>
              <w:rPr>
                <w:b/>
                <w:bCs/>
                <w:color w:val="auto"/>
                <w:sz w:val="24"/>
                <w:highlight w:val="none"/>
              </w:rPr>
            </w:pPr>
            <w:r>
              <w:rPr>
                <w:b/>
                <w:color w:val="auto"/>
                <w:sz w:val="24"/>
                <w:highlight w:val="none"/>
              </w:rPr>
              <w:t>条款号</w:t>
            </w:r>
          </w:p>
        </w:tc>
        <w:tc>
          <w:tcPr>
            <w:tcW w:w="1701" w:type="dxa"/>
            <w:vAlign w:val="center"/>
          </w:tcPr>
          <w:p w14:paraId="64BEDB45">
            <w:pPr>
              <w:jc w:val="center"/>
              <w:rPr>
                <w:b/>
                <w:bCs/>
                <w:color w:val="auto"/>
                <w:sz w:val="24"/>
                <w:highlight w:val="none"/>
              </w:rPr>
            </w:pPr>
            <w:r>
              <w:rPr>
                <w:b/>
                <w:bCs/>
                <w:color w:val="auto"/>
                <w:sz w:val="24"/>
                <w:highlight w:val="none"/>
              </w:rPr>
              <w:t>条目</w:t>
            </w:r>
          </w:p>
        </w:tc>
        <w:tc>
          <w:tcPr>
            <w:tcW w:w="7540" w:type="dxa"/>
            <w:vAlign w:val="center"/>
          </w:tcPr>
          <w:p w14:paraId="57F52817">
            <w:pPr>
              <w:jc w:val="center"/>
              <w:rPr>
                <w:b/>
                <w:bCs/>
                <w:color w:val="auto"/>
                <w:sz w:val="24"/>
                <w:highlight w:val="none"/>
              </w:rPr>
            </w:pPr>
            <w:r>
              <w:rPr>
                <w:b/>
                <w:bCs/>
                <w:color w:val="auto"/>
                <w:sz w:val="24"/>
                <w:highlight w:val="none"/>
              </w:rPr>
              <w:t>内容</w:t>
            </w:r>
          </w:p>
        </w:tc>
      </w:tr>
      <w:tr w14:paraId="51E0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8272AE">
            <w:pPr>
              <w:pStyle w:val="23"/>
              <w:adjustRightInd w:val="0"/>
              <w:snapToGrid w:val="0"/>
              <w:jc w:val="center"/>
              <w:rPr>
                <w:rFonts w:hint="default" w:ascii="Times New Roman" w:hAnsi="Times New Roman"/>
                <w:color w:val="auto"/>
                <w:sz w:val="24"/>
                <w:szCs w:val="24"/>
                <w:highlight w:val="none"/>
              </w:rPr>
            </w:pPr>
            <w:bookmarkStart w:id="88" w:name="_Hlk234498379"/>
            <w:r>
              <w:rPr>
                <w:rFonts w:hint="default" w:ascii="Times New Roman" w:hAnsi="Times New Roman"/>
                <w:color w:val="auto"/>
                <w:sz w:val="24"/>
                <w:szCs w:val="24"/>
                <w:highlight w:val="none"/>
              </w:rPr>
              <w:t>2.2</w:t>
            </w:r>
          </w:p>
        </w:tc>
        <w:tc>
          <w:tcPr>
            <w:tcW w:w="1701" w:type="dxa"/>
            <w:vAlign w:val="center"/>
          </w:tcPr>
          <w:p w14:paraId="2B3DB500">
            <w:pPr>
              <w:jc w:val="center"/>
              <w:rPr>
                <w:color w:val="auto"/>
                <w:sz w:val="24"/>
                <w:highlight w:val="none"/>
              </w:rPr>
            </w:pPr>
            <w:r>
              <w:rPr>
                <w:color w:val="auto"/>
                <w:sz w:val="24"/>
                <w:highlight w:val="none"/>
              </w:rPr>
              <w:t>项目属性</w:t>
            </w:r>
          </w:p>
        </w:tc>
        <w:tc>
          <w:tcPr>
            <w:tcW w:w="7540" w:type="dxa"/>
            <w:vAlign w:val="center"/>
          </w:tcPr>
          <w:p w14:paraId="6567D2BB">
            <w:pPr>
              <w:jc w:val="left"/>
              <w:rPr>
                <w:color w:val="auto"/>
                <w:sz w:val="24"/>
                <w:highlight w:val="none"/>
              </w:rPr>
            </w:pPr>
            <w:r>
              <w:rPr>
                <w:color w:val="auto"/>
                <w:sz w:val="24"/>
                <w:highlight w:val="none"/>
              </w:rPr>
              <w:t>项目属性：</w:t>
            </w:r>
          </w:p>
          <w:p w14:paraId="571E89F7">
            <w:pPr>
              <w:jc w:val="left"/>
              <w:rPr>
                <w:color w:val="auto"/>
                <w:sz w:val="24"/>
                <w:highlight w:val="none"/>
              </w:rPr>
            </w:pPr>
            <w:r>
              <w:rPr>
                <w:rFonts w:hint="eastAsia" w:ascii="宋体" w:hAnsi="宋体"/>
                <w:color w:val="auto"/>
                <w:sz w:val="15"/>
                <w:highlight w:val="none"/>
              </w:rPr>
              <w:t>▇</w:t>
            </w:r>
            <w:r>
              <w:rPr>
                <w:color w:val="auto"/>
                <w:sz w:val="24"/>
                <w:highlight w:val="none"/>
              </w:rPr>
              <w:t>服务</w:t>
            </w:r>
          </w:p>
          <w:p w14:paraId="5F13C377">
            <w:pPr>
              <w:jc w:val="left"/>
              <w:rPr>
                <w:color w:val="auto"/>
                <w:sz w:val="24"/>
                <w:highlight w:val="none"/>
              </w:rPr>
            </w:pPr>
            <w:bookmarkStart w:id="89" w:name="OLE_LINK14"/>
            <w:bookmarkStart w:id="90" w:name="OLE_LINK16"/>
            <w:r>
              <w:rPr>
                <w:color w:val="auto"/>
                <w:sz w:val="24"/>
                <w:highlight w:val="none"/>
              </w:rPr>
              <w:t>□</w:t>
            </w:r>
            <w:bookmarkEnd w:id="89"/>
            <w:bookmarkEnd w:id="90"/>
            <w:r>
              <w:rPr>
                <w:color w:val="auto"/>
                <w:sz w:val="24"/>
                <w:highlight w:val="none"/>
              </w:rPr>
              <w:t>货物</w:t>
            </w:r>
          </w:p>
        </w:tc>
      </w:tr>
      <w:bookmarkEnd w:id="88"/>
      <w:tr w14:paraId="20D8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42475E">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711F17B7">
            <w:pPr>
              <w:jc w:val="center"/>
              <w:rPr>
                <w:color w:val="auto"/>
                <w:sz w:val="24"/>
                <w:highlight w:val="none"/>
              </w:rPr>
            </w:pPr>
            <w:r>
              <w:rPr>
                <w:color w:val="auto"/>
                <w:sz w:val="24"/>
                <w:highlight w:val="none"/>
              </w:rPr>
              <w:t>科研仪器设备</w:t>
            </w:r>
          </w:p>
        </w:tc>
        <w:tc>
          <w:tcPr>
            <w:tcW w:w="7540" w:type="dxa"/>
            <w:vAlign w:val="center"/>
          </w:tcPr>
          <w:p w14:paraId="5CC0FA28">
            <w:pPr>
              <w:jc w:val="left"/>
              <w:rPr>
                <w:color w:val="auto"/>
                <w:sz w:val="24"/>
                <w:highlight w:val="none"/>
              </w:rPr>
            </w:pPr>
            <w:r>
              <w:rPr>
                <w:color w:val="auto"/>
                <w:sz w:val="24"/>
                <w:highlight w:val="none"/>
              </w:rPr>
              <w:t>是否属于科研仪器设备采购项目：</w:t>
            </w:r>
          </w:p>
          <w:p w14:paraId="6F320B85">
            <w:pPr>
              <w:jc w:val="left"/>
              <w:rPr>
                <w:color w:val="auto"/>
                <w:sz w:val="24"/>
                <w:highlight w:val="none"/>
              </w:rPr>
            </w:pPr>
            <w:r>
              <w:rPr>
                <w:color w:val="auto"/>
                <w:sz w:val="24"/>
                <w:highlight w:val="none"/>
              </w:rPr>
              <w:t>□是</w:t>
            </w:r>
          </w:p>
          <w:p w14:paraId="70DB851D">
            <w:pPr>
              <w:jc w:val="left"/>
              <w:rPr>
                <w:color w:val="auto"/>
                <w:sz w:val="24"/>
                <w:highlight w:val="none"/>
              </w:rPr>
            </w:pPr>
            <w:bookmarkStart w:id="91" w:name="OLE_LINK19"/>
            <w:r>
              <w:rPr>
                <w:rFonts w:hint="eastAsia" w:ascii="宋体" w:hAnsi="宋体"/>
                <w:color w:val="auto"/>
                <w:sz w:val="15"/>
                <w:highlight w:val="none"/>
              </w:rPr>
              <w:t>▇</w:t>
            </w:r>
            <w:bookmarkEnd w:id="91"/>
            <w:r>
              <w:rPr>
                <w:color w:val="auto"/>
                <w:sz w:val="24"/>
                <w:highlight w:val="none"/>
              </w:rPr>
              <w:t>否</w:t>
            </w:r>
          </w:p>
        </w:tc>
      </w:tr>
      <w:tr w14:paraId="6C7B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89209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7020CAAE">
            <w:pPr>
              <w:jc w:val="center"/>
              <w:rPr>
                <w:color w:val="auto"/>
                <w:sz w:val="24"/>
                <w:highlight w:val="none"/>
              </w:rPr>
            </w:pPr>
            <w:r>
              <w:rPr>
                <w:color w:val="auto"/>
                <w:sz w:val="24"/>
                <w:highlight w:val="none"/>
              </w:rPr>
              <w:t>核心产品</w:t>
            </w:r>
          </w:p>
        </w:tc>
        <w:tc>
          <w:tcPr>
            <w:tcW w:w="7540" w:type="dxa"/>
            <w:vAlign w:val="center"/>
          </w:tcPr>
          <w:p w14:paraId="267C6013">
            <w:pPr>
              <w:pStyle w:val="23"/>
              <w:adjustRightInd w:val="0"/>
              <w:snapToGrid w:val="0"/>
              <w:rPr>
                <w:rFonts w:hint="default" w:ascii="Times New Roman" w:hAnsi="Times New Roman"/>
                <w:color w:val="auto"/>
                <w:sz w:val="24"/>
                <w:szCs w:val="24"/>
                <w:highlight w:val="none"/>
              </w:rPr>
            </w:pPr>
            <w:r>
              <w:rPr>
                <w:rFonts w:ascii="Times New Roman" w:hAnsi="Times New Roman"/>
                <w:color w:val="auto"/>
                <w:sz w:val="16"/>
                <w:szCs w:val="24"/>
                <w:highlight w:val="none"/>
              </w:rPr>
              <w:t>▇</w:t>
            </w:r>
            <w:r>
              <w:rPr>
                <w:rFonts w:hint="default" w:ascii="Times New Roman" w:hAnsi="Times New Roman"/>
                <w:color w:val="auto"/>
                <w:sz w:val="24"/>
                <w:szCs w:val="24"/>
                <w:highlight w:val="none"/>
              </w:rPr>
              <w:t>关于核心产品本项目不适用。</w:t>
            </w:r>
          </w:p>
          <w:p w14:paraId="25AF14E2">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14:paraId="678230CA">
            <w:pPr>
              <w:jc w:val="left"/>
              <w:rPr>
                <w:color w:val="auto"/>
                <w:sz w:val="24"/>
                <w:highlight w:val="none"/>
              </w:rPr>
            </w:pPr>
            <w:r>
              <w:rPr>
                <w:rFonts w:hint="eastAsia" w:ascii="宋体" w:hAnsi="宋体"/>
                <w:color w:val="auto"/>
                <w:sz w:val="15"/>
                <w:highlight w:val="none"/>
              </w:rPr>
              <w:t>□</w:t>
            </w:r>
            <w:r>
              <w:rPr>
                <w:color w:val="auto"/>
                <w:sz w:val="24"/>
                <w:highlight w:val="none"/>
              </w:rPr>
              <w:t>本项目__包为非单一产品采购项目，核心产品为：____。</w:t>
            </w:r>
          </w:p>
        </w:tc>
      </w:tr>
      <w:tr w14:paraId="13740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BE3DE9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027C5348">
            <w:pPr>
              <w:jc w:val="center"/>
              <w:rPr>
                <w:color w:val="auto"/>
                <w:sz w:val="24"/>
                <w:highlight w:val="none"/>
              </w:rPr>
            </w:pPr>
            <w:r>
              <w:rPr>
                <w:color w:val="auto"/>
                <w:sz w:val="24"/>
                <w:highlight w:val="none"/>
              </w:rPr>
              <w:t>现场考察</w:t>
            </w:r>
          </w:p>
        </w:tc>
        <w:tc>
          <w:tcPr>
            <w:tcW w:w="7540" w:type="dxa"/>
            <w:vAlign w:val="center"/>
          </w:tcPr>
          <w:p w14:paraId="46F05AF9">
            <w:pPr>
              <w:jc w:val="left"/>
              <w:rPr>
                <w:color w:val="auto"/>
                <w:sz w:val="24"/>
                <w:highlight w:val="none"/>
              </w:rPr>
            </w:pPr>
            <w:r>
              <w:rPr>
                <w:rFonts w:hint="eastAsia" w:ascii="宋体" w:hAnsi="宋体"/>
                <w:color w:val="auto"/>
                <w:sz w:val="15"/>
                <w:highlight w:val="none"/>
              </w:rPr>
              <w:t>▇</w:t>
            </w:r>
            <w:r>
              <w:rPr>
                <w:color w:val="auto"/>
                <w:sz w:val="24"/>
                <w:highlight w:val="none"/>
              </w:rPr>
              <w:t>不组织</w:t>
            </w:r>
          </w:p>
          <w:p w14:paraId="080511AE">
            <w:pPr>
              <w:jc w:val="left"/>
              <w:rPr>
                <w:bCs/>
                <w:color w:val="auto"/>
                <w:sz w:val="24"/>
                <w:highlight w:val="none"/>
              </w:rPr>
            </w:pPr>
            <w:r>
              <w:rPr>
                <w:color w:val="auto"/>
                <w:sz w:val="24"/>
                <w:highlight w:val="none"/>
              </w:rPr>
              <w:t>□组织，考间：__年_月_日_</w:t>
            </w:r>
            <w:r>
              <w:rPr>
                <w:bCs/>
                <w:color w:val="auto"/>
                <w:sz w:val="24"/>
                <w:highlight w:val="none"/>
              </w:rPr>
              <w:t>点</w:t>
            </w:r>
            <w:r>
              <w:rPr>
                <w:color w:val="auto"/>
                <w:sz w:val="24"/>
                <w:highlight w:val="none"/>
              </w:rPr>
              <w:t>_</w:t>
            </w:r>
            <w:r>
              <w:rPr>
                <w:bCs/>
                <w:color w:val="auto"/>
                <w:sz w:val="24"/>
                <w:highlight w:val="none"/>
              </w:rPr>
              <w:t>分</w:t>
            </w:r>
          </w:p>
          <w:p w14:paraId="34784CAD">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6D8B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55418CC">
            <w:pPr>
              <w:pStyle w:val="23"/>
              <w:adjustRightInd w:val="0"/>
              <w:snapToGrid w:val="0"/>
              <w:jc w:val="center"/>
              <w:rPr>
                <w:rFonts w:hint="default" w:ascii="Times New Roman" w:hAnsi="Times New Roman"/>
                <w:color w:val="auto"/>
                <w:sz w:val="24"/>
                <w:szCs w:val="24"/>
                <w:highlight w:val="none"/>
              </w:rPr>
            </w:pPr>
          </w:p>
        </w:tc>
        <w:tc>
          <w:tcPr>
            <w:tcW w:w="1701" w:type="dxa"/>
            <w:vAlign w:val="center"/>
          </w:tcPr>
          <w:p w14:paraId="622E1310">
            <w:pPr>
              <w:jc w:val="center"/>
              <w:rPr>
                <w:color w:val="auto"/>
                <w:sz w:val="24"/>
                <w:highlight w:val="none"/>
              </w:rPr>
            </w:pPr>
            <w:r>
              <w:rPr>
                <w:color w:val="auto"/>
                <w:sz w:val="24"/>
                <w:highlight w:val="none"/>
              </w:rPr>
              <w:t>开标前答疑会</w:t>
            </w:r>
          </w:p>
        </w:tc>
        <w:tc>
          <w:tcPr>
            <w:tcW w:w="7540" w:type="dxa"/>
            <w:vAlign w:val="center"/>
          </w:tcPr>
          <w:p w14:paraId="409C4A98">
            <w:pPr>
              <w:jc w:val="left"/>
              <w:rPr>
                <w:color w:val="auto"/>
                <w:sz w:val="24"/>
                <w:highlight w:val="none"/>
              </w:rPr>
            </w:pPr>
            <w:r>
              <w:rPr>
                <w:rFonts w:hint="eastAsia" w:ascii="宋体" w:hAnsi="宋体"/>
                <w:color w:val="auto"/>
                <w:sz w:val="15"/>
                <w:highlight w:val="none"/>
              </w:rPr>
              <w:t>▇</w:t>
            </w:r>
            <w:r>
              <w:rPr>
                <w:color w:val="auto"/>
                <w:sz w:val="24"/>
                <w:highlight w:val="none"/>
              </w:rPr>
              <w:t>不召开</w:t>
            </w:r>
          </w:p>
          <w:p w14:paraId="3F165237">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18B91BB9">
            <w:pPr>
              <w:jc w:val="left"/>
              <w:rPr>
                <w:color w:val="auto"/>
                <w:sz w:val="24"/>
                <w:highlight w:val="none"/>
              </w:rPr>
            </w:pPr>
            <w:r>
              <w:rPr>
                <w:color w:val="auto"/>
                <w:sz w:val="24"/>
                <w:highlight w:val="none"/>
              </w:rPr>
              <w:t>召开地点：____________。</w:t>
            </w:r>
          </w:p>
        </w:tc>
      </w:tr>
      <w:tr w14:paraId="2B58F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1907A3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18892262">
            <w:pPr>
              <w:jc w:val="center"/>
              <w:rPr>
                <w:color w:val="auto"/>
                <w:sz w:val="24"/>
                <w:highlight w:val="none"/>
              </w:rPr>
            </w:pPr>
            <w:r>
              <w:rPr>
                <w:color w:val="auto"/>
                <w:sz w:val="24"/>
                <w:highlight w:val="none"/>
              </w:rPr>
              <w:t>样品</w:t>
            </w:r>
          </w:p>
        </w:tc>
        <w:tc>
          <w:tcPr>
            <w:tcW w:w="7540" w:type="dxa"/>
            <w:vAlign w:val="center"/>
          </w:tcPr>
          <w:p w14:paraId="4BD986E6">
            <w:pPr>
              <w:jc w:val="left"/>
              <w:rPr>
                <w:color w:val="auto"/>
                <w:sz w:val="24"/>
                <w:highlight w:val="none"/>
              </w:rPr>
            </w:pPr>
            <w:r>
              <w:rPr>
                <w:color w:val="auto"/>
                <w:sz w:val="24"/>
                <w:highlight w:val="none"/>
              </w:rPr>
              <w:t>投标样品递交：</w:t>
            </w:r>
          </w:p>
          <w:p w14:paraId="1F0B34A8">
            <w:pPr>
              <w:jc w:val="left"/>
              <w:rPr>
                <w:color w:val="auto"/>
                <w:sz w:val="24"/>
                <w:highlight w:val="none"/>
              </w:rPr>
            </w:pPr>
            <w:r>
              <w:rPr>
                <w:rFonts w:hint="eastAsia" w:ascii="宋体" w:hAnsi="宋体"/>
                <w:color w:val="auto"/>
                <w:sz w:val="15"/>
                <w:highlight w:val="none"/>
              </w:rPr>
              <w:t>▇</w:t>
            </w:r>
            <w:r>
              <w:rPr>
                <w:color w:val="auto"/>
                <w:sz w:val="24"/>
                <w:highlight w:val="none"/>
              </w:rPr>
              <w:t>不需要</w:t>
            </w:r>
          </w:p>
          <w:p w14:paraId="44E3DD2E">
            <w:pPr>
              <w:jc w:val="left"/>
              <w:rPr>
                <w:color w:val="auto"/>
                <w:sz w:val="24"/>
                <w:highlight w:val="none"/>
              </w:rPr>
            </w:pPr>
            <w:r>
              <w:rPr>
                <w:color w:val="auto"/>
                <w:sz w:val="24"/>
                <w:highlight w:val="none"/>
              </w:rPr>
              <w:t>□需要，具体要求如下：</w:t>
            </w:r>
          </w:p>
          <w:p w14:paraId="1D966289">
            <w:pPr>
              <w:jc w:val="left"/>
              <w:rPr>
                <w:color w:val="auto"/>
                <w:sz w:val="24"/>
                <w:highlight w:val="none"/>
                <w:u w:val="single"/>
              </w:rPr>
            </w:pPr>
            <w:r>
              <w:rPr>
                <w:color w:val="auto"/>
                <w:sz w:val="24"/>
                <w:highlight w:val="none"/>
              </w:rPr>
              <w:t>（1）样品制作的标准和要求：_________；</w:t>
            </w:r>
          </w:p>
          <w:p w14:paraId="62522D4F">
            <w:pPr>
              <w:jc w:val="left"/>
              <w:rPr>
                <w:color w:val="auto"/>
                <w:sz w:val="24"/>
                <w:highlight w:val="none"/>
              </w:rPr>
            </w:pPr>
            <w:r>
              <w:rPr>
                <w:color w:val="auto"/>
                <w:sz w:val="24"/>
                <w:highlight w:val="none"/>
              </w:rPr>
              <w:t>（2）是否需要随样品提交相关检测报告：</w:t>
            </w:r>
          </w:p>
          <w:p w14:paraId="4C88A588">
            <w:pPr>
              <w:ind w:firstLine="600" w:firstLineChars="250"/>
              <w:jc w:val="left"/>
              <w:rPr>
                <w:color w:val="auto"/>
                <w:sz w:val="24"/>
                <w:highlight w:val="none"/>
              </w:rPr>
            </w:pPr>
            <w:r>
              <w:rPr>
                <w:color w:val="auto"/>
                <w:sz w:val="24"/>
                <w:highlight w:val="none"/>
              </w:rPr>
              <w:t>□不需要</w:t>
            </w:r>
          </w:p>
          <w:p w14:paraId="2DC42D69">
            <w:pPr>
              <w:ind w:firstLine="600" w:firstLineChars="250"/>
              <w:jc w:val="left"/>
              <w:rPr>
                <w:color w:val="auto"/>
                <w:sz w:val="24"/>
                <w:highlight w:val="none"/>
              </w:rPr>
            </w:pPr>
            <w:r>
              <w:rPr>
                <w:color w:val="auto"/>
                <w:sz w:val="24"/>
                <w:highlight w:val="none"/>
              </w:rPr>
              <w:t>□需要</w:t>
            </w:r>
          </w:p>
          <w:p w14:paraId="08940D9C">
            <w:pPr>
              <w:jc w:val="left"/>
              <w:rPr>
                <w:color w:val="auto"/>
                <w:sz w:val="24"/>
                <w:highlight w:val="none"/>
              </w:rPr>
            </w:pPr>
            <w:r>
              <w:rPr>
                <w:color w:val="auto"/>
                <w:sz w:val="24"/>
                <w:highlight w:val="none"/>
              </w:rPr>
              <w:t>（3）样品递交要求：_________；</w:t>
            </w:r>
          </w:p>
          <w:p w14:paraId="1A1D48CF">
            <w:pPr>
              <w:jc w:val="left"/>
              <w:rPr>
                <w:color w:val="auto"/>
                <w:sz w:val="24"/>
                <w:highlight w:val="none"/>
              </w:rPr>
            </w:pPr>
            <w:r>
              <w:rPr>
                <w:color w:val="auto"/>
                <w:sz w:val="24"/>
                <w:highlight w:val="none"/>
              </w:rPr>
              <w:t>（4）未中标人样品退还：_________；</w:t>
            </w:r>
          </w:p>
          <w:p w14:paraId="73D33205">
            <w:pPr>
              <w:jc w:val="left"/>
              <w:rPr>
                <w:color w:val="auto"/>
                <w:sz w:val="24"/>
                <w:highlight w:val="none"/>
                <w:u w:val="single"/>
              </w:rPr>
            </w:pPr>
            <w:r>
              <w:rPr>
                <w:color w:val="auto"/>
                <w:sz w:val="24"/>
                <w:highlight w:val="none"/>
              </w:rPr>
              <w:t>（5）中标人样品保管、封存及退还：_________；</w:t>
            </w:r>
          </w:p>
          <w:p w14:paraId="57858145">
            <w:pPr>
              <w:jc w:val="left"/>
              <w:rPr>
                <w:color w:val="auto"/>
                <w:sz w:val="24"/>
                <w:highlight w:val="none"/>
              </w:rPr>
            </w:pPr>
            <w:r>
              <w:rPr>
                <w:color w:val="auto"/>
                <w:sz w:val="24"/>
                <w:highlight w:val="none"/>
              </w:rPr>
              <w:t>（6）其他要求（如有）：_________。</w:t>
            </w:r>
          </w:p>
        </w:tc>
      </w:tr>
      <w:tr w14:paraId="4B40F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09FBF3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3457DC3E">
            <w:pPr>
              <w:jc w:val="center"/>
              <w:rPr>
                <w:color w:val="auto"/>
                <w:sz w:val="24"/>
                <w:highlight w:val="none"/>
              </w:rPr>
            </w:pPr>
            <w:r>
              <w:rPr>
                <w:color w:val="auto"/>
                <w:sz w:val="24"/>
                <w:highlight w:val="none"/>
              </w:rPr>
              <w:t>标的所属行业</w:t>
            </w:r>
          </w:p>
        </w:tc>
        <w:tc>
          <w:tcPr>
            <w:tcW w:w="7540" w:type="dxa"/>
            <w:vAlign w:val="center"/>
          </w:tcPr>
          <w:p w14:paraId="1838F34C">
            <w:pPr>
              <w:jc w:val="left"/>
              <w:rPr>
                <w:color w:val="auto"/>
                <w:sz w:val="24"/>
                <w:highlight w:val="none"/>
              </w:rPr>
            </w:pPr>
            <w:r>
              <w:rPr>
                <w:color w:val="auto"/>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B46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C13DD2B">
                  <w:pPr>
                    <w:jc w:val="center"/>
                    <w:rPr>
                      <w:rFonts w:eastAsiaTheme="minorEastAsia"/>
                      <w:bCs/>
                      <w:color w:val="auto"/>
                      <w:sz w:val="24"/>
                      <w:highlight w:val="none"/>
                    </w:rPr>
                  </w:pPr>
                  <w:r>
                    <w:rPr>
                      <w:rFonts w:eastAsiaTheme="minorEastAsia"/>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4792E465">
                  <w:pPr>
                    <w:jc w:val="center"/>
                    <w:rPr>
                      <w:rFonts w:eastAsiaTheme="minorEastAsia"/>
                      <w:bCs/>
                      <w:color w:val="auto"/>
                      <w:sz w:val="24"/>
                      <w:highlight w:val="none"/>
                    </w:rPr>
                  </w:pPr>
                  <w:r>
                    <w:rPr>
                      <w:rFonts w:eastAsiaTheme="minorEastAsia"/>
                      <w:bCs/>
                      <w:color w:val="auto"/>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0706767">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4FDC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757CE13">
                  <w:pPr>
                    <w:jc w:val="center"/>
                    <w:rPr>
                      <w:rFonts w:eastAsiaTheme="minorEastAsia"/>
                      <w:bCs/>
                      <w:color w:val="auto"/>
                      <w:sz w:val="24"/>
                      <w:highlight w:val="none"/>
                    </w:rPr>
                  </w:pPr>
                </w:p>
              </w:tc>
              <w:tc>
                <w:tcPr>
                  <w:tcW w:w="2058" w:type="pct"/>
                  <w:tcBorders>
                    <w:top w:val="single" w:color="auto" w:sz="4" w:space="0"/>
                    <w:left w:val="single" w:color="auto" w:sz="4" w:space="0"/>
                    <w:bottom w:val="single" w:color="auto" w:sz="4" w:space="0"/>
                    <w:right w:val="single" w:color="auto" w:sz="4" w:space="0"/>
                  </w:tcBorders>
                  <w:vAlign w:val="center"/>
                </w:tcPr>
                <w:p w14:paraId="4322BE72">
                  <w:pPr>
                    <w:jc w:val="center"/>
                    <w:rPr>
                      <w:rFonts w:eastAsiaTheme="minorEastAsia"/>
                      <w:bCs/>
                      <w:color w:val="auto"/>
                      <w:sz w:val="24"/>
                      <w:highlight w:val="none"/>
                    </w:rPr>
                  </w:pPr>
                  <w:r>
                    <w:rPr>
                      <w:rFonts w:hint="eastAsia" w:ascii="宋体" w:hAnsi="宋体" w:cs="宋体"/>
                      <w:color w:val="auto"/>
                      <w:kern w:val="0"/>
                      <w:sz w:val="24"/>
                      <w:highlight w:val="none"/>
                    </w:rPr>
                    <w:t>国家危险废物环境风险防控技术中心建设项目-危险废物智慧环境监管技术应用开发（一期）</w:t>
                  </w:r>
                </w:p>
              </w:tc>
              <w:tc>
                <w:tcPr>
                  <w:tcW w:w="2382" w:type="pct"/>
                  <w:tcBorders>
                    <w:top w:val="single" w:color="auto" w:sz="4" w:space="0"/>
                    <w:left w:val="single" w:color="auto" w:sz="4" w:space="0"/>
                    <w:bottom w:val="single" w:color="auto" w:sz="4" w:space="0"/>
                    <w:right w:val="single" w:color="auto" w:sz="4" w:space="0"/>
                  </w:tcBorders>
                  <w:vAlign w:val="center"/>
                </w:tcPr>
                <w:p w14:paraId="618A414C">
                  <w:pPr>
                    <w:jc w:val="center"/>
                    <w:rPr>
                      <w:rFonts w:eastAsiaTheme="minorEastAsia"/>
                      <w:color w:val="auto"/>
                      <w:kern w:val="0"/>
                      <w:sz w:val="24"/>
                      <w:highlight w:val="none"/>
                    </w:rPr>
                  </w:pPr>
                  <w:r>
                    <w:rPr>
                      <w:rFonts w:hint="eastAsia" w:eastAsiaTheme="minorEastAsia"/>
                      <w:color w:val="auto"/>
                      <w:kern w:val="0"/>
                      <w:sz w:val="24"/>
                      <w:highlight w:val="none"/>
                    </w:rPr>
                    <w:t>软件和信息技术服务业</w:t>
                  </w:r>
                </w:p>
              </w:tc>
            </w:tr>
          </w:tbl>
          <w:p w14:paraId="0395FE05">
            <w:pPr>
              <w:jc w:val="left"/>
              <w:rPr>
                <w:color w:val="auto"/>
                <w:sz w:val="24"/>
                <w:highlight w:val="none"/>
              </w:rPr>
            </w:pPr>
          </w:p>
        </w:tc>
      </w:tr>
      <w:tr w14:paraId="7B88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56D168B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03440EDF">
            <w:pPr>
              <w:jc w:val="center"/>
              <w:rPr>
                <w:color w:val="auto"/>
                <w:sz w:val="24"/>
                <w:highlight w:val="none"/>
              </w:rPr>
            </w:pPr>
            <w:r>
              <w:rPr>
                <w:color w:val="auto"/>
                <w:sz w:val="24"/>
                <w:highlight w:val="none"/>
              </w:rPr>
              <w:t>投标报价</w:t>
            </w:r>
          </w:p>
        </w:tc>
        <w:tc>
          <w:tcPr>
            <w:tcW w:w="7540" w:type="dxa"/>
            <w:vAlign w:val="center"/>
          </w:tcPr>
          <w:p w14:paraId="03402C5F">
            <w:pPr>
              <w:jc w:val="left"/>
              <w:rPr>
                <w:color w:val="auto"/>
                <w:sz w:val="24"/>
                <w:highlight w:val="none"/>
              </w:rPr>
            </w:pPr>
            <w:r>
              <w:rPr>
                <w:color w:val="auto"/>
                <w:sz w:val="24"/>
                <w:highlight w:val="none"/>
              </w:rPr>
              <w:t>投标报价的特殊规定：</w:t>
            </w:r>
          </w:p>
          <w:p w14:paraId="5522E252">
            <w:pPr>
              <w:jc w:val="left"/>
              <w:rPr>
                <w:color w:val="auto"/>
                <w:sz w:val="24"/>
                <w:highlight w:val="none"/>
              </w:rPr>
            </w:pPr>
            <w:r>
              <w:rPr>
                <w:rFonts w:hint="eastAsia" w:ascii="宋体" w:hAnsi="宋体"/>
                <w:color w:val="auto"/>
                <w:sz w:val="15"/>
                <w:highlight w:val="none"/>
              </w:rPr>
              <w:t>▇</w:t>
            </w:r>
            <w:r>
              <w:rPr>
                <w:color w:val="auto"/>
                <w:sz w:val="24"/>
                <w:highlight w:val="none"/>
              </w:rPr>
              <w:t>无</w:t>
            </w:r>
          </w:p>
          <w:p w14:paraId="5EE5FE32">
            <w:pPr>
              <w:jc w:val="left"/>
              <w:rPr>
                <w:color w:val="auto"/>
                <w:sz w:val="24"/>
                <w:highlight w:val="none"/>
              </w:rPr>
            </w:pPr>
            <w:r>
              <w:rPr>
                <w:color w:val="auto"/>
                <w:sz w:val="24"/>
                <w:highlight w:val="none"/>
              </w:rPr>
              <w:t>□有，具体情形：_____。</w:t>
            </w:r>
          </w:p>
        </w:tc>
      </w:tr>
      <w:tr w14:paraId="36D0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6F40D03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19174AD9">
            <w:pPr>
              <w:jc w:val="center"/>
              <w:rPr>
                <w:color w:val="auto"/>
                <w:sz w:val="24"/>
                <w:highlight w:val="none"/>
              </w:rPr>
            </w:pPr>
            <w:r>
              <w:rPr>
                <w:color w:val="auto"/>
                <w:sz w:val="24"/>
                <w:highlight w:val="none"/>
              </w:rPr>
              <w:t>投标保证金</w:t>
            </w:r>
          </w:p>
        </w:tc>
        <w:tc>
          <w:tcPr>
            <w:tcW w:w="7540" w:type="dxa"/>
            <w:vAlign w:val="center"/>
          </w:tcPr>
          <w:p w14:paraId="5C8E437B">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r>
              <w:rPr>
                <w:rFonts w:ascii="Times New Roman" w:hAnsi="Times New Roman"/>
                <w:color w:val="auto"/>
                <w:sz w:val="24"/>
                <w:szCs w:val="24"/>
                <w:highlight w:val="none"/>
                <w:u w:val="single"/>
              </w:rPr>
              <w:t>/</w:t>
            </w:r>
            <w:r>
              <w:rPr>
                <w:rFonts w:ascii="Times New Roman" w:hAnsi="Times New Roman"/>
                <w:color w:val="auto"/>
                <w:sz w:val="24"/>
                <w:szCs w:val="24"/>
                <w:highlight w:val="none"/>
              </w:rPr>
              <w:t>万元</w:t>
            </w:r>
          </w:p>
          <w:p w14:paraId="1D9C8C48">
            <w:pPr>
              <w:autoSpaceDE w:val="0"/>
              <w:autoSpaceDN w:val="0"/>
              <w:adjustRightInd w:val="0"/>
              <w:snapToGrid w:val="0"/>
              <w:spacing w:line="360" w:lineRule="auto"/>
              <w:rPr>
                <w:rFonts w:ascii="宋体" w:hAnsi="宋体" w:cs="宋体"/>
                <w:color w:val="auto"/>
                <w:kern w:val="20"/>
                <w:sz w:val="24"/>
                <w:highlight w:val="none"/>
              </w:rPr>
            </w:pPr>
            <w:r>
              <w:rPr>
                <w:color w:val="auto"/>
                <w:sz w:val="24"/>
                <w:highlight w:val="none"/>
              </w:rPr>
              <w:t>投标保证金收受人信息：</w:t>
            </w:r>
            <w:r>
              <w:rPr>
                <w:rFonts w:ascii="宋体" w:hAnsi="宋体" w:cs="宋体"/>
                <w:color w:val="auto"/>
                <w:kern w:val="20"/>
                <w:sz w:val="24"/>
                <w:highlight w:val="none"/>
              </w:rPr>
              <w:t xml:space="preserve"> </w:t>
            </w:r>
          </w:p>
          <w:p w14:paraId="3D71794E">
            <w:pPr>
              <w:autoSpaceDE w:val="0"/>
              <w:autoSpaceDN w:val="0"/>
              <w:adjustRightInd w:val="0"/>
              <w:snapToGrid w:val="0"/>
              <w:spacing w:line="360" w:lineRule="auto"/>
              <w:rPr>
                <w:rFonts w:ascii="宋体" w:hAnsi="宋体" w:cs="宋体"/>
                <w:color w:val="auto"/>
                <w:kern w:val="20"/>
                <w:sz w:val="24"/>
                <w:highlight w:val="none"/>
              </w:rPr>
            </w:pPr>
            <w:r>
              <w:rPr>
                <w:rFonts w:hint="eastAsia" w:ascii="宋体" w:hAnsi="宋体" w:cs="宋体"/>
                <w:color w:val="auto"/>
                <w:kern w:val="20"/>
                <w:sz w:val="24"/>
                <w:highlight w:val="none"/>
              </w:rPr>
              <w:t>户    名：国信招标集团股份有限公司北京分公司</w:t>
            </w:r>
          </w:p>
          <w:p w14:paraId="41B03890">
            <w:pPr>
              <w:autoSpaceDE w:val="0"/>
              <w:autoSpaceDN w:val="0"/>
              <w:adjustRightInd w:val="0"/>
              <w:snapToGrid w:val="0"/>
              <w:spacing w:line="360" w:lineRule="auto"/>
              <w:rPr>
                <w:rFonts w:ascii="宋体" w:hAnsi="宋体" w:cs="宋体"/>
                <w:color w:val="auto"/>
                <w:kern w:val="20"/>
                <w:sz w:val="24"/>
                <w:highlight w:val="none"/>
              </w:rPr>
            </w:pPr>
            <w:r>
              <w:rPr>
                <w:rFonts w:hint="eastAsia" w:ascii="宋体" w:hAnsi="宋体" w:cs="宋体"/>
                <w:color w:val="auto"/>
                <w:kern w:val="20"/>
                <w:sz w:val="24"/>
                <w:highlight w:val="none"/>
              </w:rPr>
              <w:t>开 户 行：招商银行股份有限公司北京世纪城支行</w:t>
            </w:r>
          </w:p>
          <w:p w14:paraId="7A4F37E0">
            <w:pPr>
              <w:autoSpaceDE w:val="0"/>
              <w:autoSpaceDN w:val="0"/>
              <w:adjustRightInd w:val="0"/>
              <w:snapToGrid w:val="0"/>
              <w:spacing w:line="360" w:lineRule="auto"/>
              <w:rPr>
                <w:rFonts w:ascii="宋体" w:hAnsi="宋体" w:cs="宋体"/>
                <w:color w:val="auto"/>
                <w:kern w:val="20"/>
                <w:sz w:val="24"/>
                <w:highlight w:val="none"/>
              </w:rPr>
            </w:pPr>
            <w:r>
              <w:rPr>
                <w:rFonts w:hint="eastAsia" w:ascii="宋体" w:hAnsi="宋体" w:cs="宋体"/>
                <w:color w:val="auto"/>
                <w:kern w:val="20"/>
                <w:sz w:val="24"/>
                <w:highlight w:val="none"/>
              </w:rPr>
              <w:t>账    户：</w:t>
            </w:r>
          </w:p>
          <w:p w14:paraId="527095F2">
            <w:pPr>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保证金的形式：</w:t>
            </w:r>
          </w:p>
          <w:p w14:paraId="456A998A">
            <w:pPr>
              <w:tabs>
                <w:tab w:val="left" w:pos="1080"/>
                <w:tab w:val="left" w:pos="2014"/>
              </w:tabs>
              <w:snapToGrid w:val="0"/>
              <w:spacing w:line="360" w:lineRule="auto"/>
              <w:rPr>
                <w:color w:val="auto"/>
                <w:sz w:val="24"/>
                <w:highlight w:val="none"/>
              </w:rPr>
            </w:pPr>
            <w:r>
              <w:rPr>
                <w:color w:val="auto"/>
                <w:sz w:val="24"/>
                <w:highlight w:val="none"/>
              </w:rPr>
              <w:t>支票、汇票、本票、网上银行支付或者金融机构、担保机构出具的保函等非现金形式。</w:t>
            </w:r>
          </w:p>
          <w:p w14:paraId="6020B17B">
            <w:pPr>
              <w:spacing w:line="360" w:lineRule="auto"/>
              <w:jc w:val="left"/>
              <w:rPr>
                <w:color w:val="auto"/>
                <w:sz w:val="24"/>
                <w:highlight w:val="none"/>
              </w:rPr>
            </w:pPr>
            <w:r>
              <w:rPr>
                <w:color w:val="auto"/>
                <w:sz w:val="24"/>
                <w:highlight w:val="none"/>
              </w:rPr>
              <w:t>注：请各</w:t>
            </w:r>
            <w:r>
              <w:rPr>
                <w:rFonts w:hint="eastAsia"/>
                <w:color w:val="auto"/>
                <w:sz w:val="24"/>
                <w:highlight w:val="none"/>
              </w:rPr>
              <w:t>投标人</w:t>
            </w:r>
            <w:r>
              <w:rPr>
                <w:color w:val="auto"/>
                <w:sz w:val="24"/>
                <w:highlight w:val="none"/>
              </w:rPr>
              <w:t>在截止时间前，按文件的要求向</w:t>
            </w:r>
            <w:r>
              <w:rPr>
                <w:rFonts w:hint="eastAsia"/>
                <w:color w:val="auto"/>
                <w:sz w:val="24"/>
                <w:highlight w:val="none"/>
              </w:rPr>
              <w:t>采购</w:t>
            </w:r>
            <w:r>
              <w:rPr>
                <w:color w:val="auto"/>
                <w:sz w:val="24"/>
                <w:highlight w:val="none"/>
              </w:rPr>
              <w:t>代理机构递交保证金，截止时间之后递交的保证金将被拒绝。</w:t>
            </w:r>
          </w:p>
          <w:p w14:paraId="0860365D">
            <w:pPr>
              <w:spacing w:line="360" w:lineRule="auto"/>
              <w:jc w:val="left"/>
              <w:rPr>
                <w:color w:val="auto"/>
                <w:sz w:val="24"/>
                <w:highlight w:val="none"/>
              </w:rPr>
            </w:pPr>
            <w:r>
              <w:rPr>
                <w:color w:val="auto"/>
                <w:sz w:val="24"/>
                <w:highlight w:val="none"/>
              </w:rPr>
              <w:t>保证金交纳人必须与</w:t>
            </w:r>
            <w:r>
              <w:rPr>
                <w:rFonts w:hint="eastAsia"/>
                <w:color w:val="auto"/>
                <w:sz w:val="24"/>
                <w:highlight w:val="none"/>
              </w:rPr>
              <w:t>投标人</w:t>
            </w:r>
            <w:r>
              <w:rPr>
                <w:color w:val="auto"/>
                <w:sz w:val="24"/>
                <w:highlight w:val="none"/>
              </w:rPr>
              <w:t>名称保持一致，保证金的有效期和</w:t>
            </w:r>
            <w:r>
              <w:rPr>
                <w:rFonts w:hint="eastAsia"/>
                <w:color w:val="auto"/>
                <w:sz w:val="24"/>
                <w:highlight w:val="none"/>
              </w:rPr>
              <w:t>招标</w:t>
            </w:r>
            <w:r>
              <w:rPr>
                <w:color w:val="auto"/>
                <w:sz w:val="24"/>
                <w:highlight w:val="none"/>
              </w:rPr>
              <w:t>文件一致。</w:t>
            </w:r>
          </w:p>
          <w:p w14:paraId="3F7CB9A5">
            <w:pPr>
              <w:jc w:val="left"/>
              <w:rPr>
                <w:color w:val="auto"/>
                <w:sz w:val="24"/>
                <w:highlight w:val="none"/>
              </w:rPr>
            </w:pPr>
            <w:r>
              <w:rPr>
                <w:color w:val="auto"/>
                <w:sz w:val="24"/>
                <w:highlight w:val="none"/>
              </w:rPr>
              <w:t>请</w:t>
            </w:r>
            <w:r>
              <w:rPr>
                <w:rFonts w:hint="eastAsia"/>
                <w:color w:val="auto"/>
                <w:sz w:val="24"/>
                <w:highlight w:val="none"/>
              </w:rPr>
              <w:t>投标人</w:t>
            </w:r>
            <w:r>
              <w:rPr>
                <w:color w:val="auto"/>
                <w:sz w:val="24"/>
                <w:highlight w:val="none"/>
              </w:rPr>
              <w:t>在汇款时务必注明所投标项目的项目编号，否则，因款项用途不明导致投标无效等后果由供应商自行承担。</w:t>
            </w:r>
          </w:p>
        </w:tc>
      </w:tr>
      <w:tr w14:paraId="3D406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5A829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1FB67E29">
            <w:pPr>
              <w:jc w:val="center"/>
              <w:rPr>
                <w:color w:val="auto"/>
                <w:sz w:val="24"/>
                <w:highlight w:val="none"/>
              </w:rPr>
            </w:pPr>
          </w:p>
        </w:tc>
        <w:tc>
          <w:tcPr>
            <w:tcW w:w="7540" w:type="dxa"/>
            <w:vAlign w:val="center"/>
          </w:tcPr>
          <w:p w14:paraId="2A43A819">
            <w:pPr>
              <w:jc w:val="left"/>
              <w:rPr>
                <w:color w:val="auto"/>
                <w:sz w:val="24"/>
                <w:highlight w:val="none"/>
              </w:rPr>
            </w:pPr>
            <w:r>
              <w:rPr>
                <w:color w:val="auto"/>
                <w:sz w:val="24"/>
                <w:highlight w:val="none"/>
              </w:rPr>
              <w:t>投标保证金可以不予退还的其他情形：</w:t>
            </w:r>
          </w:p>
          <w:p w14:paraId="648B5838">
            <w:pPr>
              <w:jc w:val="left"/>
              <w:rPr>
                <w:color w:val="auto"/>
                <w:sz w:val="24"/>
                <w:highlight w:val="none"/>
              </w:rPr>
            </w:pPr>
            <w:r>
              <w:rPr>
                <w:color w:val="auto"/>
                <w:sz w:val="24"/>
                <w:highlight w:val="none"/>
              </w:rPr>
              <w:t>□无</w:t>
            </w:r>
          </w:p>
          <w:p w14:paraId="5468CE86">
            <w:pPr>
              <w:pStyle w:val="23"/>
              <w:adjustRightInd w:val="0"/>
              <w:snapToGrid w:val="0"/>
              <w:rPr>
                <w:rFonts w:hint="default" w:hAnsi="宋体" w:cs="宋体"/>
                <w:color w:val="auto"/>
                <w:spacing w:val="-8"/>
                <w:sz w:val="24"/>
                <w:szCs w:val="24"/>
                <w:highlight w:val="none"/>
                <w:u w:val="single"/>
              </w:rPr>
            </w:pPr>
            <w:r>
              <w:rPr>
                <w:rFonts w:ascii="Times New Roman" w:hAnsi="Times New Roman"/>
                <w:color w:val="auto"/>
                <w:sz w:val="15"/>
                <w:highlight w:val="none"/>
              </w:rPr>
              <w:t>▇</w:t>
            </w:r>
            <w:r>
              <w:rPr>
                <w:rFonts w:hint="default" w:ascii="Times New Roman" w:hAnsi="Times New Roman"/>
                <w:color w:val="auto"/>
                <w:sz w:val="24"/>
                <w:highlight w:val="none"/>
              </w:rPr>
              <w:t>有，具体情形：</w:t>
            </w:r>
            <w:r>
              <w:rPr>
                <w:rFonts w:ascii="Times New Roman" w:hAnsi="Times New Roman"/>
                <w:color w:val="auto"/>
                <w:sz w:val="24"/>
                <w:highlight w:val="none"/>
              </w:rPr>
              <w:t>1、</w:t>
            </w:r>
            <w:r>
              <w:rPr>
                <w:rFonts w:hAnsi="宋体" w:cs="宋体"/>
                <w:color w:val="auto"/>
                <w:spacing w:val="-8"/>
                <w:sz w:val="24"/>
                <w:szCs w:val="24"/>
                <w:highlight w:val="none"/>
                <w:u w:val="single"/>
              </w:rPr>
              <w:t>中标供应商无正当理由拒签合同的；</w:t>
            </w:r>
            <w:r>
              <w:rPr>
                <w:color w:val="auto"/>
                <w:sz w:val="24"/>
                <w:highlight w:val="none"/>
                <w:u w:val="single"/>
              </w:rPr>
              <w:t>2、供应商虚假应标的。</w:t>
            </w:r>
          </w:p>
        </w:tc>
      </w:tr>
      <w:tr w14:paraId="20DC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8AB1EB4">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71DD0F5E">
            <w:pPr>
              <w:jc w:val="center"/>
              <w:rPr>
                <w:color w:val="auto"/>
                <w:sz w:val="24"/>
                <w:highlight w:val="none"/>
              </w:rPr>
            </w:pPr>
            <w:r>
              <w:rPr>
                <w:color w:val="auto"/>
                <w:sz w:val="24"/>
                <w:highlight w:val="none"/>
              </w:rPr>
              <w:t>投标有效期</w:t>
            </w:r>
          </w:p>
        </w:tc>
        <w:tc>
          <w:tcPr>
            <w:tcW w:w="7540" w:type="dxa"/>
            <w:vAlign w:val="center"/>
          </w:tcPr>
          <w:p w14:paraId="56565E97">
            <w:pPr>
              <w:jc w:val="left"/>
              <w:rPr>
                <w:color w:val="auto"/>
                <w:sz w:val="24"/>
                <w:highlight w:val="none"/>
              </w:rPr>
            </w:pPr>
            <w:r>
              <w:rPr>
                <w:color w:val="auto"/>
                <w:sz w:val="24"/>
                <w:highlight w:val="none"/>
              </w:rPr>
              <w:t>自提交投标文件的截止之日起算</w:t>
            </w:r>
            <w:r>
              <w:rPr>
                <w:rFonts w:hint="eastAsia"/>
                <w:color w:val="auto"/>
                <w:sz w:val="24"/>
                <w:highlight w:val="none"/>
              </w:rPr>
              <w:t>90</w:t>
            </w:r>
            <w:r>
              <w:rPr>
                <w:color w:val="auto"/>
                <w:sz w:val="24"/>
                <w:highlight w:val="none"/>
              </w:rPr>
              <w:t>日历天。</w:t>
            </w:r>
          </w:p>
        </w:tc>
      </w:tr>
      <w:tr w14:paraId="0929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CC4C5C">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0C158EAD">
            <w:pPr>
              <w:jc w:val="center"/>
              <w:rPr>
                <w:color w:val="auto"/>
                <w:sz w:val="24"/>
                <w:highlight w:val="none"/>
              </w:rPr>
            </w:pPr>
            <w:r>
              <w:rPr>
                <w:color w:val="auto"/>
                <w:sz w:val="24"/>
                <w:highlight w:val="none"/>
              </w:rPr>
              <w:t>确定中标人</w:t>
            </w:r>
          </w:p>
        </w:tc>
        <w:tc>
          <w:tcPr>
            <w:tcW w:w="7540" w:type="dxa"/>
            <w:vAlign w:val="center"/>
          </w:tcPr>
          <w:p w14:paraId="6311A7A1">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5213C67F">
            <w:pPr>
              <w:pStyle w:val="23"/>
              <w:adjustRightInd w:val="0"/>
              <w:snapToGrid w:val="0"/>
              <w:rPr>
                <w:rFonts w:hint="default" w:ascii="Times New Roman" w:hAnsi="Times New Roman"/>
                <w:color w:val="auto"/>
                <w:sz w:val="24"/>
                <w:highlight w:val="none"/>
              </w:rPr>
            </w:pPr>
            <w:bookmarkStart w:id="92" w:name="OLE_LINK70"/>
            <w:r>
              <w:rPr>
                <w:rFonts w:ascii="Times New Roman" w:hAnsi="Times New Roman"/>
                <w:color w:val="auto"/>
                <w:sz w:val="15"/>
                <w:highlight w:val="none"/>
              </w:rPr>
              <w:t>▇</w:t>
            </w:r>
            <w:bookmarkEnd w:id="92"/>
            <w:r>
              <w:rPr>
                <w:rFonts w:hint="default" w:ascii="Times New Roman" w:hAnsi="Times New Roman"/>
                <w:color w:val="auto"/>
                <w:sz w:val="24"/>
                <w:highlight w:val="none"/>
              </w:rPr>
              <w:t>否</w:t>
            </w:r>
          </w:p>
          <w:p w14:paraId="29670DAB">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6F5A7744">
            <w:pPr>
              <w:pStyle w:val="23"/>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52E2A238">
            <w:pPr>
              <w:pStyle w:val="23"/>
              <w:adjustRightInd w:val="0"/>
              <w:snapToGrid w:val="0"/>
              <w:rPr>
                <w:rFonts w:hint="default" w:ascii="Times New Roman" w:hAnsi="Times New Roman"/>
                <w:color w:val="auto"/>
                <w:sz w:val="24"/>
                <w:highlight w:val="none"/>
              </w:rPr>
            </w:pPr>
            <w:bookmarkStart w:id="93" w:name="OLE_LINK73"/>
            <w:bookmarkStart w:id="94" w:name="OLE_LINK74"/>
            <w:r>
              <w:rPr>
                <w:rFonts w:ascii="Times New Roman" w:hAnsi="Times New Roman"/>
                <w:color w:val="auto"/>
                <w:sz w:val="15"/>
                <w:highlight w:val="none"/>
              </w:rPr>
              <w:t>▇</w:t>
            </w:r>
            <w:bookmarkEnd w:id="93"/>
            <w:bookmarkEnd w:id="94"/>
            <w:r>
              <w:rPr>
                <w:rFonts w:hint="default" w:ascii="Times New Roman" w:hAnsi="Times New Roman"/>
                <w:color w:val="auto"/>
                <w:sz w:val="24"/>
                <w:highlight w:val="none"/>
              </w:rPr>
              <w:t>得分且投标报价均相同的，以</w:t>
            </w:r>
            <w:r>
              <w:rPr>
                <w:rFonts w:ascii="Times New Roman" w:hAnsi="Times New Roman"/>
                <w:color w:val="auto"/>
                <w:sz w:val="24"/>
                <w:highlight w:val="none"/>
                <w:u w:val="single"/>
              </w:rPr>
              <w:t>投标文件满足招标文件全部实质性要求，且按照评审因素的量化指标（技术部分）评审得分最高的投标人</w:t>
            </w:r>
            <w:r>
              <w:rPr>
                <w:rFonts w:ascii="Times New Roman" w:hAnsi="Times New Roman"/>
                <w:color w:val="auto"/>
                <w:sz w:val="24"/>
                <w:highlight w:val="none"/>
              </w:rPr>
              <w:t>为排名第一的中标候选人。</w:t>
            </w:r>
          </w:p>
          <w:p w14:paraId="514475FA">
            <w:pPr>
              <w:pStyle w:val="23"/>
              <w:adjustRightInd w:val="0"/>
              <w:snapToGrid w:val="0"/>
              <w:rPr>
                <w:rFonts w:hint="default"/>
                <w:color w:val="auto"/>
                <w:sz w:val="24"/>
                <w:highlight w:val="none"/>
                <w:u w:val="single"/>
              </w:rPr>
            </w:pPr>
            <w:r>
              <w:rPr>
                <w:color w:val="auto"/>
                <w:sz w:val="24"/>
                <w:highlight w:val="none"/>
              </w:rPr>
              <w:t>□随机抽取</w:t>
            </w:r>
          </w:p>
        </w:tc>
      </w:tr>
      <w:tr w14:paraId="7616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73F3F17">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7FFDB23">
            <w:pPr>
              <w:jc w:val="center"/>
              <w:rPr>
                <w:color w:val="auto"/>
                <w:sz w:val="24"/>
                <w:highlight w:val="none"/>
              </w:rPr>
            </w:pPr>
            <w:r>
              <w:rPr>
                <w:color w:val="auto"/>
                <w:sz w:val="24"/>
                <w:highlight w:val="none"/>
              </w:rPr>
              <w:t>分包</w:t>
            </w:r>
          </w:p>
        </w:tc>
        <w:tc>
          <w:tcPr>
            <w:tcW w:w="7540" w:type="dxa"/>
            <w:vAlign w:val="center"/>
          </w:tcPr>
          <w:p w14:paraId="5625AB77">
            <w:pPr>
              <w:jc w:val="left"/>
              <w:rPr>
                <w:color w:val="auto"/>
                <w:sz w:val="24"/>
                <w:highlight w:val="none"/>
              </w:rPr>
            </w:pPr>
            <w:r>
              <w:rPr>
                <w:color w:val="auto"/>
                <w:sz w:val="24"/>
                <w:highlight w:val="none"/>
              </w:rPr>
              <w:t xml:space="preserve">本项目的非主体、非关键性工作是否允许分包： </w:t>
            </w:r>
          </w:p>
          <w:p w14:paraId="42BDCF83">
            <w:pPr>
              <w:jc w:val="left"/>
              <w:rPr>
                <w:color w:val="auto"/>
                <w:sz w:val="24"/>
                <w:highlight w:val="none"/>
              </w:rPr>
            </w:pPr>
            <w:bookmarkStart w:id="95" w:name="OLE_LINK80"/>
            <w:r>
              <w:rPr>
                <w:rFonts w:hint="eastAsia"/>
                <w:color w:val="auto"/>
                <w:sz w:val="15"/>
                <w:highlight w:val="none"/>
              </w:rPr>
              <w:t>▇</w:t>
            </w:r>
            <w:bookmarkEnd w:id="95"/>
            <w:r>
              <w:rPr>
                <w:color w:val="auto"/>
                <w:sz w:val="24"/>
                <w:highlight w:val="none"/>
              </w:rPr>
              <w:t>不允许</w:t>
            </w:r>
          </w:p>
          <w:p w14:paraId="38FB40D0">
            <w:pPr>
              <w:jc w:val="left"/>
              <w:rPr>
                <w:color w:val="auto"/>
                <w:sz w:val="24"/>
                <w:highlight w:val="none"/>
              </w:rPr>
            </w:pPr>
            <w:r>
              <w:rPr>
                <w:color w:val="auto"/>
                <w:sz w:val="24"/>
                <w:highlight w:val="none"/>
              </w:rPr>
              <w:t>□允许，具体要求：</w:t>
            </w:r>
          </w:p>
          <w:p w14:paraId="7AB5B9F0">
            <w:pPr>
              <w:jc w:val="left"/>
              <w:rPr>
                <w:color w:val="auto"/>
                <w:sz w:val="24"/>
                <w:highlight w:val="none"/>
              </w:rPr>
            </w:pPr>
            <w:r>
              <w:rPr>
                <w:color w:val="auto"/>
                <w:sz w:val="24"/>
                <w:highlight w:val="none"/>
              </w:rPr>
              <w:t>（1）可以分包履行的具体内容：_____；</w:t>
            </w:r>
          </w:p>
          <w:p w14:paraId="4C7196EE">
            <w:pPr>
              <w:jc w:val="left"/>
              <w:rPr>
                <w:color w:val="auto"/>
                <w:sz w:val="24"/>
                <w:highlight w:val="none"/>
              </w:rPr>
            </w:pPr>
            <w:r>
              <w:rPr>
                <w:color w:val="auto"/>
                <w:sz w:val="24"/>
                <w:highlight w:val="none"/>
              </w:rPr>
              <w:t>（2）允许分包的金额或者比例：_____；</w:t>
            </w:r>
          </w:p>
          <w:p w14:paraId="750C8C95">
            <w:pPr>
              <w:jc w:val="left"/>
              <w:rPr>
                <w:color w:val="auto"/>
                <w:sz w:val="24"/>
                <w:highlight w:val="none"/>
                <w:u w:val="single"/>
              </w:rPr>
            </w:pPr>
            <w:r>
              <w:rPr>
                <w:color w:val="auto"/>
                <w:sz w:val="24"/>
                <w:highlight w:val="none"/>
              </w:rPr>
              <w:t>（3）其他要求：_____。</w:t>
            </w:r>
          </w:p>
        </w:tc>
      </w:tr>
      <w:tr w14:paraId="5EB7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6E24FE">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546D8974">
            <w:pPr>
              <w:jc w:val="center"/>
              <w:rPr>
                <w:color w:val="auto"/>
                <w:sz w:val="24"/>
                <w:highlight w:val="none"/>
              </w:rPr>
            </w:pPr>
            <w:r>
              <w:rPr>
                <w:color w:val="auto"/>
                <w:sz w:val="24"/>
                <w:highlight w:val="none"/>
              </w:rPr>
              <w:t>询问</w:t>
            </w:r>
          </w:p>
        </w:tc>
        <w:tc>
          <w:tcPr>
            <w:tcW w:w="7540" w:type="dxa"/>
            <w:vAlign w:val="center"/>
          </w:tcPr>
          <w:p w14:paraId="20EAC30A">
            <w:pPr>
              <w:jc w:val="left"/>
              <w:rPr>
                <w:color w:val="auto"/>
                <w:sz w:val="24"/>
                <w:highlight w:val="none"/>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color w:val="auto"/>
                <w:sz w:val="24"/>
                <w:highlight w:val="none"/>
              </w:rPr>
              <w:t>书面</w:t>
            </w:r>
            <w:r>
              <w:rPr>
                <w:color w:val="auto"/>
                <w:sz w:val="24"/>
                <w:highlight w:val="none"/>
              </w:rPr>
              <w:t>形式</w:t>
            </w:r>
          </w:p>
        </w:tc>
      </w:tr>
      <w:tr w14:paraId="6259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0A9D000">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69614F6A">
            <w:pPr>
              <w:jc w:val="center"/>
              <w:rPr>
                <w:color w:val="auto"/>
                <w:sz w:val="24"/>
                <w:highlight w:val="none"/>
              </w:rPr>
            </w:pPr>
            <w:r>
              <w:rPr>
                <w:color w:val="auto"/>
                <w:sz w:val="24"/>
                <w:highlight w:val="none"/>
              </w:rPr>
              <w:t>联系方式</w:t>
            </w:r>
          </w:p>
        </w:tc>
        <w:tc>
          <w:tcPr>
            <w:tcW w:w="7540" w:type="dxa"/>
            <w:vAlign w:val="center"/>
          </w:tcPr>
          <w:p w14:paraId="3E8F2125">
            <w:pPr>
              <w:jc w:val="left"/>
              <w:rPr>
                <w:color w:val="auto"/>
                <w:sz w:val="24"/>
                <w:highlight w:val="none"/>
              </w:rPr>
            </w:pPr>
            <w:r>
              <w:rPr>
                <w:color w:val="auto"/>
                <w:sz w:val="24"/>
                <w:highlight w:val="none"/>
              </w:rPr>
              <w:t>接收询问和质疑的联系方式</w:t>
            </w:r>
          </w:p>
          <w:p w14:paraId="7680FB6B">
            <w:pPr>
              <w:jc w:val="left"/>
              <w:rPr>
                <w:color w:val="auto"/>
                <w:sz w:val="24"/>
                <w:highlight w:val="none"/>
              </w:rPr>
            </w:pPr>
            <w:r>
              <w:rPr>
                <w:color w:val="auto"/>
                <w:sz w:val="24"/>
                <w:highlight w:val="none"/>
              </w:rPr>
              <w:t>联系电话：</w:t>
            </w:r>
            <w:r>
              <w:rPr>
                <w:color w:val="auto"/>
                <w:sz w:val="24"/>
                <w:highlight w:val="none"/>
                <w:u w:val="single"/>
              </w:rPr>
              <w:t>010-87235008</w:t>
            </w:r>
            <w:r>
              <w:rPr>
                <w:color w:val="auto"/>
                <w:sz w:val="24"/>
                <w:highlight w:val="none"/>
              </w:rPr>
              <w:t>；</w:t>
            </w:r>
          </w:p>
          <w:p w14:paraId="4C5ABDAA">
            <w:pPr>
              <w:jc w:val="left"/>
              <w:rPr>
                <w:color w:val="auto"/>
                <w:sz w:val="24"/>
                <w:highlight w:val="none"/>
              </w:rPr>
            </w:pPr>
            <w:r>
              <w:rPr>
                <w:color w:val="auto"/>
                <w:sz w:val="24"/>
                <w:highlight w:val="none"/>
              </w:rPr>
              <w:t>通讯地址：</w:t>
            </w:r>
            <w:r>
              <w:rPr>
                <w:rFonts w:hint="eastAsia" w:ascii="宋体" w:hAnsi="宋体" w:cs="宋体"/>
                <w:color w:val="auto"/>
                <w:sz w:val="24"/>
                <w:highlight w:val="none"/>
                <w:u w:val="single"/>
              </w:rPr>
              <w:t>北京海淀区四季青常青路和泓四季6号楼国信招标</w:t>
            </w:r>
            <w:r>
              <w:rPr>
                <w:color w:val="auto"/>
                <w:sz w:val="24"/>
                <w:highlight w:val="none"/>
              </w:rPr>
              <w:t>。</w:t>
            </w:r>
          </w:p>
        </w:tc>
      </w:tr>
      <w:tr w14:paraId="7E4B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3970AEE">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B3AF70F">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9FD73F3">
            <w:pPr>
              <w:jc w:val="left"/>
              <w:rPr>
                <w:color w:val="auto"/>
                <w:sz w:val="24"/>
                <w:highlight w:val="none"/>
              </w:rPr>
            </w:pPr>
            <w:r>
              <w:rPr>
                <w:color w:val="auto"/>
                <w:sz w:val="24"/>
                <w:highlight w:val="none"/>
              </w:rPr>
              <w:t>收费对象：</w:t>
            </w:r>
          </w:p>
          <w:p w14:paraId="760B9558">
            <w:pPr>
              <w:jc w:val="left"/>
              <w:rPr>
                <w:color w:val="auto"/>
                <w:sz w:val="24"/>
                <w:highlight w:val="none"/>
              </w:rPr>
            </w:pPr>
            <w:r>
              <w:rPr>
                <w:rFonts w:hint="eastAsia"/>
                <w:color w:val="auto"/>
                <w:sz w:val="15"/>
                <w:highlight w:val="none"/>
              </w:rPr>
              <w:t>▇</w:t>
            </w:r>
            <w:r>
              <w:rPr>
                <w:color w:val="auto"/>
                <w:sz w:val="24"/>
                <w:highlight w:val="none"/>
              </w:rPr>
              <w:t>采购人</w:t>
            </w:r>
          </w:p>
          <w:p w14:paraId="6D9D1331">
            <w:pPr>
              <w:jc w:val="left"/>
              <w:rPr>
                <w:color w:val="auto"/>
                <w:sz w:val="24"/>
                <w:highlight w:val="none"/>
              </w:rPr>
            </w:pPr>
            <w:r>
              <w:rPr>
                <w:color w:val="auto"/>
                <w:sz w:val="24"/>
                <w:highlight w:val="none"/>
              </w:rPr>
              <w:t>□中标人</w:t>
            </w:r>
          </w:p>
          <w:p w14:paraId="1FF03E93">
            <w:pPr>
              <w:jc w:val="left"/>
              <w:rPr>
                <w:color w:val="auto"/>
                <w:sz w:val="24"/>
                <w:highlight w:val="none"/>
              </w:rPr>
            </w:pPr>
            <w:bookmarkStart w:id="966" w:name="_GoBack"/>
            <w:r>
              <w:rPr>
                <w:color w:val="auto"/>
                <w:sz w:val="24"/>
                <w:highlight w:val="none"/>
              </w:rPr>
              <w:t>收费标准：</w:t>
            </w:r>
            <w:r>
              <w:rPr>
                <w:rFonts w:hint="eastAsia" w:ascii="宋体" w:hAnsi="宋体" w:cs="宋体"/>
                <w:color w:val="auto"/>
                <w:sz w:val="24"/>
                <w:highlight w:val="none"/>
              </w:rPr>
              <w:t>参考《国家计委关于印发招标代理服务收费管理暂行办法的通知》（计价格〔2002〕1980号）、《国家发展改革委办公厅关于招标代理服务收费有关问题的通知》（发改办价格〔2003〕857号）规定的计算方式，以中标金额为计算基数按</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类下浮45%向采购人收取，采用差额定率累进方式计算收取。</w:t>
            </w:r>
            <w:bookmarkEnd w:id="966"/>
          </w:p>
        </w:tc>
      </w:tr>
      <w:tr w14:paraId="2AF4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FF2C2C5">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补充</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30D8FCD8">
            <w:pPr>
              <w:jc w:val="left"/>
              <w:rPr>
                <w:color w:val="auto"/>
                <w:sz w:val="24"/>
                <w:highlight w:val="none"/>
              </w:rPr>
            </w:pPr>
            <w:r>
              <w:rPr>
                <w:rFonts w:hint="eastAsia"/>
                <w:color w:val="auto"/>
                <w:sz w:val="24"/>
                <w:highlight w:val="none"/>
              </w:rPr>
              <w:t>以下条款是对本招标文件的重要说明及补充</w:t>
            </w:r>
          </w:p>
        </w:tc>
      </w:tr>
      <w:tr w14:paraId="5E69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4DDAAB8">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4427487E">
            <w:pPr>
              <w:jc w:val="left"/>
              <w:rPr>
                <w:color w:val="auto"/>
                <w:sz w:val="24"/>
                <w:highlight w:val="none"/>
              </w:rPr>
            </w:pPr>
            <w:r>
              <w:rPr>
                <w:rFonts w:hint="eastAsia"/>
                <w:color w:val="auto"/>
                <w:sz w:val="24"/>
                <w:highlight w:val="none"/>
              </w:rPr>
              <w:t>节能产品政府采购品目清单中规定，以“★”标注的为政府强制采购产品。包括计算机设备（台式计算机、便携式计算机和平板式微型计算机）、输入输出设备（激光打印机、针式打印机、液晶显示器）、制冷空调设备（制冷压缩机、空调机组、专用制冷、空调设备）、镇流器（管型荧光灯镇流器）、生活用电器（空调机、电热水器）、照明设备（普通照明用双端荧光灯）、电视设备、视频设备（视频监控设备）、便器（坐便器、蹲便器、小便器）、水嘴。采购设备中如果涉及节能产品政府采购品目清单中以“★”标注的产品，则投标人必须在投标文件中提供所投产品已取得《市场监管总局关于发布参与实施政府采购节能产品、环境标志产品认证机构名录的通知》中指定的认证机构的节能认证证明（有效期内）的复印件，并加盖投标人单位公章。若未提供，将导致投标被视为无效投标。</w:t>
            </w:r>
          </w:p>
        </w:tc>
      </w:tr>
      <w:tr w14:paraId="001A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EC130D">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0D9D2321">
            <w:pPr>
              <w:jc w:val="left"/>
              <w:rPr>
                <w:color w:val="auto"/>
                <w:sz w:val="24"/>
                <w:highlight w:val="none"/>
              </w:rPr>
            </w:pPr>
            <w:r>
              <w:rPr>
                <w:rFonts w:hint="eastAsia"/>
                <w:color w:val="auto"/>
                <w:sz w:val="24"/>
                <w:highlight w:val="none"/>
              </w:rPr>
              <w:t>政府优先采购:若投标人拟投的节能产品属于《节能产品政府采购品目清单》内，且非政府强制采购产品(即未以“★”标注的)，并在投标文件中提供合格证明材料，则有政策性得分，详见本文件评审细则。若投标人拟投的环境标志产品属于《环境标志产品政府采购品目清单》内，并在投标文件中提供合格证明材料，则有政策性得分，详见本文件评审细则。注:合格证明材料是指加盖投标人单位公章的，《市场监管总局关于发布参与实施政府采购节能产品、环境标志产品认证机构名录的通知》中指定的认证机构的认证证明(有效期内)的复印件。</w:t>
            </w:r>
          </w:p>
        </w:tc>
      </w:tr>
      <w:tr w14:paraId="52D0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D7AD099">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3</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24DE9AC8">
            <w:pPr>
              <w:adjustRightInd w:val="0"/>
              <w:snapToGrid w:val="0"/>
              <w:jc w:val="left"/>
              <w:rPr>
                <w:color w:val="auto"/>
                <w:sz w:val="24"/>
                <w:highlight w:val="none"/>
              </w:rPr>
            </w:pPr>
            <w:r>
              <w:rPr>
                <w:rFonts w:hint="eastAsia"/>
                <w:color w:val="auto"/>
                <w:sz w:val="24"/>
                <w:highlight w:val="none"/>
              </w:rPr>
              <w:t>本项目执行《商品包装政府采购需求标准(试行)》(财办库[2020]123号)商品包装环保要求:商品包装层数不得超过3层，空隙率不大于40%;商品包装尽可能使用单一材质的包装材料，如因功能需求必需使用不同材质，不同材质间应便于分离;商品包装中铅、汞、镉、六价铬的总含量应不大于100mg/kg;商品包装印刷使用的油墨中挥发性有机化合物(VOCs)含量应不大于5%(以重量计);</w:t>
            </w:r>
          </w:p>
          <w:p w14:paraId="4C199CFA">
            <w:pPr>
              <w:adjustRightInd w:val="0"/>
              <w:snapToGrid w:val="0"/>
              <w:jc w:val="left"/>
              <w:rPr>
                <w:color w:val="auto"/>
                <w:sz w:val="24"/>
                <w:highlight w:val="none"/>
              </w:rPr>
            </w:pPr>
            <w:r>
              <w:rPr>
                <w:rFonts w:hint="eastAsia"/>
                <w:color w:val="auto"/>
                <w:sz w:val="24"/>
                <w:highlight w:val="none"/>
              </w:rPr>
              <w:t>塑料材质商品包装上呈现的印刷颜色不得超过6色:纸质商品包装应使用75%以上的可再生纤维原料生产;木质商品包装的原料应来源于可持续性森林。</w:t>
            </w:r>
          </w:p>
        </w:tc>
      </w:tr>
      <w:tr w14:paraId="7E8B5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9257186">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4</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7ED8ADC8">
            <w:pPr>
              <w:adjustRightInd w:val="0"/>
              <w:snapToGrid w:val="0"/>
              <w:jc w:val="left"/>
              <w:rPr>
                <w:color w:val="auto"/>
                <w:sz w:val="24"/>
                <w:highlight w:val="none"/>
              </w:rPr>
            </w:pPr>
            <w:r>
              <w:rPr>
                <w:rFonts w:hint="eastAsia"/>
                <w:color w:val="auto"/>
                <w:sz w:val="24"/>
                <w:highlight w:val="none"/>
              </w:rPr>
              <w:t>本项目执行《强制性产品认证管理规定》(国家质量监督检验检疫总局总局令第117号)和《</w:t>
            </w:r>
            <w:bookmarkStart w:id="96" w:name="OLE_LINK7"/>
            <w:r>
              <w:rPr>
                <w:rFonts w:hint="eastAsia"/>
                <w:color w:val="auto"/>
                <w:sz w:val="24"/>
                <w:highlight w:val="none"/>
              </w:rPr>
              <w:t>市场监督总局关于优化强制性产品认证目录的公告</w:t>
            </w:r>
            <w:bookmarkEnd w:id="96"/>
            <w:r>
              <w:rPr>
                <w:rFonts w:hint="eastAsia"/>
                <w:color w:val="auto"/>
                <w:sz w:val="24"/>
                <w:highlight w:val="none"/>
              </w:rPr>
              <w:t>》(2020年第18号)的规定，本项目中投标人所投产品如涉及、列入强制性产品认证产品目录的设备，投标人必须提供对应产品型号的“3C认证证书”证明文件(复印件加盖投标人单位公章)。若未提供，则视为未取得。</w:t>
            </w:r>
          </w:p>
        </w:tc>
      </w:tr>
      <w:tr w14:paraId="4E82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FE186A6">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5</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12F9F1C1">
            <w:pPr>
              <w:adjustRightInd w:val="0"/>
              <w:snapToGrid w:val="0"/>
              <w:jc w:val="left"/>
              <w:rPr>
                <w:color w:val="auto"/>
                <w:sz w:val="24"/>
                <w:highlight w:val="none"/>
              </w:rPr>
            </w:pPr>
            <w:r>
              <w:rPr>
                <w:rFonts w:hint="eastAsia"/>
                <w:color w:val="auto"/>
                <w:sz w:val="24"/>
                <w:highlight w:val="none"/>
              </w:rPr>
              <w:t>本项目执行《国务院办公厅关于在政府采购中实施本国产品标准及相关政策的通知》（国办发〔2025〕34号）的规定。</w:t>
            </w:r>
          </w:p>
        </w:tc>
      </w:tr>
      <w:tr w14:paraId="7828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09D3CFF">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6</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3FE42C78">
            <w:pPr>
              <w:adjustRightInd w:val="0"/>
              <w:snapToGrid w:val="0"/>
              <w:jc w:val="left"/>
              <w:rPr>
                <w:color w:val="auto"/>
                <w:sz w:val="24"/>
                <w:highlight w:val="none"/>
              </w:rPr>
            </w:pPr>
            <w:r>
              <w:rPr>
                <w:rFonts w:hint="eastAsia"/>
                <w:b/>
                <w:bCs/>
                <w:color w:val="auto"/>
                <w:sz w:val="24"/>
                <w:highlight w:val="none"/>
              </w:rPr>
              <w:t>投标人所报的投标价格包括但不限于：系统开发、设备采购费、安装调试费、鉴定费、运行维护费、人工费、差旅费、住宿交通费、运输费、企业管理费、提供服务所需的设备或货物购买（制造）费、办公费、技术培训费、利润、各种应缴税费等。</w:t>
            </w:r>
          </w:p>
        </w:tc>
      </w:tr>
      <w:tr w14:paraId="4FADF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E7507C0">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7</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1F9D860D">
            <w:pPr>
              <w:snapToGrid w:val="0"/>
              <w:jc w:val="left"/>
              <w:rPr>
                <w:b/>
                <w:bCs/>
                <w:color w:val="auto"/>
                <w:sz w:val="24"/>
                <w:highlight w:val="none"/>
              </w:rPr>
            </w:pPr>
            <w:r>
              <w:rPr>
                <w:rFonts w:hint="eastAsia"/>
                <w:b/>
                <w:bCs/>
                <w:color w:val="auto"/>
                <w:sz w:val="24"/>
                <w:highlight w:val="none"/>
              </w:rPr>
              <w:t>投标文件:正本:1份;副本:4份;电子版:1份。</w:t>
            </w:r>
            <w:r>
              <w:rPr>
                <w:b/>
                <w:bCs/>
                <w:color w:val="auto"/>
                <w:sz w:val="24"/>
                <w:highlight w:val="none"/>
              </w:rPr>
              <w:t>投标文件应由《资格证明文件》《商务技术文件》两部分构成</w:t>
            </w:r>
            <w:r>
              <w:rPr>
                <w:rFonts w:hint="eastAsia"/>
                <w:b/>
                <w:bCs/>
                <w:color w:val="auto"/>
                <w:sz w:val="24"/>
                <w:highlight w:val="none"/>
              </w:rPr>
              <w:t>，请分别装订。(注:电子文档为全部投标文件正本的扫描件及word版本。格式载体形式为U盘。并在载体上注明/标记项目名称、包号及投标人名称。投标人应对正本投标文件纸质版与电子文档的一致性、真实性、完整性负责）。</w:t>
            </w:r>
          </w:p>
        </w:tc>
      </w:tr>
      <w:tr w14:paraId="4B04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6E588BA">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8</w:t>
            </w:r>
          </w:p>
        </w:tc>
        <w:tc>
          <w:tcPr>
            <w:tcW w:w="9241" w:type="dxa"/>
            <w:gridSpan w:val="2"/>
            <w:tcBorders>
              <w:top w:val="single" w:color="auto" w:sz="4" w:space="0"/>
              <w:left w:val="single" w:color="auto" w:sz="4" w:space="0"/>
              <w:bottom w:val="single" w:color="auto" w:sz="4" w:space="0"/>
              <w:right w:val="single" w:color="auto" w:sz="4" w:space="0"/>
            </w:tcBorders>
            <w:vAlign w:val="center"/>
          </w:tcPr>
          <w:p w14:paraId="63D39B32">
            <w:pPr>
              <w:snapToGrid w:val="0"/>
              <w:jc w:val="left"/>
              <w:rPr>
                <w:b/>
                <w:bCs/>
                <w:color w:val="auto"/>
                <w:sz w:val="24"/>
                <w:highlight w:val="none"/>
              </w:rPr>
            </w:pPr>
            <w:r>
              <w:rPr>
                <w:rFonts w:hint="eastAsia"/>
                <w:b/>
                <w:bCs/>
                <w:color w:val="auto"/>
                <w:sz w:val="24"/>
                <w:highlight w:val="none"/>
              </w:rPr>
              <w:t>评标委员会由采购人代表及在中国政府采购网专家库中随机抽取的评审专家组成，成员人数为五人（含）以上单数，其中技术、经济方面的专家不得少于成员总数的三分之二。</w:t>
            </w:r>
          </w:p>
        </w:tc>
      </w:tr>
    </w:tbl>
    <w:p w14:paraId="0D542259">
      <w:pPr>
        <w:tabs>
          <w:tab w:val="left" w:pos="5580"/>
        </w:tabs>
        <w:adjustRightInd w:val="0"/>
        <w:spacing w:line="360" w:lineRule="auto"/>
        <w:jc w:val="distribute"/>
        <w:rPr>
          <w:color w:val="auto"/>
          <w:sz w:val="24"/>
          <w:highlight w:val="none"/>
        </w:rPr>
        <w:sectPr>
          <w:pgSz w:w="11907" w:h="16840"/>
          <w:pgMar w:top="1418" w:right="1134" w:bottom="1418" w:left="1701" w:header="851" w:footer="851" w:gutter="0"/>
          <w:pgNumType w:fmt="decimal"/>
          <w:cols w:space="720" w:num="1"/>
          <w:titlePg/>
          <w:docGrid w:linePitch="462" w:charSpace="0"/>
        </w:sectPr>
      </w:pPr>
    </w:p>
    <w:p w14:paraId="045C5FBB">
      <w:pPr>
        <w:spacing w:before="240" w:beforeLines="100" w:after="240" w:afterLines="100"/>
        <w:jc w:val="center"/>
        <w:rPr>
          <w:b/>
          <w:color w:val="auto"/>
          <w:sz w:val="28"/>
          <w:szCs w:val="28"/>
          <w:highlight w:val="none"/>
        </w:rPr>
      </w:pPr>
      <w:bookmarkStart w:id="97" w:name="_Toc226337213"/>
      <w:bookmarkStart w:id="98" w:name="_Toc305158859"/>
      <w:bookmarkStart w:id="99" w:name="_Toc353825542"/>
      <w:bookmarkStart w:id="100" w:name="_Toc264969207"/>
      <w:bookmarkStart w:id="101" w:name="_Toc226965790"/>
      <w:bookmarkStart w:id="102" w:name="_Toc305158785"/>
      <w:bookmarkStart w:id="103" w:name="_Toc142311019"/>
      <w:bookmarkStart w:id="104" w:name="_Toc353873662"/>
      <w:bookmarkStart w:id="105" w:name="_Toc150480755"/>
      <w:bookmarkStart w:id="106" w:name="_Toc353873932"/>
      <w:bookmarkStart w:id="107" w:name="_Toc150774722"/>
      <w:bookmarkStart w:id="108" w:name="_Toc265228355"/>
      <w:bookmarkStart w:id="109" w:name="_Toc127151517"/>
      <w:bookmarkStart w:id="110" w:name="_Toc195842882"/>
      <w:r>
        <w:rPr>
          <w:b/>
          <w:color w:val="auto"/>
          <w:sz w:val="28"/>
          <w:szCs w:val="28"/>
          <w:highlight w:val="none"/>
        </w:rPr>
        <w:t>投标人须知</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5732E0C8">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111" w:name="_Toc520356143"/>
      <w:bookmarkStart w:id="112" w:name="_Toc127151518"/>
      <w:r>
        <w:rPr>
          <w:rFonts w:ascii="Times New Roman" w:hAnsi="Times New Roman" w:eastAsia="宋体"/>
          <w:color w:val="auto"/>
          <w:sz w:val="28"/>
          <w:highlight w:val="none"/>
        </w:rPr>
        <w:tab/>
      </w:r>
      <w:bookmarkStart w:id="113" w:name="_Toc265228356"/>
      <w:bookmarkStart w:id="114" w:name="_Toc151193616"/>
      <w:bookmarkStart w:id="115" w:name="_Toc151193832"/>
      <w:bookmarkStart w:id="116" w:name="_Toc226965791"/>
      <w:bookmarkStart w:id="117" w:name="_Toc150480756"/>
      <w:bookmarkStart w:id="118" w:name="_Toc305158786"/>
      <w:bookmarkStart w:id="119" w:name="_Toc226337214"/>
      <w:bookmarkStart w:id="120" w:name="_Toc226965708"/>
      <w:bookmarkStart w:id="121" w:name="_Toc150774618"/>
      <w:bookmarkStart w:id="122" w:name="_Toc150774723"/>
      <w:bookmarkStart w:id="123" w:name="_Toc142311020"/>
      <w:bookmarkStart w:id="124" w:name="_Toc150509269"/>
      <w:bookmarkStart w:id="125" w:name="_Toc151193906"/>
      <w:bookmarkStart w:id="126" w:name="_Toc195842883"/>
      <w:bookmarkStart w:id="127" w:name="_Toc151193688"/>
      <w:bookmarkStart w:id="128" w:name="_Toc305158860"/>
      <w:bookmarkStart w:id="129" w:name="_Toc264969208"/>
      <w:bookmarkStart w:id="130" w:name="_Toc226309762"/>
      <w:bookmarkStart w:id="131" w:name="_Toc151193760"/>
      <w:bookmarkStart w:id="132" w:name="_Toc151190145"/>
      <w:r>
        <w:rPr>
          <w:rFonts w:ascii="Times New Roman" w:hAnsi="Times New Roman" w:eastAsia="宋体"/>
          <w:color w:val="auto"/>
          <w:sz w:val="28"/>
          <w:highlight w:val="none"/>
        </w:rPr>
        <w:t>一   说  明</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ascii="Times New Roman" w:hAnsi="Times New Roman" w:eastAsia="宋体"/>
          <w:color w:val="auto"/>
          <w:sz w:val="28"/>
          <w:highlight w:val="none"/>
        </w:rPr>
        <w:tab/>
      </w:r>
    </w:p>
    <w:p w14:paraId="3EFC89F2">
      <w:pPr>
        <w:numPr>
          <w:ilvl w:val="0"/>
          <w:numId w:val="8"/>
        </w:numPr>
        <w:tabs>
          <w:tab w:val="left" w:pos="360"/>
          <w:tab w:val="clear" w:pos="900"/>
        </w:tabs>
        <w:snapToGrid w:val="0"/>
        <w:spacing w:line="360" w:lineRule="auto"/>
        <w:ind w:left="357" w:hanging="357"/>
        <w:outlineLvl w:val="1"/>
        <w:rPr>
          <w:color w:val="auto"/>
          <w:sz w:val="24"/>
          <w:highlight w:val="none"/>
        </w:rPr>
      </w:pPr>
      <w:bookmarkStart w:id="133" w:name="_Toc305158787"/>
      <w:bookmarkStart w:id="134" w:name="_Toc265228357"/>
      <w:bookmarkStart w:id="135" w:name="_Toc264969209"/>
      <w:bookmarkStart w:id="136" w:name="_Toc305158861"/>
      <w:r>
        <w:rPr>
          <w:color w:val="auto"/>
          <w:sz w:val="24"/>
          <w:highlight w:val="none"/>
        </w:rPr>
        <w:t>采购人、采购代理机构、投标人</w:t>
      </w:r>
      <w:bookmarkEnd w:id="133"/>
      <w:bookmarkEnd w:id="134"/>
      <w:bookmarkEnd w:id="135"/>
      <w:bookmarkEnd w:id="136"/>
      <w:r>
        <w:rPr>
          <w:color w:val="auto"/>
          <w:sz w:val="24"/>
          <w:highlight w:val="none"/>
        </w:rPr>
        <w:t>、联合体</w:t>
      </w:r>
    </w:p>
    <w:p w14:paraId="2E10986C">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7DDF320E">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6CA5CFF1">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71E93EA6">
      <w:pPr>
        <w:numPr>
          <w:ilvl w:val="0"/>
          <w:numId w:val="8"/>
        </w:numPr>
        <w:tabs>
          <w:tab w:val="left" w:pos="360"/>
          <w:tab w:val="clear" w:pos="900"/>
        </w:tabs>
        <w:snapToGrid w:val="0"/>
        <w:spacing w:line="360" w:lineRule="auto"/>
        <w:ind w:left="357" w:hanging="357"/>
        <w:outlineLvl w:val="1"/>
        <w:rPr>
          <w:color w:val="auto"/>
          <w:sz w:val="24"/>
          <w:highlight w:val="none"/>
        </w:rPr>
      </w:pPr>
      <w:bookmarkStart w:id="137" w:name="_Toc151193690"/>
      <w:bookmarkStart w:id="138" w:name="_Toc264969210"/>
      <w:bookmarkStart w:id="139" w:name="_Toc226309764"/>
      <w:bookmarkStart w:id="140" w:name="_Toc226965710"/>
      <w:bookmarkStart w:id="141" w:name="_Toc265228358"/>
      <w:bookmarkStart w:id="142" w:name="_Toc150480758"/>
      <w:bookmarkStart w:id="143" w:name="_Toc127161434"/>
      <w:bookmarkStart w:id="144" w:name="_Toc142311022"/>
      <w:bookmarkStart w:id="145" w:name="_Toc151193908"/>
      <w:bookmarkStart w:id="146" w:name="_Toc195842885"/>
      <w:bookmarkStart w:id="147" w:name="_Toc151193618"/>
      <w:bookmarkStart w:id="148" w:name="_Toc127151520"/>
      <w:bookmarkStart w:id="149" w:name="_Toc151190147"/>
      <w:bookmarkStart w:id="150" w:name="_Toc226337216"/>
      <w:bookmarkStart w:id="151" w:name="_Toc150774725"/>
      <w:bookmarkStart w:id="152" w:name="_Toc150774620"/>
      <w:bookmarkStart w:id="153" w:name="_Toc127151721"/>
      <w:bookmarkStart w:id="154" w:name="_Toc164229215"/>
      <w:bookmarkStart w:id="155" w:name="_Toc164229361"/>
      <w:bookmarkStart w:id="156" w:name="_Toc149720813"/>
      <w:bookmarkStart w:id="157" w:name="_Toc164608789"/>
      <w:bookmarkStart w:id="158" w:name="_Toc150509271"/>
      <w:bookmarkStart w:id="159" w:name="_Toc226965793"/>
      <w:bookmarkStart w:id="160" w:name="_Toc164608634"/>
      <w:bookmarkStart w:id="161" w:name="_Toc164351614"/>
      <w:bookmarkStart w:id="162" w:name="_Toc151193762"/>
      <w:bookmarkStart w:id="163" w:name="_Toc305158788"/>
      <w:bookmarkStart w:id="164" w:name="_Toc305158862"/>
      <w:bookmarkStart w:id="165" w:name="_Toc151193834"/>
      <w:r>
        <w:rPr>
          <w:color w:val="auto"/>
          <w:sz w:val="24"/>
          <w:highlight w:val="none"/>
        </w:rPr>
        <w:t>资金来源</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color w:val="auto"/>
          <w:sz w:val="24"/>
          <w:highlight w:val="none"/>
        </w:rPr>
        <w:t>、项目属性、科研仪器设备采购、核心产品</w:t>
      </w:r>
    </w:p>
    <w:p w14:paraId="4C58ABF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4F8CA2C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250C128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256BC6FA">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1F807E8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3DB30AD7">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66" w:name="_Toc305158790"/>
      <w:bookmarkStart w:id="167" w:name="_Toc151190149"/>
      <w:bookmarkStart w:id="168" w:name="_Toc226965712"/>
      <w:bookmarkStart w:id="169" w:name="_Toc264969212"/>
      <w:bookmarkStart w:id="170" w:name="_Toc195842887"/>
      <w:bookmarkStart w:id="171" w:name="_Toc150509273"/>
      <w:bookmarkStart w:id="172" w:name="_Toc520356146"/>
      <w:bookmarkStart w:id="173" w:name="_Toc305158864"/>
      <w:bookmarkStart w:id="174" w:name="_Toc151193910"/>
      <w:bookmarkStart w:id="175" w:name="_Toc151193692"/>
      <w:bookmarkStart w:id="176" w:name="_Toc150480760"/>
      <w:bookmarkStart w:id="177" w:name="_Toc226337218"/>
      <w:bookmarkStart w:id="178" w:name="_Toc151193620"/>
      <w:bookmarkStart w:id="179" w:name="_Toc226965795"/>
      <w:bookmarkStart w:id="180" w:name="_Toc151193836"/>
      <w:bookmarkStart w:id="181" w:name="_Toc265228360"/>
      <w:bookmarkStart w:id="182" w:name="_Toc151193764"/>
      <w:bookmarkStart w:id="183" w:name="_Toc142311024"/>
      <w:bookmarkStart w:id="184" w:name="_Toc150774622"/>
      <w:bookmarkStart w:id="185" w:name="_Toc150774727"/>
      <w:bookmarkStart w:id="186" w:name="_Toc226309766"/>
      <w:bookmarkStart w:id="187" w:name="_Toc127151522"/>
    </w:p>
    <w:p w14:paraId="7B782DF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15A5DB09">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2314097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1BE369C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53B3379C">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1C3EA06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8BCFFE5">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481A8DD9">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7902C215">
      <w:pPr>
        <w:numPr>
          <w:ilvl w:val="2"/>
          <w:numId w:val="8"/>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A97EB49">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58485469">
      <w:pPr>
        <w:tabs>
          <w:tab w:val="left" w:pos="900"/>
          <w:tab w:val="left" w:pos="1080"/>
          <w:tab w:val="left" w:pos="1589"/>
        </w:tabs>
        <w:snapToGrid w:val="0"/>
        <w:spacing w:line="360" w:lineRule="auto"/>
        <w:ind w:left="1080"/>
        <w:rPr>
          <w:color w:val="auto"/>
          <w:sz w:val="24"/>
          <w:highlight w:val="none"/>
        </w:rPr>
      </w:pPr>
      <w:bookmarkStart w:id="188"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88"/>
      <w:r>
        <w:rPr>
          <w:rFonts w:hint="eastAsia"/>
          <w:color w:val="auto"/>
          <w:sz w:val="24"/>
          <w:highlight w:val="none"/>
        </w:rPr>
        <w:t>，落实本国产品标准。</w:t>
      </w:r>
    </w:p>
    <w:p w14:paraId="06F91EC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2F17B665">
      <w:pPr>
        <w:numPr>
          <w:ilvl w:val="2"/>
          <w:numId w:val="8"/>
        </w:numPr>
        <w:snapToGrid w:val="0"/>
        <w:spacing w:line="360" w:lineRule="auto"/>
        <w:rPr>
          <w:color w:val="auto"/>
          <w:sz w:val="24"/>
          <w:highlight w:val="none"/>
        </w:rPr>
      </w:pPr>
      <w:r>
        <w:rPr>
          <w:color w:val="auto"/>
          <w:sz w:val="24"/>
          <w:highlight w:val="none"/>
        </w:rPr>
        <w:t>中小企业定义：</w:t>
      </w:r>
    </w:p>
    <w:p w14:paraId="16987E7A">
      <w:pPr>
        <w:tabs>
          <w:tab w:val="left" w:pos="900"/>
          <w:tab w:val="left" w:pos="1988"/>
          <w:tab w:val="left" w:pos="2035"/>
          <w:tab w:val="left" w:pos="2977"/>
        </w:tabs>
        <w:snapToGrid w:val="0"/>
        <w:spacing w:line="360" w:lineRule="auto"/>
        <w:ind w:left="1260" w:leftChars="600"/>
        <w:rPr>
          <w:color w:val="auto"/>
          <w:sz w:val="24"/>
          <w:highlight w:val="none"/>
        </w:rPr>
      </w:pPr>
      <w:r>
        <w:rPr>
          <w:rFonts w:hint="eastAsia"/>
          <w:color w:val="auto"/>
          <w:sz w:val="24"/>
          <w:highlight w:val="none"/>
        </w:rPr>
        <w:t>5.3.1.1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134B8880">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5.3.1.2</w:t>
      </w:r>
      <w:r>
        <w:rPr>
          <w:color w:val="auto"/>
          <w:sz w:val="24"/>
          <w:highlight w:val="none"/>
        </w:rPr>
        <w:t>供应商提供的货物、工程或者服务符合下列情形的，享受中小企业扶持政策：</w:t>
      </w:r>
    </w:p>
    <w:p w14:paraId="079EC763">
      <w:pPr>
        <w:tabs>
          <w:tab w:val="left" w:pos="1980"/>
        </w:tabs>
        <w:snapToGrid w:val="0"/>
        <w:spacing w:line="360" w:lineRule="auto"/>
        <w:ind w:left="1260" w:leftChars="600"/>
        <w:rPr>
          <w:color w:val="auto"/>
          <w:sz w:val="24"/>
          <w:highlight w:val="none"/>
        </w:rPr>
      </w:pPr>
      <w:r>
        <w:rPr>
          <w:color w:val="auto"/>
          <w:sz w:val="24"/>
          <w:highlight w:val="none"/>
        </w:rPr>
        <w:t>（1）在货物采购项目中，货物由中小企业制造，即货物由中小企业生产且使用该中小企业商号或者注册商标；</w:t>
      </w:r>
    </w:p>
    <w:p w14:paraId="602F8ED3">
      <w:pPr>
        <w:tabs>
          <w:tab w:val="left" w:pos="1980"/>
        </w:tabs>
        <w:snapToGrid w:val="0"/>
        <w:spacing w:line="360" w:lineRule="auto"/>
        <w:ind w:left="1260" w:leftChars="600"/>
        <w:rPr>
          <w:color w:val="auto"/>
          <w:sz w:val="24"/>
          <w:highlight w:val="none"/>
        </w:rPr>
      </w:pPr>
      <w:r>
        <w:rPr>
          <w:color w:val="auto"/>
          <w:sz w:val="24"/>
          <w:highlight w:val="none"/>
        </w:rPr>
        <w:t>（2）在工程采购项目中，工程由中小企业承建，即工程施工单位为中小企业；</w:t>
      </w:r>
    </w:p>
    <w:p w14:paraId="6BCD8F93">
      <w:pPr>
        <w:tabs>
          <w:tab w:val="left" w:pos="1980"/>
        </w:tabs>
        <w:snapToGrid w:val="0"/>
        <w:spacing w:line="360" w:lineRule="auto"/>
        <w:ind w:left="1260" w:leftChars="60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A5D37A8">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5.3.1.3</w:t>
      </w:r>
      <w:r>
        <w:rPr>
          <w:color w:val="auto"/>
          <w:sz w:val="24"/>
          <w:highlight w:val="none"/>
        </w:rPr>
        <w:t>在货物采购项目中，供应商提供的货物既有中小企业制造货物，也有大型企业制造货物的，不享受中小企业扶持政策。</w:t>
      </w:r>
    </w:p>
    <w:p w14:paraId="1B4A27D0">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5.3.1.4</w:t>
      </w:r>
      <w:r>
        <w:rPr>
          <w:color w:val="auto"/>
          <w:sz w:val="24"/>
          <w:highlight w:val="none"/>
        </w:rPr>
        <w:t>以联合体形式参加政府采购活动，联合体各方均为中小企业的，联合体视同中小企业。其中，联合体各方均为小微企业的，联合体视同小微企业。</w:t>
      </w:r>
    </w:p>
    <w:p w14:paraId="73047537">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BF1EBA">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3CD1F20">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5.3.3.1</w:t>
      </w:r>
      <w:r>
        <w:rPr>
          <w:color w:val="auto"/>
          <w:sz w:val="24"/>
          <w:highlight w:val="none"/>
        </w:rPr>
        <w:t>安置的残疾人占本单位在职职工人数的比例不低于25%（含25%），并且安置的残疾人人数不少于10 人（含10 人）；</w:t>
      </w:r>
    </w:p>
    <w:p w14:paraId="73CCBAED">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5.3.3.2</w:t>
      </w:r>
      <w:r>
        <w:rPr>
          <w:color w:val="auto"/>
          <w:sz w:val="24"/>
          <w:highlight w:val="none"/>
        </w:rPr>
        <w:t>依法与安置的每位残疾人签订了一年以上（含一年）的劳动合同或服务协议；</w:t>
      </w:r>
    </w:p>
    <w:p w14:paraId="46184F6C">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5.3.3.3</w:t>
      </w:r>
      <w:r>
        <w:rPr>
          <w:color w:val="auto"/>
          <w:sz w:val="24"/>
          <w:highlight w:val="none"/>
        </w:rPr>
        <w:t>为安置的每位残疾人按月足额缴纳了基本养老保险、基本医疗保险、失业保险、工伤保险和生育保险等社会保险费；</w:t>
      </w:r>
    </w:p>
    <w:p w14:paraId="6772D044">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5.3.3.4</w:t>
      </w:r>
      <w:r>
        <w:rPr>
          <w:color w:val="auto"/>
          <w:sz w:val="24"/>
          <w:highlight w:val="none"/>
        </w:rPr>
        <w:t>通过银行等金融机构向安置的每位残疾人，按月支付了不低于单位所在区县适用的经省级人民政府批准的月最低工资标准的工资；</w:t>
      </w:r>
    </w:p>
    <w:p w14:paraId="0EEFA0E5">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5.3.3.5</w:t>
      </w: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1495F8E9">
      <w:pPr>
        <w:tabs>
          <w:tab w:val="left" w:pos="900"/>
          <w:tab w:val="left" w:pos="1980"/>
          <w:tab w:val="left" w:pos="2035"/>
          <w:tab w:val="left" w:pos="2885"/>
          <w:tab w:val="left" w:pos="2977"/>
        </w:tabs>
        <w:snapToGrid w:val="0"/>
        <w:spacing w:line="360" w:lineRule="auto"/>
        <w:ind w:left="1260" w:leftChars="600"/>
        <w:rPr>
          <w:color w:val="auto"/>
          <w:sz w:val="24"/>
          <w:highlight w:val="none"/>
        </w:rPr>
      </w:pPr>
      <w:r>
        <w:rPr>
          <w:rFonts w:hint="eastAsia"/>
          <w:color w:val="auto"/>
          <w:sz w:val="24"/>
          <w:highlight w:val="none"/>
        </w:rPr>
        <w:t>5.3.3.6</w:t>
      </w: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26B9C6">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DBB80BA">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C4F3F76">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21739A7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0872863E">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55EA6AF">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76591FD">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1DFE2D82">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79E7CF1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66A567A7">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F545132">
      <w:pPr>
        <w:numPr>
          <w:ilvl w:val="1"/>
          <w:numId w:val="8"/>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039E17DF">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16D8EDF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4775BD77">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578D861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0D41FD93">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5482354">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D51240E">
      <w:pPr>
        <w:numPr>
          <w:ilvl w:val="2"/>
          <w:numId w:val="8"/>
        </w:numPr>
        <w:tabs>
          <w:tab w:val="left" w:pos="2014"/>
        </w:tabs>
        <w:snapToGrid w:val="0"/>
        <w:spacing w:line="360" w:lineRule="auto"/>
        <w:rPr>
          <w:color w:val="auto"/>
          <w:sz w:val="24"/>
          <w:highlight w:val="none"/>
        </w:rPr>
      </w:pPr>
      <w:bookmarkStart w:id="189" w:name="_Hlk164953935"/>
      <w:r>
        <w:rPr>
          <w:color w:val="auto"/>
          <w:sz w:val="24"/>
          <w:highlight w:val="none"/>
        </w:rPr>
        <w:t xml:space="preserve">其他政府采购需求标准 </w:t>
      </w:r>
    </w:p>
    <w:bookmarkEnd w:id="189"/>
    <w:p w14:paraId="2BBA66E4">
      <w:pPr>
        <w:tabs>
          <w:tab w:val="left" w:pos="900"/>
          <w:tab w:val="left" w:pos="1980"/>
        </w:tabs>
        <w:snapToGrid w:val="0"/>
        <w:spacing w:line="360" w:lineRule="auto"/>
        <w:ind w:left="1980"/>
        <w:rPr>
          <w:color w:val="auto"/>
          <w:sz w:val="24"/>
          <w:highlight w:val="none"/>
        </w:rPr>
      </w:pPr>
      <w:bookmarkStart w:id="190" w:name="_Hlk164955325"/>
      <w:r>
        <w:rPr>
          <w:color w:val="auto"/>
          <w:sz w:val="24"/>
          <w:highlight w:val="none"/>
        </w:rPr>
        <w:t>为贯彻落实《深化政府采购制度改革方案》有关要求，推动政府采购需求标准建设</w:t>
      </w:r>
      <w:bookmarkEnd w:id="190"/>
      <w:r>
        <w:rPr>
          <w:color w:val="auto"/>
          <w:sz w:val="24"/>
          <w:highlight w:val="none"/>
        </w:rPr>
        <w:t>，财政部门会同有关部门制定发布的其他政府采购需求标准，本项目如涉及，则具体要求见第五章《采购需求》。</w:t>
      </w:r>
    </w:p>
    <w:p w14:paraId="52A93590">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3307FD9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7AA6EF84">
      <w:pPr>
        <w:tabs>
          <w:tab w:val="left" w:pos="1080"/>
        </w:tabs>
        <w:snapToGrid w:val="0"/>
        <w:spacing w:line="360" w:lineRule="auto"/>
        <w:ind w:left="1080"/>
        <w:rPr>
          <w:color w:val="auto"/>
          <w:sz w:val="28"/>
          <w:highlight w:val="none"/>
        </w:rPr>
      </w:pPr>
      <w:bookmarkStart w:id="191" w:name="_1.8_计量单位"/>
      <w:bookmarkEnd w:id="191"/>
    </w:p>
    <w:p w14:paraId="3F3116E4">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2B51534A">
      <w:pPr>
        <w:numPr>
          <w:ilvl w:val="0"/>
          <w:numId w:val="8"/>
        </w:numPr>
        <w:tabs>
          <w:tab w:val="left" w:pos="360"/>
        </w:tabs>
        <w:snapToGrid w:val="0"/>
        <w:spacing w:line="360" w:lineRule="auto"/>
        <w:ind w:left="357" w:hanging="357"/>
        <w:outlineLvl w:val="1"/>
        <w:rPr>
          <w:color w:val="auto"/>
          <w:sz w:val="24"/>
          <w:highlight w:val="none"/>
        </w:rPr>
      </w:pPr>
      <w:bookmarkStart w:id="192" w:name="_Toc164351617"/>
      <w:bookmarkStart w:id="193" w:name="_Toc150480761"/>
      <w:bookmarkStart w:id="194" w:name="_Toc151193693"/>
      <w:bookmarkStart w:id="195" w:name="_Toc226965713"/>
      <w:bookmarkStart w:id="196" w:name="_Toc265228361"/>
      <w:bookmarkStart w:id="197" w:name="_Toc150509274"/>
      <w:bookmarkStart w:id="198" w:name="_Toc305158865"/>
      <w:bookmarkStart w:id="199" w:name="_Toc520356147"/>
      <w:bookmarkStart w:id="200" w:name="_Toc164608792"/>
      <w:bookmarkStart w:id="201" w:name="_Toc149720816"/>
      <w:bookmarkStart w:id="202" w:name="_Toc264969213"/>
      <w:bookmarkStart w:id="203" w:name="_Toc127151523"/>
      <w:bookmarkStart w:id="204" w:name="_Toc226309767"/>
      <w:bookmarkStart w:id="205" w:name="_Toc164229364"/>
      <w:bookmarkStart w:id="206" w:name="_Toc305158791"/>
      <w:bookmarkStart w:id="207" w:name="_Toc150774728"/>
      <w:bookmarkStart w:id="208" w:name="_Toc142311025"/>
      <w:bookmarkStart w:id="209" w:name="_Toc195842888"/>
      <w:bookmarkStart w:id="210" w:name="_Toc151190150"/>
      <w:bookmarkStart w:id="211" w:name="_Toc151193765"/>
      <w:bookmarkStart w:id="212" w:name="_Toc127151724"/>
      <w:bookmarkStart w:id="213" w:name="_Toc226965796"/>
      <w:bookmarkStart w:id="214" w:name="_Toc127161437"/>
      <w:bookmarkStart w:id="215" w:name="_Toc164229218"/>
      <w:bookmarkStart w:id="216" w:name="_Toc226337219"/>
      <w:bookmarkStart w:id="217" w:name="_Toc151193621"/>
      <w:bookmarkStart w:id="218" w:name="_Toc151193911"/>
      <w:bookmarkStart w:id="219" w:name="_Toc164608637"/>
      <w:bookmarkStart w:id="220" w:name="_Toc150774623"/>
      <w:bookmarkStart w:id="221" w:name="_Toc151193837"/>
      <w:r>
        <w:rPr>
          <w:color w:val="auto"/>
          <w:sz w:val="24"/>
          <w:highlight w:val="none"/>
        </w:rPr>
        <w:t>招标文件构</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color w:val="auto"/>
          <w:sz w:val="24"/>
          <w:highlight w:val="none"/>
        </w:rPr>
        <w:t>成</w:t>
      </w:r>
    </w:p>
    <w:p w14:paraId="25B1A38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0797E16D">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4BC63D2D">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6460358C">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26EC340A">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66257161">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0B6A40C3">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11253CA">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52EBD39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52B4A3CB">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746E9F8D">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12BEF67E">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387101A7">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A0155C1">
      <w:pPr>
        <w:tabs>
          <w:tab w:val="left" w:pos="1080"/>
          <w:tab w:val="left" w:pos="1561"/>
        </w:tabs>
        <w:snapToGrid w:val="0"/>
        <w:spacing w:line="360" w:lineRule="auto"/>
        <w:ind w:left="1080"/>
        <w:rPr>
          <w:color w:val="auto"/>
          <w:sz w:val="28"/>
          <w:highlight w:val="none"/>
        </w:rPr>
      </w:pPr>
      <w:bookmarkStart w:id="222" w:name="_Toc516367020"/>
      <w:bookmarkStart w:id="223" w:name="_Toc265228364"/>
      <w:bookmarkStart w:id="224" w:name="_Toc151190153"/>
      <w:bookmarkStart w:id="225" w:name="_Toc150509277"/>
      <w:bookmarkStart w:id="226" w:name="_Toc150774731"/>
      <w:bookmarkStart w:id="227" w:name="_Toc305158868"/>
      <w:bookmarkStart w:id="228" w:name="_Toc151193914"/>
      <w:bookmarkStart w:id="229" w:name="_Toc226965799"/>
      <w:bookmarkStart w:id="230" w:name="_Toc226965716"/>
      <w:bookmarkStart w:id="231" w:name="_Toc150480764"/>
      <w:bookmarkStart w:id="232" w:name="_Toc150774626"/>
      <w:bookmarkStart w:id="233" w:name="_Toc520356150"/>
      <w:bookmarkStart w:id="234" w:name="_Toc127151526"/>
      <w:bookmarkStart w:id="235" w:name="_Toc195842891"/>
      <w:bookmarkStart w:id="236" w:name="_Toc305158794"/>
      <w:bookmarkStart w:id="237" w:name="_Toc226309770"/>
      <w:bookmarkStart w:id="238" w:name="_Toc151193696"/>
      <w:bookmarkStart w:id="239" w:name="_Toc226337222"/>
      <w:bookmarkStart w:id="240" w:name="_Toc264969216"/>
      <w:bookmarkStart w:id="241" w:name="_Toc142311028"/>
      <w:bookmarkStart w:id="242" w:name="_Toc151193840"/>
      <w:bookmarkStart w:id="243" w:name="_Toc151193768"/>
      <w:bookmarkStart w:id="244" w:name="_Toc151193624"/>
    </w:p>
    <w:p w14:paraId="29FA552B">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22"/>
      <w:r>
        <w:rPr>
          <w:rFonts w:ascii="Times New Roman" w:hAnsi="Times New Roman" w:eastAsia="宋体"/>
          <w:color w:val="auto"/>
          <w:sz w:val="28"/>
          <w:highlight w:val="none"/>
        </w:rPr>
        <w:t>的编制</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0E0AC6E8">
      <w:pPr>
        <w:numPr>
          <w:ilvl w:val="0"/>
          <w:numId w:val="8"/>
        </w:numPr>
        <w:tabs>
          <w:tab w:val="left" w:pos="360"/>
        </w:tabs>
        <w:snapToGrid w:val="0"/>
        <w:spacing w:line="360" w:lineRule="auto"/>
        <w:ind w:left="357" w:hanging="357"/>
        <w:outlineLvl w:val="1"/>
        <w:rPr>
          <w:color w:val="auto"/>
          <w:sz w:val="24"/>
          <w:highlight w:val="none"/>
        </w:rPr>
      </w:pPr>
      <w:bookmarkStart w:id="245" w:name="_Toc265228365"/>
      <w:bookmarkStart w:id="246" w:name="_Toc226965800"/>
      <w:bookmarkStart w:id="247" w:name="_Toc151190154"/>
      <w:bookmarkStart w:id="248" w:name="_Toc226309771"/>
      <w:bookmarkStart w:id="249" w:name="_Toc164229222"/>
      <w:bookmarkStart w:id="250" w:name="_Toc151193697"/>
      <w:bookmarkStart w:id="251" w:name="_Toc150774627"/>
      <w:bookmarkStart w:id="252" w:name="_Toc164351621"/>
      <w:bookmarkStart w:id="253" w:name="_Toc150480765"/>
      <w:bookmarkStart w:id="254" w:name="_Toc516367021"/>
      <w:bookmarkStart w:id="255" w:name="_Toc226337223"/>
      <w:bookmarkStart w:id="256" w:name="_Toc305158795"/>
      <w:bookmarkStart w:id="257" w:name="_Toc151193769"/>
      <w:bookmarkStart w:id="258" w:name="_Toc520356151"/>
      <w:bookmarkStart w:id="259" w:name="_Toc151193841"/>
      <w:bookmarkStart w:id="260" w:name="_Toc127161441"/>
      <w:bookmarkStart w:id="261" w:name="_Toc195842892"/>
      <w:bookmarkStart w:id="262" w:name="_Toc226965717"/>
      <w:bookmarkStart w:id="263" w:name="_Toc150509278"/>
      <w:bookmarkStart w:id="264" w:name="_Toc150774732"/>
      <w:bookmarkStart w:id="265" w:name="_Toc164608641"/>
      <w:bookmarkStart w:id="266" w:name="_Toc151193915"/>
      <w:bookmarkStart w:id="267" w:name="_Toc149720820"/>
      <w:bookmarkStart w:id="268" w:name="_Toc151193625"/>
      <w:bookmarkStart w:id="269" w:name="_Toc142311029"/>
      <w:bookmarkStart w:id="270" w:name="_Toc164229368"/>
      <w:bookmarkStart w:id="271" w:name="_Toc305158869"/>
      <w:bookmarkStart w:id="272" w:name="_Toc127151728"/>
      <w:bookmarkStart w:id="273" w:name="_Toc127151527"/>
      <w:bookmarkStart w:id="274" w:name="_Toc164608796"/>
      <w:bookmarkStart w:id="275" w:name="_Toc264969217"/>
      <w:r>
        <w:rPr>
          <w:color w:val="auto"/>
          <w:sz w:val="24"/>
          <w:highlight w:val="none"/>
        </w:rPr>
        <w:t>投标范围、投标文件中计量单位的使用</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Pr>
          <w:color w:val="auto"/>
          <w:sz w:val="24"/>
          <w:highlight w:val="none"/>
        </w:rPr>
        <w:t>及投标语言</w:t>
      </w:r>
    </w:p>
    <w:p w14:paraId="4538B88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02888E2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73F3962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2EA5A08">
      <w:pPr>
        <w:numPr>
          <w:ilvl w:val="0"/>
          <w:numId w:val="8"/>
        </w:numPr>
        <w:tabs>
          <w:tab w:val="left" w:pos="360"/>
        </w:tabs>
        <w:snapToGrid w:val="0"/>
        <w:spacing w:line="360" w:lineRule="auto"/>
        <w:ind w:left="357" w:hanging="357"/>
        <w:outlineLvl w:val="1"/>
        <w:rPr>
          <w:color w:val="auto"/>
          <w:sz w:val="24"/>
          <w:highlight w:val="none"/>
        </w:rPr>
      </w:pPr>
      <w:bookmarkStart w:id="276" w:name="_Ref467306676"/>
      <w:bookmarkStart w:id="277" w:name="_Toc516367022"/>
      <w:bookmarkStart w:id="278" w:name="_Ref467306195"/>
      <w:bookmarkStart w:id="279" w:name="_Toc226337224"/>
      <w:bookmarkStart w:id="280" w:name="_Toc265228366"/>
      <w:bookmarkStart w:id="281" w:name="_Toc305158870"/>
      <w:bookmarkStart w:id="282" w:name="_Toc150509279"/>
      <w:bookmarkStart w:id="283" w:name="_Toc151193626"/>
      <w:bookmarkStart w:id="284" w:name="_Toc164351622"/>
      <w:bookmarkStart w:id="285" w:name="_Toc151193698"/>
      <w:bookmarkStart w:id="286" w:name="_Toc164608642"/>
      <w:bookmarkStart w:id="287" w:name="_Toc164608797"/>
      <w:bookmarkStart w:id="288" w:name="_Toc127151729"/>
      <w:bookmarkStart w:id="289" w:name="_Toc226309772"/>
      <w:bookmarkStart w:id="290" w:name="_Toc151193770"/>
      <w:bookmarkStart w:id="291" w:name="_Toc150774628"/>
      <w:bookmarkStart w:id="292" w:name="_Toc520356152"/>
      <w:bookmarkStart w:id="293" w:name="_Toc150480766"/>
      <w:bookmarkStart w:id="294" w:name="_Toc127161442"/>
      <w:bookmarkStart w:id="295" w:name="_Toc226965801"/>
      <w:bookmarkStart w:id="296" w:name="_Toc226965718"/>
      <w:bookmarkStart w:id="297" w:name="_Toc264969218"/>
      <w:bookmarkStart w:id="298" w:name="_Toc142311030"/>
      <w:bookmarkStart w:id="299" w:name="_Toc150774733"/>
      <w:bookmarkStart w:id="300" w:name="_Toc151193916"/>
      <w:bookmarkStart w:id="301" w:name="_Toc151193842"/>
      <w:bookmarkStart w:id="302" w:name="_Toc127151528"/>
      <w:bookmarkStart w:id="303" w:name="_Toc149720821"/>
      <w:bookmarkStart w:id="304" w:name="_Toc305158796"/>
      <w:bookmarkStart w:id="305" w:name="_Toc164229223"/>
      <w:bookmarkStart w:id="306" w:name="_Toc164229369"/>
      <w:bookmarkStart w:id="307" w:name="_Toc195842893"/>
      <w:bookmarkStart w:id="308" w:name="_Toc151190155"/>
      <w:r>
        <w:rPr>
          <w:color w:val="auto"/>
          <w:sz w:val="24"/>
          <w:highlight w:val="none"/>
        </w:rPr>
        <w:t>投标文件</w:t>
      </w:r>
      <w:bookmarkEnd w:id="276"/>
      <w:bookmarkEnd w:id="277"/>
      <w:bookmarkEnd w:id="278"/>
      <w:r>
        <w:rPr>
          <w:color w:val="auto"/>
          <w:sz w:val="24"/>
          <w:highlight w:val="none"/>
        </w:rPr>
        <w:t>构成</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0EBB56A">
      <w:pPr>
        <w:numPr>
          <w:ilvl w:val="1"/>
          <w:numId w:val="8"/>
        </w:numPr>
        <w:tabs>
          <w:tab w:val="left" w:pos="1080"/>
          <w:tab w:val="left" w:pos="2014"/>
        </w:tabs>
        <w:snapToGrid w:val="0"/>
        <w:spacing w:line="360" w:lineRule="auto"/>
        <w:ind w:left="1077" w:hanging="720"/>
        <w:rPr>
          <w:color w:val="auto"/>
          <w:sz w:val="24"/>
          <w:highlight w:val="none"/>
        </w:rPr>
      </w:pPr>
      <w:bookmarkStart w:id="309"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1278D2C7">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7E1EDA9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65038D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466490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309"/>
    </w:p>
    <w:p w14:paraId="131A9316">
      <w:pPr>
        <w:numPr>
          <w:ilvl w:val="0"/>
          <w:numId w:val="8"/>
        </w:numPr>
        <w:tabs>
          <w:tab w:val="left" w:pos="360"/>
        </w:tabs>
        <w:snapToGrid w:val="0"/>
        <w:spacing w:line="360" w:lineRule="auto"/>
        <w:ind w:left="357" w:hanging="357"/>
        <w:outlineLvl w:val="1"/>
        <w:rPr>
          <w:color w:val="auto"/>
          <w:sz w:val="24"/>
          <w:highlight w:val="none"/>
        </w:rPr>
      </w:pPr>
      <w:bookmarkStart w:id="310" w:name="_Toc164608799"/>
      <w:bookmarkStart w:id="311" w:name="_Toc127151731"/>
      <w:bookmarkStart w:id="312" w:name="_Toc164608644"/>
      <w:bookmarkStart w:id="313" w:name="_Toc127151530"/>
      <w:bookmarkStart w:id="314" w:name="_Toc149720823"/>
      <w:bookmarkStart w:id="315" w:name="_Toc151193844"/>
      <w:bookmarkStart w:id="316" w:name="_Toc164229371"/>
      <w:bookmarkStart w:id="317" w:name="_Toc150509281"/>
      <w:bookmarkStart w:id="318" w:name="_Toc151193918"/>
      <w:bookmarkStart w:id="319" w:name="_Toc151190157"/>
      <w:bookmarkStart w:id="320" w:name="_Toc150774735"/>
      <w:bookmarkStart w:id="321" w:name="_Toc164229225"/>
      <w:bookmarkStart w:id="322" w:name="_Toc195842895"/>
      <w:bookmarkStart w:id="323" w:name="_Toc142311032"/>
      <w:bookmarkStart w:id="324" w:name="_Toc150480768"/>
      <w:bookmarkStart w:id="325" w:name="_Toc164351624"/>
      <w:bookmarkStart w:id="326" w:name="_Toc150774630"/>
      <w:bookmarkStart w:id="327" w:name="_Toc520356155"/>
      <w:bookmarkStart w:id="328" w:name="_Toc151193700"/>
      <w:bookmarkStart w:id="329" w:name="_Toc127161444"/>
      <w:bookmarkStart w:id="330" w:name="_Toc151193772"/>
      <w:bookmarkStart w:id="331" w:name="_Toc151193628"/>
      <w:r>
        <w:rPr>
          <w:color w:val="auto"/>
          <w:sz w:val="24"/>
          <w:highlight w:val="none"/>
        </w:rPr>
        <w:t>投标报价</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6A4E52B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3F4F5E0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56A31EB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C7C89ED">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7E2B528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49374C2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69E3D4C8">
      <w:pPr>
        <w:numPr>
          <w:ilvl w:val="0"/>
          <w:numId w:val="8"/>
        </w:numPr>
        <w:tabs>
          <w:tab w:val="left" w:pos="360"/>
        </w:tabs>
        <w:snapToGrid w:val="0"/>
        <w:spacing w:line="360" w:lineRule="auto"/>
        <w:ind w:left="357" w:hanging="357"/>
        <w:outlineLvl w:val="1"/>
        <w:rPr>
          <w:color w:val="auto"/>
          <w:sz w:val="24"/>
          <w:highlight w:val="none"/>
        </w:rPr>
      </w:pPr>
      <w:bookmarkStart w:id="332" w:name="_Toc264969221"/>
      <w:bookmarkStart w:id="333" w:name="_Toc265228369"/>
      <w:bookmarkStart w:id="334" w:name="_Toc164229372"/>
      <w:bookmarkStart w:id="335" w:name="_Toc150480769"/>
      <w:bookmarkStart w:id="336" w:name="_Toc142311033"/>
      <w:bookmarkStart w:id="337" w:name="_Toc127161445"/>
      <w:bookmarkStart w:id="338" w:name="_Toc164608645"/>
      <w:bookmarkStart w:id="339" w:name="_Toc151193845"/>
      <w:bookmarkStart w:id="340" w:name="_Toc226309775"/>
      <w:bookmarkStart w:id="341" w:name="_Toc151193919"/>
      <w:bookmarkStart w:id="342" w:name="_Toc305158799"/>
      <w:bookmarkStart w:id="343" w:name="_Toc149720824"/>
      <w:bookmarkStart w:id="344" w:name="_Toc151190158"/>
      <w:bookmarkStart w:id="345" w:name="_Toc127151531"/>
      <w:bookmarkStart w:id="346" w:name="_Toc150509282"/>
      <w:bookmarkStart w:id="347" w:name="_Toc164608800"/>
      <w:bookmarkStart w:id="348" w:name="_Toc520356156"/>
      <w:bookmarkStart w:id="349" w:name="_Ref467306513"/>
      <w:bookmarkStart w:id="350" w:name="_Toc164351625"/>
      <w:bookmarkStart w:id="351" w:name="_Toc164229226"/>
      <w:bookmarkStart w:id="352" w:name="_Toc195842896"/>
      <w:bookmarkStart w:id="353" w:name="_Toc226337227"/>
      <w:bookmarkStart w:id="354" w:name="_Toc226965721"/>
      <w:bookmarkStart w:id="355" w:name="_Toc151193629"/>
      <w:bookmarkStart w:id="356" w:name="_Toc150774631"/>
      <w:bookmarkStart w:id="357" w:name="_Toc305158873"/>
      <w:bookmarkStart w:id="358" w:name="_Toc150774736"/>
      <w:bookmarkStart w:id="359" w:name="_Toc151193701"/>
      <w:bookmarkStart w:id="360" w:name="_Toc151193773"/>
      <w:bookmarkStart w:id="361" w:name="_Toc127151732"/>
      <w:bookmarkStart w:id="362" w:name="_Toc226965804"/>
      <w:r>
        <w:rPr>
          <w:color w:val="auto"/>
          <w:sz w:val="24"/>
          <w:highlight w:val="none"/>
        </w:rPr>
        <w:t>投标保证金</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70B351B0">
      <w:pPr>
        <w:numPr>
          <w:ilvl w:val="1"/>
          <w:numId w:val="8"/>
        </w:numPr>
        <w:tabs>
          <w:tab w:val="left" w:pos="1080"/>
          <w:tab w:val="left" w:pos="2014"/>
        </w:tabs>
        <w:snapToGrid w:val="0"/>
        <w:spacing w:line="360" w:lineRule="auto"/>
        <w:ind w:left="1077" w:hanging="720"/>
        <w:rPr>
          <w:color w:val="auto"/>
          <w:sz w:val="24"/>
          <w:highlight w:val="none"/>
        </w:rPr>
      </w:pPr>
      <w:bookmarkStart w:id="363" w:name="_Ref467306302"/>
      <w:r>
        <w:rPr>
          <w:color w:val="auto"/>
          <w:sz w:val="24"/>
          <w:highlight w:val="none"/>
        </w:rPr>
        <w:t>投标人应按《投标人须知资料表》中规定的金额及要求交纳投标保证金</w:t>
      </w:r>
      <w:bookmarkEnd w:id="363"/>
      <w:r>
        <w:rPr>
          <w:color w:val="auto"/>
          <w:sz w:val="24"/>
          <w:highlight w:val="none"/>
        </w:rPr>
        <w:t>。投标人自愿超额缴纳投标保证金的，投标文件不做无效处理。</w:t>
      </w:r>
    </w:p>
    <w:p w14:paraId="3662973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6B8D32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w:t>
      </w:r>
      <w:bookmarkStart w:id="364" w:name="OLE_LINK104"/>
      <w:bookmarkStart w:id="365" w:name="OLE_LINK103"/>
      <w:r>
        <w:rPr>
          <w:color w:val="auto"/>
          <w:sz w:val="24"/>
          <w:highlight w:val="none"/>
        </w:rPr>
        <w:t>提交至采购代理机构</w:t>
      </w:r>
      <w:bookmarkEnd w:id="364"/>
      <w:bookmarkEnd w:id="365"/>
      <w:r>
        <w:rPr>
          <w:color w:val="auto"/>
          <w:sz w:val="24"/>
          <w:highlight w:val="none"/>
        </w:rPr>
        <w:t>；</w:t>
      </w:r>
      <w:bookmarkStart w:id="366" w:name="_Hlk164959831"/>
      <w:r>
        <w:rPr>
          <w:color w:val="auto"/>
          <w:sz w:val="24"/>
          <w:highlight w:val="none"/>
        </w:rPr>
        <w:t>以电子保函形式提交投标保证金的，应在投标截止时间前提交至采购代理机构</w:t>
      </w:r>
      <w:r>
        <w:rPr>
          <w:color w:val="auto"/>
          <w:sz w:val="24"/>
          <w:highlight w:val="none"/>
          <w:lang w:bidi="ar"/>
        </w:rPr>
        <w:t>。</w:t>
      </w:r>
      <w:bookmarkEnd w:id="366"/>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4AA0447B">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 xml:space="preserve">。 </w:t>
      </w:r>
    </w:p>
    <w:p w14:paraId="675DE82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67DD103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32FBB93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3D4B09FB">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62124D92">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68B847E6">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73B8E702">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2B86000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79DA939E">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6B488351">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50AE98E1">
      <w:pPr>
        <w:numPr>
          <w:ilvl w:val="0"/>
          <w:numId w:val="8"/>
        </w:numPr>
        <w:tabs>
          <w:tab w:val="left" w:pos="360"/>
        </w:tabs>
        <w:snapToGrid w:val="0"/>
        <w:spacing w:line="360" w:lineRule="auto"/>
        <w:ind w:left="357" w:hanging="357"/>
        <w:outlineLvl w:val="1"/>
        <w:rPr>
          <w:color w:val="auto"/>
          <w:sz w:val="24"/>
          <w:highlight w:val="none"/>
        </w:rPr>
      </w:pPr>
      <w:bookmarkStart w:id="367" w:name="_Toc164229227"/>
      <w:bookmarkStart w:id="368" w:name="_Toc149720825"/>
      <w:bookmarkStart w:id="369" w:name="_Toc151193702"/>
      <w:bookmarkStart w:id="370" w:name="_Toc164351626"/>
      <w:bookmarkStart w:id="371" w:name="_Toc151190159"/>
      <w:bookmarkStart w:id="372" w:name="_Toc127151733"/>
      <w:bookmarkStart w:id="373" w:name="_Toc151193920"/>
      <w:bookmarkStart w:id="374" w:name="_Toc226337228"/>
      <w:bookmarkStart w:id="375" w:name="_Toc127151532"/>
      <w:bookmarkStart w:id="376" w:name="_Toc226309776"/>
      <w:bookmarkStart w:id="377" w:name="_Toc150480770"/>
      <w:bookmarkStart w:id="378" w:name="_Toc150774632"/>
      <w:bookmarkStart w:id="379" w:name="_Toc164229373"/>
      <w:bookmarkStart w:id="380" w:name="_Toc305158800"/>
      <w:bookmarkStart w:id="381" w:name="_Toc127161446"/>
      <w:bookmarkStart w:id="382" w:name="_Toc151193846"/>
      <w:bookmarkStart w:id="383" w:name="_Toc150774737"/>
      <w:bookmarkStart w:id="384" w:name="_Toc226965722"/>
      <w:bookmarkStart w:id="385" w:name="_Toc226965805"/>
      <w:bookmarkStart w:id="386" w:name="_Toc520356157"/>
      <w:bookmarkStart w:id="387" w:name="_Toc264969222"/>
      <w:bookmarkStart w:id="388" w:name="_Toc195842897"/>
      <w:bookmarkStart w:id="389" w:name="_Toc265228370"/>
      <w:bookmarkStart w:id="390" w:name="_Toc151193774"/>
      <w:bookmarkStart w:id="391" w:name="_Toc305158874"/>
      <w:bookmarkStart w:id="392" w:name="_Toc150509283"/>
      <w:bookmarkStart w:id="393" w:name="_Toc164608646"/>
      <w:bookmarkStart w:id="394" w:name="_Toc164608801"/>
      <w:bookmarkStart w:id="395" w:name="_Toc151193630"/>
      <w:bookmarkStart w:id="396" w:name="_Toc142311034"/>
      <w:r>
        <w:rPr>
          <w:color w:val="auto"/>
          <w:sz w:val="24"/>
          <w:highlight w:val="none"/>
        </w:rPr>
        <w:t>投标有效期</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16D31F9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735034A">
      <w:pPr>
        <w:numPr>
          <w:ilvl w:val="0"/>
          <w:numId w:val="8"/>
        </w:numPr>
        <w:tabs>
          <w:tab w:val="left" w:pos="360"/>
        </w:tabs>
        <w:snapToGrid w:val="0"/>
        <w:spacing w:line="360" w:lineRule="auto"/>
        <w:ind w:left="357" w:hanging="357"/>
        <w:outlineLvl w:val="1"/>
        <w:rPr>
          <w:color w:val="auto"/>
          <w:sz w:val="24"/>
          <w:highlight w:val="none"/>
        </w:rPr>
      </w:pPr>
      <w:bookmarkStart w:id="397" w:name="_Toc150774738"/>
      <w:bookmarkStart w:id="398" w:name="_Toc151193775"/>
      <w:bookmarkStart w:id="399" w:name="_Toc195842898"/>
      <w:bookmarkStart w:id="400" w:name="_Toc150480771"/>
      <w:bookmarkStart w:id="401" w:name="_Toc264969223"/>
      <w:bookmarkStart w:id="402" w:name="_Toc151193921"/>
      <w:bookmarkStart w:id="403" w:name="_Toc127151533"/>
      <w:bookmarkStart w:id="404" w:name="_Toc151190160"/>
      <w:bookmarkStart w:id="405" w:name="_Toc151193847"/>
      <w:bookmarkStart w:id="406" w:name="_Toc164608647"/>
      <w:bookmarkStart w:id="407" w:name="_Toc226309777"/>
      <w:bookmarkStart w:id="408" w:name="_Toc164229374"/>
      <w:bookmarkStart w:id="409" w:name="_Toc127161447"/>
      <w:bookmarkStart w:id="410" w:name="_Toc226337229"/>
      <w:bookmarkStart w:id="411" w:name="_Toc164229228"/>
      <w:bookmarkStart w:id="412" w:name="_Toc164608802"/>
      <w:bookmarkStart w:id="413" w:name="_Toc305158875"/>
      <w:bookmarkStart w:id="414" w:name="_Toc305158801"/>
      <w:bookmarkStart w:id="415" w:name="_Toc226965806"/>
      <w:bookmarkStart w:id="416" w:name="_Toc150509284"/>
      <w:bookmarkStart w:id="417" w:name="_Toc151193703"/>
      <w:bookmarkStart w:id="418" w:name="_Toc149720826"/>
      <w:bookmarkStart w:id="419" w:name="_Toc164351627"/>
      <w:bookmarkStart w:id="420" w:name="_Toc265228371"/>
      <w:bookmarkStart w:id="421" w:name="_Toc151193631"/>
      <w:bookmarkStart w:id="422" w:name="_Toc142311035"/>
      <w:bookmarkStart w:id="423" w:name="_Toc520356158"/>
      <w:bookmarkStart w:id="424" w:name="_Toc150774633"/>
      <w:bookmarkStart w:id="425" w:name="_Toc127151734"/>
      <w:bookmarkStart w:id="426" w:name="_Toc226965723"/>
      <w:r>
        <w:rPr>
          <w:color w:val="auto"/>
          <w:sz w:val="24"/>
          <w:highlight w:val="none"/>
        </w:rPr>
        <w:t>投标文件的签署</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color w:val="auto"/>
          <w:sz w:val="24"/>
          <w:highlight w:val="none"/>
        </w:rPr>
        <w:t>、盖章</w:t>
      </w:r>
    </w:p>
    <w:p w14:paraId="03DB7FE6">
      <w:pPr>
        <w:numPr>
          <w:ilvl w:val="1"/>
          <w:numId w:val="8"/>
        </w:numPr>
        <w:tabs>
          <w:tab w:val="left" w:pos="1080"/>
          <w:tab w:val="left" w:pos="2014"/>
        </w:tabs>
        <w:snapToGrid w:val="0"/>
        <w:spacing w:line="360" w:lineRule="auto"/>
        <w:ind w:left="1077" w:hanging="720"/>
        <w:rPr>
          <w:color w:val="auto"/>
          <w:sz w:val="24"/>
          <w:highlight w:val="none"/>
        </w:rPr>
      </w:pPr>
      <w:bookmarkStart w:id="427" w:name="_Toc305158876"/>
      <w:bookmarkStart w:id="428" w:name="_Toc150774634"/>
      <w:bookmarkStart w:id="429" w:name="_Toc264969224"/>
      <w:bookmarkStart w:id="430" w:name="_Toc195842899"/>
      <w:bookmarkStart w:id="431" w:name="_Toc151190161"/>
      <w:bookmarkStart w:id="432" w:name="_Toc150480772"/>
      <w:bookmarkStart w:id="433" w:name="_Toc151193632"/>
      <w:bookmarkStart w:id="434" w:name="_Toc150774739"/>
      <w:bookmarkStart w:id="435" w:name="_Toc226965807"/>
      <w:bookmarkStart w:id="436" w:name="_Toc151193848"/>
      <w:bookmarkStart w:id="437" w:name="_Toc226309778"/>
      <w:bookmarkStart w:id="438" w:name="_Toc226337230"/>
      <w:bookmarkStart w:id="439" w:name="_Toc151193776"/>
      <w:bookmarkStart w:id="440" w:name="_Toc265228372"/>
      <w:bookmarkStart w:id="441" w:name="_Toc151193704"/>
      <w:bookmarkStart w:id="442" w:name="_Toc151193922"/>
      <w:bookmarkStart w:id="443" w:name="_Toc305158802"/>
      <w:bookmarkStart w:id="444" w:name="_Toc226965724"/>
      <w:bookmarkStart w:id="445" w:name="_Toc150509285"/>
      <w:bookmarkStart w:id="446" w:name="_Toc142311036"/>
      <w:bookmarkStart w:id="447" w:name="_Toc127151534"/>
      <w:bookmarkStart w:id="448" w:name="_Toc520356159"/>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6559E6F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4F1924CD">
      <w:pPr>
        <w:tabs>
          <w:tab w:val="left" w:pos="900"/>
          <w:tab w:val="left" w:pos="1080"/>
        </w:tabs>
        <w:snapToGrid w:val="0"/>
        <w:spacing w:line="360" w:lineRule="auto"/>
        <w:ind w:left="357"/>
        <w:rPr>
          <w:color w:val="auto"/>
          <w:highlight w:val="none"/>
        </w:rPr>
      </w:pPr>
    </w:p>
    <w:p w14:paraId="1ED474C7">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3EF36CB4">
      <w:pPr>
        <w:numPr>
          <w:ilvl w:val="0"/>
          <w:numId w:val="8"/>
        </w:numPr>
        <w:tabs>
          <w:tab w:val="left" w:pos="360"/>
        </w:tabs>
        <w:snapToGrid w:val="0"/>
        <w:spacing w:line="360" w:lineRule="auto"/>
        <w:ind w:left="357" w:hanging="357"/>
        <w:outlineLvl w:val="1"/>
        <w:rPr>
          <w:color w:val="auto"/>
          <w:sz w:val="24"/>
          <w:highlight w:val="none"/>
        </w:rPr>
      </w:pPr>
      <w:bookmarkStart w:id="449" w:name="_Toc265228373"/>
      <w:bookmarkStart w:id="450" w:name="_Toc151193633"/>
      <w:bookmarkStart w:id="451" w:name="_Toc164351629"/>
      <w:bookmarkStart w:id="452" w:name="_Toc264969225"/>
      <w:bookmarkStart w:id="453" w:name="_Toc127151535"/>
      <w:bookmarkStart w:id="454" w:name="_Toc127151736"/>
      <w:bookmarkStart w:id="455" w:name="_Toc127161449"/>
      <w:bookmarkStart w:id="456" w:name="_Toc151193705"/>
      <w:bookmarkStart w:id="457" w:name="_Toc150480773"/>
      <w:bookmarkStart w:id="458" w:name="_Toc164608804"/>
      <w:bookmarkStart w:id="459" w:name="_Toc151193777"/>
      <w:bookmarkStart w:id="460" w:name="_Toc164608649"/>
      <w:bookmarkStart w:id="461" w:name="_Toc520356160"/>
      <w:bookmarkStart w:id="462" w:name="_Toc305158803"/>
      <w:bookmarkStart w:id="463" w:name="_Toc151193849"/>
      <w:bookmarkStart w:id="464" w:name="_Toc226309779"/>
      <w:bookmarkStart w:id="465" w:name="_Toc195842900"/>
      <w:bookmarkStart w:id="466" w:name="_Toc226965808"/>
      <w:bookmarkStart w:id="467" w:name="_Toc305158877"/>
      <w:bookmarkStart w:id="468" w:name="_Toc150774635"/>
      <w:bookmarkStart w:id="469" w:name="_Toc150774740"/>
      <w:bookmarkStart w:id="470" w:name="_Toc150509286"/>
      <w:bookmarkStart w:id="471" w:name="_Toc151190162"/>
      <w:bookmarkStart w:id="472" w:name="_Toc164229230"/>
      <w:bookmarkStart w:id="473" w:name="_Toc164229376"/>
      <w:bookmarkStart w:id="474" w:name="_Toc226337231"/>
      <w:bookmarkStart w:id="475" w:name="_Toc149720828"/>
      <w:bookmarkStart w:id="476" w:name="_Toc142311037"/>
      <w:bookmarkStart w:id="477" w:name="_Toc151193923"/>
      <w:bookmarkStart w:id="478" w:name="_Toc226965725"/>
      <w:r>
        <w:rPr>
          <w:color w:val="auto"/>
          <w:sz w:val="24"/>
          <w:highlight w:val="none"/>
        </w:rPr>
        <w:t>投标文件的</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color w:val="auto"/>
          <w:sz w:val="24"/>
          <w:highlight w:val="none"/>
        </w:rPr>
        <w:t>提交</w:t>
      </w:r>
    </w:p>
    <w:p w14:paraId="72187F01">
      <w:pPr>
        <w:numPr>
          <w:ilvl w:val="1"/>
          <w:numId w:val="8"/>
        </w:numPr>
        <w:tabs>
          <w:tab w:val="left" w:pos="1080"/>
          <w:tab w:val="left" w:pos="2014"/>
        </w:tabs>
        <w:snapToGrid w:val="0"/>
        <w:spacing w:line="360" w:lineRule="auto"/>
        <w:ind w:left="1077" w:hanging="720"/>
        <w:rPr>
          <w:color w:val="auto"/>
          <w:sz w:val="24"/>
          <w:highlight w:val="none"/>
        </w:rPr>
      </w:pPr>
      <w:bookmarkStart w:id="479" w:name="OLE_LINK97"/>
      <w:bookmarkStart w:id="480" w:name="OLE_LINK98"/>
      <w:r>
        <w:rPr>
          <w:rFonts w:hint="eastAsia"/>
          <w:color w:val="auto"/>
          <w:sz w:val="24"/>
          <w:highlight w:val="none"/>
        </w:rPr>
        <w:t>详见</w:t>
      </w:r>
      <w:r>
        <w:rPr>
          <w:color w:val="auto"/>
          <w:sz w:val="24"/>
          <w:highlight w:val="none"/>
        </w:rPr>
        <w:t>投标邀请</w:t>
      </w:r>
      <w:bookmarkEnd w:id="479"/>
      <w:bookmarkEnd w:id="480"/>
      <w:r>
        <w:rPr>
          <w:color w:val="auto"/>
          <w:sz w:val="24"/>
          <w:highlight w:val="none"/>
        </w:rPr>
        <w:t>。</w:t>
      </w:r>
    </w:p>
    <w:p w14:paraId="048468CC">
      <w:pPr>
        <w:numPr>
          <w:ilvl w:val="0"/>
          <w:numId w:val="8"/>
        </w:numPr>
        <w:tabs>
          <w:tab w:val="left" w:pos="360"/>
        </w:tabs>
        <w:snapToGrid w:val="0"/>
        <w:spacing w:line="360" w:lineRule="auto"/>
        <w:ind w:left="357" w:hanging="357"/>
        <w:outlineLvl w:val="1"/>
        <w:rPr>
          <w:color w:val="auto"/>
          <w:sz w:val="24"/>
          <w:highlight w:val="none"/>
        </w:rPr>
      </w:pPr>
      <w:bookmarkStart w:id="481" w:name="_Toc151190163"/>
      <w:bookmarkStart w:id="482" w:name="_Toc164608805"/>
      <w:bookmarkStart w:id="483" w:name="_Toc127151536"/>
      <w:bookmarkStart w:id="484" w:name="_Toc150774741"/>
      <w:bookmarkStart w:id="485" w:name="_Toc195842901"/>
      <w:bookmarkStart w:id="486" w:name="_Toc520356161"/>
      <w:bookmarkStart w:id="487" w:name="_Toc151193850"/>
      <w:bookmarkStart w:id="488" w:name="_Toc151193706"/>
      <w:bookmarkStart w:id="489" w:name="_Toc305158804"/>
      <w:bookmarkStart w:id="490" w:name="_Toc127161450"/>
      <w:bookmarkStart w:id="491" w:name="_Toc164608650"/>
      <w:bookmarkStart w:id="492" w:name="_Toc142311038"/>
      <w:bookmarkStart w:id="493" w:name="_Toc149720829"/>
      <w:bookmarkStart w:id="494" w:name="_Toc164351630"/>
      <w:bookmarkStart w:id="495" w:name="_Toc226965726"/>
      <w:bookmarkStart w:id="496" w:name="_Toc151193778"/>
      <w:bookmarkStart w:id="497" w:name="_Toc226309780"/>
      <w:bookmarkStart w:id="498" w:name="_Toc151193634"/>
      <w:bookmarkStart w:id="499" w:name="_Toc164229231"/>
      <w:bookmarkStart w:id="500" w:name="_Toc127151737"/>
      <w:bookmarkStart w:id="501" w:name="_Toc164229377"/>
      <w:bookmarkStart w:id="502" w:name="_Toc305158878"/>
      <w:bookmarkStart w:id="503" w:name="_Toc150480774"/>
      <w:bookmarkStart w:id="504" w:name="_Toc151193924"/>
      <w:bookmarkStart w:id="505" w:name="_Toc150774636"/>
      <w:bookmarkStart w:id="506" w:name="_Toc264969226"/>
      <w:bookmarkStart w:id="507" w:name="_Toc150509287"/>
      <w:bookmarkStart w:id="508" w:name="_Toc226965809"/>
      <w:bookmarkStart w:id="509" w:name="_Toc265228374"/>
      <w:bookmarkStart w:id="510" w:name="_Toc226337232"/>
      <w:r>
        <w:rPr>
          <w:color w:val="auto"/>
          <w:sz w:val="24"/>
          <w:highlight w:val="none"/>
        </w:rPr>
        <w:t>投标截止</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color w:val="auto"/>
          <w:sz w:val="24"/>
          <w:highlight w:val="none"/>
        </w:rPr>
        <w:t>时间</w:t>
      </w:r>
    </w:p>
    <w:p w14:paraId="761FF1A4">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详见</w:t>
      </w:r>
      <w:r>
        <w:rPr>
          <w:color w:val="auto"/>
          <w:sz w:val="24"/>
          <w:highlight w:val="none"/>
        </w:rPr>
        <w:t>投标邀请。</w:t>
      </w:r>
    </w:p>
    <w:p w14:paraId="4FE48012">
      <w:pPr>
        <w:numPr>
          <w:ilvl w:val="0"/>
          <w:numId w:val="8"/>
        </w:numPr>
        <w:tabs>
          <w:tab w:val="left" w:pos="360"/>
        </w:tabs>
        <w:snapToGrid w:val="0"/>
        <w:spacing w:line="360" w:lineRule="auto"/>
        <w:ind w:left="357" w:hanging="357"/>
        <w:outlineLvl w:val="1"/>
        <w:rPr>
          <w:color w:val="auto"/>
          <w:sz w:val="24"/>
          <w:highlight w:val="none"/>
        </w:rPr>
      </w:pPr>
      <w:bookmarkStart w:id="511" w:name="_Toc127151738"/>
      <w:bookmarkStart w:id="512" w:name="_Toc127151537"/>
      <w:bookmarkStart w:id="513" w:name="_Toc151193851"/>
      <w:bookmarkStart w:id="514" w:name="_Toc226309781"/>
      <w:bookmarkStart w:id="515" w:name="_Toc164608806"/>
      <w:bookmarkStart w:id="516" w:name="_Toc164229232"/>
      <w:bookmarkStart w:id="517" w:name="_Toc195842902"/>
      <w:bookmarkStart w:id="518" w:name="_Toc127161451"/>
      <w:bookmarkStart w:id="519" w:name="_Toc151190164"/>
      <w:bookmarkStart w:id="520" w:name="_Toc150480775"/>
      <w:bookmarkStart w:id="521" w:name="_Toc164229378"/>
      <w:bookmarkStart w:id="522" w:name="_Toc151193779"/>
      <w:bookmarkStart w:id="523" w:name="_Toc164351631"/>
      <w:bookmarkStart w:id="524" w:name="_Toc142311039"/>
      <w:bookmarkStart w:id="525" w:name="_Toc149720830"/>
      <w:bookmarkStart w:id="526" w:name="_Toc264969227"/>
      <w:bookmarkStart w:id="527" w:name="_Toc305158805"/>
      <w:bookmarkStart w:id="528" w:name="_Toc150774742"/>
      <w:bookmarkStart w:id="529" w:name="_Toc151193925"/>
      <w:bookmarkStart w:id="530" w:name="_Toc150509288"/>
      <w:bookmarkStart w:id="531" w:name="_Toc226965810"/>
      <w:bookmarkStart w:id="532" w:name="_Toc151193707"/>
      <w:bookmarkStart w:id="533" w:name="_Toc226965727"/>
      <w:bookmarkStart w:id="534" w:name="_Toc151193635"/>
      <w:bookmarkStart w:id="535" w:name="_Toc226337233"/>
      <w:bookmarkStart w:id="536" w:name="_Toc305158879"/>
      <w:bookmarkStart w:id="537" w:name="_Toc520356162"/>
      <w:bookmarkStart w:id="538" w:name="_Toc164608651"/>
      <w:bookmarkStart w:id="539" w:name="_Toc265228375"/>
      <w:bookmarkStart w:id="540" w:name="_Toc150774637"/>
      <w:r>
        <w:rPr>
          <w:color w:val="auto"/>
          <w:sz w:val="24"/>
          <w:highlight w:val="none"/>
        </w:rPr>
        <w:t>投标文件的修改与撤回</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28CCD53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w:t>
      </w:r>
      <w:r>
        <w:rPr>
          <w:rFonts w:hint="eastAsia" w:ascii="宋体" w:hAnsi="宋体" w:cs="宋体"/>
          <w:color w:val="auto"/>
          <w:spacing w:val="8"/>
          <w:sz w:val="24"/>
          <w:highlight w:val="none"/>
        </w:rPr>
        <w:t>投标人可以修改或撤回已递交的投标文件，但应以书面形式通知采购人。</w:t>
      </w:r>
    </w:p>
    <w:p w14:paraId="367B3F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4E1E3FF7">
      <w:pPr>
        <w:spacing w:line="360" w:lineRule="auto"/>
        <w:rPr>
          <w:color w:val="auto"/>
          <w:sz w:val="24"/>
          <w:highlight w:val="none"/>
        </w:rPr>
      </w:pPr>
    </w:p>
    <w:p w14:paraId="4B0EEE93">
      <w:pPr>
        <w:pStyle w:val="3"/>
        <w:spacing w:before="0" w:line="360" w:lineRule="auto"/>
        <w:rPr>
          <w:rFonts w:ascii="Times New Roman" w:hAnsi="Times New Roman" w:eastAsia="宋体"/>
          <w:color w:val="auto"/>
          <w:sz w:val="28"/>
          <w:highlight w:val="none"/>
        </w:rPr>
      </w:pPr>
      <w:bookmarkStart w:id="541" w:name="_Toc265228376"/>
      <w:bookmarkStart w:id="542" w:name="_Toc142311040"/>
      <w:bookmarkStart w:id="543" w:name="_Toc226965811"/>
      <w:bookmarkStart w:id="544" w:name="_Toc520356163"/>
      <w:bookmarkStart w:id="545" w:name="_Toc151193708"/>
      <w:bookmarkStart w:id="546" w:name="_Toc195842903"/>
      <w:bookmarkStart w:id="547" w:name="_Toc305158880"/>
      <w:bookmarkStart w:id="548" w:name="_Toc151193852"/>
      <w:bookmarkStart w:id="549" w:name="_Toc150774638"/>
      <w:bookmarkStart w:id="550" w:name="_Toc226965728"/>
      <w:bookmarkStart w:id="551" w:name="_Toc150509289"/>
      <w:bookmarkStart w:id="552" w:name="_Toc305158806"/>
      <w:bookmarkStart w:id="553" w:name="_Toc150480776"/>
      <w:bookmarkStart w:id="554" w:name="_Toc151190165"/>
      <w:bookmarkStart w:id="555" w:name="_Toc151193926"/>
      <w:bookmarkStart w:id="556" w:name="_Toc226337234"/>
      <w:bookmarkStart w:id="557" w:name="_Toc151193780"/>
      <w:bookmarkStart w:id="558" w:name="_Toc264969228"/>
      <w:bookmarkStart w:id="559" w:name="_Toc226309782"/>
      <w:bookmarkStart w:id="560" w:name="_Toc127151538"/>
      <w:bookmarkStart w:id="561" w:name="_Toc150774743"/>
      <w:bookmarkStart w:id="562" w:name="_Toc151193636"/>
      <w:r>
        <w:rPr>
          <w:rFonts w:ascii="Times New Roman" w:hAnsi="Times New Roman" w:eastAsia="宋体"/>
          <w:color w:val="auto"/>
          <w:sz w:val="28"/>
          <w:highlight w:val="none"/>
        </w:rPr>
        <w:t>五   开标、资格审查及评标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617DAFA9">
      <w:pPr>
        <w:numPr>
          <w:ilvl w:val="0"/>
          <w:numId w:val="8"/>
        </w:numPr>
        <w:tabs>
          <w:tab w:val="left" w:pos="360"/>
        </w:tabs>
        <w:snapToGrid w:val="0"/>
        <w:spacing w:line="360" w:lineRule="auto"/>
        <w:ind w:left="357" w:hanging="357"/>
        <w:outlineLvl w:val="1"/>
        <w:rPr>
          <w:color w:val="auto"/>
          <w:sz w:val="24"/>
          <w:highlight w:val="none"/>
        </w:rPr>
      </w:pPr>
      <w:bookmarkStart w:id="563" w:name="_Toc151193927"/>
      <w:bookmarkStart w:id="564" w:name="_Toc150480777"/>
      <w:bookmarkStart w:id="565" w:name="_Toc149720832"/>
      <w:bookmarkStart w:id="566" w:name="_Toc150774744"/>
      <w:bookmarkStart w:id="567" w:name="_Toc520356164"/>
      <w:bookmarkStart w:id="568" w:name="_Toc164351633"/>
      <w:bookmarkStart w:id="569" w:name="_Toc264969229"/>
      <w:bookmarkStart w:id="570" w:name="_Toc127151539"/>
      <w:bookmarkStart w:id="571" w:name="_Toc265228377"/>
      <w:bookmarkStart w:id="572" w:name="_Toc226337235"/>
      <w:bookmarkStart w:id="573" w:name="_Toc151193637"/>
      <w:bookmarkStart w:id="574" w:name="_Toc150509290"/>
      <w:bookmarkStart w:id="575" w:name="_Toc226309783"/>
      <w:bookmarkStart w:id="576" w:name="_Toc305158881"/>
      <w:bookmarkStart w:id="577" w:name="_Toc164229234"/>
      <w:bookmarkStart w:id="578" w:name="_Toc164229380"/>
      <w:bookmarkStart w:id="579" w:name="_Toc151193709"/>
      <w:bookmarkStart w:id="580" w:name="_Toc127151740"/>
      <w:bookmarkStart w:id="581" w:name="_Toc127161453"/>
      <w:bookmarkStart w:id="582" w:name="_Toc164608808"/>
      <w:bookmarkStart w:id="583" w:name="_Toc151190166"/>
      <w:bookmarkStart w:id="584" w:name="_Toc151193781"/>
      <w:bookmarkStart w:id="585" w:name="_Toc142311041"/>
      <w:bookmarkStart w:id="586" w:name="_Toc305158807"/>
      <w:bookmarkStart w:id="587" w:name="_Toc151193853"/>
      <w:bookmarkStart w:id="588" w:name="_Toc164608653"/>
      <w:bookmarkStart w:id="589" w:name="_Toc226965812"/>
      <w:bookmarkStart w:id="590" w:name="_Toc226965729"/>
      <w:bookmarkStart w:id="591" w:name="_Toc195842904"/>
      <w:bookmarkStart w:id="592" w:name="_Toc150774639"/>
      <w:r>
        <w:rPr>
          <w:color w:val="auto"/>
          <w:sz w:val="24"/>
          <w:highlight w:val="none"/>
        </w:rPr>
        <w:t>开标</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1FEA9A4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74D09199">
      <w:pPr>
        <w:numPr>
          <w:ilvl w:val="1"/>
          <w:numId w:val="8"/>
        </w:numPr>
        <w:tabs>
          <w:tab w:val="left" w:pos="1080"/>
          <w:tab w:val="left" w:pos="2014"/>
        </w:tabs>
        <w:snapToGrid w:val="0"/>
        <w:spacing w:line="360" w:lineRule="auto"/>
        <w:ind w:left="1077" w:hanging="720"/>
        <w:rPr>
          <w:color w:val="auto"/>
          <w:sz w:val="24"/>
          <w:highlight w:val="none"/>
        </w:rPr>
      </w:pPr>
      <w:r>
        <w:rPr>
          <w:rFonts w:hint="eastAsia" w:ascii="宋体" w:hAnsi="宋体" w:cs="宋体"/>
          <w:color w:val="auto"/>
          <w:spacing w:val="8"/>
          <w:sz w:val="24"/>
          <w:highlight w:val="none"/>
        </w:rPr>
        <w:t>开标时，应当由投标人或者其推选的代表检查投标文件的密封情况；经确认无误后，由采购人或者采购代理机构工作人员当众拆封，宣布投标人名称、投标价格和招标文件规定的需要宣布的其他内容。</w:t>
      </w:r>
    </w:p>
    <w:p w14:paraId="79BBF7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开标过程将宣布投标人名称、投标价格和招标文件规定的需要宣布的其他内容并进行记录，并由参加开标的各投标人确认</w:t>
      </w:r>
      <w:bookmarkStart w:id="593" w:name="_Toc520356165"/>
      <w:r>
        <w:rPr>
          <w:color w:val="auto"/>
          <w:sz w:val="24"/>
          <w:highlight w:val="none"/>
        </w:rPr>
        <w:t>。</w:t>
      </w:r>
      <w:bookmarkStart w:id="594" w:name="_Hlk143533942"/>
      <w:r>
        <w:rPr>
          <w:color w:val="auto"/>
          <w:sz w:val="24"/>
          <w:highlight w:val="none"/>
        </w:rPr>
        <w:t>投标人未在规定时间内提出疑义或确认一览表的，视同认可开标结果。</w:t>
      </w:r>
      <w:bookmarkEnd w:id="594"/>
    </w:p>
    <w:p w14:paraId="27F4002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7EB506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2C00CFDF">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38055C4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93"/>
    <w:p w14:paraId="6AD30F38">
      <w:pPr>
        <w:numPr>
          <w:ilvl w:val="0"/>
          <w:numId w:val="8"/>
        </w:numPr>
        <w:tabs>
          <w:tab w:val="left" w:pos="360"/>
        </w:tabs>
        <w:snapToGrid w:val="0"/>
        <w:spacing w:line="360" w:lineRule="auto"/>
        <w:ind w:left="357" w:hanging="357"/>
        <w:outlineLvl w:val="1"/>
        <w:rPr>
          <w:color w:val="auto"/>
          <w:sz w:val="24"/>
          <w:highlight w:val="none"/>
        </w:rPr>
      </w:pPr>
      <w:bookmarkStart w:id="595" w:name="_Toc150774640"/>
      <w:bookmarkStart w:id="596" w:name="_Toc226965813"/>
      <w:bookmarkStart w:id="597" w:name="_Toc151193710"/>
      <w:bookmarkStart w:id="598" w:name="_Toc164351634"/>
      <w:bookmarkStart w:id="599" w:name="_Toc195842905"/>
      <w:bookmarkStart w:id="600" w:name="_Toc150509291"/>
      <w:bookmarkStart w:id="601" w:name="_Toc164608654"/>
      <w:bookmarkStart w:id="602" w:name="_Toc226965730"/>
      <w:bookmarkStart w:id="603" w:name="_Toc151190167"/>
      <w:bookmarkStart w:id="604" w:name="_Toc226309784"/>
      <w:bookmarkStart w:id="605" w:name="_Toc226337236"/>
      <w:bookmarkStart w:id="606" w:name="_Toc150480778"/>
      <w:bookmarkStart w:id="607" w:name="_Toc264969230"/>
      <w:bookmarkStart w:id="608" w:name="_Toc164229381"/>
      <w:bookmarkStart w:id="609" w:name="_Toc127151741"/>
      <w:bookmarkStart w:id="610" w:name="_Toc151193854"/>
      <w:bookmarkStart w:id="611" w:name="_Toc164229235"/>
      <w:bookmarkStart w:id="612" w:name="_Toc127151540"/>
      <w:bookmarkStart w:id="613" w:name="_Toc150774745"/>
      <w:bookmarkStart w:id="614" w:name="_Toc142311042"/>
      <w:bookmarkStart w:id="615" w:name="_Toc151193782"/>
      <w:bookmarkStart w:id="616" w:name="_Toc127161454"/>
      <w:bookmarkStart w:id="617" w:name="_Toc149720833"/>
      <w:bookmarkStart w:id="618" w:name="_Toc305158808"/>
      <w:bookmarkStart w:id="619" w:name="_Toc305158882"/>
      <w:bookmarkStart w:id="620" w:name="_Toc151193638"/>
      <w:bookmarkStart w:id="621" w:name="_Toc265228378"/>
      <w:bookmarkStart w:id="622" w:name="_Toc151193928"/>
      <w:bookmarkStart w:id="623" w:name="_Toc164608809"/>
      <w:r>
        <w:rPr>
          <w:color w:val="auto"/>
          <w:sz w:val="24"/>
          <w:highlight w:val="none"/>
        </w:rPr>
        <w:t>评标委员会</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7A9E57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24" w:name="_Toc520356166"/>
    </w:p>
    <w:p w14:paraId="1F2D468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24"/>
      <w:bookmarkStart w:id="625" w:name="_Toc520356169"/>
    </w:p>
    <w:p w14:paraId="510590A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0085B1E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380BBECF">
      <w:pPr>
        <w:tabs>
          <w:tab w:val="left" w:pos="360"/>
          <w:tab w:val="left" w:pos="1080"/>
        </w:tabs>
        <w:snapToGrid w:val="0"/>
        <w:spacing w:line="360" w:lineRule="auto"/>
        <w:ind w:left="1080"/>
        <w:rPr>
          <w:color w:val="auto"/>
          <w:sz w:val="24"/>
          <w:highlight w:val="none"/>
        </w:rPr>
      </w:pPr>
    </w:p>
    <w:p w14:paraId="6C2D2342">
      <w:pPr>
        <w:pStyle w:val="3"/>
        <w:spacing w:before="0" w:line="360" w:lineRule="auto"/>
        <w:rPr>
          <w:rFonts w:ascii="Times New Roman" w:hAnsi="Times New Roman" w:eastAsia="宋体"/>
          <w:color w:val="auto"/>
          <w:sz w:val="28"/>
          <w:highlight w:val="none"/>
        </w:rPr>
      </w:pPr>
      <w:bookmarkStart w:id="626" w:name="_Toc151193859"/>
      <w:bookmarkStart w:id="627" w:name="_Toc150480783"/>
      <w:bookmarkStart w:id="628" w:name="_Toc226337241"/>
      <w:bookmarkStart w:id="629" w:name="_Toc264969235"/>
      <w:bookmarkStart w:id="630" w:name="_Toc151193715"/>
      <w:bookmarkStart w:id="631" w:name="_Toc151193643"/>
      <w:bookmarkStart w:id="632" w:name="_Toc265228383"/>
      <w:bookmarkStart w:id="633" w:name="_Toc150774645"/>
      <w:bookmarkStart w:id="634" w:name="_Toc305158813"/>
      <w:bookmarkStart w:id="635" w:name="_Toc226965735"/>
      <w:bookmarkStart w:id="636" w:name="_Toc226965818"/>
      <w:bookmarkStart w:id="637" w:name="_Toc151193787"/>
      <w:bookmarkStart w:id="638" w:name="_Toc150509296"/>
      <w:bookmarkStart w:id="639" w:name="_Toc142311047"/>
      <w:bookmarkStart w:id="640" w:name="_Toc195842910"/>
      <w:bookmarkStart w:id="641" w:name="_Toc305158887"/>
      <w:bookmarkStart w:id="642" w:name="_Toc150774750"/>
      <w:bookmarkStart w:id="643" w:name="_Toc226309789"/>
      <w:bookmarkStart w:id="644" w:name="_Toc151193933"/>
      <w:bookmarkStart w:id="645" w:name="_Toc151190172"/>
      <w:bookmarkStart w:id="646" w:name="_Toc127151545"/>
      <w:r>
        <w:rPr>
          <w:rFonts w:ascii="Times New Roman" w:hAnsi="Times New Roman" w:eastAsia="宋体"/>
          <w:color w:val="auto"/>
          <w:sz w:val="28"/>
          <w:highlight w:val="none"/>
        </w:rPr>
        <w:t xml:space="preserve">六   </w:t>
      </w:r>
      <w:bookmarkEnd w:id="625"/>
      <w:r>
        <w:rPr>
          <w:rFonts w:ascii="Times New Roman" w:hAnsi="Times New Roman" w:eastAsia="宋体"/>
          <w:color w:val="auto"/>
          <w:sz w:val="28"/>
          <w:highlight w:val="none"/>
        </w:rPr>
        <w:t>确定中标</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Start w:id="647" w:name="_Toc226965820"/>
      <w:bookmarkStart w:id="648" w:name="_Toc150509298"/>
      <w:bookmarkStart w:id="649" w:name="_Toc195842912"/>
      <w:bookmarkStart w:id="650" w:name="_Toc164608661"/>
      <w:bookmarkStart w:id="651" w:name="_Toc151193789"/>
      <w:bookmarkStart w:id="652" w:name="_Toc305158889"/>
      <w:bookmarkStart w:id="653" w:name="_Toc164351641"/>
      <w:bookmarkStart w:id="654" w:name="_Toc150480785"/>
      <w:bookmarkStart w:id="655" w:name="_Toc127151748"/>
      <w:bookmarkStart w:id="656" w:name="_Toc264969237"/>
      <w:bookmarkStart w:id="657" w:name="_Toc151193935"/>
      <w:bookmarkStart w:id="658" w:name="_Toc150774647"/>
      <w:bookmarkStart w:id="659" w:name="_Toc164608816"/>
      <w:bookmarkStart w:id="660" w:name="_Toc164229242"/>
      <w:bookmarkStart w:id="661" w:name="_Toc127151547"/>
      <w:bookmarkStart w:id="662" w:name="_Toc226965737"/>
      <w:bookmarkStart w:id="663" w:name="_Toc151193645"/>
      <w:bookmarkStart w:id="664" w:name="_Toc226309791"/>
      <w:bookmarkStart w:id="665" w:name="_Toc127161461"/>
      <w:bookmarkStart w:id="666" w:name="_Toc305158815"/>
      <w:bookmarkStart w:id="667" w:name="_Toc265228385"/>
      <w:bookmarkStart w:id="668" w:name="_Toc142311049"/>
      <w:bookmarkStart w:id="669" w:name="_Toc151193861"/>
      <w:bookmarkStart w:id="670" w:name="_Toc164229388"/>
      <w:bookmarkStart w:id="671" w:name="_Toc150774752"/>
      <w:bookmarkStart w:id="672" w:name="_Toc151190174"/>
      <w:bookmarkStart w:id="673" w:name="_Toc151193717"/>
      <w:bookmarkStart w:id="674" w:name="_Toc149720840"/>
      <w:bookmarkStart w:id="675" w:name="_Toc226337243"/>
    </w:p>
    <w:p w14:paraId="170F504A">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65B23BC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1BCD507B">
      <w:pPr>
        <w:numPr>
          <w:ilvl w:val="0"/>
          <w:numId w:val="8"/>
        </w:numPr>
        <w:tabs>
          <w:tab w:val="left" w:pos="360"/>
        </w:tabs>
        <w:snapToGrid w:val="0"/>
        <w:spacing w:line="360" w:lineRule="auto"/>
        <w:ind w:left="357" w:hanging="357"/>
        <w:outlineLvl w:val="1"/>
        <w:rPr>
          <w:color w:val="auto"/>
          <w:sz w:val="24"/>
          <w:highlight w:val="none"/>
        </w:rPr>
      </w:pPr>
      <w:bookmarkStart w:id="676" w:name="_Toc305158817"/>
      <w:bookmarkStart w:id="677" w:name="_Toc305158891"/>
      <w:bookmarkStart w:id="678" w:name="_Toc150480787"/>
      <w:bookmarkStart w:id="679" w:name="_Toc164229390"/>
      <w:bookmarkStart w:id="680" w:name="_Toc127151750"/>
      <w:bookmarkStart w:id="681" w:name="_Toc265228387"/>
      <w:bookmarkStart w:id="682" w:name="_Toc150509300"/>
      <w:bookmarkStart w:id="683" w:name="_Toc149720842"/>
      <w:bookmarkStart w:id="684" w:name="_Toc226965822"/>
      <w:bookmarkStart w:id="685" w:name="_Toc164351643"/>
      <w:bookmarkStart w:id="686" w:name="_Toc151190176"/>
      <w:bookmarkStart w:id="687" w:name="_Toc127161463"/>
      <w:bookmarkStart w:id="688" w:name="_Toc226965739"/>
      <w:bookmarkStart w:id="689" w:name="_Toc150774754"/>
      <w:bookmarkStart w:id="690" w:name="_Toc164608818"/>
      <w:bookmarkStart w:id="691" w:name="_Toc226337245"/>
      <w:bookmarkStart w:id="692" w:name="_Toc264969239"/>
      <w:bookmarkStart w:id="693" w:name="_Toc150774649"/>
      <w:bookmarkStart w:id="694" w:name="_Toc151193719"/>
      <w:bookmarkStart w:id="695" w:name="_Toc164608663"/>
      <w:bookmarkStart w:id="696" w:name="_Toc151193863"/>
      <w:bookmarkStart w:id="697" w:name="_Toc195842914"/>
      <w:bookmarkStart w:id="698" w:name="_Toc142311051"/>
      <w:bookmarkStart w:id="699" w:name="_Toc226309793"/>
      <w:bookmarkStart w:id="700" w:name="_Toc151193937"/>
      <w:bookmarkStart w:id="701" w:name="_Toc151193647"/>
      <w:bookmarkStart w:id="702" w:name="_Toc127151549"/>
      <w:bookmarkStart w:id="703" w:name="_Toc151193791"/>
      <w:bookmarkStart w:id="704" w:name="_Toc164229244"/>
      <w:bookmarkStart w:id="705" w:name="_Ref467307090"/>
      <w:bookmarkStart w:id="706" w:name="_Ref467306425"/>
      <w:bookmarkStart w:id="707" w:name="_Toc520356176"/>
      <w:r>
        <w:rPr>
          <w:color w:val="auto"/>
          <w:sz w:val="24"/>
          <w:highlight w:val="none"/>
        </w:rPr>
        <w:t>中标公告与中标通知书</w:t>
      </w:r>
      <w:bookmarkEnd w:id="676"/>
      <w:bookmarkEnd w:id="677"/>
    </w:p>
    <w:p w14:paraId="5044594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w:t>
      </w:r>
      <w:r>
        <w:rPr>
          <w:rFonts w:hint="eastAsia"/>
          <w:color w:val="auto"/>
          <w:kern w:val="0"/>
          <w:sz w:val="24"/>
          <w:highlight w:val="none"/>
          <w:lang w:val="en-US" w:eastAsia="zh-CN"/>
        </w:rPr>
        <w:t>中国</w:t>
      </w:r>
      <w:r>
        <w:rPr>
          <w:color w:val="auto"/>
          <w:kern w:val="0"/>
          <w:sz w:val="24"/>
          <w:highlight w:val="none"/>
        </w:rPr>
        <w:t>政府采购网公告中标结果</w:t>
      </w:r>
      <w:r>
        <w:rPr>
          <w:color w:val="auto"/>
          <w:sz w:val="24"/>
          <w:highlight w:val="none"/>
        </w:rPr>
        <w:t>，同时向中标人发出中标通知书，中标公告期限为1个工作日。</w:t>
      </w:r>
    </w:p>
    <w:p w14:paraId="6E6DAA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017D92EA">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6837461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4929CB88">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193782D1">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18AE3DCF">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7A63C5E7">
      <w:pPr>
        <w:numPr>
          <w:ilvl w:val="2"/>
          <w:numId w:val="8"/>
        </w:numPr>
        <w:snapToGrid w:val="0"/>
        <w:spacing w:line="360" w:lineRule="auto"/>
        <w:rPr>
          <w:color w:val="auto"/>
          <w:sz w:val="24"/>
          <w:highlight w:val="none"/>
        </w:rPr>
      </w:pPr>
      <w:r>
        <w:rPr>
          <w:color w:val="auto"/>
          <w:sz w:val="24"/>
          <w:highlight w:val="none"/>
        </w:rPr>
        <w:t>因重大变故，采购任务取消的。</w:t>
      </w:r>
    </w:p>
    <w:p w14:paraId="28DF13C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14:paraId="2765B568">
      <w:pPr>
        <w:numPr>
          <w:ilvl w:val="0"/>
          <w:numId w:val="8"/>
        </w:numPr>
        <w:tabs>
          <w:tab w:val="left" w:pos="360"/>
        </w:tabs>
        <w:snapToGrid w:val="0"/>
        <w:spacing w:line="360" w:lineRule="auto"/>
        <w:ind w:left="357" w:hanging="357"/>
        <w:outlineLvl w:val="1"/>
        <w:rPr>
          <w:color w:val="auto"/>
          <w:sz w:val="24"/>
          <w:highlight w:val="none"/>
        </w:rPr>
      </w:pPr>
      <w:bookmarkStart w:id="708" w:name="_Toc151193648"/>
      <w:bookmarkStart w:id="709" w:name="_Toc265228388"/>
      <w:bookmarkStart w:id="710" w:name="_Toc164229391"/>
      <w:bookmarkStart w:id="711" w:name="_Toc151193792"/>
      <w:bookmarkStart w:id="712" w:name="_Ref467306978"/>
      <w:bookmarkStart w:id="713" w:name="_Toc150509301"/>
      <w:bookmarkStart w:id="714" w:name="_Ref467306377"/>
      <w:bookmarkStart w:id="715" w:name="_Toc151190177"/>
      <w:bookmarkStart w:id="716" w:name="_Toc164608819"/>
      <w:bookmarkStart w:id="717" w:name="_Toc164608664"/>
      <w:bookmarkStart w:id="718" w:name="_Toc127151550"/>
      <w:bookmarkStart w:id="719" w:name="_Toc151193720"/>
      <w:bookmarkStart w:id="720" w:name="_Toc264969240"/>
      <w:bookmarkStart w:id="721" w:name="_Toc151193938"/>
      <w:bookmarkStart w:id="722" w:name="_Toc520356175"/>
      <w:bookmarkStart w:id="723" w:name="_Toc164229245"/>
      <w:bookmarkStart w:id="724" w:name="_Toc151193864"/>
      <w:bookmarkStart w:id="725" w:name="_Toc195842915"/>
      <w:bookmarkStart w:id="726" w:name="_Toc127151751"/>
      <w:bookmarkStart w:id="727" w:name="_Toc127161464"/>
      <w:bookmarkStart w:id="728" w:name="_Toc142311052"/>
      <w:bookmarkStart w:id="729" w:name="_Toc149720843"/>
      <w:bookmarkStart w:id="730" w:name="_Toc150774650"/>
      <w:bookmarkStart w:id="731" w:name="_Ref467307062"/>
      <w:bookmarkStart w:id="732" w:name="_Ref467307204"/>
      <w:bookmarkStart w:id="733" w:name="_Toc305158818"/>
      <w:bookmarkStart w:id="734" w:name="_Toc226965740"/>
      <w:bookmarkStart w:id="735" w:name="_Toc226309794"/>
      <w:bookmarkStart w:id="736" w:name="_Toc226337246"/>
      <w:bookmarkStart w:id="737" w:name="_Toc150480788"/>
      <w:bookmarkStart w:id="738" w:name="_Toc226965823"/>
      <w:bookmarkStart w:id="739" w:name="_Toc164351644"/>
      <w:bookmarkStart w:id="740" w:name="_Toc305158892"/>
      <w:bookmarkStart w:id="741" w:name="_Toc150774755"/>
      <w:r>
        <w:rPr>
          <w:color w:val="auto"/>
          <w:sz w:val="24"/>
          <w:highlight w:val="none"/>
        </w:rPr>
        <w:t>签订合同</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14:paraId="590FB25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1041DC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5C89521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50AB887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073A809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705"/>
    <w:bookmarkEnd w:id="706"/>
    <w:bookmarkEnd w:id="707"/>
    <w:p w14:paraId="19D19180">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796713C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51BA62BA">
      <w:pPr>
        <w:numPr>
          <w:ilvl w:val="2"/>
          <w:numId w:val="8"/>
        </w:numPr>
        <w:snapToGrid w:val="0"/>
        <w:spacing w:line="360" w:lineRule="auto"/>
        <w:rPr>
          <w:color w:val="auto"/>
          <w:sz w:val="24"/>
          <w:highlight w:val="none"/>
        </w:rPr>
      </w:pPr>
      <w:bookmarkStart w:id="742"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42"/>
    </w:p>
    <w:p w14:paraId="3A04D397">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7A29818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4C2CB5CE">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6E37FA4">
      <w:pPr>
        <w:numPr>
          <w:ilvl w:val="2"/>
          <w:numId w:val="8"/>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4953597E">
      <w:pPr>
        <w:numPr>
          <w:ilvl w:val="2"/>
          <w:numId w:val="8"/>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E427BDB">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6E124B7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2041075F">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45D80D9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49EE9E9D">
      <w:pPr>
        <w:tabs>
          <w:tab w:val="left" w:pos="360"/>
          <w:tab w:val="left" w:pos="1080"/>
        </w:tabs>
        <w:snapToGrid w:val="0"/>
        <w:spacing w:line="360" w:lineRule="auto"/>
        <w:ind w:left="360"/>
        <w:rPr>
          <w:color w:val="auto"/>
          <w:sz w:val="24"/>
          <w:highlight w:val="none"/>
        </w:rPr>
      </w:pPr>
    </w:p>
    <w:p w14:paraId="552255B0">
      <w:pPr>
        <w:spacing w:line="360" w:lineRule="auto"/>
        <w:jc w:val="center"/>
        <w:outlineLvl w:val="0"/>
        <w:rPr>
          <w:b/>
          <w:color w:val="auto"/>
          <w:sz w:val="36"/>
          <w:szCs w:val="36"/>
          <w:highlight w:val="none"/>
        </w:rPr>
      </w:pPr>
      <w:bookmarkStart w:id="743" w:name="_Toc150774759"/>
      <w:bookmarkStart w:id="744" w:name="_Toc127151554"/>
      <w:bookmarkStart w:id="745" w:name="_Toc142311056"/>
      <w:bookmarkStart w:id="746" w:name="_Toc265228392"/>
      <w:bookmarkStart w:id="747" w:name="_Toc353873934"/>
      <w:bookmarkStart w:id="748" w:name="_Toc353825544"/>
      <w:bookmarkStart w:id="749" w:name="_Toc226337250"/>
      <w:bookmarkStart w:id="750" w:name="_Toc305158822"/>
      <w:bookmarkStart w:id="751" w:name="_Toc150480792"/>
      <w:bookmarkStart w:id="752" w:name="_Toc226965827"/>
      <w:bookmarkStart w:id="753" w:name="_Toc353873664"/>
      <w:bookmarkStart w:id="754" w:name="_Toc264969244"/>
      <w:bookmarkStart w:id="755" w:name="_Toc305158896"/>
      <w:r>
        <w:rPr>
          <w:color w:val="auto"/>
          <w:sz w:val="24"/>
          <w:highlight w:val="none"/>
        </w:rPr>
        <w:br w:type="page"/>
      </w:r>
      <w:bookmarkStart w:id="756" w:name="_Toc99301421"/>
      <w:r>
        <w:rPr>
          <w:b/>
          <w:color w:val="auto"/>
          <w:sz w:val="36"/>
          <w:szCs w:val="36"/>
          <w:highlight w:val="none"/>
        </w:rPr>
        <w:t xml:space="preserve">第三章   </w:t>
      </w:r>
      <w:bookmarkEnd w:id="743"/>
      <w:bookmarkEnd w:id="744"/>
      <w:bookmarkEnd w:id="745"/>
      <w:bookmarkEnd w:id="746"/>
      <w:bookmarkEnd w:id="747"/>
      <w:bookmarkEnd w:id="748"/>
      <w:bookmarkEnd w:id="749"/>
      <w:bookmarkEnd w:id="750"/>
      <w:bookmarkEnd w:id="751"/>
      <w:bookmarkEnd w:id="752"/>
      <w:bookmarkEnd w:id="753"/>
      <w:bookmarkEnd w:id="754"/>
      <w:bookmarkEnd w:id="755"/>
      <w:r>
        <w:rPr>
          <w:b/>
          <w:color w:val="auto"/>
          <w:sz w:val="36"/>
          <w:szCs w:val="36"/>
          <w:highlight w:val="none"/>
        </w:rPr>
        <w:t>资格审查</w:t>
      </w:r>
      <w:bookmarkEnd w:id="756"/>
      <w:bookmarkStart w:id="757" w:name="_Toc487900382"/>
    </w:p>
    <w:p w14:paraId="6FE12DBC">
      <w:pPr>
        <w:tabs>
          <w:tab w:val="left" w:pos="360"/>
          <w:tab w:val="left" w:pos="900"/>
        </w:tabs>
        <w:snapToGrid w:val="0"/>
        <w:spacing w:line="360" w:lineRule="auto"/>
        <w:jc w:val="center"/>
        <w:outlineLvl w:val="1"/>
        <w:rPr>
          <w:b/>
          <w:color w:val="auto"/>
          <w:sz w:val="24"/>
          <w:highlight w:val="none"/>
        </w:rPr>
      </w:pPr>
      <w:bookmarkStart w:id="758" w:name="_Toc99301422"/>
      <w:r>
        <w:rPr>
          <w:b/>
          <w:color w:val="auto"/>
          <w:sz w:val="24"/>
          <w:highlight w:val="none"/>
        </w:rPr>
        <w:t>一、资格审查程序</w:t>
      </w:r>
      <w:bookmarkEnd w:id="758"/>
    </w:p>
    <w:p w14:paraId="620F7CBD">
      <w:pPr>
        <w:numPr>
          <w:ilvl w:val="0"/>
          <w:numId w:val="10"/>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5AD41D09">
      <w:pPr>
        <w:numPr>
          <w:ilvl w:val="0"/>
          <w:numId w:val="10"/>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3D621C3B">
      <w:pPr>
        <w:numPr>
          <w:ilvl w:val="0"/>
          <w:numId w:val="10"/>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6B6C6443">
      <w:pPr>
        <w:numPr>
          <w:ilvl w:val="0"/>
          <w:numId w:val="10"/>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0049A86B">
      <w:pPr>
        <w:widowControl/>
        <w:jc w:val="left"/>
        <w:rPr>
          <w:color w:val="auto"/>
          <w:sz w:val="24"/>
          <w:highlight w:val="none"/>
        </w:rPr>
      </w:pPr>
    </w:p>
    <w:p w14:paraId="317D80E9">
      <w:pPr>
        <w:tabs>
          <w:tab w:val="left" w:pos="360"/>
          <w:tab w:val="left" w:pos="900"/>
        </w:tabs>
        <w:snapToGrid w:val="0"/>
        <w:spacing w:line="360" w:lineRule="auto"/>
        <w:jc w:val="center"/>
        <w:outlineLvl w:val="1"/>
        <w:rPr>
          <w:b/>
          <w:color w:val="auto"/>
          <w:sz w:val="24"/>
          <w:highlight w:val="none"/>
        </w:rPr>
      </w:pPr>
      <w:bookmarkStart w:id="759" w:name="_Hlk143693557"/>
      <w:r>
        <w:rPr>
          <w:b/>
          <w:color w:val="auto"/>
          <w:sz w:val="24"/>
          <w:highlight w:val="none"/>
        </w:rPr>
        <w:t>二、资格审查要求</w:t>
      </w:r>
      <w:bookmarkEnd w:id="759"/>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377E8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6DEAD658">
            <w:pPr>
              <w:tabs>
                <w:tab w:val="left" w:pos="1080"/>
              </w:tabs>
              <w:snapToGrid w:val="0"/>
              <w:jc w:val="center"/>
              <w:rPr>
                <w:b/>
                <w:color w:val="auto"/>
                <w:sz w:val="24"/>
                <w:highlight w:val="none"/>
              </w:rPr>
            </w:pPr>
            <w:bookmarkStart w:id="760" w:name="_Hlt487972895"/>
            <w:bookmarkEnd w:id="760"/>
            <w:bookmarkStart w:id="761" w:name="_Hlk143693460"/>
            <w:r>
              <w:rPr>
                <w:b/>
                <w:color w:val="auto"/>
                <w:sz w:val="24"/>
                <w:highlight w:val="none"/>
              </w:rPr>
              <w:t>序号</w:t>
            </w:r>
          </w:p>
        </w:tc>
        <w:tc>
          <w:tcPr>
            <w:tcW w:w="1067" w:type="pct"/>
            <w:vAlign w:val="center"/>
          </w:tcPr>
          <w:p w14:paraId="6D24BA24">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51E68952">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2B3480D2">
            <w:pPr>
              <w:tabs>
                <w:tab w:val="left" w:pos="1080"/>
              </w:tabs>
              <w:snapToGrid w:val="0"/>
              <w:jc w:val="center"/>
              <w:rPr>
                <w:b/>
                <w:color w:val="auto"/>
                <w:sz w:val="24"/>
                <w:highlight w:val="none"/>
              </w:rPr>
            </w:pPr>
            <w:r>
              <w:rPr>
                <w:b/>
                <w:color w:val="auto"/>
                <w:sz w:val="24"/>
                <w:highlight w:val="none"/>
              </w:rPr>
              <w:t>格式要求</w:t>
            </w:r>
          </w:p>
        </w:tc>
      </w:tr>
      <w:tr w14:paraId="7C3EB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3E5365">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7B139B9E">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vAlign w:val="center"/>
          </w:tcPr>
          <w:p w14:paraId="07015C6C">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5FA23705">
            <w:pPr>
              <w:tabs>
                <w:tab w:val="left" w:pos="1080"/>
              </w:tabs>
              <w:snapToGrid w:val="0"/>
              <w:rPr>
                <w:color w:val="auto"/>
                <w:sz w:val="24"/>
                <w:highlight w:val="none"/>
              </w:rPr>
            </w:pPr>
          </w:p>
        </w:tc>
      </w:tr>
      <w:tr w14:paraId="2D353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086F33">
            <w:pPr>
              <w:tabs>
                <w:tab w:val="left" w:pos="1080"/>
              </w:tabs>
              <w:snapToGrid w:val="0"/>
              <w:jc w:val="center"/>
              <w:rPr>
                <w:color w:val="auto"/>
                <w:sz w:val="24"/>
                <w:highlight w:val="none"/>
              </w:rPr>
            </w:pPr>
            <w:r>
              <w:rPr>
                <w:color w:val="auto"/>
                <w:sz w:val="24"/>
                <w:highlight w:val="none"/>
              </w:rPr>
              <w:t>1-1</w:t>
            </w:r>
          </w:p>
        </w:tc>
        <w:tc>
          <w:tcPr>
            <w:tcW w:w="1067" w:type="pct"/>
            <w:vAlign w:val="center"/>
          </w:tcPr>
          <w:p w14:paraId="65537767">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7BCBCBF3">
            <w:pPr>
              <w:tabs>
                <w:tab w:val="left" w:pos="1080"/>
              </w:tabs>
              <w:snapToGrid w:val="0"/>
              <w:rPr>
                <w:color w:val="auto"/>
                <w:sz w:val="24"/>
                <w:highlight w:val="none"/>
              </w:rPr>
            </w:pPr>
            <w:r>
              <w:rPr>
                <w:color w:val="auto"/>
                <w:sz w:val="24"/>
                <w:highlight w:val="none"/>
              </w:rPr>
              <w:t>投标人为企业（包括合伙企业）的，应提供有效的“营业执照”；</w:t>
            </w:r>
          </w:p>
          <w:p w14:paraId="17BB1350">
            <w:pPr>
              <w:tabs>
                <w:tab w:val="left" w:pos="1080"/>
              </w:tabs>
              <w:snapToGrid w:val="0"/>
              <w:rPr>
                <w:color w:val="auto"/>
                <w:sz w:val="24"/>
                <w:highlight w:val="none"/>
              </w:rPr>
            </w:pPr>
            <w:r>
              <w:rPr>
                <w:color w:val="auto"/>
                <w:sz w:val="24"/>
                <w:highlight w:val="none"/>
              </w:rPr>
              <w:t>投标人为事业单位的，应提供有效的“事业单位法人证书”；</w:t>
            </w:r>
          </w:p>
          <w:p w14:paraId="27D35523">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39BCD5C9">
            <w:pPr>
              <w:tabs>
                <w:tab w:val="left" w:pos="1080"/>
              </w:tabs>
              <w:snapToGrid w:val="0"/>
              <w:rPr>
                <w:color w:val="auto"/>
                <w:sz w:val="24"/>
                <w:highlight w:val="none"/>
              </w:rPr>
            </w:pPr>
            <w:r>
              <w:rPr>
                <w:color w:val="auto"/>
                <w:sz w:val="24"/>
                <w:highlight w:val="none"/>
              </w:rPr>
              <w:t>投标人是个体工商户的，应提供有效的“个体工商户营业执照”；</w:t>
            </w:r>
          </w:p>
          <w:p w14:paraId="7518F91D">
            <w:pPr>
              <w:tabs>
                <w:tab w:val="left" w:pos="1080"/>
              </w:tabs>
              <w:snapToGrid w:val="0"/>
              <w:rPr>
                <w:color w:val="auto"/>
                <w:sz w:val="24"/>
                <w:highlight w:val="none"/>
              </w:rPr>
            </w:pPr>
            <w:r>
              <w:rPr>
                <w:color w:val="auto"/>
                <w:sz w:val="24"/>
                <w:highlight w:val="none"/>
              </w:rPr>
              <w:t>投标人是自然人的，应提供有效的自然人身份证明。</w:t>
            </w:r>
          </w:p>
          <w:p w14:paraId="4FCEA13E">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3B39FBC1">
            <w:pPr>
              <w:tabs>
                <w:tab w:val="left" w:pos="1080"/>
              </w:tabs>
              <w:snapToGrid w:val="0"/>
              <w:rPr>
                <w:color w:val="auto"/>
                <w:sz w:val="24"/>
                <w:highlight w:val="none"/>
              </w:rPr>
            </w:pPr>
            <w:r>
              <w:rPr>
                <w:color w:val="auto"/>
                <w:sz w:val="24"/>
                <w:highlight w:val="none"/>
              </w:rPr>
              <w:t>提供证明文件的电子件或电子证照</w:t>
            </w:r>
          </w:p>
        </w:tc>
      </w:tr>
      <w:tr w14:paraId="52AB4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3207AF">
            <w:pPr>
              <w:tabs>
                <w:tab w:val="left" w:pos="1080"/>
              </w:tabs>
              <w:snapToGrid w:val="0"/>
              <w:jc w:val="center"/>
              <w:rPr>
                <w:color w:val="auto"/>
                <w:sz w:val="24"/>
                <w:highlight w:val="none"/>
              </w:rPr>
            </w:pPr>
            <w:r>
              <w:rPr>
                <w:color w:val="auto"/>
                <w:sz w:val="24"/>
                <w:highlight w:val="none"/>
              </w:rPr>
              <w:t>1-2</w:t>
            </w:r>
          </w:p>
        </w:tc>
        <w:tc>
          <w:tcPr>
            <w:tcW w:w="1067" w:type="pct"/>
            <w:vAlign w:val="center"/>
          </w:tcPr>
          <w:p w14:paraId="44FB8F16">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738E1A13">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3B226F19">
            <w:pPr>
              <w:tabs>
                <w:tab w:val="left" w:pos="1080"/>
              </w:tabs>
              <w:snapToGrid w:val="0"/>
              <w:rPr>
                <w:color w:val="auto"/>
                <w:sz w:val="24"/>
                <w:highlight w:val="none"/>
              </w:rPr>
            </w:pPr>
            <w:r>
              <w:rPr>
                <w:color w:val="auto"/>
                <w:sz w:val="24"/>
                <w:highlight w:val="none"/>
              </w:rPr>
              <w:t>格式见《投标文件格式》</w:t>
            </w:r>
          </w:p>
        </w:tc>
      </w:tr>
      <w:tr w14:paraId="2F736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698C021">
            <w:pPr>
              <w:tabs>
                <w:tab w:val="left" w:pos="1080"/>
              </w:tabs>
              <w:snapToGrid w:val="0"/>
              <w:jc w:val="center"/>
              <w:rPr>
                <w:color w:val="auto"/>
                <w:sz w:val="24"/>
                <w:highlight w:val="none"/>
              </w:rPr>
            </w:pPr>
            <w:r>
              <w:rPr>
                <w:color w:val="auto"/>
                <w:sz w:val="24"/>
                <w:highlight w:val="none"/>
              </w:rPr>
              <w:t>1-3</w:t>
            </w:r>
          </w:p>
        </w:tc>
        <w:tc>
          <w:tcPr>
            <w:tcW w:w="1067" w:type="pct"/>
            <w:vAlign w:val="center"/>
          </w:tcPr>
          <w:p w14:paraId="0CE10612">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2FFE3A7D">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0643AE0D">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4A53F545">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57C159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6FFB0C23">
            <w:pPr>
              <w:tabs>
                <w:tab w:val="left" w:pos="1080"/>
              </w:tabs>
              <w:snapToGrid w:val="0"/>
              <w:rPr>
                <w:color w:val="auto"/>
                <w:sz w:val="24"/>
                <w:highlight w:val="none"/>
              </w:rPr>
            </w:pPr>
            <w:r>
              <w:rPr>
                <w:color w:val="auto"/>
                <w:sz w:val="24"/>
                <w:highlight w:val="none"/>
              </w:rPr>
              <w:t>无须投标人提供，由采购人或采购代理机构查询。</w:t>
            </w:r>
          </w:p>
        </w:tc>
      </w:tr>
      <w:tr w14:paraId="6ACEC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F0CE0A">
            <w:pPr>
              <w:tabs>
                <w:tab w:val="left" w:pos="1080"/>
              </w:tabs>
              <w:snapToGrid w:val="0"/>
              <w:jc w:val="center"/>
              <w:rPr>
                <w:color w:val="auto"/>
                <w:sz w:val="24"/>
                <w:highlight w:val="none"/>
              </w:rPr>
            </w:pPr>
            <w:r>
              <w:rPr>
                <w:color w:val="auto"/>
                <w:sz w:val="24"/>
                <w:highlight w:val="none"/>
              </w:rPr>
              <w:t>1-4</w:t>
            </w:r>
          </w:p>
        </w:tc>
        <w:tc>
          <w:tcPr>
            <w:tcW w:w="1067" w:type="pct"/>
            <w:vAlign w:val="center"/>
          </w:tcPr>
          <w:p w14:paraId="4914F463">
            <w:pPr>
              <w:tabs>
                <w:tab w:val="left" w:pos="1080"/>
              </w:tabs>
              <w:snapToGrid w:val="0"/>
              <w:rPr>
                <w:color w:val="auto"/>
                <w:sz w:val="24"/>
                <w:highlight w:val="none"/>
              </w:rPr>
            </w:pPr>
            <w:r>
              <w:rPr>
                <w:color w:val="auto"/>
                <w:sz w:val="24"/>
                <w:highlight w:val="none"/>
              </w:rPr>
              <w:t>法律、行政法规规定的其他条件</w:t>
            </w:r>
          </w:p>
        </w:tc>
        <w:tc>
          <w:tcPr>
            <w:tcW w:w="2596" w:type="pct"/>
            <w:vAlign w:val="center"/>
          </w:tcPr>
          <w:p w14:paraId="1B4A11AF">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1A4C667C">
            <w:pPr>
              <w:tabs>
                <w:tab w:val="left" w:pos="1080"/>
              </w:tabs>
              <w:snapToGrid w:val="0"/>
              <w:jc w:val="center"/>
              <w:rPr>
                <w:color w:val="auto"/>
                <w:sz w:val="24"/>
                <w:highlight w:val="none"/>
              </w:rPr>
            </w:pPr>
            <w:r>
              <w:rPr>
                <w:color w:val="auto"/>
                <w:sz w:val="24"/>
                <w:highlight w:val="none"/>
              </w:rPr>
              <w:t>/</w:t>
            </w:r>
          </w:p>
        </w:tc>
      </w:tr>
      <w:tr w14:paraId="359B2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5F7C1D4">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48DB41C1">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3A8229F3">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74A7BFFB">
            <w:pPr>
              <w:tabs>
                <w:tab w:val="left" w:pos="1080"/>
              </w:tabs>
              <w:snapToGrid w:val="0"/>
              <w:rPr>
                <w:color w:val="auto"/>
                <w:sz w:val="24"/>
                <w:highlight w:val="none"/>
              </w:rPr>
            </w:pPr>
          </w:p>
        </w:tc>
      </w:tr>
      <w:tr w14:paraId="0AACE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45F2C16">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0CDE6445">
            <w:pPr>
              <w:tabs>
                <w:tab w:val="left" w:pos="1080"/>
              </w:tabs>
              <w:snapToGrid w:val="0"/>
              <w:rPr>
                <w:color w:val="auto"/>
                <w:sz w:val="24"/>
                <w:highlight w:val="none"/>
              </w:rPr>
            </w:pPr>
            <w:r>
              <w:rPr>
                <w:color w:val="auto"/>
                <w:sz w:val="24"/>
                <w:highlight w:val="none"/>
              </w:rPr>
              <w:t>中小企业政策证明文件</w:t>
            </w:r>
          </w:p>
        </w:tc>
        <w:tc>
          <w:tcPr>
            <w:tcW w:w="2596" w:type="pct"/>
            <w:vAlign w:val="center"/>
          </w:tcPr>
          <w:p w14:paraId="6852F0E4">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655C1D3E">
            <w:pPr>
              <w:tabs>
                <w:tab w:val="left" w:pos="1080"/>
              </w:tabs>
              <w:snapToGrid w:val="0"/>
              <w:rPr>
                <w:color w:val="auto"/>
                <w:sz w:val="24"/>
                <w:highlight w:val="none"/>
              </w:rPr>
            </w:pPr>
          </w:p>
        </w:tc>
      </w:tr>
      <w:tr w14:paraId="4E124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41D384">
            <w:pPr>
              <w:tabs>
                <w:tab w:val="left" w:pos="1080"/>
              </w:tabs>
              <w:snapToGrid w:val="0"/>
              <w:jc w:val="center"/>
              <w:rPr>
                <w:color w:val="auto"/>
                <w:sz w:val="24"/>
                <w:highlight w:val="none"/>
              </w:rPr>
            </w:pPr>
            <w:r>
              <w:rPr>
                <w:color w:val="auto"/>
                <w:sz w:val="24"/>
                <w:highlight w:val="none"/>
              </w:rPr>
              <w:t>2-1-1</w:t>
            </w:r>
          </w:p>
        </w:tc>
        <w:tc>
          <w:tcPr>
            <w:tcW w:w="1067" w:type="pct"/>
            <w:vAlign w:val="center"/>
          </w:tcPr>
          <w:p w14:paraId="4E87D04A">
            <w:pPr>
              <w:tabs>
                <w:tab w:val="left" w:pos="1080"/>
              </w:tabs>
              <w:snapToGrid w:val="0"/>
              <w:rPr>
                <w:color w:val="auto"/>
                <w:sz w:val="24"/>
                <w:highlight w:val="none"/>
              </w:rPr>
            </w:pPr>
            <w:r>
              <w:rPr>
                <w:color w:val="auto"/>
                <w:sz w:val="24"/>
                <w:highlight w:val="none"/>
              </w:rPr>
              <w:t>中小企业证明文件</w:t>
            </w:r>
          </w:p>
        </w:tc>
        <w:tc>
          <w:tcPr>
            <w:tcW w:w="2596" w:type="pct"/>
            <w:vAlign w:val="center"/>
          </w:tcPr>
          <w:p w14:paraId="57E0E06E">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0BB7E28D">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1E0DA036">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3BB7371">
            <w:pPr>
              <w:tabs>
                <w:tab w:val="left" w:pos="1080"/>
              </w:tabs>
              <w:snapToGrid w:val="0"/>
              <w:rPr>
                <w:color w:val="auto"/>
                <w:sz w:val="24"/>
                <w:highlight w:val="none"/>
              </w:rPr>
            </w:pPr>
            <w:r>
              <w:rPr>
                <w:color w:val="auto"/>
                <w:sz w:val="24"/>
                <w:highlight w:val="none"/>
              </w:rPr>
              <w:t>格式见《投标文件格式》</w:t>
            </w:r>
          </w:p>
        </w:tc>
      </w:tr>
      <w:tr w14:paraId="192D3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8886998">
            <w:pPr>
              <w:tabs>
                <w:tab w:val="left" w:pos="1080"/>
              </w:tabs>
              <w:snapToGrid w:val="0"/>
              <w:jc w:val="center"/>
              <w:rPr>
                <w:color w:val="auto"/>
                <w:sz w:val="24"/>
                <w:highlight w:val="none"/>
              </w:rPr>
            </w:pPr>
            <w:r>
              <w:rPr>
                <w:color w:val="auto"/>
                <w:sz w:val="24"/>
                <w:highlight w:val="none"/>
              </w:rPr>
              <w:t>2-1-2</w:t>
            </w:r>
          </w:p>
        </w:tc>
        <w:tc>
          <w:tcPr>
            <w:tcW w:w="1067" w:type="pct"/>
            <w:vAlign w:val="center"/>
          </w:tcPr>
          <w:p w14:paraId="4C6EDF2E">
            <w:pPr>
              <w:tabs>
                <w:tab w:val="left" w:pos="1080"/>
              </w:tabs>
              <w:snapToGrid w:val="0"/>
              <w:rPr>
                <w:color w:val="auto"/>
                <w:sz w:val="24"/>
                <w:highlight w:val="none"/>
              </w:rPr>
            </w:pPr>
            <w:r>
              <w:rPr>
                <w:color w:val="auto"/>
                <w:sz w:val="24"/>
                <w:highlight w:val="none"/>
              </w:rPr>
              <w:t>拟分包情况说明及分包意向协议</w:t>
            </w:r>
          </w:p>
        </w:tc>
        <w:tc>
          <w:tcPr>
            <w:tcW w:w="2596" w:type="pct"/>
            <w:vAlign w:val="center"/>
          </w:tcPr>
          <w:p w14:paraId="31AF23AC">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7806F9C7">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D3B0618">
            <w:pPr>
              <w:tabs>
                <w:tab w:val="left" w:pos="1080"/>
              </w:tabs>
              <w:snapToGrid w:val="0"/>
              <w:rPr>
                <w:color w:val="auto"/>
                <w:sz w:val="24"/>
                <w:highlight w:val="none"/>
              </w:rPr>
            </w:pPr>
            <w:r>
              <w:rPr>
                <w:color w:val="auto"/>
                <w:sz w:val="24"/>
                <w:highlight w:val="none"/>
              </w:rPr>
              <w:t>格式见《投标文件格式》</w:t>
            </w:r>
          </w:p>
        </w:tc>
      </w:tr>
      <w:tr w14:paraId="6BB32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8E4BA3B">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1F087CB5">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12BFA7C6">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D52A305">
            <w:pPr>
              <w:tabs>
                <w:tab w:val="left" w:pos="1080"/>
              </w:tabs>
              <w:snapToGrid w:val="0"/>
              <w:rPr>
                <w:color w:val="auto"/>
                <w:sz w:val="24"/>
                <w:highlight w:val="none"/>
              </w:rPr>
            </w:pPr>
            <w:r>
              <w:rPr>
                <w:color w:val="auto"/>
                <w:sz w:val="24"/>
                <w:highlight w:val="none"/>
              </w:rPr>
              <w:t>提供证明文件的电子件或电子证照</w:t>
            </w:r>
          </w:p>
        </w:tc>
      </w:tr>
      <w:tr w14:paraId="2099C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A23F54">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4E76E60D">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6100F368">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0FDD15C">
            <w:pPr>
              <w:tabs>
                <w:tab w:val="left" w:pos="1080"/>
              </w:tabs>
              <w:snapToGrid w:val="0"/>
              <w:rPr>
                <w:color w:val="auto"/>
                <w:sz w:val="24"/>
                <w:highlight w:val="none"/>
              </w:rPr>
            </w:pPr>
          </w:p>
        </w:tc>
      </w:tr>
      <w:tr w14:paraId="2F96C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273525D">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44767860">
            <w:pPr>
              <w:tabs>
                <w:tab w:val="left" w:pos="1080"/>
              </w:tabs>
              <w:snapToGrid w:val="0"/>
              <w:rPr>
                <w:color w:val="auto"/>
                <w:sz w:val="24"/>
                <w:highlight w:val="none"/>
              </w:rPr>
            </w:pPr>
            <w:r>
              <w:rPr>
                <w:color w:val="auto"/>
                <w:sz w:val="24"/>
                <w:highlight w:val="none"/>
              </w:rPr>
              <w:t>本项目对于联合体的要求</w:t>
            </w:r>
          </w:p>
        </w:tc>
        <w:tc>
          <w:tcPr>
            <w:tcW w:w="2596" w:type="pct"/>
            <w:vAlign w:val="center"/>
          </w:tcPr>
          <w:p w14:paraId="25137442">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5A4F89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2109F0D5">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32FA368C">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27130810">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24C1BA6A">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26885571">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377F2456">
            <w:pPr>
              <w:tabs>
                <w:tab w:val="left" w:pos="1080"/>
              </w:tabs>
              <w:snapToGrid w:val="0"/>
              <w:rPr>
                <w:color w:val="auto"/>
                <w:sz w:val="24"/>
                <w:highlight w:val="none"/>
              </w:rPr>
            </w:pPr>
            <w:r>
              <w:rPr>
                <w:color w:val="auto"/>
                <w:sz w:val="24"/>
                <w:highlight w:val="none"/>
              </w:rPr>
              <w:t>提供《联合协议》原件的电子件</w:t>
            </w:r>
          </w:p>
          <w:p w14:paraId="3F75C066">
            <w:pPr>
              <w:tabs>
                <w:tab w:val="left" w:pos="1080"/>
              </w:tabs>
              <w:snapToGrid w:val="0"/>
              <w:rPr>
                <w:color w:val="auto"/>
                <w:sz w:val="24"/>
                <w:highlight w:val="none"/>
              </w:rPr>
            </w:pPr>
            <w:r>
              <w:rPr>
                <w:color w:val="auto"/>
                <w:sz w:val="24"/>
                <w:highlight w:val="none"/>
              </w:rPr>
              <w:t>格式见《投标文件格式》</w:t>
            </w:r>
          </w:p>
        </w:tc>
      </w:tr>
      <w:tr w14:paraId="39669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637356">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1FD9A41F">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2A8AED45">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3EAEEAC8">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0391F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6B92564">
            <w:pPr>
              <w:tabs>
                <w:tab w:val="left" w:pos="1080"/>
              </w:tabs>
              <w:snapToGrid w:val="0"/>
              <w:jc w:val="center"/>
              <w:rPr>
                <w:color w:val="auto"/>
                <w:sz w:val="24"/>
                <w:highlight w:val="none"/>
              </w:rPr>
            </w:pPr>
            <w:r>
              <w:rPr>
                <w:color w:val="auto"/>
                <w:sz w:val="24"/>
                <w:highlight w:val="none"/>
              </w:rPr>
              <w:t>3-3</w:t>
            </w:r>
          </w:p>
        </w:tc>
        <w:tc>
          <w:tcPr>
            <w:tcW w:w="1067" w:type="pct"/>
            <w:vAlign w:val="center"/>
          </w:tcPr>
          <w:p w14:paraId="37659160">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1E2B253B">
            <w:pPr>
              <w:tabs>
                <w:tab w:val="left" w:pos="1080"/>
              </w:tabs>
              <w:snapToGrid w:val="0"/>
              <w:rPr>
                <w:color w:val="auto"/>
                <w:sz w:val="24"/>
                <w:highlight w:val="none"/>
              </w:rPr>
            </w:pPr>
            <w:r>
              <w:rPr>
                <w:color w:val="auto"/>
                <w:sz w:val="24"/>
                <w:highlight w:val="none"/>
              </w:rPr>
              <w:t>如有，见第一章《投标邀请》</w:t>
            </w:r>
          </w:p>
          <w:p w14:paraId="31FDBD00">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247498DA">
            <w:pPr>
              <w:tabs>
                <w:tab w:val="left" w:pos="1080"/>
              </w:tabs>
              <w:snapToGrid w:val="0"/>
              <w:rPr>
                <w:color w:val="auto"/>
                <w:sz w:val="24"/>
                <w:highlight w:val="none"/>
              </w:rPr>
            </w:pPr>
            <w:r>
              <w:rPr>
                <w:color w:val="auto"/>
                <w:sz w:val="24"/>
                <w:highlight w:val="none"/>
              </w:rPr>
              <w:t>提供证明文件的电子件或电子证照</w:t>
            </w:r>
          </w:p>
        </w:tc>
      </w:tr>
      <w:tr w14:paraId="2513B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52EF93">
            <w:pPr>
              <w:tabs>
                <w:tab w:val="left" w:pos="1080"/>
              </w:tabs>
              <w:snapToGrid w:val="0"/>
              <w:jc w:val="center"/>
              <w:rPr>
                <w:color w:val="auto"/>
                <w:sz w:val="24"/>
                <w:highlight w:val="none"/>
              </w:rPr>
            </w:pPr>
            <w:r>
              <w:rPr>
                <w:color w:val="auto"/>
                <w:sz w:val="24"/>
                <w:highlight w:val="none"/>
              </w:rPr>
              <w:t>4</w:t>
            </w:r>
          </w:p>
        </w:tc>
        <w:tc>
          <w:tcPr>
            <w:tcW w:w="1067" w:type="pct"/>
            <w:vAlign w:val="center"/>
          </w:tcPr>
          <w:p w14:paraId="7CB668AE">
            <w:pPr>
              <w:tabs>
                <w:tab w:val="left" w:pos="1080"/>
              </w:tabs>
              <w:snapToGrid w:val="0"/>
              <w:rPr>
                <w:color w:val="auto"/>
                <w:sz w:val="24"/>
                <w:highlight w:val="none"/>
              </w:rPr>
            </w:pPr>
            <w:r>
              <w:rPr>
                <w:color w:val="auto"/>
                <w:sz w:val="24"/>
                <w:highlight w:val="none"/>
              </w:rPr>
              <w:t>投标保证金</w:t>
            </w:r>
          </w:p>
        </w:tc>
        <w:tc>
          <w:tcPr>
            <w:tcW w:w="2596" w:type="pct"/>
            <w:vAlign w:val="center"/>
          </w:tcPr>
          <w:p w14:paraId="3D8586D3">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70844B1D">
            <w:pPr>
              <w:tabs>
                <w:tab w:val="left" w:pos="1080"/>
              </w:tabs>
              <w:snapToGrid w:val="0"/>
              <w:rPr>
                <w:color w:val="auto"/>
                <w:sz w:val="24"/>
                <w:highlight w:val="none"/>
              </w:rPr>
            </w:pPr>
          </w:p>
        </w:tc>
      </w:tr>
      <w:tr w14:paraId="14AF7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D012C5B">
            <w:pPr>
              <w:tabs>
                <w:tab w:val="left" w:pos="1080"/>
              </w:tabs>
              <w:snapToGrid w:val="0"/>
              <w:jc w:val="center"/>
              <w:rPr>
                <w:color w:val="auto"/>
                <w:sz w:val="24"/>
                <w:highlight w:val="none"/>
              </w:rPr>
            </w:pPr>
            <w:r>
              <w:rPr>
                <w:color w:val="auto"/>
                <w:sz w:val="24"/>
                <w:highlight w:val="none"/>
              </w:rPr>
              <w:t>5</w:t>
            </w:r>
          </w:p>
        </w:tc>
        <w:tc>
          <w:tcPr>
            <w:tcW w:w="1067" w:type="pct"/>
            <w:vAlign w:val="center"/>
          </w:tcPr>
          <w:p w14:paraId="08A3F810">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311EAF0F">
            <w:pPr>
              <w:tabs>
                <w:tab w:val="left" w:pos="1080"/>
              </w:tabs>
              <w:snapToGrid w:val="0"/>
              <w:rPr>
                <w:color w:val="auto"/>
                <w:kern w:val="0"/>
                <w:sz w:val="24"/>
                <w:highlight w:val="none"/>
              </w:rPr>
            </w:pPr>
            <w:r>
              <w:rPr>
                <w:color w:val="auto"/>
                <w:kern w:val="0"/>
                <w:sz w:val="24"/>
                <w:highlight w:val="none"/>
              </w:rPr>
              <w:t>在规定期限内</w:t>
            </w:r>
            <w:r>
              <w:rPr>
                <w:rFonts w:hint="eastAsia"/>
                <w:color w:val="auto"/>
                <w:kern w:val="0"/>
                <w:sz w:val="24"/>
                <w:highlight w:val="none"/>
              </w:rPr>
              <w:t>购买</w:t>
            </w:r>
            <w:r>
              <w:rPr>
                <w:color w:val="auto"/>
                <w:kern w:val="0"/>
                <w:sz w:val="24"/>
                <w:highlight w:val="none"/>
              </w:rPr>
              <w:t>了招标文件招标文件。</w:t>
            </w:r>
          </w:p>
          <w:p w14:paraId="017C7668">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48210290">
            <w:pPr>
              <w:tabs>
                <w:tab w:val="left" w:pos="1080"/>
              </w:tabs>
              <w:snapToGrid w:val="0"/>
              <w:rPr>
                <w:color w:val="auto"/>
                <w:sz w:val="24"/>
                <w:highlight w:val="none"/>
              </w:rPr>
            </w:pPr>
          </w:p>
        </w:tc>
      </w:t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757"/>
      <w:bookmarkEnd w:id="761"/>
    </w:tbl>
    <w:p w14:paraId="1E597F5B">
      <w:pPr>
        <w:widowControl/>
        <w:jc w:val="left"/>
        <w:rPr>
          <w:color w:val="auto"/>
          <w:sz w:val="24"/>
          <w:highlight w:val="none"/>
        </w:rPr>
      </w:pPr>
      <w:bookmarkStart w:id="762" w:name="_Hlt487900425"/>
      <w:bookmarkEnd w:id="762"/>
      <w:bookmarkStart w:id="763" w:name="_Hlt522424701"/>
      <w:bookmarkEnd w:id="763"/>
      <w:bookmarkStart w:id="764" w:name="_Toc127151779"/>
      <w:bookmarkStart w:id="765" w:name="_Toc353825550"/>
      <w:bookmarkStart w:id="766" w:name="_Toc226965858"/>
      <w:bookmarkStart w:id="767" w:name="_Toc353873940"/>
      <w:bookmarkStart w:id="768" w:name="_Toc127161490"/>
      <w:r>
        <w:rPr>
          <w:color w:val="auto"/>
          <w:sz w:val="24"/>
          <w:highlight w:val="none"/>
        </w:rPr>
        <w:br w:type="page"/>
      </w:r>
    </w:p>
    <w:p w14:paraId="6F6E598F">
      <w:pPr>
        <w:spacing w:line="360" w:lineRule="auto"/>
        <w:jc w:val="center"/>
        <w:outlineLvl w:val="0"/>
        <w:rPr>
          <w:b/>
          <w:color w:val="auto"/>
          <w:sz w:val="36"/>
          <w:szCs w:val="36"/>
          <w:highlight w:val="none"/>
        </w:rPr>
      </w:pPr>
      <w:bookmarkStart w:id="769" w:name="_Toc99301423"/>
      <w:r>
        <w:rPr>
          <w:b/>
          <w:color w:val="auto"/>
          <w:sz w:val="36"/>
          <w:szCs w:val="36"/>
          <w:highlight w:val="none"/>
        </w:rPr>
        <w:t xml:space="preserve">第四章   </w:t>
      </w:r>
      <w:bookmarkEnd w:id="764"/>
      <w:bookmarkEnd w:id="765"/>
      <w:bookmarkEnd w:id="766"/>
      <w:bookmarkEnd w:id="767"/>
      <w:bookmarkEnd w:id="768"/>
      <w:bookmarkStart w:id="770" w:name="_Hlt164229061"/>
      <w:bookmarkEnd w:id="770"/>
      <w:r>
        <w:rPr>
          <w:b/>
          <w:color w:val="auto"/>
          <w:sz w:val="36"/>
          <w:szCs w:val="36"/>
          <w:highlight w:val="none"/>
        </w:rPr>
        <w:t>评标程序、评标方法和评标标准</w:t>
      </w:r>
      <w:bookmarkEnd w:id="769"/>
    </w:p>
    <w:p w14:paraId="11932068">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18F13672">
      <w:pPr>
        <w:numPr>
          <w:ilvl w:val="0"/>
          <w:numId w:val="11"/>
        </w:numPr>
        <w:tabs>
          <w:tab w:val="left" w:pos="360"/>
        </w:tabs>
        <w:snapToGrid w:val="0"/>
        <w:spacing w:line="360" w:lineRule="auto"/>
        <w:outlineLvl w:val="1"/>
        <w:rPr>
          <w:color w:val="auto"/>
          <w:sz w:val="24"/>
          <w:highlight w:val="none"/>
        </w:rPr>
      </w:pPr>
      <w:bookmarkStart w:id="771" w:name="_Toc151193639"/>
      <w:bookmarkStart w:id="772" w:name="_Toc226965731"/>
      <w:bookmarkStart w:id="773" w:name="_Toc164608655"/>
      <w:bookmarkStart w:id="774" w:name="_Toc150480779"/>
      <w:bookmarkStart w:id="775" w:name="_Toc151193929"/>
      <w:bookmarkStart w:id="776" w:name="_Toc226337237"/>
      <w:bookmarkStart w:id="777" w:name="_Toc305158883"/>
      <w:bookmarkStart w:id="778" w:name="_Toc164229236"/>
      <w:bookmarkStart w:id="779" w:name="_Toc150774746"/>
      <w:bookmarkStart w:id="780" w:name="_Toc127151742"/>
      <w:bookmarkStart w:id="781" w:name="_Toc164351635"/>
      <w:bookmarkStart w:id="782" w:name="_Toc305158809"/>
      <w:bookmarkStart w:id="783" w:name="_Toc151190168"/>
      <w:bookmarkStart w:id="784" w:name="_Toc151193855"/>
      <w:bookmarkStart w:id="785" w:name="_Toc150509292"/>
      <w:bookmarkStart w:id="786" w:name="_Toc195842906"/>
      <w:bookmarkStart w:id="787" w:name="_Toc151193783"/>
      <w:bookmarkStart w:id="788" w:name="_Toc226309785"/>
      <w:bookmarkStart w:id="789" w:name="_Toc150774641"/>
      <w:bookmarkStart w:id="790" w:name="_Toc226965814"/>
      <w:bookmarkStart w:id="791" w:name="_Toc164608810"/>
      <w:bookmarkStart w:id="792" w:name="_Toc264969231"/>
      <w:bookmarkStart w:id="793" w:name="_Toc127151541"/>
      <w:bookmarkStart w:id="794" w:name="_Toc164229382"/>
      <w:bookmarkStart w:id="795" w:name="_Toc142311043"/>
      <w:bookmarkStart w:id="796" w:name="_Toc151193711"/>
      <w:bookmarkStart w:id="797" w:name="_Toc265228379"/>
      <w:bookmarkStart w:id="798" w:name="_Toc149720834"/>
      <w:bookmarkStart w:id="799" w:name="_Toc127161455"/>
      <w:bookmarkStart w:id="800" w:name="_Toc353825551"/>
      <w:bookmarkStart w:id="801" w:name="_Toc353873941"/>
      <w:bookmarkStart w:id="802" w:name="_Toc226337251"/>
      <w:bookmarkStart w:id="803" w:name="_Toc305158897"/>
      <w:bookmarkStart w:id="804" w:name="_Toc305158823"/>
      <w:bookmarkStart w:id="805" w:name="_Toc264969245"/>
      <w:bookmarkStart w:id="806" w:name="_Toc265228393"/>
      <w:bookmarkStart w:id="807" w:name="_Toc150774760"/>
      <w:bookmarkStart w:id="808" w:name="_Toc150480793"/>
      <w:bookmarkStart w:id="809" w:name="_Toc127151555"/>
      <w:bookmarkStart w:id="810" w:name="_Toc226965828"/>
      <w:bookmarkStart w:id="811" w:name="_Toc195842920"/>
      <w:bookmarkStart w:id="812" w:name="_Toc353825545"/>
      <w:bookmarkStart w:id="813" w:name="_Toc353873665"/>
      <w:bookmarkStart w:id="814" w:name="_Toc353873935"/>
      <w:bookmarkStart w:id="815" w:name="_Toc142311057"/>
      <w:r>
        <w:rPr>
          <w:color w:val="auto"/>
          <w:sz w:val="24"/>
          <w:highlight w:val="none"/>
        </w:rPr>
        <w:t>投标文件的符合性审查</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14:paraId="79F14BB1">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816" w:name="_Toc520356167"/>
    </w:p>
    <w:p w14:paraId="0387E011">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16"/>
      <w:r>
        <w:rPr>
          <w:color w:val="auto"/>
          <w:sz w:val="24"/>
          <w:highlight w:val="none"/>
        </w:rPr>
        <w:t>要求的，</w:t>
      </w:r>
      <w:r>
        <w:rPr>
          <w:b/>
          <w:color w:val="auto"/>
          <w:sz w:val="24"/>
          <w:highlight w:val="none"/>
        </w:rPr>
        <w:t>投标无效</w:t>
      </w:r>
      <w:r>
        <w:rPr>
          <w:color w:val="auto"/>
          <w:sz w:val="24"/>
          <w:highlight w:val="none"/>
        </w:rPr>
        <w:t>。</w:t>
      </w:r>
    </w:p>
    <w:p w14:paraId="4038156B">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07213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03" w:type="pct"/>
            <w:vAlign w:val="center"/>
          </w:tcPr>
          <w:p w14:paraId="30407AF2">
            <w:pPr>
              <w:widowControl/>
              <w:jc w:val="center"/>
              <w:rPr>
                <w:b/>
                <w:color w:val="auto"/>
                <w:kern w:val="0"/>
                <w:sz w:val="24"/>
                <w:highlight w:val="none"/>
              </w:rPr>
            </w:pPr>
            <w:r>
              <w:rPr>
                <w:b/>
                <w:color w:val="auto"/>
                <w:kern w:val="0"/>
                <w:sz w:val="24"/>
                <w:highlight w:val="none"/>
              </w:rPr>
              <w:t>序号</w:t>
            </w:r>
          </w:p>
        </w:tc>
        <w:tc>
          <w:tcPr>
            <w:tcW w:w="975" w:type="pct"/>
            <w:vAlign w:val="center"/>
          </w:tcPr>
          <w:p w14:paraId="49C7F51E">
            <w:pPr>
              <w:widowControl/>
              <w:jc w:val="center"/>
              <w:rPr>
                <w:b/>
                <w:color w:val="auto"/>
                <w:kern w:val="0"/>
                <w:sz w:val="24"/>
                <w:highlight w:val="none"/>
              </w:rPr>
            </w:pPr>
            <w:r>
              <w:rPr>
                <w:b/>
                <w:color w:val="auto"/>
                <w:kern w:val="0"/>
                <w:sz w:val="24"/>
                <w:highlight w:val="none"/>
              </w:rPr>
              <w:t>审查因素</w:t>
            </w:r>
          </w:p>
        </w:tc>
        <w:tc>
          <w:tcPr>
            <w:tcW w:w="3620" w:type="pct"/>
            <w:vAlign w:val="center"/>
          </w:tcPr>
          <w:p w14:paraId="6200898C">
            <w:pPr>
              <w:widowControl/>
              <w:jc w:val="center"/>
              <w:rPr>
                <w:b/>
                <w:color w:val="auto"/>
                <w:kern w:val="0"/>
                <w:sz w:val="24"/>
                <w:highlight w:val="none"/>
              </w:rPr>
            </w:pPr>
            <w:r>
              <w:rPr>
                <w:b/>
                <w:color w:val="auto"/>
                <w:kern w:val="0"/>
                <w:sz w:val="24"/>
                <w:highlight w:val="none"/>
              </w:rPr>
              <w:t>审查内容</w:t>
            </w:r>
          </w:p>
        </w:tc>
      </w:tr>
      <w:tr w14:paraId="7A85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CD417D2">
            <w:pPr>
              <w:widowControl/>
              <w:jc w:val="center"/>
              <w:rPr>
                <w:color w:val="auto"/>
                <w:kern w:val="0"/>
                <w:sz w:val="24"/>
                <w:highlight w:val="none"/>
              </w:rPr>
            </w:pPr>
            <w:r>
              <w:rPr>
                <w:color w:val="auto"/>
                <w:kern w:val="0"/>
                <w:sz w:val="24"/>
                <w:highlight w:val="none"/>
              </w:rPr>
              <w:t>1</w:t>
            </w:r>
          </w:p>
        </w:tc>
        <w:tc>
          <w:tcPr>
            <w:tcW w:w="975" w:type="pct"/>
            <w:vAlign w:val="center"/>
          </w:tcPr>
          <w:p w14:paraId="26E488C8">
            <w:pPr>
              <w:widowControl/>
              <w:jc w:val="left"/>
              <w:rPr>
                <w:color w:val="auto"/>
                <w:kern w:val="0"/>
                <w:sz w:val="24"/>
                <w:highlight w:val="none"/>
              </w:rPr>
            </w:pPr>
            <w:r>
              <w:rPr>
                <w:color w:val="auto"/>
                <w:kern w:val="0"/>
                <w:sz w:val="24"/>
                <w:highlight w:val="none"/>
              </w:rPr>
              <w:t>授权委托书</w:t>
            </w:r>
          </w:p>
        </w:tc>
        <w:tc>
          <w:tcPr>
            <w:tcW w:w="3620" w:type="pct"/>
            <w:vAlign w:val="center"/>
          </w:tcPr>
          <w:p w14:paraId="1A34003A">
            <w:pPr>
              <w:widowControl/>
              <w:jc w:val="left"/>
              <w:rPr>
                <w:color w:val="auto"/>
                <w:kern w:val="0"/>
                <w:sz w:val="24"/>
                <w:highlight w:val="none"/>
              </w:rPr>
            </w:pPr>
            <w:r>
              <w:rPr>
                <w:color w:val="auto"/>
                <w:kern w:val="0"/>
                <w:sz w:val="24"/>
                <w:highlight w:val="none"/>
              </w:rPr>
              <w:t>按招标文件要求提供授权委托书；</w:t>
            </w:r>
          </w:p>
        </w:tc>
      </w:tr>
      <w:tr w14:paraId="2C2E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7F03EFC">
            <w:pPr>
              <w:widowControl/>
              <w:jc w:val="center"/>
              <w:rPr>
                <w:color w:val="auto"/>
                <w:kern w:val="0"/>
                <w:sz w:val="24"/>
                <w:highlight w:val="none"/>
              </w:rPr>
            </w:pPr>
            <w:r>
              <w:rPr>
                <w:color w:val="auto"/>
                <w:kern w:val="0"/>
                <w:sz w:val="24"/>
                <w:highlight w:val="none"/>
              </w:rPr>
              <w:t>2</w:t>
            </w:r>
          </w:p>
        </w:tc>
        <w:tc>
          <w:tcPr>
            <w:tcW w:w="975" w:type="pct"/>
            <w:vAlign w:val="center"/>
          </w:tcPr>
          <w:p w14:paraId="611E0734">
            <w:pPr>
              <w:widowControl/>
              <w:jc w:val="left"/>
              <w:rPr>
                <w:color w:val="auto"/>
                <w:kern w:val="0"/>
                <w:sz w:val="24"/>
                <w:highlight w:val="none"/>
              </w:rPr>
            </w:pPr>
            <w:r>
              <w:rPr>
                <w:color w:val="auto"/>
                <w:kern w:val="0"/>
                <w:sz w:val="24"/>
                <w:highlight w:val="none"/>
              </w:rPr>
              <w:t>投标完整性</w:t>
            </w:r>
          </w:p>
        </w:tc>
        <w:tc>
          <w:tcPr>
            <w:tcW w:w="3620" w:type="pct"/>
            <w:vAlign w:val="center"/>
          </w:tcPr>
          <w:p w14:paraId="14BE833B">
            <w:pPr>
              <w:widowControl/>
              <w:jc w:val="left"/>
              <w:rPr>
                <w:color w:val="auto"/>
                <w:kern w:val="0"/>
                <w:sz w:val="24"/>
                <w:highlight w:val="none"/>
              </w:rPr>
            </w:pPr>
            <w:r>
              <w:rPr>
                <w:color w:val="auto"/>
                <w:sz w:val="24"/>
                <w:highlight w:val="none"/>
              </w:rPr>
              <w:t>未将一个采购包中的内容拆分投标；</w:t>
            </w:r>
          </w:p>
        </w:tc>
      </w:tr>
      <w:tr w14:paraId="575E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EB1026B">
            <w:pPr>
              <w:widowControl/>
              <w:jc w:val="center"/>
              <w:rPr>
                <w:color w:val="auto"/>
                <w:kern w:val="0"/>
                <w:sz w:val="24"/>
                <w:highlight w:val="none"/>
              </w:rPr>
            </w:pPr>
            <w:r>
              <w:rPr>
                <w:color w:val="auto"/>
                <w:kern w:val="0"/>
                <w:sz w:val="24"/>
                <w:highlight w:val="none"/>
              </w:rPr>
              <w:t>3</w:t>
            </w:r>
          </w:p>
        </w:tc>
        <w:tc>
          <w:tcPr>
            <w:tcW w:w="975" w:type="pct"/>
            <w:vAlign w:val="center"/>
          </w:tcPr>
          <w:p w14:paraId="118E5CB9">
            <w:pPr>
              <w:widowControl/>
              <w:jc w:val="left"/>
              <w:rPr>
                <w:color w:val="auto"/>
                <w:kern w:val="0"/>
                <w:sz w:val="24"/>
                <w:highlight w:val="none"/>
              </w:rPr>
            </w:pPr>
            <w:r>
              <w:rPr>
                <w:color w:val="auto"/>
                <w:kern w:val="0"/>
                <w:sz w:val="24"/>
                <w:highlight w:val="none"/>
              </w:rPr>
              <w:t>投标报价</w:t>
            </w:r>
          </w:p>
        </w:tc>
        <w:tc>
          <w:tcPr>
            <w:tcW w:w="3620" w:type="pct"/>
            <w:vAlign w:val="center"/>
          </w:tcPr>
          <w:p w14:paraId="4FF9CC88">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44A7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D36C942">
            <w:pPr>
              <w:widowControl/>
              <w:jc w:val="center"/>
              <w:rPr>
                <w:color w:val="auto"/>
                <w:kern w:val="0"/>
                <w:sz w:val="24"/>
                <w:highlight w:val="none"/>
              </w:rPr>
            </w:pPr>
            <w:r>
              <w:rPr>
                <w:color w:val="auto"/>
                <w:kern w:val="0"/>
                <w:sz w:val="24"/>
                <w:highlight w:val="none"/>
              </w:rPr>
              <w:t>4</w:t>
            </w:r>
          </w:p>
        </w:tc>
        <w:tc>
          <w:tcPr>
            <w:tcW w:w="975" w:type="pct"/>
            <w:vAlign w:val="center"/>
          </w:tcPr>
          <w:p w14:paraId="01DAB49E">
            <w:pPr>
              <w:widowControl/>
              <w:jc w:val="left"/>
              <w:rPr>
                <w:color w:val="auto"/>
                <w:kern w:val="0"/>
                <w:sz w:val="24"/>
                <w:highlight w:val="none"/>
              </w:rPr>
            </w:pPr>
            <w:r>
              <w:rPr>
                <w:color w:val="auto"/>
                <w:kern w:val="0"/>
                <w:sz w:val="24"/>
                <w:highlight w:val="none"/>
              </w:rPr>
              <w:t>报价唯一性</w:t>
            </w:r>
          </w:p>
        </w:tc>
        <w:tc>
          <w:tcPr>
            <w:tcW w:w="3620" w:type="pct"/>
            <w:vAlign w:val="center"/>
          </w:tcPr>
          <w:p w14:paraId="5F189E3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6436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107B110">
            <w:pPr>
              <w:widowControl/>
              <w:jc w:val="center"/>
              <w:rPr>
                <w:color w:val="auto"/>
                <w:kern w:val="0"/>
                <w:sz w:val="24"/>
                <w:highlight w:val="none"/>
              </w:rPr>
            </w:pPr>
            <w:r>
              <w:rPr>
                <w:color w:val="auto"/>
                <w:kern w:val="0"/>
                <w:sz w:val="24"/>
                <w:highlight w:val="none"/>
              </w:rPr>
              <w:t>5</w:t>
            </w:r>
          </w:p>
        </w:tc>
        <w:tc>
          <w:tcPr>
            <w:tcW w:w="975" w:type="pct"/>
            <w:vAlign w:val="center"/>
          </w:tcPr>
          <w:p w14:paraId="40146DF9">
            <w:pPr>
              <w:widowControl/>
              <w:jc w:val="left"/>
              <w:rPr>
                <w:color w:val="auto"/>
                <w:kern w:val="0"/>
                <w:sz w:val="24"/>
                <w:highlight w:val="none"/>
              </w:rPr>
            </w:pPr>
            <w:r>
              <w:rPr>
                <w:color w:val="auto"/>
                <w:kern w:val="0"/>
                <w:sz w:val="24"/>
                <w:highlight w:val="none"/>
              </w:rPr>
              <w:t>投标有效期</w:t>
            </w:r>
          </w:p>
        </w:tc>
        <w:tc>
          <w:tcPr>
            <w:tcW w:w="3620" w:type="pct"/>
            <w:vAlign w:val="center"/>
          </w:tcPr>
          <w:p w14:paraId="4BA6C261">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586FF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A93AB14">
            <w:pPr>
              <w:widowControl/>
              <w:jc w:val="center"/>
              <w:rPr>
                <w:color w:val="auto"/>
                <w:kern w:val="0"/>
                <w:sz w:val="24"/>
                <w:highlight w:val="none"/>
              </w:rPr>
            </w:pPr>
            <w:r>
              <w:rPr>
                <w:color w:val="auto"/>
                <w:kern w:val="0"/>
                <w:sz w:val="24"/>
                <w:highlight w:val="none"/>
              </w:rPr>
              <w:t>6</w:t>
            </w:r>
          </w:p>
        </w:tc>
        <w:tc>
          <w:tcPr>
            <w:tcW w:w="975" w:type="pct"/>
            <w:vAlign w:val="center"/>
          </w:tcPr>
          <w:p w14:paraId="1AB815AF">
            <w:pPr>
              <w:widowControl/>
              <w:jc w:val="left"/>
              <w:rPr>
                <w:color w:val="auto"/>
                <w:kern w:val="0"/>
                <w:sz w:val="24"/>
                <w:highlight w:val="none"/>
              </w:rPr>
            </w:pPr>
            <w:r>
              <w:rPr>
                <w:color w:val="auto"/>
                <w:kern w:val="0"/>
                <w:sz w:val="24"/>
                <w:highlight w:val="none"/>
              </w:rPr>
              <w:t>实质性格式</w:t>
            </w:r>
          </w:p>
        </w:tc>
        <w:tc>
          <w:tcPr>
            <w:tcW w:w="3620" w:type="pct"/>
            <w:vAlign w:val="center"/>
          </w:tcPr>
          <w:p w14:paraId="14CFDEF1">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1787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D9C3636">
            <w:pPr>
              <w:widowControl/>
              <w:jc w:val="center"/>
              <w:rPr>
                <w:color w:val="auto"/>
                <w:kern w:val="0"/>
                <w:sz w:val="24"/>
                <w:highlight w:val="none"/>
              </w:rPr>
            </w:pPr>
            <w:r>
              <w:rPr>
                <w:color w:val="auto"/>
                <w:kern w:val="0"/>
                <w:sz w:val="24"/>
                <w:highlight w:val="none"/>
              </w:rPr>
              <w:t>7</w:t>
            </w:r>
          </w:p>
        </w:tc>
        <w:tc>
          <w:tcPr>
            <w:tcW w:w="975" w:type="pct"/>
            <w:vAlign w:val="center"/>
          </w:tcPr>
          <w:p w14:paraId="24814998">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3620" w:type="pct"/>
            <w:vAlign w:val="center"/>
          </w:tcPr>
          <w:p w14:paraId="263D5C60">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5766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3EBBD0F">
            <w:pPr>
              <w:widowControl/>
              <w:jc w:val="center"/>
              <w:rPr>
                <w:color w:val="auto"/>
                <w:kern w:val="0"/>
                <w:sz w:val="24"/>
                <w:highlight w:val="none"/>
              </w:rPr>
            </w:pPr>
            <w:r>
              <w:rPr>
                <w:color w:val="auto"/>
                <w:kern w:val="0"/>
                <w:sz w:val="24"/>
                <w:highlight w:val="none"/>
              </w:rPr>
              <w:t>8</w:t>
            </w:r>
          </w:p>
        </w:tc>
        <w:tc>
          <w:tcPr>
            <w:tcW w:w="975" w:type="pct"/>
            <w:vAlign w:val="center"/>
          </w:tcPr>
          <w:p w14:paraId="4BFC0369">
            <w:pPr>
              <w:widowControl/>
              <w:jc w:val="left"/>
              <w:rPr>
                <w:color w:val="auto"/>
                <w:kern w:val="0"/>
                <w:sz w:val="24"/>
                <w:highlight w:val="none"/>
              </w:rPr>
            </w:pPr>
            <w:r>
              <w:rPr>
                <w:color w:val="auto"/>
                <w:sz w:val="24"/>
                <w:highlight w:val="none"/>
              </w:rPr>
              <w:t>拟分包情况说明（如有）</w:t>
            </w:r>
          </w:p>
        </w:tc>
        <w:tc>
          <w:tcPr>
            <w:tcW w:w="3620" w:type="pct"/>
            <w:vAlign w:val="center"/>
          </w:tcPr>
          <w:p w14:paraId="6CFB10FB">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6F01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0BF21F4">
            <w:pPr>
              <w:widowControl/>
              <w:jc w:val="center"/>
              <w:rPr>
                <w:color w:val="auto"/>
                <w:kern w:val="0"/>
                <w:sz w:val="24"/>
                <w:highlight w:val="none"/>
              </w:rPr>
            </w:pPr>
            <w:r>
              <w:rPr>
                <w:color w:val="auto"/>
                <w:kern w:val="0"/>
                <w:sz w:val="24"/>
                <w:highlight w:val="none"/>
              </w:rPr>
              <w:t>9</w:t>
            </w:r>
          </w:p>
        </w:tc>
        <w:tc>
          <w:tcPr>
            <w:tcW w:w="975" w:type="pct"/>
            <w:vAlign w:val="center"/>
          </w:tcPr>
          <w:p w14:paraId="3E041C73">
            <w:pPr>
              <w:widowControl/>
              <w:jc w:val="left"/>
              <w:rPr>
                <w:color w:val="auto"/>
                <w:kern w:val="0"/>
                <w:sz w:val="24"/>
                <w:highlight w:val="none"/>
              </w:rPr>
            </w:pPr>
            <w:r>
              <w:rPr>
                <w:color w:val="auto"/>
                <w:kern w:val="0"/>
                <w:sz w:val="24"/>
                <w:highlight w:val="none"/>
              </w:rPr>
              <w:t>分包其他要求（如有）</w:t>
            </w:r>
          </w:p>
        </w:tc>
        <w:tc>
          <w:tcPr>
            <w:tcW w:w="3620" w:type="pct"/>
            <w:vAlign w:val="center"/>
          </w:tcPr>
          <w:p w14:paraId="5E8D4782">
            <w:pPr>
              <w:widowControl/>
              <w:jc w:val="left"/>
              <w:rPr>
                <w:color w:val="auto"/>
                <w:sz w:val="24"/>
                <w:highlight w:val="none"/>
              </w:rPr>
            </w:pPr>
            <w:r>
              <w:rPr>
                <w:color w:val="auto"/>
                <w:sz w:val="24"/>
                <w:highlight w:val="none"/>
              </w:rPr>
              <w:t>分包履行的内容、金额或者比例未超出《投标人须知资料表》中的规定；</w:t>
            </w:r>
          </w:p>
          <w:p w14:paraId="2B22E847">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655ED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80B5B40">
            <w:pPr>
              <w:widowControl/>
              <w:jc w:val="center"/>
              <w:rPr>
                <w:color w:val="auto"/>
                <w:kern w:val="0"/>
                <w:sz w:val="24"/>
                <w:highlight w:val="none"/>
              </w:rPr>
            </w:pPr>
            <w:r>
              <w:rPr>
                <w:color w:val="auto"/>
                <w:kern w:val="0"/>
                <w:sz w:val="24"/>
                <w:highlight w:val="none"/>
              </w:rPr>
              <w:t>10</w:t>
            </w:r>
          </w:p>
        </w:tc>
        <w:tc>
          <w:tcPr>
            <w:tcW w:w="975" w:type="pct"/>
            <w:vAlign w:val="center"/>
          </w:tcPr>
          <w:p w14:paraId="52BA45B9">
            <w:pPr>
              <w:widowControl/>
              <w:jc w:val="left"/>
              <w:rPr>
                <w:color w:val="auto"/>
                <w:kern w:val="0"/>
                <w:sz w:val="24"/>
                <w:highlight w:val="none"/>
              </w:rPr>
            </w:pPr>
            <w:r>
              <w:rPr>
                <w:color w:val="auto"/>
                <w:kern w:val="0"/>
                <w:sz w:val="24"/>
                <w:highlight w:val="none"/>
              </w:rPr>
              <w:t>报价的修正（如有）</w:t>
            </w:r>
          </w:p>
        </w:tc>
        <w:tc>
          <w:tcPr>
            <w:tcW w:w="3620" w:type="pct"/>
            <w:vAlign w:val="center"/>
          </w:tcPr>
          <w:p w14:paraId="415768BB">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0A3C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BEFF83D">
            <w:pPr>
              <w:widowControl/>
              <w:jc w:val="center"/>
              <w:rPr>
                <w:color w:val="auto"/>
                <w:kern w:val="0"/>
                <w:sz w:val="24"/>
                <w:highlight w:val="none"/>
              </w:rPr>
            </w:pPr>
            <w:r>
              <w:rPr>
                <w:color w:val="auto"/>
                <w:kern w:val="0"/>
                <w:sz w:val="24"/>
                <w:highlight w:val="none"/>
              </w:rPr>
              <w:t>11</w:t>
            </w:r>
          </w:p>
        </w:tc>
        <w:tc>
          <w:tcPr>
            <w:tcW w:w="975" w:type="pct"/>
            <w:vAlign w:val="center"/>
          </w:tcPr>
          <w:p w14:paraId="62D9FC5C">
            <w:pPr>
              <w:widowControl/>
              <w:jc w:val="left"/>
              <w:rPr>
                <w:color w:val="auto"/>
                <w:kern w:val="0"/>
                <w:sz w:val="24"/>
                <w:highlight w:val="none"/>
              </w:rPr>
            </w:pPr>
            <w:r>
              <w:rPr>
                <w:color w:val="auto"/>
                <w:kern w:val="0"/>
                <w:sz w:val="24"/>
                <w:highlight w:val="none"/>
              </w:rPr>
              <w:t>进口产品</w:t>
            </w:r>
          </w:p>
          <w:p w14:paraId="0FB7C8E2">
            <w:pPr>
              <w:widowControl/>
              <w:jc w:val="left"/>
              <w:rPr>
                <w:color w:val="auto"/>
                <w:kern w:val="0"/>
                <w:sz w:val="24"/>
                <w:highlight w:val="none"/>
              </w:rPr>
            </w:pPr>
            <w:r>
              <w:rPr>
                <w:color w:val="auto"/>
                <w:kern w:val="0"/>
                <w:sz w:val="24"/>
                <w:highlight w:val="none"/>
              </w:rPr>
              <w:t>（如有）</w:t>
            </w:r>
          </w:p>
        </w:tc>
        <w:tc>
          <w:tcPr>
            <w:tcW w:w="3620" w:type="pct"/>
            <w:vAlign w:val="center"/>
          </w:tcPr>
          <w:p w14:paraId="61903F37">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6666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0ED9396">
            <w:pPr>
              <w:widowControl/>
              <w:jc w:val="center"/>
              <w:rPr>
                <w:color w:val="auto"/>
                <w:kern w:val="0"/>
                <w:sz w:val="24"/>
                <w:highlight w:val="none"/>
              </w:rPr>
            </w:pPr>
            <w:r>
              <w:rPr>
                <w:color w:val="auto"/>
                <w:kern w:val="0"/>
                <w:sz w:val="24"/>
                <w:highlight w:val="none"/>
              </w:rPr>
              <w:t>12</w:t>
            </w:r>
          </w:p>
        </w:tc>
        <w:tc>
          <w:tcPr>
            <w:tcW w:w="975" w:type="pct"/>
            <w:vAlign w:val="center"/>
          </w:tcPr>
          <w:p w14:paraId="7B86545D">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20" w:type="pct"/>
            <w:vAlign w:val="center"/>
          </w:tcPr>
          <w:p w14:paraId="5B168FA0">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10E0AD31">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1B4E430C">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24AED1D1">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1EC6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2BB7C8F">
            <w:pPr>
              <w:widowControl/>
              <w:jc w:val="center"/>
              <w:rPr>
                <w:color w:val="auto"/>
                <w:kern w:val="0"/>
                <w:sz w:val="24"/>
                <w:highlight w:val="none"/>
              </w:rPr>
            </w:pPr>
            <w:r>
              <w:rPr>
                <w:color w:val="auto"/>
                <w:kern w:val="0"/>
                <w:sz w:val="24"/>
                <w:highlight w:val="none"/>
              </w:rPr>
              <w:t>13</w:t>
            </w:r>
          </w:p>
        </w:tc>
        <w:tc>
          <w:tcPr>
            <w:tcW w:w="975" w:type="pct"/>
            <w:vAlign w:val="center"/>
          </w:tcPr>
          <w:p w14:paraId="6CB78606">
            <w:pPr>
              <w:widowControl/>
              <w:jc w:val="left"/>
              <w:rPr>
                <w:color w:val="auto"/>
                <w:kern w:val="0"/>
                <w:sz w:val="24"/>
                <w:highlight w:val="none"/>
              </w:rPr>
            </w:pPr>
            <w:r>
              <w:rPr>
                <w:color w:val="auto"/>
                <w:kern w:val="0"/>
                <w:sz w:val="24"/>
                <w:highlight w:val="none"/>
              </w:rPr>
              <w:t>公平竞争</w:t>
            </w:r>
          </w:p>
        </w:tc>
        <w:tc>
          <w:tcPr>
            <w:tcW w:w="3620" w:type="pct"/>
            <w:vAlign w:val="center"/>
          </w:tcPr>
          <w:p w14:paraId="02E56DF2">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9F0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7250223">
            <w:pPr>
              <w:widowControl/>
              <w:jc w:val="center"/>
              <w:rPr>
                <w:color w:val="auto"/>
                <w:kern w:val="0"/>
                <w:sz w:val="24"/>
                <w:highlight w:val="none"/>
              </w:rPr>
            </w:pPr>
            <w:r>
              <w:rPr>
                <w:color w:val="auto"/>
                <w:kern w:val="0"/>
                <w:sz w:val="24"/>
                <w:highlight w:val="none"/>
              </w:rPr>
              <w:t>14</w:t>
            </w:r>
          </w:p>
        </w:tc>
        <w:tc>
          <w:tcPr>
            <w:tcW w:w="975" w:type="pct"/>
            <w:vAlign w:val="center"/>
          </w:tcPr>
          <w:p w14:paraId="73988E76">
            <w:pPr>
              <w:widowControl/>
              <w:jc w:val="left"/>
              <w:rPr>
                <w:color w:val="auto"/>
                <w:kern w:val="0"/>
                <w:sz w:val="24"/>
                <w:highlight w:val="none"/>
              </w:rPr>
            </w:pPr>
            <w:r>
              <w:rPr>
                <w:color w:val="auto"/>
                <w:kern w:val="0"/>
                <w:sz w:val="24"/>
                <w:highlight w:val="none"/>
              </w:rPr>
              <w:t>串通投标</w:t>
            </w:r>
          </w:p>
        </w:tc>
        <w:tc>
          <w:tcPr>
            <w:tcW w:w="3620" w:type="pct"/>
            <w:vAlign w:val="center"/>
          </w:tcPr>
          <w:p w14:paraId="72641048">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CFD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A470DDC">
            <w:pPr>
              <w:widowControl/>
              <w:jc w:val="center"/>
              <w:rPr>
                <w:color w:val="auto"/>
                <w:kern w:val="0"/>
                <w:sz w:val="24"/>
                <w:highlight w:val="none"/>
              </w:rPr>
            </w:pPr>
            <w:r>
              <w:rPr>
                <w:color w:val="auto"/>
                <w:kern w:val="0"/>
                <w:sz w:val="24"/>
                <w:highlight w:val="none"/>
              </w:rPr>
              <w:t>1</w:t>
            </w:r>
            <w:r>
              <w:rPr>
                <w:rFonts w:hint="eastAsia"/>
                <w:color w:val="auto"/>
                <w:kern w:val="0"/>
                <w:sz w:val="24"/>
                <w:highlight w:val="none"/>
              </w:rPr>
              <w:t>5</w:t>
            </w:r>
          </w:p>
        </w:tc>
        <w:tc>
          <w:tcPr>
            <w:tcW w:w="975" w:type="pct"/>
            <w:vAlign w:val="center"/>
          </w:tcPr>
          <w:p w14:paraId="5B518DAC">
            <w:pPr>
              <w:widowControl/>
              <w:jc w:val="left"/>
              <w:rPr>
                <w:color w:val="auto"/>
                <w:kern w:val="0"/>
                <w:sz w:val="24"/>
                <w:highlight w:val="none"/>
              </w:rPr>
            </w:pPr>
            <w:r>
              <w:rPr>
                <w:color w:val="auto"/>
                <w:kern w:val="0"/>
                <w:sz w:val="24"/>
                <w:highlight w:val="none"/>
              </w:rPr>
              <w:t>附加条件</w:t>
            </w:r>
          </w:p>
        </w:tc>
        <w:tc>
          <w:tcPr>
            <w:tcW w:w="3620" w:type="pct"/>
            <w:vAlign w:val="center"/>
          </w:tcPr>
          <w:p w14:paraId="32527218">
            <w:pPr>
              <w:widowControl/>
              <w:jc w:val="left"/>
              <w:rPr>
                <w:color w:val="auto"/>
                <w:kern w:val="0"/>
                <w:sz w:val="24"/>
                <w:highlight w:val="none"/>
              </w:rPr>
            </w:pPr>
            <w:r>
              <w:rPr>
                <w:color w:val="auto"/>
                <w:kern w:val="0"/>
                <w:sz w:val="24"/>
                <w:highlight w:val="none"/>
              </w:rPr>
              <w:t>投标文件未含有采购人不能接受的附加条件的；</w:t>
            </w:r>
          </w:p>
        </w:tc>
      </w:tr>
      <w:tr w14:paraId="4DF6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58A923A">
            <w:pPr>
              <w:widowControl/>
              <w:jc w:val="center"/>
              <w:rPr>
                <w:color w:val="auto"/>
                <w:kern w:val="0"/>
                <w:sz w:val="24"/>
                <w:highlight w:val="none"/>
              </w:rPr>
            </w:pPr>
            <w:r>
              <w:rPr>
                <w:color w:val="auto"/>
                <w:kern w:val="0"/>
                <w:sz w:val="24"/>
                <w:highlight w:val="none"/>
              </w:rPr>
              <w:t>1</w:t>
            </w:r>
            <w:r>
              <w:rPr>
                <w:rFonts w:hint="eastAsia"/>
                <w:color w:val="auto"/>
                <w:kern w:val="0"/>
                <w:sz w:val="24"/>
                <w:highlight w:val="none"/>
              </w:rPr>
              <w:t>6</w:t>
            </w:r>
          </w:p>
        </w:tc>
        <w:tc>
          <w:tcPr>
            <w:tcW w:w="975" w:type="pct"/>
            <w:vAlign w:val="center"/>
          </w:tcPr>
          <w:p w14:paraId="46974139">
            <w:pPr>
              <w:widowControl/>
              <w:jc w:val="left"/>
              <w:rPr>
                <w:color w:val="auto"/>
                <w:kern w:val="0"/>
                <w:sz w:val="24"/>
                <w:highlight w:val="none"/>
              </w:rPr>
            </w:pPr>
            <w:r>
              <w:rPr>
                <w:color w:val="auto"/>
                <w:kern w:val="0"/>
                <w:sz w:val="24"/>
                <w:highlight w:val="none"/>
              </w:rPr>
              <w:t>其他无效情形</w:t>
            </w:r>
          </w:p>
        </w:tc>
        <w:tc>
          <w:tcPr>
            <w:tcW w:w="3620" w:type="pct"/>
            <w:vAlign w:val="center"/>
          </w:tcPr>
          <w:p w14:paraId="2303A775">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08A774F8">
      <w:pPr>
        <w:numPr>
          <w:ilvl w:val="0"/>
          <w:numId w:val="12"/>
        </w:numPr>
        <w:tabs>
          <w:tab w:val="left" w:pos="1080"/>
          <w:tab w:val="left" w:pos="1589"/>
        </w:tabs>
        <w:snapToGrid w:val="0"/>
        <w:spacing w:line="360" w:lineRule="auto"/>
        <w:rPr>
          <w:color w:val="auto"/>
          <w:sz w:val="24"/>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pgNumType w:fmt="decimal"/>
          <w:cols w:space="720" w:num="1"/>
          <w:docGrid w:linePitch="462" w:charSpace="0"/>
        </w:sectPr>
      </w:pPr>
    </w:p>
    <w:p w14:paraId="71BF62D4">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7D90E610">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17" w:name="_Hlk144225607"/>
      <w:r>
        <w:rPr>
          <w:color w:val="auto"/>
          <w:sz w:val="24"/>
          <w:szCs w:val="20"/>
          <w:highlight w:val="none"/>
        </w:rPr>
        <w:t>若投标人为事业单位或其他组织或分支机构，可为单位负责人</w:t>
      </w:r>
      <w:bookmarkEnd w:id="817"/>
      <w:r>
        <w:rPr>
          <w:color w:val="auto"/>
          <w:sz w:val="24"/>
          <w:highlight w:val="none"/>
        </w:rPr>
        <w:t>）或其授权的代表签字。投标人的澄清、说明或者补正不得超出投标文件的范围或者改变投标文件的实质性内容。澄清文件将作为投标文件内容的一部分。</w:t>
      </w:r>
    </w:p>
    <w:p w14:paraId="425F3299">
      <w:pPr>
        <w:numPr>
          <w:ilvl w:val="1"/>
          <w:numId w:val="11"/>
        </w:numPr>
        <w:tabs>
          <w:tab w:val="left" w:pos="1080"/>
        </w:tabs>
        <w:snapToGrid w:val="0"/>
        <w:spacing w:line="360" w:lineRule="auto"/>
        <w:ind w:left="1077" w:hanging="720"/>
        <w:rPr>
          <w:color w:val="auto"/>
          <w:sz w:val="24"/>
          <w:highlight w:val="none"/>
        </w:rPr>
      </w:pPr>
      <w:bookmarkStart w:id="818" w:name="_Hlk220085436"/>
      <w:r>
        <w:rPr>
          <w:rFonts w:hint="eastAsia"/>
          <w:color w:val="auto"/>
          <w:sz w:val="24"/>
          <w:highlight w:val="none"/>
        </w:rPr>
        <w:t>异常低价处理</w:t>
      </w:r>
    </w:p>
    <w:p w14:paraId="01787EEA">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2E115497">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bookmarkStart w:id="819" w:name="OLE_LINK106"/>
      <w:bookmarkStart w:id="820" w:name="OLE_LINK105"/>
      <w:r>
        <w:rPr>
          <w:rFonts w:hint="eastAsia"/>
          <w:color w:val="auto"/>
          <w:sz w:val="24"/>
          <w:highlight w:val="none"/>
          <w:u w:val="single"/>
        </w:rPr>
        <w:t>50</w:t>
      </w:r>
      <w:bookmarkEnd w:id="819"/>
      <w:bookmarkEnd w:id="820"/>
      <w:r>
        <w:rPr>
          <w:rFonts w:hint="eastAsia"/>
          <w:color w:val="auto"/>
          <w:sz w:val="24"/>
          <w:highlight w:val="none"/>
        </w:rPr>
        <w:t>%的，即投标（响应）报价&lt;全部通过符合性审查供应商投标（响应）报价平均值×</w:t>
      </w:r>
      <w:r>
        <w:rPr>
          <w:rFonts w:hint="eastAsia"/>
          <w:color w:val="auto"/>
          <w:sz w:val="24"/>
          <w:highlight w:val="none"/>
          <w:u w:val="single"/>
        </w:rPr>
        <w:t>50</w:t>
      </w:r>
      <w:r>
        <w:rPr>
          <w:rFonts w:hint="eastAsia"/>
          <w:color w:val="auto"/>
          <w:sz w:val="24"/>
          <w:highlight w:val="none"/>
        </w:rPr>
        <w:t>%；</w:t>
      </w:r>
    </w:p>
    <w:p w14:paraId="28E2D113">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color w:val="auto"/>
          <w:sz w:val="24"/>
          <w:highlight w:val="none"/>
          <w:u w:val="single"/>
        </w:rPr>
        <w:t>50</w:t>
      </w:r>
      <w:r>
        <w:rPr>
          <w:rFonts w:hint="eastAsia"/>
          <w:color w:val="auto"/>
          <w:sz w:val="24"/>
          <w:highlight w:val="none"/>
        </w:rPr>
        <w:t>%的，即投标（响应）报价&lt;通过符合性审查的次低报价供应商投标（响应）报价×</w:t>
      </w:r>
      <w:r>
        <w:rPr>
          <w:color w:val="auto"/>
          <w:sz w:val="24"/>
          <w:highlight w:val="none"/>
          <w:u w:val="single"/>
        </w:rPr>
        <w:t>50</w:t>
      </w:r>
      <w:r>
        <w:rPr>
          <w:rFonts w:hint="eastAsia"/>
          <w:color w:val="auto"/>
          <w:sz w:val="24"/>
          <w:highlight w:val="none"/>
        </w:rPr>
        <w:t>%；</w:t>
      </w:r>
    </w:p>
    <w:p w14:paraId="7F181D5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bookmarkStart w:id="821" w:name="OLE_LINK107"/>
      <w:r>
        <w:rPr>
          <w:rFonts w:hint="eastAsia"/>
          <w:color w:val="auto"/>
          <w:sz w:val="24"/>
          <w:highlight w:val="none"/>
          <w:u w:val="single"/>
        </w:rPr>
        <w:t>45</w:t>
      </w:r>
      <w:bookmarkEnd w:id="821"/>
      <w:r>
        <w:rPr>
          <w:rFonts w:hint="eastAsia"/>
          <w:color w:val="auto"/>
          <w:sz w:val="24"/>
          <w:highlight w:val="none"/>
        </w:rPr>
        <w:t>%的，即投标（响应）报价&lt;采购项目最高限价×</w:t>
      </w:r>
      <w:r>
        <w:rPr>
          <w:rFonts w:hint="eastAsia"/>
          <w:color w:val="auto"/>
          <w:sz w:val="24"/>
          <w:highlight w:val="none"/>
          <w:u w:val="single"/>
        </w:rPr>
        <w:t>45</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4DCE4B09">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6AF39715">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66CF4D29">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0B739894">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822" w:name="_Hlk190337965"/>
      <w:r>
        <w:rPr>
          <w:rFonts w:hint="eastAsia"/>
          <w:color w:val="auto"/>
          <w:sz w:val="24"/>
          <w:highlight w:val="none"/>
        </w:rPr>
        <w:t xml:space="preserve"> 上述投标（响应）报价指按照本章2.4修正后的报价</w:t>
      </w:r>
      <w:bookmarkEnd w:id="822"/>
      <w:r>
        <w:rPr>
          <w:rFonts w:hint="eastAsia"/>
          <w:color w:val="auto"/>
          <w:sz w:val="24"/>
          <w:highlight w:val="none"/>
        </w:rPr>
        <w:t>。</w:t>
      </w:r>
    </w:p>
    <w:bookmarkEnd w:id="818"/>
    <w:p w14:paraId="20E5A707">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0671276F">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0B0E397A">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011CCEDD">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1502BB0E">
      <w:pPr>
        <w:tabs>
          <w:tab w:val="left" w:pos="1080"/>
          <w:tab w:val="left" w:pos="1589"/>
          <w:tab w:val="left" w:pos="2035"/>
          <w:tab w:val="left" w:pos="2114"/>
        </w:tabs>
        <w:snapToGrid w:val="0"/>
        <w:spacing w:line="360" w:lineRule="auto"/>
        <w:ind w:left="2035"/>
        <w:rPr>
          <w:color w:val="auto"/>
          <w:sz w:val="24"/>
          <w:highlight w:val="none"/>
        </w:rPr>
      </w:pPr>
      <w:bookmarkStart w:id="823" w:name="OLE_LINK109"/>
      <w:bookmarkStart w:id="824" w:name="OLE_LINK108"/>
      <w:r>
        <w:rPr>
          <w:rFonts w:hint="eastAsia" w:ascii="宋体" w:hAnsi="宋体"/>
          <w:color w:val="auto"/>
          <w:sz w:val="15"/>
          <w:highlight w:val="none"/>
        </w:rPr>
        <w:t>▇</w:t>
      </w:r>
      <w:bookmarkEnd w:id="823"/>
      <w:bookmarkEnd w:id="824"/>
      <w:r>
        <w:rPr>
          <w:color w:val="auto"/>
          <w:sz w:val="24"/>
          <w:highlight w:val="none"/>
        </w:rPr>
        <w:t>无，按下述2.4.2-2.4.7项规定修正。</w:t>
      </w:r>
    </w:p>
    <w:p w14:paraId="4EA407AD">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93345A4">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367F25CF">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62D9E750">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63D97889">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0F1EE1EA">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39E2350A">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D6903B7">
      <w:pPr>
        <w:numPr>
          <w:ilvl w:val="1"/>
          <w:numId w:val="11"/>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65FF74BC">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rPr>
        <w:t>10</w:t>
      </w:r>
      <w:r>
        <w:rPr>
          <w:color w:val="auto"/>
          <w:sz w:val="24"/>
          <w:highlight w:val="none"/>
        </w:rPr>
        <w:t>%的扣除，用扣除后的价格参加评审。</w:t>
      </w:r>
    </w:p>
    <w:p w14:paraId="4C839C9E">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r>
        <w:rPr>
          <w:b/>
          <w:color w:val="auto"/>
          <w:sz w:val="24"/>
          <w:highlight w:val="none"/>
        </w:rPr>
        <w:t>（本项目不适用）</w:t>
      </w:r>
    </w:p>
    <w:p w14:paraId="3BB9D782">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2DFC0B40">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13775388">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2EE60647">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0F435390">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D623321">
      <w:pPr>
        <w:numPr>
          <w:ilvl w:val="2"/>
          <w:numId w:val="11"/>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580A31CC">
      <w:pPr>
        <w:numPr>
          <w:ilvl w:val="1"/>
          <w:numId w:val="11"/>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6CB184F2">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CFAFFAB">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442C5F">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1BBCDB8">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800"/>
      <w:bookmarkEnd w:id="801"/>
    </w:p>
    <w:p w14:paraId="48D94661">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575FCD00">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2C60A5F1">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1783D9B4">
      <w:pPr>
        <w:tabs>
          <w:tab w:val="left" w:pos="900"/>
          <w:tab w:val="left" w:pos="1589"/>
          <w:tab w:val="left" w:pos="1701"/>
        </w:tabs>
        <w:snapToGrid w:val="0"/>
        <w:spacing w:line="360" w:lineRule="auto"/>
        <w:ind w:left="1985"/>
        <w:rPr>
          <w:color w:val="auto"/>
          <w:sz w:val="24"/>
          <w:highlight w:val="none"/>
        </w:rPr>
      </w:pPr>
      <w:r>
        <w:rPr>
          <w:rFonts w:hint="eastAsia" w:ascii="宋体" w:hAnsi="宋体"/>
          <w:color w:val="auto"/>
          <w:sz w:val="15"/>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55DBB">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185B6BF7">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67FE8FED">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46CA8FA1">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401BBD13">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color w:val="auto"/>
          <w:sz w:val="24"/>
          <w:highlight w:val="none"/>
        </w:rPr>
        <w:t>。</w:t>
      </w:r>
    </w:p>
    <w:p w14:paraId="54A82F93">
      <w:pPr>
        <w:numPr>
          <w:ilvl w:val="0"/>
          <w:numId w:val="11"/>
        </w:numPr>
        <w:tabs>
          <w:tab w:val="left" w:pos="360"/>
        </w:tabs>
        <w:snapToGrid w:val="0"/>
        <w:spacing w:line="360" w:lineRule="auto"/>
        <w:outlineLvl w:val="1"/>
        <w:rPr>
          <w:color w:val="auto"/>
          <w:sz w:val="24"/>
          <w:highlight w:val="none"/>
        </w:rPr>
      </w:pPr>
      <w:r>
        <w:rPr>
          <w:color w:val="auto"/>
          <w:sz w:val="24"/>
          <w:highlight w:val="none"/>
        </w:rPr>
        <w:t>确定</w:t>
      </w:r>
      <w:bookmarkStart w:id="825" w:name="_Toc151193860"/>
      <w:bookmarkStart w:id="826" w:name="_Toc151190173"/>
      <w:bookmarkStart w:id="827" w:name="_Toc149720839"/>
      <w:bookmarkStart w:id="828" w:name="_Toc226965736"/>
      <w:bookmarkStart w:id="829" w:name="_Toc520356170"/>
      <w:bookmarkStart w:id="830" w:name="_Toc142311048"/>
      <w:bookmarkStart w:id="831" w:name="_Toc226965819"/>
      <w:bookmarkStart w:id="832" w:name="_Toc164608660"/>
      <w:bookmarkStart w:id="833" w:name="_Toc151193788"/>
      <w:bookmarkStart w:id="834" w:name="_Toc164351640"/>
      <w:bookmarkStart w:id="835" w:name="_Toc164229241"/>
      <w:bookmarkStart w:id="836" w:name="_Toc265228384"/>
      <w:bookmarkStart w:id="837" w:name="_Toc151193934"/>
      <w:bookmarkStart w:id="838" w:name="_Toc226337242"/>
      <w:bookmarkStart w:id="839" w:name="_Toc127151747"/>
      <w:bookmarkStart w:id="840" w:name="_Toc150509297"/>
      <w:bookmarkStart w:id="841" w:name="_Toc305158814"/>
      <w:bookmarkStart w:id="842" w:name="_Toc150774751"/>
      <w:bookmarkStart w:id="843" w:name="_Toc195842911"/>
      <w:bookmarkStart w:id="844" w:name="_Toc151193644"/>
      <w:bookmarkStart w:id="845" w:name="_Toc164229387"/>
      <w:bookmarkStart w:id="846" w:name="_Toc151193716"/>
      <w:bookmarkStart w:id="847" w:name="_Toc127161460"/>
      <w:bookmarkStart w:id="848" w:name="_Ref467307010"/>
      <w:bookmarkStart w:id="849" w:name="_Toc264969236"/>
      <w:bookmarkStart w:id="850" w:name="_Toc305158888"/>
      <w:bookmarkStart w:id="851" w:name="_Toc150480784"/>
      <w:bookmarkStart w:id="852" w:name="_Toc226309790"/>
      <w:bookmarkStart w:id="853" w:name="_Toc164608815"/>
      <w:bookmarkStart w:id="854" w:name="_Toc127151546"/>
      <w:bookmarkStart w:id="855" w:name="_Toc150774646"/>
      <w:r>
        <w:rPr>
          <w:color w:val="auto"/>
          <w:sz w:val="24"/>
          <w:highlight w:val="none"/>
        </w:rPr>
        <w:t>中标候选人名单</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p w14:paraId="5C8C717B">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B60BAAE">
      <w:pPr>
        <w:pStyle w:val="23"/>
        <w:tabs>
          <w:tab w:val="left" w:pos="900"/>
          <w:tab w:val="left" w:pos="2127"/>
        </w:tabs>
        <w:adjustRightInd w:val="0"/>
        <w:snapToGrid w:val="0"/>
        <w:spacing w:line="360" w:lineRule="auto"/>
        <w:ind w:left="993" w:firstLine="85" w:firstLineChars="57"/>
        <w:rPr>
          <w:rFonts w:hint="default" w:ascii="Times New Roman" w:hAnsi="Times New Roman"/>
          <w:color w:val="auto"/>
          <w:sz w:val="24"/>
          <w:szCs w:val="24"/>
          <w:highlight w:val="none"/>
        </w:rPr>
      </w:pPr>
      <w:r>
        <w:rPr>
          <w:rFonts w:hAnsi="宋体"/>
          <w:color w:val="auto"/>
          <w:sz w:val="15"/>
          <w:highlight w:val="none"/>
        </w:rPr>
        <w:t>▇</w:t>
      </w:r>
      <w:r>
        <w:rPr>
          <w:rFonts w:hint="default" w:ascii="Times New Roman" w:hAnsi="Times New Roman"/>
          <w:color w:val="auto"/>
          <w:sz w:val="24"/>
          <w:szCs w:val="24"/>
          <w:highlight w:val="none"/>
        </w:rPr>
        <w:t>随机抽取</w:t>
      </w:r>
    </w:p>
    <w:p w14:paraId="14345EE8">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□其他方式，具体要求：_____</w:t>
      </w:r>
    </w:p>
    <w:p w14:paraId="7C9B45E9">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00D4E8A">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F14FF88">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39391CE8">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rPr>
        <w:t>3</w:t>
      </w:r>
      <w:r>
        <w:rPr>
          <w:color w:val="auto"/>
          <w:sz w:val="24"/>
          <w:highlight w:val="none"/>
        </w:rPr>
        <w:t>名中标候选人。</w:t>
      </w:r>
    </w:p>
    <w:p w14:paraId="7DB0A7A8">
      <w:pPr>
        <w:numPr>
          <w:ilvl w:val="0"/>
          <w:numId w:val="11"/>
        </w:numPr>
        <w:tabs>
          <w:tab w:val="left" w:pos="360"/>
        </w:tabs>
        <w:snapToGrid w:val="0"/>
        <w:spacing w:line="360" w:lineRule="auto"/>
        <w:outlineLvl w:val="1"/>
        <w:rPr>
          <w:color w:val="auto"/>
          <w:sz w:val="24"/>
          <w:highlight w:val="none"/>
        </w:rPr>
      </w:pPr>
      <w:r>
        <w:rPr>
          <w:color w:val="auto"/>
          <w:sz w:val="24"/>
          <w:highlight w:val="none"/>
        </w:rPr>
        <w:t>报告违法行为</w:t>
      </w:r>
    </w:p>
    <w:p w14:paraId="4E2E9C4C">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4FF95AF3">
      <w:pPr>
        <w:widowControl/>
        <w:jc w:val="left"/>
        <w:rPr>
          <w:b/>
          <w:color w:val="auto"/>
          <w:sz w:val="24"/>
          <w:highlight w:val="none"/>
        </w:rPr>
      </w:pPr>
      <w:r>
        <w:rPr>
          <w:b/>
          <w:color w:val="auto"/>
          <w:sz w:val="24"/>
          <w:highlight w:val="none"/>
        </w:rPr>
        <w:br w:type="page"/>
      </w:r>
    </w:p>
    <w:p w14:paraId="711557B2">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6824"/>
        <w:gridCol w:w="1063"/>
      </w:tblGrid>
      <w:tr w14:paraId="5B344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Align w:val="center"/>
          </w:tcPr>
          <w:p w14:paraId="7B8831FF">
            <w:pPr>
              <w:adjustRightInd w:val="0"/>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评审内容</w:t>
            </w:r>
          </w:p>
        </w:tc>
        <w:tc>
          <w:tcPr>
            <w:tcW w:w="6824" w:type="dxa"/>
            <w:vAlign w:val="center"/>
          </w:tcPr>
          <w:p w14:paraId="600DEB04">
            <w:pPr>
              <w:adjustRightInd w:val="0"/>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评分标准</w:t>
            </w:r>
          </w:p>
        </w:tc>
        <w:tc>
          <w:tcPr>
            <w:tcW w:w="1063" w:type="dxa"/>
            <w:vAlign w:val="center"/>
          </w:tcPr>
          <w:p w14:paraId="51BE8A3E">
            <w:pPr>
              <w:adjustRightInd w:val="0"/>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分值</w:t>
            </w:r>
          </w:p>
        </w:tc>
      </w:tr>
      <w:tr w14:paraId="5CDCB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Align w:val="center"/>
          </w:tcPr>
          <w:p w14:paraId="25BBB43F">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价格部分</w:t>
            </w:r>
          </w:p>
          <w:p w14:paraId="4232E1B7">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(10分)</w:t>
            </w:r>
          </w:p>
        </w:tc>
        <w:tc>
          <w:tcPr>
            <w:tcW w:w="6824" w:type="dxa"/>
          </w:tcPr>
          <w:p w14:paraId="34639D7C">
            <w:pPr>
              <w:pStyle w:val="248"/>
              <w:adjustRightInd w:val="0"/>
              <w:snapToGrid w:val="0"/>
              <w:ind w:right="95"/>
              <w:rPr>
                <w:color w:val="auto"/>
                <w:kern w:val="2"/>
                <w:sz w:val="24"/>
                <w:szCs w:val="24"/>
                <w:highlight w:val="none"/>
                <w:lang w:eastAsia="zh-CN"/>
              </w:rPr>
            </w:pPr>
            <w:r>
              <w:rPr>
                <w:rFonts w:hint="eastAsia"/>
                <w:color w:val="auto"/>
                <w:kern w:val="2"/>
                <w:sz w:val="24"/>
                <w:szCs w:val="24"/>
                <w:highlight w:val="none"/>
                <w:lang w:eastAsia="zh-CN"/>
              </w:rPr>
              <w:t>满足招标文件要求且投标价格最低的投标报价为评标基准价，其价格分为满分。其他投标人的价格分统一按照下列公式计算：投标报价得分=（评标基准价/投标报价）×分值。</w:t>
            </w:r>
          </w:p>
          <w:p w14:paraId="7C58DA41">
            <w:pPr>
              <w:pStyle w:val="248"/>
              <w:adjustRightInd w:val="0"/>
              <w:snapToGrid w:val="0"/>
              <w:ind w:right="95"/>
              <w:rPr>
                <w:color w:val="auto"/>
                <w:kern w:val="2"/>
                <w:sz w:val="24"/>
                <w:szCs w:val="24"/>
                <w:highlight w:val="none"/>
                <w:lang w:eastAsia="zh-CN"/>
              </w:rPr>
            </w:pPr>
            <w:r>
              <w:rPr>
                <w:rFonts w:hint="eastAsia"/>
                <w:color w:val="auto"/>
                <w:kern w:val="2"/>
                <w:sz w:val="24"/>
                <w:szCs w:val="24"/>
                <w:highlight w:val="none"/>
                <w:lang w:eastAsia="zh-CN"/>
              </w:rPr>
              <w:t>注：此处投标报价指经过报价修正，及因落实政府采购政策进行价格调整后的报价。</w:t>
            </w:r>
          </w:p>
        </w:tc>
        <w:tc>
          <w:tcPr>
            <w:tcW w:w="1063" w:type="dxa"/>
            <w:vAlign w:val="center"/>
          </w:tcPr>
          <w:p w14:paraId="48B69677">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0-10分</w:t>
            </w:r>
          </w:p>
          <w:p w14:paraId="4963CEA4">
            <w:pPr>
              <w:adjustRightInd w:val="0"/>
              <w:snapToGrid w:val="0"/>
              <w:jc w:val="center"/>
              <w:rPr>
                <w:rFonts w:ascii="宋体" w:hAnsi="宋体" w:cs="宋体"/>
                <w:color w:val="auto"/>
                <w:kern w:val="0"/>
                <w:sz w:val="24"/>
                <w:highlight w:val="none"/>
              </w:rPr>
            </w:pPr>
          </w:p>
        </w:tc>
      </w:tr>
      <w:tr w14:paraId="7D5BF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restart"/>
            <w:vAlign w:val="center"/>
          </w:tcPr>
          <w:p w14:paraId="1D7417F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商务部分</w:t>
            </w:r>
          </w:p>
          <w:p w14:paraId="580E3C5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(30分)</w:t>
            </w:r>
          </w:p>
        </w:tc>
        <w:tc>
          <w:tcPr>
            <w:tcW w:w="6824" w:type="dxa"/>
          </w:tcPr>
          <w:p w14:paraId="7B6C3093">
            <w:pPr>
              <w:pStyle w:val="248"/>
              <w:widowControl/>
              <w:tabs>
                <w:tab w:val="left" w:pos="2100"/>
              </w:tabs>
              <w:adjustRightInd w:val="0"/>
              <w:snapToGrid w:val="0"/>
              <w:ind w:right="95"/>
              <w:rPr>
                <w:b/>
                <w:color w:val="auto"/>
                <w:sz w:val="24"/>
                <w:szCs w:val="24"/>
                <w:highlight w:val="none"/>
                <w:lang w:eastAsia="zh-CN" w:bidi="ar"/>
              </w:rPr>
            </w:pPr>
            <w:r>
              <w:rPr>
                <w:rFonts w:hint="eastAsia"/>
                <w:color w:val="auto"/>
                <w:sz w:val="24"/>
                <w:szCs w:val="24"/>
                <w:highlight w:val="none"/>
                <w:lang w:eastAsia="zh-CN" w:bidi="ar"/>
              </w:rPr>
              <w:t>1、类似业绩</w:t>
            </w:r>
          </w:p>
          <w:p w14:paraId="1205E33F">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投标人2023年1月1日（以合同签订时间或合同中约定的服务起始时间为准）至本项目投标截止时间签订的信息系统开发类或信息系统类项目业绩：</w:t>
            </w:r>
          </w:p>
          <w:p w14:paraId="0F0435FC">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每提供一份有效的同类项目业绩，得3分，最多15分。</w:t>
            </w:r>
          </w:p>
          <w:p w14:paraId="2BA1D9B4">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注：</w:t>
            </w:r>
          </w:p>
          <w:p w14:paraId="532F2148">
            <w:pPr>
              <w:pStyle w:val="248"/>
              <w:widowControl/>
              <w:tabs>
                <w:tab w:val="left" w:pos="2100"/>
              </w:tabs>
              <w:adjustRightInd w:val="0"/>
              <w:snapToGrid w:val="0"/>
              <w:ind w:right="95"/>
              <w:rPr>
                <w:color w:val="auto"/>
                <w:sz w:val="24"/>
                <w:szCs w:val="24"/>
                <w:highlight w:val="none"/>
                <w:lang w:eastAsia="zh-CN"/>
              </w:rPr>
            </w:pPr>
            <w:r>
              <w:rPr>
                <w:rFonts w:hint="eastAsia"/>
                <w:color w:val="auto"/>
                <w:sz w:val="24"/>
                <w:szCs w:val="24"/>
                <w:highlight w:val="none"/>
                <w:lang w:eastAsia="zh-CN" w:bidi="ar"/>
              </w:rPr>
              <w:t>注:提供合同复印件(以合同签订时间为准，含签订合同双方的单位名称、合同项目名称、签订合同双方的落款盖章、签订日期等关键页)，并加盖投标人公章。</w:t>
            </w:r>
          </w:p>
        </w:tc>
        <w:tc>
          <w:tcPr>
            <w:tcW w:w="1063" w:type="dxa"/>
            <w:vAlign w:val="center"/>
          </w:tcPr>
          <w:p w14:paraId="2795D66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0-15分</w:t>
            </w:r>
          </w:p>
        </w:tc>
      </w:tr>
      <w:tr w14:paraId="76A2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tcPr>
          <w:p w14:paraId="1DA76466">
            <w:pPr>
              <w:adjustRightInd w:val="0"/>
              <w:snapToGrid w:val="0"/>
              <w:rPr>
                <w:rFonts w:ascii="宋体" w:hAnsi="宋体" w:cs="宋体"/>
                <w:color w:val="auto"/>
                <w:kern w:val="0"/>
                <w:sz w:val="24"/>
                <w:highlight w:val="none"/>
              </w:rPr>
            </w:pPr>
          </w:p>
        </w:tc>
        <w:tc>
          <w:tcPr>
            <w:tcW w:w="6824" w:type="dxa"/>
            <w:vAlign w:val="center"/>
          </w:tcPr>
          <w:p w14:paraId="6E7DA25D">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2、体系证书</w:t>
            </w:r>
          </w:p>
          <w:p w14:paraId="12C132C3">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(1)具有质量管理体系认证得1分，不提供者得0分。</w:t>
            </w:r>
          </w:p>
          <w:p w14:paraId="40BE1188">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(2)具有信息技术服务管理体系认证得1分，不提供者得0分。</w:t>
            </w:r>
          </w:p>
        </w:tc>
        <w:tc>
          <w:tcPr>
            <w:tcW w:w="1063" w:type="dxa"/>
            <w:vAlign w:val="center"/>
          </w:tcPr>
          <w:p w14:paraId="268D05A2">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0-2分</w:t>
            </w:r>
          </w:p>
        </w:tc>
      </w:tr>
      <w:tr w14:paraId="6EF4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tcPr>
          <w:p w14:paraId="31CEDA6F">
            <w:pPr>
              <w:adjustRightInd w:val="0"/>
              <w:snapToGrid w:val="0"/>
              <w:rPr>
                <w:rFonts w:ascii="宋体" w:hAnsi="宋体" w:cs="宋体"/>
                <w:color w:val="auto"/>
                <w:kern w:val="0"/>
                <w:sz w:val="24"/>
                <w:highlight w:val="none"/>
              </w:rPr>
            </w:pPr>
          </w:p>
        </w:tc>
        <w:tc>
          <w:tcPr>
            <w:tcW w:w="6824" w:type="dxa"/>
            <w:vAlign w:val="center"/>
          </w:tcPr>
          <w:p w14:paraId="71D86D57">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3、组织架构</w:t>
            </w:r>
          </w:p>
          <w:p w14:paraId="2350CD7E">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（1）项目负责人（项目经理）</w:t>
            </w:r>
          </w:p>
          <w:p w14:paraId="454FA206">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具有软件工程类或电子信息类高级（及以上）职称证书的，得</w:t>
            </w:r>
            <w:r>
              <w:rPr>
                <w:rFonts w:hint="eastAsia"/>
                <w:color w:val="auto"/>
                <w:sz w:val="24"/>
                <w:szCs w:val="24"/>
                <w:highlight w:val="none"/>
                <w:lang w:val="en-US" w:eastAsia="zh-CN" w:bidi="ar"/>
              </w:rPr>
              <w:t>3</w:t>
            </w:r>
            <w:r>
              <w:rPr>
                <w:rFonts w:hint="eastAsia"/>
                <w:color w:val="auto"/>
                <w:sz w:val="24"/>
                <w:szCs w:val="24"/>
                <w:highlight w:val="none"/>
                <w:lang w:eastAsia="zh-CN" w:bidi="ar"/>
              </w:rPr>
              <w:t>分。</w:t>
            </w:r>
          </w:p>
          <w:p w14:paraId="76581949">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（2）投标人拟任的算法模型负责人</w:t>
            </w:r>
          </w:p>
          <w:p w14:paraId="2661B874">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具有高级（及以上）职称证书的，得2分。</w:t>
            </w:r>
          </w:p>
          <w:p w14:paraId="04D0EC92">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（3）投标人实施团队成员</w:t>
            </w:r>
          </w:p>
          <w:p w14:paraId="12D5E53A">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具备信息系统项目管理师证书、系统分析师、系统架构设计师、数据库系统工程师、软件设计师、信息安全工程师中级职称及以上证书、电子信息中级职称及以上证书、通信专业中级及以上工程师，每提供1个证书得1分，本项最高得</w:t>
            </w:r>
            <w:r>
              <w:rPr>
                <w:rFonts w:hint="eastAsia"/>
                <w:color w:val="auto"/>
                <w:sz w:val="24"/>
                <w:szCs w:val="24"/>
                <w:highlight w:val="none"/>
                <w:lang w:val="en-US" w:eastAsia="zh-CN" w:bidi="ar"/>
              </w:rPr>
              <w:t>8</w:t>
            </w:r>
            <w:r>
              <w:rPr>
                <w:rFonts w:hint="eastAsia"/>
                <w:color w:val="auto"/>
                <w:sz w:val="24"/>
                <w:szCs w:val="24"/>
                <w:highlight w:val="none"/>
                <w:lang w:eastAsia="zh-CN" w:bidi="ar"/>
              </w:rPr>
              <w:t>分，未提供得0分。（同一类证书或一人多证均不得重复计分）</w:t>
            </w:r>
          </w:p>
          <w:p w14:paraId="519C932B">
            <w:pPr>
              <w:pStyle w:val="248"/>
              <w:widowControl/>
              <w:tabs>
                <w:tab w:val="left" w:pos="2100"/>
              </w:tabs>
              <w:adjustRightInd w:val="0"/>
              <w:snapToGrid w:val="0"/>
              <w:ind w:right="95"/>
              <w:rPr>
                <w:color w:val="auto"/>
                <w:sz w:val="24"/>
                <w:szCs w:val="24"/>
                <w:highlight w:val="none"/>
                <w:lang w:eastAsia="zh-CN" w:bidi="ar"/>
              </w:rPr>
            </w:pPr>
            <w:r>
              <w:rPr>
                <w:rFonts w:hint="eastAsia"/>
                <w:color w:val="auto"/>
                <w:sz w:val="24"/>
                <w:szCs w:val="24"/>
                <w:highlight w:val="none"/>
                <w:lang w:eastAsia="zh-CN" w:bidi="ar"/>
              </w:rPr>
              <w:t>注：以上投标人需提供为实施团队缴纳的2026年任意1个月的社保证明材料。</w:t>
            </w:r>
          </w:p>
        </w:tc>
        <w:tc>
          <w:tcPr>
            <w:tcW w:w="1063" w:type="dxa"/>
            <w:vAlign w:val="center"/>
          </w:tcPr>
          <w:p w14:paraId="2EF2FCF5">
            <w:pPr>
              <w:adjustRightInd w:val="0"/>
              <w:snapToGrid w:val="0"/>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0-13分</w:t>
            </w:r>
          </w:p>
        </w:tc>
      </w:tr>
      <w:tr w14:paraId="3A0B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restart"/>
            <w:vAlign w:val="bottom"/>
          </w:tcPr>
          <w:p w14:paraId="305D4778">
            <w:pPr>
              <w:adjustRightInd w:val="0"/>
              <w:snapToGrid w:val="0"/>
              <w:jc w:val="center"/>
              <w:rPr>
                <w:rFonts w:ascii="宋体" w:hAnsi="宋体" w:cs="宋体"/>
                <w:color w:val="auto"/>
                <w:kern w:val="0"/>
                <w:sz w:val="24"/>
                <w:highlight w:val="none"/>
              </w:rPr>
            </w:pPr>
          </w:p>
          <w:p w14:paraId="2E4F16A5">
            <w:pPr>
              <w:adjustRightInd w:val="0"/>
              <w:snapToGrid w:val="0"/>
              <w:jc w:val="center"/>
              <w:rPr>
                <w:rFonts w:ascii="宋体" w:hAnsi="宋体" w:cs="宋体"/>
                <w:color w:val="auto"/>
                <w:kern w:val="0"/>
                <w:sz w:val="24"/>
                <w:highlight w:val="none"/>
              </w:rPr>
            </w:pPr>
          </w:p>
          <w:p w14:paraId="69D35253">
            <w:pPr>
              <w:adjustRightInd w:val="0"/>
              <w:snapToGrid w:val="0"/>
              <w:jc w:val="center"/>
              <w:rPr>
                <w:rFonts w:ascii="宋体" w:hAnsi="宋体" w:cs="宋体"/>
                <w:color w:val="auto"/>
                <w:kern w:val="0"/>
                <w:sz w:val="24"/>
                <w:highlight w:val="none"/>
              </w:rPr>
            </w:pPr>
          </w:p>
          <w:p w14:paraId="3CC5E8D1">
            <w:pPr>
              <w:adjustRightInd w:val="0"/>
              <w:snapToGrid w:val="0"/>
              <w:jc w:val="center"/>
              <w:rPr>
                <w:rFonts w:ascii="宋体" w:hAnsi="宋体" w:cs="宋体"/>
                <w:color w:val="auto"/>
                <w:kern w:val="0"/>
                <w:sz w:val="24"/>
                <w:highlight w:val="none"/>
              </w:rPr>
            </w:pPr>
          </w:p>
          <w:p w14:paraId="0F111DFF">
            <w:pPr>
              <w:adjustRightInd w:val="0"/>
              <w:snapToGrid w:val="0"/>
              <w:jc w:val="center"/>
              <w:rPr>
                <w:rFonts w:ascii="宋体" w:hAnsi="宋体" w:cs="宋体"/>
                <w:color w:val="auto"/>
                <w:kern w:val="0"/>
                <w:sz w:val="24"/>
                <w:highlight w:val="none"/>
              </w:rPr>
            </w:pPr>
          </w:p>
          <w:p w14:paraId="2CDCC9CF">
            <w:pPr>
              <w:adjustRightInd w:val="0"/>
              <w:snapToGrid w:val="0"/>
              <w:jc w:val="center"/>
              <w:rPr>
                <w:rFonts w:ascii="宋体" w:hAnsi="宋体" w:cs="宋体"/>
                <w:color w:val="auto"/>
                <w:kern w:val="0"/>
                <w:sz w:val="24"/>
                <w:highlight w:val="none"/>
              </w:rPr>
            </w:pPr>
          </w:p>
          <w:p w14:paraId="0537E8F8">
            <w:pPr>
              <w:adjustRightInd w:val="0"/>
              <w:snapToGrid w:val="0"/>
              <w:jc w:val="center"/>
              <w:rPr>
                <w:rFonts w:ascii="宋体" w:hAnsi="宋体" w:cs="宋体"/>
                <w:color w:val="auto"/>
                <w:kern w:val="0"/>
                <w:sz w:val="24"/>
                <w:highlight w:val="none"/>
              </w:rPr>
            </w:pPr>
          </w:p>
          <w:p w14:paraId="6EE66CF8">
            <w:pPr>
              <w:adjustRightInd w:val="0"/>
              <w:snapToGrid w:val="0"/>
              <w:jc w:val="center"/>
              <w:rPr>
                <w:rFonts w:ascii="宋体" w:hAnsi="宋体" w:cs="宋体"/>
                <w:color w:val="auto"/>
                <w:kern w:val="0"/>
                <w:sz w:val="24"/>
                <w:highlight w:val="none"/>
              </w:rPr>
            </w:pPr>
          </w:p>
          <w:p w14:paraId="73D48CB2">
            <w:pPr>
              <w:adjustRightInd w:val="0"/>
              <w:snapToGrid w:val="0"/>
              <w:jc w:val="center"/>
              <w:rPr>
                <w:rFonts w:ascii="宋体" w:hAnsi="宋体" w:cs="宋体"/>
                <w:color w:val="auto"/>
                <w:kern w:val="0"/>
                <w:sz w:val="24"/>
                <w:highlight w:val="none"/>
              </w:rPr>
            </w:pPr>
          </w:p>
          <w:p w14:paraId="17C3685B">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技术部分（60分)</w:t>
            </w:r>
          </w:p>
          <w:p w14:paraId="0F22D542">
            <w:pPr>
              <w:adjustRightInd w:val="0"/>
              <w:snapToGrid w:val="0"/>
              <w:jc w:val="center"/>
              <w:rPr>
                <w:rFonts w:ascii="宋体" w:hAnsi="宋体" w:cs="宋体"/>
                <w:color w:val="auto"/>
                <w:kern w:val="0"/>
                <w:sz w:val="24"/>
                <w:highlight w:val="none"/>
              </w:rPr>
            </w:pPr>
          </w:p>
        </w:tc>
        <w:tc>
          <w:tcPr>
            <w:tcW w:w="6824" w:type="dxa"/>
          </w:tcPr>
          <w:p w14:paraId="511A8A03">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1、项目</w:t>
            </w:r>
            <w:r>
              <w:rPr>
                <w:rFonts w:hint="eastAsia" w:ascii="宋体" w:hAnsi="宋体" w:cs="宋体"/>
                <w:color w:val="auto"/>
                <w:kern w:val="0"/>
                <w:sz w:val="24"/>
                <w:highlight w:val="none"/>
                <w:lang w:val="en-US" w:eastAsia="zh-CN" w:bidi="ar"/>
              </w:rPr>
              <w:t>整体</w:t>
            </w:r>
            <w:r>
              <w:rPr>
                <w:rFonts w:hint="eastAsia" w:ascii="宋体" w:hAnsi="宋体" w:cs="宋体"/>
                <w:color w:val="auto"/>
                <w:kern w:val="0"/>
                <w:sz w:val="24"/>
                <w:highlight w:val="none"/>
                <w:lang w:bidi="ar"/>
              </w:rPr>
              <w:t>理解</w:t>
            </w:r>
          </w:p>
          <w:p w14:paraId="6438B072">
            <w:pPr>
              <w:pStyle w:val="3"/>
              <w:numPr>
                <w:ilvl w:val="1"/>
                <w:numId w:val="0"/>
              </w:numPr>
              <w:tabs>
                <w:tab w:val="left" w:pos="0"/>
                <w:tab w:val="left" w:pos="420"/>
              </w:tabs>
              <w:snapToGrid w:val="0"/>
              <w:spacing w:before="0" w:line="240" w:lineRule="auto"/>
              <w:jc w:val="both"/>
              <w:rPr>
                <w:rFonts w:ascii="宋体" w:hAnsi="宋体" w:eastAsia="宋体" w:cs="宋体"/>
                <w:b w:val="0"/>
                <w:color w:val="auto"/>
                <w:sz w:val="24"/>
                <w:szCs w:val="24"/>
                <w:highlight w:val="none"/>
                <w:lang w:bidi="ar"/>
              </w:rPr>
            </w:pPr>
            <w:r>
              <w:rPr>
                <w:rFonts w:hint="eastAsia" w:ascii="宋体" w:hAnsi="宋体" w:eastAsia="宋体" w:cs="宋体"/>
                <w:b w:val="0"/>
                <w:color w:val="auto"/>
                <w:sz w:val="24"/>
                <w:szCs w:val="24"/>
                <w:highlight w:val="none"/>
                <w:lang w:bidi="ar"/>
              </w:rPr>
              <w:t>（1）完全深度理解本项目危险废物智慧监管全业务需求，完整覆盖物联网、移动互联网、区块链、遥感、装备评估、转运装备评估、政策研究、新兴固废、支撑平台全部9大系统建设内容，精准把握项目技术重难点、业务监管目标，需求理解透彻、贴合项目实际，得6分；</w:t>
            </w:r>
          </w:p>
          <w:p w14:paraId="7E9CC2D6">
            <w:pPr>
              <w:adjustRightInd w:val="0"/>
              <w:snapToGrid w:val="0"/>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（2）能够完整掌握项目核心建设内容，覆盖绝大多数系统模块，清楚项目主要业务与技术要求，仅少量细分业务描述存在轻微疏漏，整体理解较为到位，得4分；</w:t>
            </w:r>
          </w:p>
          <w:p w14:paraId="4B89F13A">
            <w:pPr>
              <w:pStyle w:val="3"/>
              <w:numPr>
                <w:ilvl w:val="1"/>
                <w:numId w:val="0"/>
              </w:numPr>
              <w:tabs>
                <w:tab w:val="left" w:pos="0"/>
                <w:tab w:val="left" w:pos="420"/>
              </w:tabs>
              <w:snapToGrid w:val="0"/>
              <w:spacing w:before="0" w:line="240" w:lineRule="auto"/>
              <w:jc w:val="both"/>
              <w:rPr>
                <w:rFonts w:ascii="宋体" w:hAnsi="宋体" w:eastAsia="宋体" w:cs="宋体"/>
                <w:b w:val="0"/>
                <w:color w:val="auto"/>
                <w:sz w:val="24"/>
                <w:szCs w:val="24"/>
                <w:highlight w:val="none"/>
                <w:lang w:bidi="ar"/>
              </w:rPr>
            </w:pPr>
            <w:r>
              <w:rPr>
                <w:rFonts w:hint="eastAsia" w:ascii="宋体" w:hAnsi="宋体" w:eastAsia="宋体" w:cs="宋体"/>
                <w:b w:val="0"/>
                <w:color w:val="auto"/>
                <w:sz w:val="24"/>
                <w:szCs w:val="24"/>
                <w:highlight w:val="none"/>
                <w:lang w:bidi="ar"/>
              </w:rPr>
              <w:t>（3）仅掌握项目基础业务框架，存在多个系统模块描述缺失，对遥感、区块链、装备评估等特色专项业务理解浅显，需求理解不完善，得2分；</w:t>
            </w:r>
          </w:p>
          <w:p w14:paraId="5EDEACD2">
            <w:pPr>
              <w:adjustRightInd w:val="0"/>
              <w:snapToGrid w:val="0"/>
              <w:rPr>
                <w:rFonts w:ascii="宋体" w:hAnsi="宋体" w:cs="宋体"/>
                <w:color w:val="auto"/>
                <w:kern w:val="0"/>
                <w:sz w:val="24"/>
                <w:highlight w:val="none"/>
                <w:lang w:bidi="ar"/>
              </w:rPr>
            </w:pPr>
            <w:r>
              <w:rPr>
                <w:rFonts w:hint="eastAsia" w:ascii="宋体" w:hAnsi="宋体" w:cs="宋体"/>
                <w:color w:val="auto"/>
                <w:kern w:val="0"/>
                <w:sz w:val="24"/>
                <w:highlight w:val="none"/>
                <w:lang w:bidi="ar"/>
              </w:rPr>
              <w:t>（4）未针对本项目需求进行针对性阐述，仅通用化套话，未体现对本项目的理解，不得分。</w:t>
            </w:r>
          </w:p>
        </w:tc>
        <w:tc>
          <w:tcPr>
            <w:tcW w:w="1063" w:type="dxa"/>
            <w:vAlign w:val="center"/>
          </w:tcPr>
          <w:p w14:paraId="50406CF0">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0-6分</w:t>
            </w:r>
          </w:p>
        </w:tc>
      </w:tr>
      <w:tr w14:paraId="0791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2F48AE17">
            <w:pPr>
              <w:adjustRightInd w:val="0"/>
              <w:snapToGrid w:val="0"/>
              <w:jc w:val="center"/>
              <w:rPr>
                <w:rFonts w:ascii="宋体" w:hAnsi="宋体" w:cs="宋体"/>
                <w:color w:val="auto"/>
                <w:kern w:val="0"/>
                <w:sz w:val="24"/>
                <w:highlight w:val="none"/>
              </w:rPr>
            </w:pPr>
          </w:p>
        </w:tc>
        <w:tc>
          <w:tcPr>
            <w:tcW w:w="6824" w:type="dxa"/>
            <w:shd w:val="clear" w:color="auto" w:fill="auto"/>
          </w:tcPr>
          <w:p w14:paraId="12F0AF10">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2、投标人应提出危险废物物联网技术应用系统设计方案，包括不限于以下内容：</w:t>
            </w:r>
          </w:p>
          <w:p w14:paraId="03A2FCF6">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（1）提出系统业务流程设计、系统接口设计，含设计图和描述。</w:t>
            </w:r>
          </w:p>
          <w:p w14:paraId="00A0E3D3">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（2）提出系统功能架构设计图，包含但不限于功能架构图及功能描述，且投标人应具备物联网相关软件著作权。</w:t>
            </w:r>
          </w:p>
          <w:p w14:paraId="35742311">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（3）针对电子标签技术应用、电子地磅技术应用、智能视频监控管理等关键模块的需求，投标人提出危险废物全过程管理物联网设计（包括采集数据项、各环节采用的物联网手段，各环节物联网设备配置等）。</w:t>
            </w:r>
          </w:p>
          <w:p w14:paraId="155A257F">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提出对关键贮存场所（堆场、尾矿库）物联网监测监控预警设计（采集数据项、采用物联网手段、预警规则等），并提供案例系统界面截图。提出智能视频监控技术应用方案，包括智能监控算法、前后端融合智能识别方案、识别场景设计，并提供产生环节识别图片、转移环节识别图片、处置环节识别图片、识别问题闭环处置图片。（投标人自行准备数据）</w:t>
            </w:r>
          </w:p>
          <w:p w14:paraId="1690587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5）针对物联网接入专题分析模块的需求，提出物联网技术在政府管理、无废企业、无废集团等方面应用设计，且投标人应自行准备数据，提供案例系统界面截图。投标人提出电子标签在危废管理中的应用方案，包括电子标签获取、绑定、关联设计以及一码溯源设计，并提供案例系统界面截图（投标人自行准备数据）。</w:t>
            </w:r>
          </w:p>
          <w:p w14:paraId="0948EB62">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（6）针对空间位置识别跟踪模块的需求，投标人提出定位轨迹与在联单预警当中的应用设计，包括预警算法设计（输入输出）、应用场景、应用功能，并提供案例系统界面截图（投标人自行准备数据）。</w:t>
            </w:r>
          </w:p>
          <w:p w14:paraId="0F5347F6">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（7）围绕产废源头、转移过程、处理利用全环节设计问题识别设计，提出问题识别类型、判断规则。（提出问题类型和一一对应的案例系统截图，投标人自行准备数据）</w:t>
            </w:r>
          </w:p>
          <w:p w14:paraId="381A243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8）提出企业申报数据与许可证、用电、排污关联算法模型技术设计，包括算法或模型设计、系统功能设计。且以某企业危废数据为例开展案例分析，涵盖申报数据与许可证、用电、排污关联分析的案例数据输入、输出分析结果、系统应用截图（投标人自行准备数据）。</w:t>
            </w:r>
          </w:p>
          <w:p w14:paraId="067E035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18FC4BAB">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7 分；</w:t>
            </w:r>
          </w:p>
          <w:p w14:paraId="106CD21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4 分；</w:t>
            </w:r>
          </w:p>
          <w:p w14:paraId="3A9FA709">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（3）方案包括上述所有要点或缺失2个及以上要点，但方案描述简单，方案有欠缺，难以满足项目要求得2分；</w:t>
            </w:r>
          </w:p>
          <w:p w14:paraId="614AF7DF">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5CAE82AC">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0-7分</w:t>
            </w:r>
          </w:p>
        </w:tc>
      </w:tr>
      <w:tr w14:paraId="1B75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60EECCF1">
            <w:pPr>
              <w:adjustRightInd w:val="0"/>
              <w:snapToGrid w:val="0"/>
              <w:jc w:val="center"/>
              <w:rPr>
                <w:rFonts w:ascii="宋体" w:hAnsi="宋体" w:cs="宋体"/>
                <w:color w:val="auto"/>
                <w:kern w:val="0"/>
                <w:sz w:val="24"/>
                <w:highlight w:val="none"/>
              </w:rPr>
            </w:pPr>
          </w:p>
        </w:tc>
        <w:tc>
          <w:tcPr>
            <w:tcW w:w="6824" w:type="dxa"/>
            <w:shd w:val="clear" w:color="auto" w:fill="auto"/>
          </w:tcPr>
          <w:p w14:paraId="59E8122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3、投标人应提出危险废物区块链技术评估系统设计方案，包括不限于以下内容：</w:t>
            </w:r>
          </w:p>
          <w:p w14:paraId="5EC78DE5">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（1）提供系统业务流程、系统接口设计，包含但不限于业务流程图、系统接口设计图及描述。</w:t>
            </w:r>
          </w:p>
          <w:p w14:paraId="38874A06">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（2）提供系统详细的功能设计，包含但不限于功能架构图及功能描述，且投标人应具备生态环境方面的区块链相关软件著作权。</w:t>
            </w:r>
          </w:p>
          <w:p w14:paraId="3BA21D86">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（3）针对区块链技术应用开发模块设计，包含但不限于:区块链应用模板、智能合约开发助手管理、业务数据模型可视化配置、查询检索等功能，并提供案例系统界面截图（投标人自行准备数据）。</w:t>
            </w:r>
          </w:p>
          <w:p w14:paraId="529E219F">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725342F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4 分；</w:t>
            </w:r>
          </w:p>
          <w:p w14:paraId="0E4AA57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2 分；</w:t>
            </w:r>
          </w:p>
          <w:p w14:paraId="534E355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（3）方案包括上述所有要点或缺失2个及以上要点，但方案描述简单，方案有欠缺，难以满足项目要求得1分；</w:t>
            </w:r>
          </w:p>
          <w:p w14:paraId="262719D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1CB0A13B">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0-4分</w:t>
            </w:r>
          </w:p>
        </w:tc>
      </w:tr>
      <w:tr w14:paraId="41DF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36C02BAC">
            <w:pPr>
              <w:adjustRightInd w:val="0"/>
              <w:snapToGrid w:val="0"/>
              <w:jc w:val="center"/>
              <w:rPr>
                <w:rFonts w:ascii="宋体" w:hAnsi="宋体" w:cs="宋体"/>
                <w:color w:val="auto"/>
                <w:kern w:val="0"/>
                <w:sz w:val="24"/>
                <w:highlight w:val="none"/>
              </w:rPr>
            </w:pPr>
          </w:p>
        </w:tc>
        <w:tc>
          <w:tcPr>
            <w:tcW w:w="6824" w:type="dxa"/>
            <w:shd w:val="clear" w:color="auto" w:fill="auto"/>
          </w:tcPr>
          <w:p w14:paraId="25F2C69B">
            <w:pPr>
              <w:tabs>
                <w:tab w:val="left" w:pos="-94"/>
                <w:tab w:val="left" w:pos="1620"/>
              </w:tabs>
              <w:adjustRightInd w:val="0"/>
              <w:snapToGrid w:val="0"/>
              <w:jc w:val="left"/>
              <w:textAlignment w:val="baseline"/>
              <w:rPr>
                <w:rFonts w:ascii="宋体" w:hAnsi="宋体" w:cs="宋体"/>
                <w:color w:val="auto"/>
                <w:sz w:val="24"/>
                <w:highlight w:val="none"/>
              </w:rPr>
            </w:pPr>
            <w:r>
              <w:rPr>
                <w:rFonts w:hint="eastAsia" w:ascii="宋体" w:hAnsi="宋体" w:cs="宋体"/>
                <w:color w:val="auto"/>
                <w:sz w:val="24"/>
                <w:highlight w:val="none"/>
              </w:rPr>
              <w:t>4、投标人应提出危险废物遥感技术应用系统设计方案，包括不限于以下内容：</w:t>
            </w:r>
          </w:p>
          <w:p w14:paraId="3965D321">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（1）提供系统业务流程、系统接口设计，包含但不限于业务流程图、系统接口设计图及描述。</w:t>
            </w:r>
          </w:p>
          <w:p w14:paraId="75DA420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（2）提供系统详细的功能设计，包含但不限于功能架构图及功能描述，且投标人应具备生态环境方面的遥感相关软件著作权。</w:t>
            </w:r>
          </w:p>
          <w:p w14:paraId="6F5049FB">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针对卫星与无人机遥感数据采集模块设计，需包含卫星遥感监测、无人机精细化巡检管理、应急场景等功能。其中：1）卫星遥感监测包含卫星遥感影像的上传、查看、影像解析和导出，提供遥感影像在线查看、地图图层发布、TIFF格式文件的裁切、色彩融合、配准、辐射定标、大气校正至TIFF导出等全流程影像处理，固废疑似点标记和AI辅助识别固废疑似点；历史遥感影像查看；解译结果展示；并与无人机调度系统实现数据互通等功能，提供案例系统界面截图（投标人自行准备数据）。2）无人机精细化巡检管理包含无人机与机巢管理、虚拟驾驶舱操控、一键起飞、指定目的地飞行、航线轨迹展示、拍照录像与取证；自动航线规划、实时飞行监控、自动识别危废疑似点辅助研判、复核飞行监管能力等功能，提供案例系统界面截图（投标人自行准备数据）</w:t>
            </w:r>
          </w:p>
          <w:p w14:paraId="4DA1DA4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（4）针对遥感GIS空间综合分析模块，需包含空间查询与缓冲区分析、叠加分析、网络分析、环境风险评估等功能，提供案例系统界面截图（投标人自行准备数据）。</w:t>
            </w:r>
          </w:p>
          <w:p w14:paraId="1457CD7A">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0D8D3DC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7 分；</w:t>
            </w:r>
          </w:p>
          <w:p w14:paraId="68B38650">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4 分；</w:t>
            </w:r>
          </w:p>
          <w:p w14:paraId="70B6271D">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（3）方案包括上述所有要点或缺失2个及以上要点，但方案描述简单，方案有欠缺，难以满足项目要求得2分；</w:t>
            </w:r>
          </w:p>
          <w:p w14:paraId="4FA62023">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569DB39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0-7分</w:t>
            </w:r>
          </w:p>
        </w:tc>
      </w:tr>
      <w:tr w14:paraId="2E71F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5A9F33FD">
            <w:pPr>
              <w:adjustRightInd w:val="0"/>
              <w:snapToGrid w:val="0"/>
              <w:jc w:val="center"/>
              <w:rPr>
                <w:rFonts w:ascii="宋体" w:hAnsi="宋体" w:cs="宋体"/>
                <w:color w:val="auto"/>
                <w:kern w:val="0"/>
                <w:sz w:val="24"/>
                <w:highlight w:val="none"/>
              </w:rPr>
            </w:pPr>
          </w:p>
        </w:tc>
        <w:tc>
          <w:tcPr>
            <w:tcW w:w="6824" w:type="dxa"/>
            <w:shd w:val="clear" w:color="auto" w:fill="auto"/>
          </w:tcPr>
          <w:p w14:paraId="203D25AA">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5、投标人应提出危险废物移动互联网应用系统设计方案，包括不限于以下内容：</w:t>
            </w:r>
          </w:p>
          <w:p w14:paraId="7E704A7B">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（1）提出系统业务流程设计，包括设计图和描述，以危险废物“全生命周期管控”为核心。提出系统接口设计，涵盖该系统与本项目其他系统的逻辑关系。</w:t>
            </w:r>
          </w:p>
          <w:p w14:paraId="7808186D">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（2）提出系统功能架构设计图，且投标人应具备互联网相关软件著作权。</w:t>
            </w:r>
          </w:p>
          <w:p w14:paraId="4A20109A">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（3）提出详细的功能设计，且投标人应自行准备数据提供案例界面截图（含互联网技术在无废企业、无废集团、政府监管方面的应用案例界面截图，投标人自行准备数据）。</w:t>
            </w:r>
          </w:p>
          <w:p w14:paraId="4A454433">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2574C1C5">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6 分；</w:t>
            </w:r>
          </w:p>
          <w:p w14:paraId="632BB161">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4 分；</w:t>
            </w:r>
          </w:p>
          <w:p w14:paraId="6CCC2651">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（3）方案包括上述所有要点或缺失2个及以上要点，但方案描述简单，方案有欠缺，难以满足项目要求得2分；</w:t>
            </w:r>
          </w:p>
          <w:p w14:paraId="6600E00F">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06FBE7A7">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0-6分</w:t>
            </w:r>
          </w:p>
        </w:tc>
      </w:tr>
      <w:tr w14:paraId="4C89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6241B409">
            <w:pPr>
              <w:adjustRightInd w:val="0"/>
              <w:snapToGrid w:val="0"/>
              <w:jc w:val="center"/>
              <w:rPr>
                <w:rFonts w:ascii="宋体" w:hAnsi="宋体" w:cs="宋体"/>
                <w:color w:val="auto"/>
                <w:kern w:val="0"/>
                <w:sz w:val="24"/>
                <w:highlight w:val="none"/>
              </w:rPr>
            </w:pPr>
          </w:p>
        </w:tc>
        <w:tc>
          <w:tcPr>
            <w:tcW w:w="6824" w:type="dxa"/>
            <w:shd w:val="clear" w:color="auto" w:fill="auto"/>
          </w:tcPr>
          <w:p w14:paraId="130BE6C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6、投标人应提出危险废物物联网装备评估系统设计方案，包括不限于以下内容：</w:t>
            </w:r>
          </w:p>
          <w:p w14:paraId="7B77812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（1）提供系统业务流程、系统接口设计，包含但不限于业务流程图、系统接口设计图及描述。</w:t>
            </w:r>
          </w:p>
          <w:p w14:paraId="7F110B4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（2）提供系统详细的功能设计，包含但不限于功能架构图及功能描述，且投标人应具备评估相关软件著作权。</w:t>
            </w:r>
          </w:p>
          <w:p w14:paraId="03D290C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针对软件系统质量测评模块设计，包含但不限于:功能测试、性能测试等多种类型的测试体系与测评流程，包括各类测试的具体范围、方法等内容。实现软件测试全流程管理。并提供案例系统界面截图（投标人自行准备数据）。</w:t>
            </w:r>
          </w:p>
          <w:p w14:paraId="54DA71E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266DF4E8">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4 分；</w:t>
            </w:r>
          </w:p>
          <w:p w14:paraId="2B514DDD">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2 分；</w:t>
            </w:r>
          </w:p>
          <w:p w14:paraId="5053C94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（3）方案包括上述所有要点或缺失2个及以上要点，但方案描述简单，方案有欠缺，难以满足项目要求得1分；</w:t>
            </w:r>
          </w:p>
          <w:p w14:paraId="38B8DCF3">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02C82B5B">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0-4分</w:t>
            </w:r>
          </w:p>
        </w:tc>
      </w:tr>
      <w:tr w14:paraId="1EC8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221F74F5">
            <w:pPr>
              <w:adjustRightInd w:val="0"/>
              <w:snapToGrid w:val="0"/>
              <w:jc w:val="center"/>
              <w:rPr>
                <w:rFonts w:ascii="宋体" w:hAnsi="宋体" w:cs="宋体"/>
                <w:color w:val="auto"/>
                <w:kern w:val="0"/>
                <w:sz w:val="24"/>
                <w:highlight w:val="none"/>
              </w:rPr>
            </w:pPr>
          </w:p>
        </w:tc>
        <w:tc>
          <w:tcPr>
            <w:tcW w:w="6824" w:type="dxa"/>
            <w:shd w:val="clear" w:color="auto" w:fill="auto"/>
          </w:tcPr>
          <w:p w14:paraId="101AFBAE">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7、投标人应提出危险废物集中转运装备评估系统设计方案，包括不限于以下内容：</w:t>
            </w:r>
          </w:p>
          <w:p w14:paraId="6399AA81">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（1）提供系统业务流程、系统接口设计，包含但不限于业务流程图、系统接口设计图及描述。</w:t>
            </w:r>
          </w:p>
          <w:p w14:paraId="07CD946D">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（2）提供系统详细的功能设计，包含但不限于功能架构图及功能描述，且投标人应具备实验室管理相关软件著作权。</w:t>
            </w:r>
          </w:p>
          <w:p w14:paraId="4662934B">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（3）针对产业服务对接模块设计，包含但不限于:产业资源汇聚、一站式服务等功能。并提供案例系统界面截图（投标人自行准备数据）。</w:t>
            </w:r>
          </w:p>
          <w:p w14:paraId="7411097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4D1A6770">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4 分；</w:t>
            </w:r>
          </w:p>
          <w:p w14:paraId="1A4DC4C2">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2 分；</w:t>
            </w:r>
          </w:p>
          <w:p w14:paraId="009C206D">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（3）方案包括上述所有要点或缺失2个及以上要点，但方案描述简单，方案有欠缺，难以满足项目要求得1分；</w:t>
            </w:r>
          </w:p>
          <w:p w14:paraId="2C6532F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57E26B6D">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0-4分</w:t>
            </w:r>
          </w:p>
        </w:tc>
      </w:tr>
      <w:tr w14:paraId="1FCD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398DF18D">
            <w:pPr>
              <w:adjustRightInd w:val="0"/>
              <w:snapToGrid w:val="0"/>
              <w:jc w:val="center"/>
              <w:rPr>
                <w:rFonts w:ascii="宋体" w:hAnsi="宋体" w:cs="宋体"/>
                <w:color w:val="auto"/>
                <w:kern w:val="0"/>
                <w:sz w:val="24"/>
                <w:highlight w:val="none"/>
              </w:rPr>
            </w:pPr>
          </w:p>
        </w:tc>
        <w:tc>
          <w:tcPr>
            <w:tcW w:w="6824" w:type="dxa"/>
            <w:shd w:val="clear" w:color="auto" w:fill="auto"/>
          </w:tcPr>
          <w:p w14:paraId="75EF82A8">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8、投标人应提出危险废物环境政策分类研究与应用系统设计方案，包括不限于以下内容：</w:t>
            </w:r>
          </w:p>
          <w:p w14:paraId="52F6DA5A">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（1）提供系统业务流程、系统接口设计，包含但不限于业务流程图、系统接口设计图及描述。</w:t>
            </w:r>
          </w:p>
          <w:p w14:paraId="7B9B58B6">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（2）提供系统详细的功能设计方案，包含但不限于功能架构图及功能描述，且投标人应具备大模型相关软件著作权。</w:t>
            </w:r>
          </w:p>
          <w:p w14:paraId="22847769">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针对危险废物环境政策分类研究采集分享模块设计，需包含原始文档与大模型Rag预处理文档的关联存储、在线预览、多格式支持及知识库等核心文档管理功能，并提供案例系统界面截图（投标人自行准备数据）；需针对大模型Rag文档预处理的数学公式、文档表格、图文混排及大文档解析与信息抽取提出解决方案，并提供文档的案例及对应大模型对话检索界面截图（能够列举出所有引用的原文件名称、能够实现点击跳转查看原文件及查看回复内容所依据的文本块，做到“有据可依”而非“凭空捏造”）</w:t>
            </w:r>
          </w:p>
          <w:p w14:paraId="77B870B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（4）针对危险废物环境政策分类研究政策匹配模块，需包含 “企业面临实际问题提取 -&gt; 政策法规标准匹配 -&gt; 个性化政策匹配清单生成”全链路解决方案，并提供步骤对应的案例及大模型对话界面截图（投标人自行准备数据）。</w:t>
            </w:r>
          </w:p>
          <w:p w14:paraId="1875BCF0">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（5）提供基于大模型的污染风险评估方案，并以某市某场地某污染物污染为设计场景，提供污染风险评估报告原型，包含物质毒性特征、暴露途径识别、风险评估及表征等内容（投标人自行准备数据）。</w:t>
            </w:r>
          </w:p>
          <w:p w14:paraId="04567AC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3E7478B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7 分；</w:t>
            </w:r>
          </w:p>
          <w:p w14:paraId="0E33432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4 分；</w:t>
            </w:r>
          </w:p>
          <w:p w14:paraId="0006233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（3）方案包括上述所有要点或缺失2个及以上要点，但方案描述简单，方案有欠缺，难以满足项目要求得2分；</w:t>
            </w:r>
          </w:p>
          <w:p w14:paraId="470C3740">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2B1869E8">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0-7分</w:t>
            </w:r>
          </w:p>
        </w:tc>
      </w:tr>
      <w:tr w14:paraId="76097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bottom"/>
          </w:tcPr>
          <w:p w14:paraId="3299DF49">
            <w:pPr>
              <w:adjustRightInd w:val="0"/>
              <w:snapToGrid w:val="0"/>
              <w:jc w:val="center"/>
              <w:rPr>
                <w:rFonts w:ascii="宋体" w:hAnsi="宋体" w:cs="宋体"/>
                <w:color w:val="auto"/>
                <w:kern w:val="0"/>
                <w:sz w:val="24"/>
                <w:highlight w:val="none"/>
              </w:rPr>
            </w:pPr>
          </w:p>
        </w:tc>
        <w:tc>
          <w:tcPr>
            <w:tcW w:w="6824" w:type="dxa"/>
            <w:shd w:val="clear" w:color="auto" w:fill="auto"/>
          </w:tcPr>
          <w:p w14:paraId="7D32E3BE">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9、投标人应提出新兴固体废物智慧监管技术应用系统设计方案，包括不限于以下内容：</w:t>
            </w:r>
          </w:p>
          <w:p w14:paraId="68AD791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（1）提供系统业务流程、系统接口设计，包含但不限于业务流程图、系统接口设计图及描述。</w:t>
            </w:r>
          </w:p>
          <w:p w14:paraId="3D3BF8BA">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（2）提供系统详细的功能设计，包含但不限于功能架构图及功能描述，且投标人应具备新兴固废或大宗固废相关软件著作权。</w:t>
            </w:r>
          </w:p>
          <w:p w14:paraId="06C465DC">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提供预警预测算法模型设计，设计覆盖“产生、贮存、运输、处置”四大环节，提出预测预警场景设计，包含但不限于产生量预测等。并出具某火力发电企业炉渣与脱硫石膏全生命周期的分析报告，附带近脱敏原始数据集（含产废台账、运输台账、用电数据，投标人自行准备数据）。</w:t>
            </w:r>
          </w:p>
          <w:p w14:paraId="3988A70E">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（4）提供新兴固废分类管理模块功能设计，包含但不限于功能设计、数据逻辑校验规则设计。</w:t>
            </w:r>
          </w:p>
          <w:p w14:paraId="34335472">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注：</w:t>
            </w:r>
          </w:p>
          <w:p w14:paraId="4CAE56C7">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（1）方案包括上述所有要点，方案描述详细完整，结构清晰，得 6 分；</w:t>
            </w:r>
          </w:p>
          <w:p w14:paraId="511AB9BF">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（2）方案包括上述所有要点或缺失1个要点，方案描述基本完整，结构基本清晰，但细节有待完善得 4 分；</w:t>
            </w:r>
          </w:p>
          <w:p w14:paraId="24CE7B84">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（3）方案包括上述所有要点或缺失2个及以上要点，但方案描述简单，方案有欠缺，难以满足项目要求得2分；</w:t>
            </w:r>
          </w:p>
          <w:p w14:paraId="3ED8BA01">
            <w:pPr>
              <w:tabs>
                <w:tab w:val="left" w:pos="-94"/>
                <w:tab w:val="left" w:pos="1620"/>
              </w:tabs>
              <w:adjustRightInd w:val="0"/>
              <w:snapToGrid w:val="0"/>
              <w:ind w:left="23" w:leftChars="11"/>
              <w:jc w:val="left"/>
              <w:textAlignment w:val="baseline"/>
              <w:rPr>
                <w:rFonts w:ascii="宋体" w:hAnsi="宋体" w:cs="宋体"/>
                <w:color w:val="auto"/>
                <w:sz w:val="24"/>
                <w:highlight w:val="none"/>
              </w:rPr>
            </w:pPr>
            <w:r>
              <w:rPr>
                <w:rFonts w:hint="eastAsia" w:ascii="宋体" w:hAnsi="宋体" w:cs="宋体"/>
                <w:color w:val="auto"/>
                <w:sz w:val="24"/>
                <w:highlight w:val="none"/>
              </w:rPr>
              <w:t>（4）未提供得 0 分。</w:t>
            </w:r>
          </w:p>
        </w:tc>
        <w:tc>
          <w:tcPr>
            <w:tcW w:w="1063" w:type="dxa"/>
            <w:vAlign w:val="center"/>
          </w:tcPr>
          <w:p w14:paraId="7FFEE274">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0-6分</w:t>
            </w:r>
          </w:p>
        </w:tc>
      </w:tr>
      <w:tr w14:paraId="6D1B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center"/>
          </w:tcPr>
          <w:p w14:paraId="586AC7AB">
            <w:pPr>
              <w:adjustRightInd w:val="0"/>
              <w:snapToGrid w:val="0"/>
              <w:rPr>
                <w:rFonts w:ascii="宋体" w:hAnsi="宋体" w:cs="宋体"/>
                <w:color w:val="auto"/>
                <w:kern w:val="0"/>
                <w:sz w:val="24"/>
                <w:highlight w:val="none"/>
              </w:rPr>
            </w:pPr>
          </w:p>
        </w:tc>
        <w:tc>
          <w:tcPr>
            <w:tcW w:w="6824" w:type="dxa"/>
          </w:tcPr>
          <w:p w14:paraId="32E242FD">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10、项目实施方案</w:t>
            </w:r>
          </w:p>
          <w:p w14:paraId="7BCB6D76">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（1）方案完整覆盖 9 大系统开发、部署、测试、上线全流程，区块链、遥感、物联网装备评估等专项技术落地流程清晰，人员分工、开发流程、测试体系完整，可直接落地实施，得3分；</w:t>
            </w:r>
          </w:p>
          <w:p w14:paraId="59A19889">
            <w:pPr>
              <w:pStyle w:val="3"/>
              <w:tabs>
                <w:tab w:val="left" w:pos="0"/>
                <w:tab w:val="left" w:pos="420"/>
              </w:tabs>
              <w:snapToGrid w:val="0"/>
              <w:spacing w:before="0" w:line="240" w:lineRule="auto"/>
              <w:jc w:val="both"/>
              <w:rPr>
                <w:rFonts w:ascii="宋体" w:hAnsi="宋体" w:eastAsia="宋体" w:cs="宋体"/>
                <w:b w:val="0"/>
                <w:color w:val="auto"/>
                <w:sz w:val="24"/>
                <w:szCs w:val="24"/>
                <w:highlight w:val="none"/>
                <w:lang w:bidi="ar"/>
              </w:rPr>
            </w:pPr>
            <w:r>
              <w:rPr>
                <w:rFonts w:hint="eastAsia" w:ascii="宋体" w:hAnsi="宋体" w:eastAsia="宋体" w:cs="宋体"/>
                <w:b w:val="0"/>
                <w:color w:val="auto"/>
                <w:sz w:val="24"/>
                <w:szCs w:val="24"/>
                <w:highlight w:val="none"/>
                <w:lang w:bidi="ar"/>
              </w:rPr>
              <w:t>（2）具备完整实施流程，核心技术实施思路清晰，仅少量细分实施环节描述简略，整体方案可行，得 2 分；</w:t>
            </w:r>
          </w:p>
          <w:p w14:paraId="1A691940">
            <w:pPr>
              <w:adjustRightInd w:val="0"/>
              <w:snapToGrid w:val="0"/>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（3）实施流程框架简单，缺少专项技术落地步骤、测试、联调等关键环节，方案不完善，得1分；</w:t>
            </w:r>
          </w:p>
          <w:p w14:paraId="2D2DE040">
            <w:pPr>
              <w:pStyle w:val="3"/>
              <w:tabs>
                <w:tab w:val="left" w:pos="0"/>
                <w:tab w:val="left" w:pos="420"/>
              </w:tabs>
              <w:snapToGrid w:val="0"/>
              <w:spacing w:before="0" w:line="240" w:lineRule="auto"/>
              <w:jc w:val="both"/>
              <w:rPr>
                <w:rFonts w:ascii="宋体" w:hAnsi="宋体" w:eastAsia="宋体" w:cs="宋体"/>
                <w:b w:val="0"/>
                <w:color w:val="auto"/>
                <w:sz w:val="24"/>
                <w:szCs w:val="24"/>
                <w:highlight w:val="none"/>
                <w:lang w:bidi="ar"/>
              </w:rPr>
            </w:pPr>
            <w:r>
              <w:rPr>
                <w:rFonts w:hint="eastAsia" w:ascii="宋体" w:hAnsi="宋体" w:eastAsia="宋体" w:cs="宋体"/>
                <w:b w:val="0"/>
                <w:color w:val="auto"/>
                <w:sz w:val="24"/>
                <w:szCs w:val="24"/>
                <w:highlight w:val="none"/>
                <w:lang w:bidi="ar"/>
              </w:rPr>
              <w:t>（4）无实施方案，或方案描述过于简单，不得分。</w:t>
            </w:r>
          </w:p>
        </w:tc>
        <w:tc>
          <w:tcPr>
            <w:tcW w:w="1063" w:type="dxa"/>
            <w:vAlign w:val="center"/>
          </w:tcPr>
          <w:p w14:paraId="5D8C6241">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0-3分</w:t>
            </w:r>
          </w:p>
        </w:tc>
      </w:tr>
      <w:tr w14:paraId="63D8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center"/>
          </w:tcPr>
          <w:p w14:paraId="5EDEC8C8">
            <w:pPr>
              <w:adjustRightInd w:val="0"/>
              <w:snapToGrid w:val="0"/>
              <w:rPr>
                <w:rFonts w:ascii="宋体" w:hAnsi="宋体" w:cs="宋体"/>
                <w:color w:val="auto"/>
                <w:kern w:val="0"/>
                <w:sz w:val="24"/>
                <w:highlight w:val="none"/>
              </w:rPr>
            </w:pPr>
          </w:p>
        </w:tc>
        <w:tc>
          <w:tcPr>
            <w:tcW w:w="6824" w:type="dxa"/>
          </w:tcPr>
          <w:p w14:paraId="454EBD0A">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11、进度保障措施</w:t>
            </w:r>
          </w:p>
          <w:p w14:paraId="7B22CBD4">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（1）匹配建设周期，细化任务分解，设置产能预警、节点考核、人员动态增补、滞后整改机制，进度管控体系完整科学，可确保按期完工，得3分；</w:t>
            </w:r>
          </w:p>
          <w:p w14:paraId="233D77B2">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（2）具备分阶段工期计划，配备基础进度管控手段，可满足项目基础工期要求，得2分；</w:t>
            </w:r>
          </w:p>
          <w:p w14:paraId="64FB493F">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（3）工期计划粗略，缺少节点管控、滞后补救等保障措施，进度管控不完善，得1分；</w:t>
            </w:r>
          </w:p>
          <w:p w14:paraId="27C89A65">
            <w:pPr>
              <w:widowControl/>
              <w:adjustRightInd w:val="0"/>
              <w:snapToGrid w:val="0"/>
              <w:jc w:val="left"/>
              <w:rPr>
                <w:rFonts w:ascii="宋体" w:hAnsi="宋体" w:cs="宋体"/>
                <w:color w:val="auto"/>
                <w:sz w:val="24"/>
                <w:highlight w:val="none"/>
                <w:lang w:bidi="ar"/>
              </w:rPr>
            </w:pPr>
            <w:r>
              <w:rPr>
                <w:rFonts w:hint="eastAsia" w:ascii="宋体" w:hAnsi="宋体" w:cs="宋体"/>
                <w:color w:val="auto"/>
                <w:kern w:val="0"/>
                <w:sz w:val="24"/>
                <w:highlight w:val="none"/>
                <w:lang w:bidi="ar"/>
              </w:rPr>
              <w:t>（4）无进度保障相关内容，不得分。</w:t>
            </w:r>
          </w:p>
        </w:tc>
        <w:tc>
          <w:tcPr>
            <w:tcW w:w="1063" w:type="dxa"/>
            <w:vAlign w:val="center"/>
          </w:tcPr>
          <w:p w14:paraId="70750EFF">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0-3分</w:t>
            </w:r>
          </w:p>
        </w:tc>
      </w:tr>
      <w:tr w14:paraId="239C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3" w:type="dxa"/>
            <w:vMerge w:val="continue"/>
            <w:vAlign w:val="center"/>
          </w:tcPr>
          <w:p w14:paraId="619F33FC">
            <w:pPr>
              <w:adjustRightInd w:val="0"/>
              <w:snapToGrid w:val="0"/>
              <w:rPr>
                <w:rFonts w:ascii="宋体" w:hAnsi="宋体" w:cs="宋体"/>
                <w:color w:val="auto"/>
                <w:kern w:val="0"/>
                <w:sz w:val="24"/>
                <w:highlight w:val="none"/>
              </w:rPr>
            </w:pPr>
          </w:p>
        </w:tc>
        <w:tc>
          <w:tcPr>
            <w:tcW w:w="6824" w:type="dxa"/>
          </w:tcPr>
          <w:p w14:paraId="1A4D7B76">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12、应急处理保障</w:t>
            </w:r>
          </w:p>
          <w:p w14:paraId="7D1B5BCF">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（1）全面识别系统故障、数据泄露、设备兼容异常、工期延误、遥感采集失败等各类风险，配套分级响应、24小时处置、数据备份恢复、人员替补等闭环应急处置措施，体系完善，得3分；</w:t>
            </w:r>
          </w:p>
          <w:p w14:paraId="260B4531">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（2）识别项目主要风险，具备基础应急处置手段，可应对常规突发问题，得2分；</w:t>
            </w:r>
          </w:p>
          <w:p w14:paraId="4282D754">
            <w:pPr>
              <w:widowControl/>
              <w:adjustRightInd w:val="0"/>
              <w:snapToGrid w:val="0"/>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（3）风险识别覆盖面窄，应急处置措施笼统简单，缺少闭环处置流程，得1分；</w:t>
            </w:r>
          </w:p>
          <w:p w14:paraId="03EC35C6">
            <w:pPr>
              <w:widowControl/>
              <w:adjustRightInd w:val="0"/>
              <w:snapToGrid w:val="0"/>
              <w:jc w:val="left"/>
              <w:rPr>
                <w:rFonts w:ascii="宋体" w:hAnsi="宋体" w:cs="宋体"/>
                <w:color w:val="auto"/>
                <w:sz w:val="24"/>
                <w:highlight w:val="none"/>
              </w:rPr>
            </w:pPr>
            <w:r>
              <w:rPr>
                <w:rFonts w:hint="eastAsia" w:ascii="宋体" w:hAnsi="宋体" w:cs="宋体"/>
                <w:color w:val="auto"/>
                <w:kern w:val="0"/>
                <w:sz w:val="24"/>
                <w:highlight w:val="none"/>
                <w:lang w:bidi="ar"/>
              </w:rPr>
              <w:t>（4）未提供应急处理相关内容，不得分。</w:t>
            </w:r>
          </w:p>
        </w:tc>
        <w:tc>
          <w:tcPr>
            <w:tcW w:w="1063" w:type="dxa"/>
            <w:vAlign w:val="center"/>
          </w:tcPr>
          <w:p w14:paraId="5C7E00F3">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0-3分</w:t>
            </w:r>
          </w:p>
        </w:tc>
      </w:tr>
    </w:tbl>
    <w:p w14:paraId="36DD49BF">
      <w:pPr>
        <w:tabs>
          <w:tab w:val="left" w:pos="360"/>
          <w:tab w:val="left" w:pos="900"/>
          <w:tab w:val="left" w:pos="1080"/>
          <w:tab w:val="left" w:pos="2014"/>
        </w:tabs>
        <w:snapToGrid w:val="0"/>
        <w:spacing w:line="360" w:lineRule="auto"/>
        <w:rPr>
          <w:color w:val="auto"/>
          <w:sz w:val="24"/>
          <w:highlight w:val="none"/>
        </w:rPr>
      </w:pPr>
    </w:p>
    <w:p w14:paraId="6770174A">
      <w:pPr>
        <w:tabs>
          <w:tab w:val="left" w:pos="360"/>
          <w:tab w:val="left" w:pos="900"/>
          <w:tab w:val="left" w:pos="1080"/>
          <w:tab w:val="left" w:pos="2014"/>
        </w:tabs>
        <w:snapToGrid w:val="0"/>
        <w:spacing w:line="360" w:lineRule="auto"/>
        <w:rPr>
          <w:color w:val="auto"/>
          <w:sz w:val="24"/>
          <w:highlight w:val="none"/>
        </w:rPr>
      </w:pPr>
    </w:p>
    <w:p w14:paraId="17D558F7">
      <w:pPr>
        <w:tabs>
          <w:tab w:val="left" w:pos="360"/>
          <w:tab w:val="left" w:pos="900"/>
          <w:tab w:val="left" w:pos="1080"/>
          <w:tab w:val="left" w:pos="2014"/>
        </w:tabs>
        <w:snapToGrid w:val="0"/>
        <w:spacing w:line="360" w:lineRule="auto"/>
        <w:rPr>
          <w:color w:val="auto"/>
          <w:sz w:val="24"/>
          <w:highlight w:val="none"/>
        </w:rPr>
      </w:pPr>
    </w:p>
    <w:p w14:paraId="0EE9D176">
      <w:pPr>
        <w:spacing w:line="360" w:lineRule="auto"/>
        <w:jc w:val="center"/>
        <w:outlineLvl w:val="0"/>
        <w:rPr>
          <w:b/>
          <w:color w:val="auto"/>
          <w:sz w:val="36"/>
          <w:szCs w:val="36"/>
          <w:highlight w:val="none"/>
        </w:rPr>
      </w:pPr>
      <w:r>
        <w:rPr>
          <w:b/>
          <w:color w:val="auto"/>
          <w:sz w:val="36"/>
          <w:szCs w:val="36"/>
          <w:highlight w:val="none"/>
        </w:rPr>
        <w:br w:type="page"/>
      </w:r>
      <w:bookmarkStart w:id="856" w:name="_Toc99301424"/>
      <w:r>
        <w:rPr>
          <w:b/>
          <w:color w:val="auto"/>
          <w:sz w:val="36"/>
          <w:szCs w:val="36"/>
          <w:highlight w:val="none"/>
        </w:rPr>
        <w:t>第五章   采购需求</w:t>
      </w:r>
      <w:bookmarkEnd w:id="856"/>
    </w:p>
    <w:p w14:paraId="702001BE">
      <w:pPr>
        <w:pStyle w:val="159"/>
        <w:spacing w:line="360" w:lineRule="auto"/>
        <w:ind w:firstLine="562"/>
        <w:contextualSpacing/>
        <w:outlineLvl w:val="1"/>
        <w:rPr>
          <w:rFonts w:ascii="仿宋_GB2312" w:hAnsi="方正仿宋_GBK" w:eastAsia="仿宋_GB2312" w:cs="方正仿宋_GBK"/>
          <w:b/>
          <w:color w:val="auto"/>
          <w:sz w:val="28"/>
          <w:szCs w:val="28"/>
          <w:highlight w:val="none"/>
        </w:rPr>
      </w:pPr>
      <w:r>
        <w:rPr>
          <w:rFonts w:hint="eastAsia" w:ascii="仿宋_GB2312" w:hAnsi="方正仿宋_GBK" w:eastAsia="仿宋_GB2312" w:cs="方正仿宋_GBK"/>
          <w:b/>
          <w:color w:val="auto"/>
          <w:sz w:val="28"/>
          <w:szCs w:val="28"/>
          <w:highlight w:val="none"/>
        </w:rPr>
        <w:t>一、项目背景</w:t>
      </w:r>
    </w:p>
    <w:p w14:paraId="322032D9">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为贯彻落实国家关于加强危险废物环境风险防控、推进“无废城市”建设及固体废物污染环境防治的决策部署，提升危险废物、工业固体废物、新兴固体废物等领域的智慧监管能力，生态环境部固体废物与化学品管理技术中心组织实施国家危险废物环境风险防控技术中心建设项目-</w:t>
      </w:r>
      <w:bookmarkStart w:id="857" w:name="OLE_LINK3"/>
      <w:r>
        <w:rPr>
          <w:rFonts w:hint="eastAsia" w:ascii="仿宋_GB2312" w:hAnsi="方正仿宋_GBK" w:eastAsia="仿宋_GB2312" w:cs="方正仿宋_GBK"/>
          <w:color w:val="auto"/>
          <w:sz w:val="28"/>
          <w:szCs w:val="28"/>
          <w:highlight w:val="none"/>
        </w:rPr>
        <w:t>危险废物智慧环境监管技术应用开发（一期）</w:t>
      </w:r>
      <w:bookmarkEnd w:id="857"/>
      <w:r>
        <w:rPr>
          <w:rFonts w:hint="eastAsia" w:ascii="仿宋_GB2312" w:hAnsi="方正仿宋_GBK" w:eastAsia="仿宋_GB2312" w:cs="方正仿宋_GBK"/>
          <w:color w:val="auto"/>
          <w:sz w:val="28"/>
          <w:szCs w:val="28"/>
          <w:highlight w:val="none"/>
        </w:rPr>
        <w:t>。本项目聚焦危险废物智慧监管体系建设，开发物联网技术应用、区块链技术评估、遥感技术应用、移动互联网应用、物联网装备评估、集中转运装备评估、环境政策分类研究与应用、新兴固体废物智慧监管技术应用八大业务系统，</w:t>
      </w:r>
      <w:bookmarkStart w:id="858" w:name="OLE_LINK5"/>
      <w:r>
        <w:rPr>
          <w:rFonts w:hint="eastAsia" w:ascii="仿宋_GB2312" w:hAnsi="方正仿宋_GBK" w:eastAsia="仿宋_GB2312" w:cs="方正仿宋_GBK"/>
          <w:color w:val="auto"/>
          <w:sz w:val="28"/>
          <w:szCs w:val="28"/>
          <w:highlight w:val="none"/>
        </w:rPr>
        <w:t>搭建物联感知、视频融合赋能、遥感、智能应用开放四大底层支撑平台，旨在构建全闭环智慧监管技术应用体系，</w:t>
      </w:r>
      <w:bookmarkEnd w:id="858"/>
      <w:r>
        <w:rPr>
          <w:rFonts w:hint="eastAsia" w:ascii="仿宋_GB2312" w:hAnsi="方正仿宋_GBK" w:eastAsia="仿宋_GB2312" w:cs="方正仿宋_GBK"/>
          <w:color w:val="auto"/>
          <w:sz w:val="28"/>
          <w:szCs w:val="28"/>
          <w:highlight w:val="none"/>
        </w:rPr>
        <w:t>实现危险废物全生命周期数字化、精细化、智能化管控，全面提升危险废物环境风险防控水平。为</w:t>
      </w:r>
      <w:bookmarkStart w:id="859" w:name="OLE_LINK4"/>
      <w:r>
        <w:rPr>
          <w:rFonts w:hint="eastAsia" w:ascii="仿宋_GB2312" w:hAnsi="方正仿宋_GBK" w:eastAsia="仿宋_GB2312" w:cs="方正仿宋_GBK"/>
          <w:color w:val="auto"/>
          <w:sz w:val="28"/>
          <w:szCs w:val="28"/>
          <w:highlight w:val="none"/>
        </w:rPr>
        <w:t>国家危险废物环境风险防控技术中心</w:t>
      </w:r>
      <w:bookmarkEnd w:id="859"/>
      <w:r>
        <w:rPr>
          <w:rFonts w:hint="eastAsia" w:ascii="仿宋_GB2312" w:hAnsi="方正仿宋_GBK" w:eastAsia="仿宋_GB2312" w:cs="方正仿宋_GBK"/>
          <w:color w:val="auto"/>
          <w:sz w:val="28"/>
          <w:szCs w:val="28"/>
          <w:highlight w:val="none"/>
        </w:rPr>
        <w:t>核心业务，开展全国“无废城市”建设及固体废物污染环境防治工作提供坚实数字化技术支撑。</w:t>
      </w:r>
    </w:p>
    <w:p w14:paraId="2C614BFE">
      <w:pPr>
        <w:pStyle w:val="159"/>
        <w:spacing w:line="360" w:lineRule="auto"/>
        <w:ind w:firstLine="561"/>
        <w:contextualSpacing/>
        <w:outlineLvl w:val="1"/>
        <w:rPr>
          <w:rFonts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二、采购标的</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268"/>
        <w:gridCol w:w="1426"/>
        <w:gridCol w:w="5960"/>
      </w:tblGrid>
      <w:tr w14:paraId="3CBD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tcPr>
          <w:p w14:paraId="7C7BDC94">
            <w:pPr>
              <w:adjustRightInd w:val="0"/>
              <w:snapToGrid w:val="0"/>
              <w:jc w:val="center"/>
              <w:rPr>
                <w:rFonts w:ascii="仿宋_GB2312" w:hAnsi="方正仿宋_GBK" w:eastAsia="仿宋_GB2312" w:cs="方正仿宋_GBK"/>
                <w:b/>
                <w:bCs/>
                <w:color w:val="auto"/>
                <w:sz w:val="24"/>
                <w:highlight w:val="none"/>
              </w:rPr>
            </w:pPr>
            <w:r>
              <w:rPr>
                <w:rFonts w:ascii="仿宋_GB2312" w:hAnsi="方正仿宋_GBK" w:eastAsia="仿宋_GB2312" w:cs="方正仿宋_GBK"/>
                <w:b/>
                <w:bCs/>
                <w:color w:val="auto"/>
                <w:sz w:val="24"/>
                <w:highlight w:val="none"/>
              </w:rPr>
              <w:t>序号</w:t>
            </w:r>
          </w:p>
        </w:tc>
        <w:tc>
          <w:tcPr>
            <w:tcW w:w="683" w:type="pct"/>
          </w:tcPr>
          <w:p w14:paraId="5539B885">
            <w:pPr>
              <w:adjustRightInd w:val="0"/>
              <w:snapToGrid w:val="0"/>
              <w:jc w:val="center"/>
              <w:rPr>
                <w:rFonts w:ascii="仿宋_GB2312" w:hAnsi="方正仿宋_GBK" w:eastAsia="仿宋_GB2312" w:cs="方正仿宋_GBK"/>
                <w:b/>
                <w:bCs/>
                <w:color w:val="auto"/>
                <w:sz w:val="24"/>
                <w:highlight w:val="none"/>
              </w:rPr>
            </w:pPr>
            <w:r>
              <w:rPr>
                <w:rFonts w:ascii="仿宋_GB2312" w:hAnsi="方正仿宋_GBK" w:eastAsia="仿宋_GB2312" w:cs="方正仿宋_GBK"/>
                <w:b/>
                <w:bCs/>
                <w:color w:val="auto"/>
                <w:sz w:val="24"/>
                <w:highlight w:val="none"/>
              </w:rPr>
              <w:t>系统</w:t>
            </w:r>
          </w:p>
          <w:p w14:paraId="35B580DA">
            <w:pPr>
              <w:adjustRightInd w:val="0"/>
              <w:snapToGrid w:val="0"/>
              <w:jc w:val="center"/>
              <w:rPr>
                <w:rFonts w:ascii="仿宋_GB2312" w:hAnsi="方正仿宋_GBK" w:eastAsia="仿宋_GB2312" w:cs="方正仿宋_GBK"/>
                <w:b/>
                <w:bCs/>
                <w:color w:val="auto"/>
                <w:sz w:val="24"/>
                <w:highlight w:val="none"/>
              </w:rPr>
            </w:pPr>
            <w:r>
              <w:rPr>
                <w:rFonts w:ascii="仿宋_GB2312" w:hAnsi="方正仿宋_GBK" w:eastAsia="仿宋_GB2312" w:cs="方正仿宋_GBK"/>
                <w:b/>
                <w:bCs/>
                <w:color w:val="auto"/>
                <w:sz w:val="24"/>
                <w:highlight w:val="none"/>
              </w:rPr>
              <w:t>名称</w:t>
            </w:r>
          </w:p>
        </w:tc>
        <w:tc>
          <w:tcPr>
            <w:tcW w:w="768" w:type="pct"/>
          </w:tcPr>
          <w:p w14:paraId="188EA65D">
            <w:pPr>
              <w:adjustRightInd w:val="0"/>
              <w:snapToGrid w:val="0"/>
              <w:jc w:val="center"/>
              <w:rPr>
                <w:rFonts w:ascii="仿宋_GB2312" w:hAnsi="方正仿宋_GBK" w:eastAsia="仿宋_GB2312" w:cs="方正仿宋_GBK"/>
                <w:b/>
                <w:bCs/>
                <w:color w:val="auto"/>
                <w:sz w:val="24"/>
                <w:highlight w:val="none"/>
              </w:rPr>
            </w:pPr>
            <w:r>
              <w:rPr>
                <w:rFonts w:ascii="仿宋_GB2312" w:hAnsi="方正仿宋_GBK" w:eastAsia="仿宋_GB2312" w:cs="方正仿宋_GBK"/>
                <w:b/>
                <w:bCs/>
                <w:color w:val="auto"/>
                <w:sz w:val="24"/>
                <w:highlight w:val="none"/>
              </w:rPr>
              <w:t>系统模块</w:t>
            </w:r>
          </w:p>
        </w:tc>
        <w:tc>
          <w:tcPr>
            <w:tcW w:w="3209" w:type="pct"/>
          </w:tcPr>
          <w:p w14:paraId="3D88E4A0">
            <w:pPr>
              <w:adjustRightInd w:val="0"/>
              <w:snapToGrid w:val="0"/>
              <w:jc w:val="center"/>
              <w:rPr>
                <w:rFonts w:ascii="仿宋_GB2312" w:hAnsi="方正仿宋_GBK" w:eastAsia="仿宋_GB2312" w:cs="方正仿宋_GBK"/>
                <w:b/>
                <w:bCs/>
                <w:color w:val="auto"/>
                <w:sz w:val="24"/>
                <w:highlight w:val="none"/>
              </w:rPr>
            </w:pPr>
            <w:r>
              <w:rPr>
                <w:rFonts w:ascii="仿宋_GB2312" w:hAnsi="方正仿宋_GBK" w:eastAsia="仿宋_GB2312" w:cs="方正仿宋_GBK"/>
                <w:b/>
                <w:bCs/>
                <w:color w:val="auto"/>
                <w:sz w:val="24"/>
                <w:highlight w:val="none"/>
              </w:rPr>
              <w:t>技术要求</w:t>
            </w:r>
          </w:p>
        </w:tc>
      </w:tr>
      <w:tr w14:paraId="1B5E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705BA43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p>
        </w:tc>
        <w:tc>
          <w:tcPr>
            <w:tcW w:w="683" w:type="pct"/>
            <w:vMerge w:val="restart"/>
          </w:tcPr>
          <w:p w14:paraId="14F8FE30">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危险废物物联网技术应用系统</w:t>
            </w:r>
          </w:p>
        </w:tc>
        <w:tc>
          <w:tcPr>
            <w:tcW w:w="768" w:type="pct"/>
          </w:tcPr>
          <w:p w14:paraId="1E2433FD">
            <w:pPr>
              <w:adjustRightInd w:val="0"/>
              <w:snapToGrid w:val="0"/>
              <w:jc w:val="left"/>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电子标签技术应用模块</w:t>
            </w:r>
          </w:p>
        </w:tc>
        <w:tc>
          <w:tcPr>
            <w:tcW w:w="3209" w:type="pct"/>
          </w:tcPr>
          <w:p w14:paraId="5F8D6FAE">
            <w:pPr>
              <w:adjustRightInd w:val="0"/>
              <w:snapToGrid w:val="0"/>
              <w:ind w:firstLine="480" w:firstLineChars="200"/>
              <w:jc w:val="left"/>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围绕危险废物全生命周期追溯技术研究与监管溯源服务，重点研究无接触射频电子标签、二维码标签、条形码标签等多类型标签在危废追溯中的技术适配性，构建危废产生、收集、贮存、转移、利用、处置等全环节跨平台追溯联动技术应用场景，构建标签数据真实性校验与防篡改技术方案，形成电子标签物联网应用技术规范与研究成果，为监管提供危废全流程溯源技术支撑、标签数据合规性核验工具。</w:t>
            </w:r>
          </w:p>
        </w:tc>
      </w:tr>
      <w:tr w14:paraId="538DD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9B18EF6">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8CED9DC">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F2E55F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电子地磅技术应用模块</w:t>
            </w:r>
          </w:p>
        </w:tc>
        <w:tc>
          <w:tcPr>
            <w:tcW w:w="3209" w:type="pct"/>
          </w:tcPr>
          <w:p w14:paraId="14BAF474">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聚焦电子地磅物联网技术标准研究与监管数据可信核验服务，重点研究符合国标电子地磅的数据传输技术规范、多厂商设备数据兼容技术，构建危废出入库称重数据监管侧校验模型应用场景，评估地磅</w:t>
            </w:r>
            <w:r>
              <w:rPr>
                <w:rFonts w:hint="eastAsia" w:ascii="仿宋_GB2312" w:hAnsi="方正仿宋_GBK" w:eastAsia="仿宋_GB2312" w:cs="方正仿宋_GBK"/>
                <w:color w:val="auto"/>
                <w:sz w:val="24"/>
                <w:highlight w:val="none"/>
              </w:rPr>
              <w:t>物联网智能设备</w:t>
            </w:r>
            <w:r>
              <w:rPr>
                <w:rFonts w:ascii="仿宋_GB2312" w:hAnsi="方正仿宋_GBK" w:eastAsia="仿宋_GB2312" w:cs="方正仿宋_GBK"/>
                <w:color w:val="auto"/>
                <w:sz w:val="24"/>
                <w:highlight w:val="none"/>
              </w:rPr>
              <w:t>应用合规性与数据真实性，为监管提供称重数据异常识别、技术应用评估、合规性核查等支撑服务。</w:t>
            </w:r>
          </w:p>
        </w:tc>
      </w:tr>
      <w:tr w14:paraId="0F472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15EA6B2">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7B2661A">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5B468F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智能视频监控管理模块</w:t>
            </w:r>
          </w:p>
        </w:tc>
        <w:tc>
          <w:tcPr>
            <w:tcW w:w="3209" w:type="pct"/>
          </w:tcPr>
          <w:p w14:paraId="0E23345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专注危废全场景智能视频监控物联网技术研究与监管取证支撑，重点研究危废产生、收集、贮存、转移、利用、处置等全场景智能视频识别算法，构建视频数据监管端智能研判与违规取证技术应用场景，构建视频监控物联网应用监管模型，为监管提供危废违规行为自动识别、证据链固化、监控效能评估等技术服务。</w:t>
            </w:r>
          </w:p>
        </w:tc>
      </w:tr>
      <w:tr w14:paraId="23AD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16FFC05">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C1737AA">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5A5BE9B7">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物联网接入与管理模块</w:t>
            </w:r>
          </w:p>
        </w:tc>
        <w:tc>
          <w:tcPr>
            <w:tcW w:w="3209" w:type="pct"/>
          </w:tcPr>
          <w:p w14:paraId="0A68EFC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立足危废</w:t>
            </w:r>
            <w:r>
              <w:rPr>
                <w:rFonts w:hint="eastAsia" w:ascii="仿宋_GB2312" w:hAnsi="方正仿宋_GBK" w:eastAsia="仿宋_GB2312" w:cs="方正仿宋_GBK"/>
                <w:color w:val="auto"/>
                <w:sz w:val="24"/>
                <w:highlight w:val="none"/>
              </w:rPr>
              <w:t>物联网智能设备</w:t>
            </w:r>
            <w:r>
              <w:rPr>
                <w:rFonts w:ascii="仿宋_GB2312" w:hAnsi="方正仿宋_GBK" w:eastAsia="仿宋_GB2312" w:cs="方正仿宋_GBK"/>
                <w:color w:val="auto"/>
                <w:sz w:val="24"/>
                <w:highlight w:val="none"/>
              </w:rPr>
              <w:t>接入技术研究与监管侧统一管控服务，重点研究主流协议的监管侧解析与转换标准，构建</w:t>
            </w:r>
            <w:r>
              <w:rPr>
                <w:rFonts w:hint="eastAsia" w:ascii="仿宋_GB2312" w:hAnsi="方正仿宋_GBK" w:eastAsia="仿宋_GB2312" w:cs="方正仿宋_GBK"/>
                <w:color w:val="auto"/>
                <w:sz w:val="24"/>
                <w:highlight w:val="none"/>
              </w:rPr>
              <w:t>物联网智能设备</w:t>
            </w:r>
            <w:r>
              <w:rPr>
                <w:rFonts w:ascii="仿宋_GB2312" w:hAnsi="方正仿宋_GBK" w:eastAsia="仿宋_GB2312" w:cs="方正仿宋_GBK"/>
                <w:color w:val="auto"/>
                <w:sz w:val="24"/>
                <w:highlight w:val="none"/>
              </w:rPr>
              <w:t>运行状态监管分析技术应用场景，构建设备合规性校验与异常监测模型，形成</w:t>
            </w:r>
            <w:r>
              <w:rPr>
                <w:rFonts w:hint="eastAsia" w:ascii="仿宋_GB2312" w:hAnsi="方正仿宋_GBK" w:eastAsia="仿宋_GB2312" w:cs="方正仿宋_GBK"/>
                <w:color w:val="auto"/>
                <w:sz w:val="24"/>
                <w:highlight w:val="none"/>
              </w:rPr>
              <w:t>物联网智能设备</w:t>
            </w:r>
            <w:r>
              <w:rPr>
                <w:rFonts w:ascii="仿宋_GB2312" w:hAnsi="方正仿宋_GBK" w:eastAsia="仿宋_GB2312" w:cs="方正仿宋_GBK"/>
                <w:color w:val="auto"/>
                <w:sz w:val="24"/>
                <w:highlight w:val="none"/>
              </w:rPr>
              <w:t>统一接入技术规范，为监管提供设备运行监管、接入效能评估、跨系统数据互通支撑。</w:t>
            </w:r>
          </w:p>
        </w:tc>
      </w:tr>
      <w:tr w14:paraId="091C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10F65D7">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65DAEA0">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DB95FB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二维码生成及管理模块</w:t>
            </w:r>
          </w:p>
        </w:tc>
        <w:tc>
          <w:tcPr>
            <w:tcW w:w="3209" w:type="pct"/>
          </w:tcPr>
          <w:p w14:paraId="3C33548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聚焦危废二维码追溯技术研究与监管侧可信管理服务，重点研究危废二维码编码标准、区块链可信存证技术，构建全流程二维码溯源数据校验、失效追溯技术应用场景，构建监管侧追溯闭环技术方案，为监管提供二维码应用规范、数据可信核验、全流程追溯监管工具。</w:t>
            </w:r>
          </w:p>
        </w:tc>
      </w:tr>
      <w:tr w14:paraId="465D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0C272D3">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B3E2F65">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E5830E9">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空间位置识别跟踪模块</w:t>
            </w:r>
          </w:p>
        </w:tc>
        <w:tc>
          <w:tcPr>
            <w:tcW w:w="3209" w:type="pct"/>
          </w:tcPr>
          <w:p w14:paraId="1853891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围绕危废运输高精度定位技术研究与监管风险预警服务展开，重点研究GPS、北斗导航等定位技术在危废运输监管中的应用，构建运输轨迹合规性分析与风险预警模型应用场景，构建电子围栏监管应用技术方案，为监管提供运输轨迹研判、非法转移预警、定位技术应用评估等支撑。</w:t>
            </w:r>
          </w:p>
        </w:tc>
      </w:tr>
      <w:tr w14:paraId="53A32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E418ADC">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A3C2FD0">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900B89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危险废物标识及规范管理模块</w:t>
            </w:r>
          </w:p>
        </w:tc>
        <w:tc>
          <w:tcPr>
            <w:tcW w:w="3209" w:type="pct"/>
          </w:tcPr>
          <w:p w14:paraId="0D3A8A7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将结合</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管理有关要求，基于现有</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及物联网建设技术规范，结合二维码等信息化技术，编写</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管理信息化技术规范，逐步完善</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及物联网建设技术规范，构建</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及物联网建设技术规范库。</w:t>
            </w:r>
          </w:p>
          <w:p w14:paraId="5C850CD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基于技术规范库实现</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及物联网建设技术规范的动态检索，可通过发布时间、关键字、分类等多个维度快速定位标准技术规范，提升危险废物管理的规范性和效能；同时充分利用大数据技术对技术规范情况开展多维数据分析，动态分析规范收录及规范分布情况，为规范的制定和修改提供理论支撑。</w:t>
            </w:r>
          </w:p>
        </w:tc>
      </w:tr>
      <w:tr w14:paraId="73199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5ED8379">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A775ECA">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D53771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危险废物规范化管理模块</w:t>
            </w:r>
          </w:p>
        </w:tc>
        <w:tc>
          <w:tcPr>
            <w:tcW w:w="3209" w:type="pct"/>
          </w:tcPr>
          <w:p w14:paraId="0951D8D3">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建设“危险废物（含医疗废物）经营单位、产生单位规范化管理指标及抽查表”栏目，由企业通过系统进行规范化管理自评打分，实现分数查询、统计等功能。经营单位、产生单位按管理要求上传规范化管理有关资料备案。并依托企业动态实时数据和已申报数据进行智能规范化评估。</w:t>
            </w:r>
          </w:p>
        </w:tc>
      </w:tr>
      <w:tr w14:paraId="4AFB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D50A1CB">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49EA5BF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C2A587B">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物联网接入专题分析模块</w:t>
            </w:r>
          </w:p>
        </w:tc>
        <w:tc>
          <w:tcPr>
            <w:tcW w:w="3209" w:type="pct"/>
          </w:tcPr>
          <w:p w14:paraId="70DE3E7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危险废物物联网专题分析功能旨在充分利用大数据、地理信息系统、可视化等技术动态展示和分析</w:t>
            </w:r>
            <w:r>
              <w:rPr>
                <w:rFonts w:hint="eastAsia" w:ascii="仿宋_GB2312" w:hAnsi="方正仿宋_GBK" w:eastAsia="仿宋_GB2312" w:cs="方正仿宋_GBK"/>
                <w:color w:val="auto"/>
                <w:sz w:val="24"/>
                <w:highlight w:val="none"/>
              </w:rPr>
              <w:t>物联网智能设备</w:t>
            </w:r>
            <w:r>
              <w:rPr>
                <w:rFonts w:ascii="仿宋_GB2312" w:hAnsi="方正仿宋_GBK" w:eastAsia="仿宋_GB2312" w:cs="方正仿宋_GBK"/>
                <w:color w:val="auto"/>
                <w:sz w:val="24"/>
                <w:highlight w:val="none"/>
              </w:rPr>
              <w:t>接入情况，深度剖析各类</w:t>
            </w:r>
            <w:r>
              <w:rPr>
                <w:rFonts w:hint="eastAsia" w:ascii="仿宋_GB2312" w:hAnsi="方正仿宋_GBK" w:eastAsia="仿宋_GB2312" w:cs="方正仿宋_GBK"/>
                <w:color w:val="auto"/>
                <w:sz w:val="24"/>
                <w:highlight w:val="none"/>
              </w:rPr>
              <w:t>物联网智能设备</w:t>
            </w:r>
            <w:r>
              <w:rPr>
                <w:rFonts w:ascii="仿宋_GB2312" w:hAnsi="方正仿宋_GBK" w:eastAsia="仿宋_GB2312" w:cs="方正仿宋_GBK"/>
                <w:color w:val="auto"/>
                <w:sz w:val="24"/>
                <w:highlight w:val="none"/>
              </w:rPr>
              <w:t>接入系统后的运行数据，利用大数据分析与可视化技术，从设备接入稳定性、数据传输效率、兼容性等多维度展开专题分析；统计设备掉线频率、数据丢包率，评估设备接入稳定性；对比不同品牌设备的数据传输速率，分析兼容性差异，为优化管理与决策提供支撑。</w:t>
            </w:r>
          </w:p>
        </w:tc>
      </w:tr>
      <w:tr w14:paraId="112B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B7803C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9BE7AE8">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5194BA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统计分析报表模块</w:t>
            </w:r>
          </w:p>
        </w:tc>
        <w:tc>
          <w:tcPr>
            <w:tcW w:w="3209" w:type="pct"/>
          </w:tcPr>
          <w:p w14:paraId="545ED2A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围绕危废物联网应用数据统计分析技术研究与监管报表服务，基于物联网技术研究成果、监管评估数据、合规性分析数据，构建多维度统计分析模型，按地区、行业、企业、时间等维度生成监管专用报表，</w:t>
            </w:r>
            <w:r>
              <w:rPr>
                <w:rFonts w:hint="eastAsia" w:ascii="仿宋_GB2312" w:hAnsi="方正仿宋_GBK" w:eastAsia="仿宋_GB2312" w:cs="方正仿宋_GBK"/>
                <w:color w:val="auto"/>
                <w:sz w:val="24"/>
                <w:highlight w:val="none"/>
              </w:rPr>
              <w:t>通过可</w:t>
            </w:r>
            <w:r>
              <w:rPr>
                <w:rFonts w:ascii="仿宋_GB2312" w:hAnsi="方正仿宋_GBK" w:eastAsia="仿宋_GB2312" w:cs="方正仿宋_GBK"/>
                <w:color w:val="auto"/>
                <w:sz w:val="24"/>
                <w:highlight w:val="none"/>
              </w:rPr>
              <w:t>自定义的可视化应用，呈现物联网应用效能、危废流向趋势、监管风险特征，为监管科学决策、高效管理提供数据支撑。</w:t>
            </w:r>
          </w:p>
        </w:tc>
      </w:tr>
      <w:tr w14:paraId="3ACF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083A7C9">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4806C2DD">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2DC60EC">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经营许可证智能管理模块</w:t>
            </w:r>
          </w:p>
        </w:tc>
        <w:tc>
          <w:tcPr>
            <w:tcW w:w="3209" w:type="pct"/>
          </w:tcPr>
          <w:p w14:paraId="244D016D">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实现许可证统一录入、多维度查询、可视化分析、数据校验等功能。</w:t>
            </w:r>
          </w:p>
        </w:tc>
      </w:tr>
      <w:tr w14:paraId="6773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58B503DE">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投标人应提供危险废物物联网技术应用系统设计方案</w:t>
            </w:r>
          </w:p>
        </w:tc>
      </w:tr>
      <w:tr w14:paraId="14A8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33597AF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p>
        </w:tc>
        <w:tc>
          <w:tcPr>
            <w:tcW w:w="683" w:type="pct"/>
            <w:vMerge w:val="restart"/>
          </w:tcPr>
          <w:p w14:paraId="20AEB0B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危险废物移动互联网应用系统</w:t>
            </w:r>
          </w:p>
        </w:tc>
        <w:tc>
          <w:tcPr>
            <w:tcW w:w="768" w:type="pct"/>
          </w:tcPr>
          <w:p w14:paraId="1338EFF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台账数据移动互联网应用智能管理模块</w:t>
            </w:r>
          </w:p>
        </w:tc>
        <w:tc>
          <w:tcPr>
            <w:tcW w:w="3209" w:type="pct"/>
          </w:tcPr>
          <w:p w14:paraId="5E5CEE52">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台账多维度查询：支持按企业名称、时间段、废物类别、台账编号等条件快速检索历史台账，支持模糊查询与精准匹配，查询结果可按时间、数量等维度排序。支持按产品、工艺、原辅料等条件查询，支持按企业名称、时间段、废物类别、台账编号、产品名称、核心原辅料名称、关键生产工艺流程等条件快速检索历史台账。</w:t>
            </w:r>
          </w:p>
          <w:p w14:paraId="59036B96">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台账数据可视化分析：自动将台账数据转化为柱状图、折线图、饼图等可视化图表，直观展示企业不同时段危险废物产生量、类别占比、转移频次等数据，支持图表导出与分享，辅助管理人员快速掌握整体情况。</w:t>
            </w:r>
          </w:p>
          <w:p w14:paraId="22098139">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台账数据校验：实现往年（上月）同期产生量、核心原辅料投入量、产品产出量等数据校验功能，对接企业生产台账、能源消耗数据、往年（上月）同期产生量、核心原辅料投入量、产品产出量等多源数据，对录入的危险废物产生量进行逻辑校验，对异常数据（如产生量骤增/骤减、产废系数偏差较大）自动触发预警并标记待核查。</w:t>
            </w:r>
          </w:p>
        </w:tc>
      </w:tr>
      <w:tr w14:paraId="07AB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E9D13F2">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56662B5">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CB51D7A">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危险废物移动互联网应用标识模块</w:t>
            </w:r>
          </w:p>
        </w:tc>
        <w:tc>
          <w:tcPr>
            <w:tcW w:w="3209" w:type="pct"/>
          </w:tcPr>
          <w:p w14:paraId="138901B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标识信息扫码核验：支持移动端扫描危险废物二维码标识，实时获取废物类别、来源、危害特性、处置要求等信息，核验标识信息的完整性与准确性，对信息缺失或错误的标识自动提示。</w:t>
            </w:r>
          </w:p>
          <w:p w14:paraId="6A59AD1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标识合规性智能审核：内置最新</w:t>
            </w:r>
            <w:r>
              <w:rPr>
                <w:rFonts w:hint="eastAsia" w:ascii="仿宋_GB2312" w:hAnsi="方正仿宋_GBK" w:eastAsia="仿宋_GB2312" w:cs="方正仿宋_GBK"/>
                <w:color w:val="auto"/>
                <w:sz w:val="24"/>
                <w:highlight w:val="none"/>
              </w:rPr>
              <w:t>危险废物识别标志</w:t>
            </w:r>
            <w:r>
              <w:rPr>
                <w:rFonts w:ascii="仿宋_GB2312" w:hAnsi="方正仿宋_GBK" w:eastAsia="仿宋_GB2312" w:cs="方正仿宋_GBK"/>
                <w:color w:val="auto"/>
                <w:sz w:val="24"/>
                <w:highlight w:val="none"/>
              </w:rPr>
              <w:t>管理规范，对扫描的标识内容进行自动审核，重点校验标识样式、文字表述、警示标志等是否符合标准，生成合规性审核报告，标注不合规项及整改建议。</w:t>
            </w:r>
          </w:p>
          <w:p w14:paraId="1A02E0A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标识管理台账：自动记录标识扫码核验记录，包括核验时间、核验人员、标识状态、整改情况等，形成标识管理全流程台账，支持按区域、企业、标识状态统计分析。</w:t>
            </w:r>
          </w:p>
        </w:tc>
      </w:tr>
      <w:tr w14:paraId="3ECA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332109E5">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62FDAA4">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239D87F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运输车辆移动互联网应用动态追踪模块</w:t>
            </w:r>
          </w:p>
        </w:tc>
        <w:tc>
          <w:tcPr>
            <w:tcW w:w="3209" w:type="pct"/>
          </w:tcPr>
          <w:p w14:paraId="0230E14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运输轨迹实时监控：结合GPS/北斗定位技术，在移动端地图界面实时展示危险废物运输车辆的当前位置、行驶轨迹、预计到达时间，支持多车辆同时监控与轨迹叠加对比。</w:t>
            </w:r>
          </w:p>
          <w:p w14:paraId="49C8BCF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异常情况自动预警：可自定义电子围栏与运输路线，当车辆出现偏离预设路线、超速行驶、长时间停留等异常时，系统自动触发多级预警并推送通知至监管人员，同时记录异常事件详情。</w:t>
            </w:r>
          </w:p>
          <w:p w14:paraId="24EE275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运输数据统计分析：自动统计运输车辆的准点率、异常事件发生率、运输时长等指标，生成运输效率评估报表，为优化运输路线、管控运输风险提供数据支撑。</w:t>
            </w:r>
          </w:p>
        </w:tc>
      </w:tr>
      <w:tr w14:paraId="245D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8A395E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1CD934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D8BCBF9">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数据可视化移动互联网应用分析模块</w:t>
            </w:r>
          </w:p>
        </w:tc>
        <w:tc>
          <w:tcPr>
            <w:tcW w:w="3209" w:type="pct"/>
          </w:tcPr>
          <w:p w14:paraId="27611CA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多维度数据展示：将危险废物</w:t>
            </w:r>
            <w:r>
              <w:rPr>
                <w:rFonts w:hint="eastAsia" w:ascii="仿宋_GB2312" w:hAnsi="方正仿宋_GBK" w:eastAsia="仿宋_GB2312" w:cs="方正仿宋_GBK"/>
                <w:color w:val="auto"/>
                <w:sz w:val="24"/>
                <w:highlight w:val="none"/>
              </w:rPr>
              <w:t>产生、收集、贮存</w:t>
            </w:r>
            <w:r>
              <w:rPr>
                <w:rFonts w:ascii="仿宋_GB2312" w:hAnsi="方正仿宋_GBK" w:eastAsia="仿宋_GB2312" w:cs="方正仿宋_GBK"/>
                <w:color w:val="auto"/>
                <w:sz w:val="24"/>
                <w:highlight w:val="none"/>
              </w:rPr>
              <w:t>、运输、处置等全环节数据整合，在移动端以可视化图表形式呈现，包括区域危废产生量分布热力图、企业处置效率排名柱状图、运输路线轨迹图等。</w:t>
            </w:r>
          </w:p>
          <w:p w14:paraId="6D29C79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自定义分析维度：支持用户按需选择分析指标（如产生量、转移量、处置量）、时间范围（日/周/月/年）、空间范围（区域/企业），生成个性化分析图表，支持图表缩放、钻取等交互操作。</w:t>
            </w:r>
          </w:p>
          <w:p w14:paraId="0383E64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数据预警推送：对可视化分析中发现的超标、异常数据，自动生成预警信息并推送至指定人员，预警信息可关联对应数据图表与详情，便于快速研判。</w:t>
            </w:r>
          </w:p>
        </w:tc>
      </w:tr>
      <w:tr w14:paraId="5B61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3A9C81F">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7AA641F">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FCA03B0">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危险废物移动互联网应用溯源模块</w:t>
            </w:r>
          </w:p>
        </w:tc>
        <w:tc>
          <w:tcPr>
            <w:tcW w:w="3209" w:type="pct"/>
          </w:tcPr>
          <w:p w14:paraId="313DE3C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全流程一键溯源：支持通过移动端输入危险废物名称、批次、二维码等信息，一键查询其从产生、收集、贮存、转移、利用、处置等全生命周期信息，包括来源企业、产生时间、运输车辆及人员、处置单位、处理结果等，形成完整溯源链条。</w:t>
            </w:r>
          </w:p>
          <w:p w14:paraId="32DAF6C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溯源信息可视化：以时间轴或流程图形式展示溯源信息，直观呈现各环节的关键数据与节点，支持点击节点查看详细记录（如运输交接单、处置验收报告），并可关联对应环节的视频/图片证据。</w:t>
            </w:r>
          </w:p>
          <w:p w14:paraId="1798458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问题节点定位：对溯源过程中发现的异常环节（如运输超时、处置信息缺失）自动标记，生成问题溯源报告，明确责任主体与整改建议，辅助监管部门快速处置。</w:t>
            </w:r>
          </w:p>
        </w:tc>
      </w:tr>
      <w:tr w14:paraId="62B2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178BB6CB">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投标人应提供危险废物移动互联网应用系统设计方案</w:t>
            </w:r>
          </w:p>
        </w:tc>
      </w:tr>
      <w:tr w14:paraId="5C90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033A9C1B">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w:t>
            </w:r>
          </w:p>
        </w:tc>
        <w:tc>
          <w:tcPr>
            <w:tcW w:w="683" w:type="pct"/>
            <w:vMerge w:val="restart"/>
          </w:tcPr>
          <w:p w14:paraId="1EA637A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危险废物区块链技术评估系统</w:t>
            </w:r>
          </w:p>
        </w:tc>
        <w:tc>
          <w:tcPr>
            <w:tcW w:w="768" w:type="pct"/>
          </w:tcPr>
          <w:p w14:paraId="35530580">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危险废物联盟链管理</w:t>
            </w:r>
          </w:p>
        </w:tc>
        <w:tc>
          <w:tcPr>
            <w:tcW w:w="3209" w:type="pct"/>
          </w:tcPr>
          <w:p w14:paraId="4971045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1.联盟链构建与配置</w:t>
            </w:r>
          </w:p>
          <w:p w14:paraId="26EA992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联盟链构建以及联盟成员管理、节点管理功能。支持联盟发起方创建、配置联盟链并管理链中成员和节点。提供各联盟成员所属区块链节点的配置和管理功能，支持节点的动态调整以实现区块链网络扩容和对故障节点的隔离。</w:t>
            </w:r>
          </w:p>
          <w:p w14:paraId="2EC5DCF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2.网络监控与动态维护</w:t>
            </w:r>
          </w:p>
          <w:p w14:paraId="118F47E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支持区块链网络状态监控，识别各个节点的交易情况，识别错误节点，</w:t>
            </w:r>
            <w:r>
              <w:rPr>
                <w:rFonts w:hint="eastAsia" w:ascii="仿宋_GB2312" w:hAnsi="方正仿宋_GBK" w:eastAsia="仿宋_GB2312" w:cs="方正仿宋_GBK"/>
                <w:color w:val="auto"/>
                <w:sz w:val="24"/>
                <w:highlight w:val="none"/>
              </w:rPr>
              <w:t>将错误节点快速</w:t>
            </w:r>
            <w:r>
              <w:rPr>
                <w:rFonts w:ascii="仿宋_GB2312" w:hAnsi="方正仿宋_GBK" w:eastAsia="仿宋_GB2312" w:cs="方正仿宋_GBK"/>
                <w:color w:val="auto"/>
                <w:sz w:val="24"/>
                <w:highlight w:val="none"/>
              </w:rPr>
              <w:t>从网络中隔离，从而保证整个交易网络的安全可靠。</w:t>
            </w:r>
          </w:p>
        </w:tc>
      </w:tr>
      <w:tr w14:paraId="35F8E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36B10AF8">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059918E">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B45CA0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危险废物多链架构管理</w:t>
            </w:r>
          </w:p>
        </w:tc>
        <w:tc>
          <w:tcPr>
            <w:tcW w:w="3209" w:type="pct"/>
          </w:tcPr>
          <w:p w14:paraId="0C952BE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1.子链创建与配置</w:t>
            </w:r>
          </w:p>
          <w:p w14:paraId="2DE1170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支持按业务需求创建不同的子链实现不同业务对区块链账本的隔离和分片要求。当创建子链时，自动创建分布式账本并提供子链的管理和配置功能。</w:t>
            </w:r>
          </w:p>
          <w:p w14:paraId="78451C0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2.数据隔离与隐私保护</w:t>
            </w:r>
          </w:p>
          <w:p w14:paraId="30035AE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子链具备完整区块链功能，链接业务参与方的记账与共识节点，子链内的共识节点数量要求为奇数个。确保链间数据不可跨域访问。子链与子链之间数据物理隔离，这些数据只有加入子链内的成员能够访问；子链与绑定到该子链上的配置和数据（包括交易、账本、智能合约、成员身份等），一起构成一条独立区块链。</w:t>
            </w:r>
          </w:p>
        </w:tc>
      </w:tr>
      <w:tr w14:paraId="55FB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AACCFED">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D6D121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BEA0E60">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危险废物分布式共识引擎</w:t>
            </w:r>
          </w:p>
        </w:tc>
        <w:tc>
          <w:tcPr>
            <w:tcW w:w="3209" w:type="pct"/>
          </w:tcPr>
          <w:p w14:paraId="6060CAF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区块链是作为分布式系统构建的，共识算法是区块链技术的核心，确保分布式环境下区块链数据的一致性和准确性。系统采用Raft共识算法，保障分布式环境下节点数据一致性与准确性，具备集群容错能力，即使集群中出现部分节点故障、网络异常等问题，仍可保证其余大多数节点正确，保证节点中的数据不会出现错误结果。</w:t>
            </w:r>
          </w:p>
        </w:tc>
      </w:tr>
      <w:tr w14:paraId="0290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7A347A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FB0212A">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F39139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危险废物区块链安全治理</w:t>
            </w:r>
          </w:p>
        </w:tc>
        <w:tc>
          <w:tcPr>
            <w:tcW w:w="3209" w:type="pct"/>
          </w:tcPr>
          <w:p w14:paraId="5594F77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通过访问控制、多子链、隐私数据区、同态加密等维度保证区块链网络的安全。支持国密算法与国际通用密码学算法双适配，保障链上数据隐私与可操作性。</w:t>
            </w:r>
          </w:p>
          <w:p w14:paraId="340B97B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1.访问控制</w:t>
            </w:r>
          </w:p>
          <w:p w14:paraId="1F23D64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通过成员服务、角色和权限管理实现对通道和账本的访问控制，只有持有合法证书并得到授权的用户和应用可以使用接口调用智能合约；</w:t>
            </w:r>
          </w:p>
          <w:p w14:paraId="10DA389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2.多子链</w:t>
            </w:r>
          </w:p>
          <w:p w14:paraId="44BE8EC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每个子链中存在独立的分布式账本，只有子链的成员节点和用户可以访问该子链的分布式账本，有效防止数据泄露；</w:t>
            </w:r>
          </w:p>
          <w:p w14:paraId="6533468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3.隐私数据区</w:t>
            </w:r>
          </w:p>
          <w:p w14:paraId="04A8F574">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当部分数据需要对子链内的某些成员保密或者部分数据需要对非授权成员、组织保密时，可以使用隐私数据区；</w:t>
            </w:r>
          </w:p>
          <w:p w14:paraId="4F66C75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4.同态加密</w:t>
            </w:r>
          </w:p>
          <w:p w14:paraId="095E8F7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支持同态加密能力，保证链上数据的隐私性，以及数据的链上可操作性；</w:t>
            </w:r>
          </w:p>
          <w:p w14:paraId="7114B31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5.加密算法</w:t>
            </w:r>
          </w:p>
          <w:p w14:paraId="25C1DE1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提供加密算法，除采用国际上常用的密码学算法以外还实现对国家商用密码学算法的支持，以满足不同的需求。</w:t>
            </w:r>
          </w:p>
        </w:tc>
      </w:tr>
      <w:tr w14:paraId="16C1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EF01751">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A80767C">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9989AD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危险废物智能合约管理</w:t>
            </w:r>
          </w:p>
        </w:tc>
        <w:tc>
          <w:tcPr>
            <w:tcW w:w="3209" w:type="pct"/>
          </w:tcPr>
          <w:p w14:paraId="5222C08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1.合约内容制定</w:t>
            </w:r>
          </w:p>
          <w:p w14:paraId="2680070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系统支持多个</w:t>
            </w:r>
            <w:r>
              <w:rPr>
                <w:rFonts w:hint="eastAsia" w:ascii="仿宋_GB2312" w:hAnsi="方正仿宋_GBK" w:eastAsia="仿宋_GB2312" w:cs="方正仿宋_GBK"/>
                <w:color w:val="auto"/>
                <w:sz w:val="24"/>
                <w:highlight w:val="none"/>
              </w:rPr>
              <w:t>用户</w:t>
            </w:r>
            <w:r>
              <w:rPr>
                <w:rFonts w:ascii="仿宋_GB2312" w:hAnsi="方正仿宋_GBK" w:eastAsia="仿宋_GB2312" w:cs="方正仿宋_GBK"/>
                <w:color w:val="auto"/>
                <w:sz w:val="24"/>
                <w:highlight w:val="none"/>
              </w:rPr>
              <w:t>共同参与制定合约内容，支持用户对合约内容进行管理，对合约中的协议、权利、义务等进行撰写和变更。业务系统只有通过智能合约才能更新账本数据，确保安全的执行过程和</w:t>
            </w:r>
            <w:r>
              <w:rPr>
                <w:rFonts w:hint="eastAsia" w:ascii="仿宋_GB2312" w:hAnsi="方正仿宋_GBK" w:eastAsia="仿宋_GB2312" w:cs="方正仿宋_GBK"/>
                <w:color w:val="auto"/>
                <w:sz w:val="24"/>
                <w:highlight w:val="none"/>
              </w:rPr>
              <w:t>实现用户</w:t>
            </w:r>
            <w:r>
              <w:rPr>
                <w:rFonts w:ascii="仿宋_GB2312" w:hAnsi="方正仿宋_GBK" w:eastAsia="仿宋_GB2312" w:cs="方正仿宋_GBK"/>
                <w:color w:val="auto"/>
                <w:sz w:val="24"/>
                <w:highlight w:val="none"/>
              </w:rPr>
              <w:t>数据隔离。</w:t>
            </w:r>
          </w:p>
          <w:p w14:paraId="0A2CBF6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2.智能合约管理</w:t>
            </w:r>
          </w:p>
          <w:p w14:paraId="65326AF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所有对区块链账本的操作都必须由业务系统通过接口调用智能合约进行，合约支持Java、Go、Node.js等多种语言，并可以通过管理控制台实现区块链智能合约的管理。智能合约管理功能包括合约安装部署、合约升级、合约测试、合约注销和合约源码查看</w:t>
            </w:r>
            <w:r>
              <w:rPr>
                <w:rFonts w:hint="eastAsia" w:ascii="仿宋_GB2312" w:hAnsi="方正仿宋_GBK" w:eastAsia="仿宋_GB2312" w:cs="方正仿宋_GBK"/>
                <w:color w:val="auto"/>
                <w:sz w:val="24"/>
                <w:highlight w:val="none"/>
              </w:rPr>
              <w:t>等</w:t>
            </w:r>
            <w:r>
              <w:rPr>
                <w:rFonts w:ascii="仿宋_GB2312" w:hAnsi="方正仿宋_GBK" w:eastAsia="仿宋_GB2312" w:cs="方正仿宋_GBK"/>
                <w:color w:val="auto"/>
                <w:sz w:val="24"/>
                <w:highlight w:val="none"/>
              </w:rPr>
              <w:t>。</w:t>
            </w:r>
          </w:p>
        </w:tc>
      </w:tr>
      <w:tr w14:paraId="19C3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0C8B3B2">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C2F0C8C">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FF0D43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危险废物区块链应用开发</w:t>
            </w:r>
          </w:p>
        </w:tc>
        <w:tc>
          <w:tcPr>
            <w:tcW w:w="3209" w:type="pct"/>
          </w:tcPr>
          <w:p w14:paraId="2CBCF81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提供多种语言接口和智能合约，以满足应用开发的多样化需求，帮助快速开发区块链应用。</w:t>
            </w:r>
          </w:p>
          <w:p w14:paraId="04EFDB3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1.区块链应用模板</w:t>
            </w:r>
          </w:p>
          <w:p w14:paraId="5CDB212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应用与合约模板中需提供标准化的账本模型及用户验证、增删改查等常用接口和智能合约功能，在某些应用场景下只需要进行简单的参数配置就可以完成区块链应用开发。</w:t>
            </w:r>
          </w:p>
          <w:p w14:paraId="3C5A1AF8">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2.智能合约开发助手</w:t>
            </w:r>
          </w:p>
          <w:p w14:paraId="54DF12D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支持可视化配置业务应用数据模型，配置合约接口与查询索引，并自动化构建生成智能合约，快速实现业务智能合约开发，提升应用开发效率。</w:t>
            </w:r>
          </w:p>
          <w:p w14:paraId="540B17B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3.数据上链配置</w:t>
            </w:r>
          </w:p>
          <w:p w14:paraId="5C05F48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提供应用集成SDK调用智能合约，同时提供Rest服务接口调用合约完成链上数据操作，实现应用快速上链。</w:t>
            </w:r>
          </w:p>
        </w:tc>
      </w:tr>
      <w:tr w14:paraId="72BA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6CC3BF5">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29882C8">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2932E58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危险废物区块链可视化运维</w:t>
            </w:r>
          </w:p>
        </w:tc>
        <w:tc>
          <w:tcPr>
            <w:tcW w:w="3209" w:type="pct"/>
          </w:tcPr>
          <w:p w14:paraId="277F1D2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可视化管理工具，快速配置区块链网络和对区块链网络进行管理和监控。通过管理控制台对区块链对象进行快速可视化管理和运维，包括网络、成员、节点、子链、智能合约等。提供区块链浏览器，监控区块链的账本和交易运行状态，节点健康检查用于监控节点故障和资源使用情况，保证交易网络的安全可靠。</w:t>
            </w:r>
          </w:p>
        </w:tc>
      </w:tr>
      <w:tr w14:paraId="777A0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9FCE0B6">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421C295D">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5DF27A2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危险废物数据上链应用</w:t>
            </w:r>
          </w:p>
        </w:tc>
        <w:tc>
          <w:tcPr>
            <w:tcW w:w="3209" w:type="pct"/>
          </w:tcPr>
          <w:p w14:paraId="18AB98A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1.多类型数据上链</w:t>
            </w:r>
          </w:p>
          <w:p w14:paraId="352C1F34">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支持危险废物全过程数据、固体废物交易数据、电子废物拆解数据、重金属数据、海洋危险废物污染数据、新型危险废物数据等业务数据实现数据上链存储与加密，面向有关部门及企事业单位传输与共享。</w:t>
            </w:r>
          </w:p>
          <w:p w14:paraId="21AF8A6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2.数据治理与质量控制</w:t>
            </w:r>
          </w:p>
          <w:p w14:paraId="3F91ACF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支持将区块链技术应用到数据采集、数据清洗、数据管理、数据质量控制等数据治理工作中，以构建全国统一的“固体废物数字账本”。</w:t>
            </w:r>
          </w:p>
        </w:tc>
      </w:tr>
      <w:tr w14:paraId="48F9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39656CE">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EE14F88">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15F4AF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危险废物区块链技术评估</w:t>
            </w:r>
          </w:p>
        </w:tc>
        <w:tc>
          <w:tcPr>
            <w:tcW w:w="3209" w:type="pct"/>
          </w:tcPr>
          <w:p w14:paraId="00E8541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围绕业务匹配度、技术匹配度、安全性、经济性等维度，提供区块链部署成本、性能瓶颈、安全风险等方面的量化指标，评估区块链在具体业务场景的适用性。确保区块链技术在危险废物管理领域的应用能够切实提升数据安全性、业务透明度和监管效能，降低管理风险与成本，推动危险废物管理向数字化、智能化、规范化方向发展。</w:t>
            </w:r>
          </w:p>
        </w:tc>
      </w:tr>
      <w:tr w14:paraId="2B9C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54987BA1">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投标人应提供危险废物区块链技术评估系统设计方案</w:t>
            </w:r>
          </w:p>
        </w:tc>
      </w:tr>
      <w:tr w14:paraId="6371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1973A05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4</w:t>
            </w:r>
          </w:p>
        </w:tc>
        <w:tc>
          <w:tcPr>
            <w:tcW w:w="683" w:type="pct"/>
            <w:vMerge w:val="restart"/>
          </w:tcPr>
          <w:p w14:paraId="02CE3217">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危险废物遥感技术应用系统</w:t>
            </w:r>
          </w:p>
        </w:tc>
        <w:tc>
          <w:tcPr>
            <w:tcW w:w="768" w:type="pct"/>
          </w:tcPr>
          <w:p w14:paraId="7C77E2B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卫星与无人机遥感数据采集</w:t>
            </w:r>
          </w:p>
        </w:tc>
        <w:tc>
          <w:tcPr>
            <w:tcW w:w="3209" w:type="pct"/>
          </w:tcPr>
          <w:p w14:paraId="4A3C0194">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负责统筹卫星遥感及无人机的数据采集工作。</w:t>
            </w:r>
          </w:p>
          <w:p w14:paraId="78BE154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1.卫星遥感监测</w:t>
            </w:r>
          </w:p>
          <w:p w14:paraId="6CCF238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通过设定固定周期，调度低分辨率宽幅卫星对全域进行常态化扫描，快速捕捉新增或异常的危险废物堆存迹象，获取基础监测影像。</w:t>
            </w:r>
          </w:p>
          <w:p w14:paraId="2035B1A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系统支持高分一号、哨兵2号等卫星遥感影像的上传、处理、发布及历史数据管理，具备全流程遥感影像处理与固废疑似点AI识别功能，并实现与无人机调度系统的数据互通，以支撑“卫星发现、无人机核实”的空天地协同监测闭环。</w:t>
            </w:r>
          </w:p>
          <w:p w14:paraId="09CFB0D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2.无人机精细化巡检管理</w:t>
            </w:r>
          </w:p>
          <w:p w14:paraId="4710133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无人机精细化巡检在卫星发现疑似异常区域，或针对重点监管区域开展深度巡查时启动，利用搭载的高分辨率光学相机、热成像仪等设备，低空采集厘米级分辨率图像，精准记录危险废物的细节信息。</w:t>
            </w:r>
          </w:p>
          <w:p w14:paraId="1314CCD4">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系统具备无人机与机场的调度管理、规划航线飞抵危废疑似点进行取证、实时视频监控与AI识别辅助研判，以及对已发现点位实施持续复核飞行的全流程闭环</w:t>
            </w:r>
            <w:r>
              <w:rPr>
                <w:rFonts w:hint="eastAsia" w:ascii="仿宋_GB2312" w:hAnsi="方正仿宋_GBK" w:eastAsia="仿宋_GB2312" w:cs="方正仿宋_GBK"/>
                <w:color w:val="auto"/>
                <w:sz w:val="24"/>
                <w:highlight w:val="none"/>
              </w:rPr>
              <w:t>监管</w:t>
            </w:r>
            <w:r>
              <w:rPr>
                <w:rFonts w:ascii="仿宋_GB2312" w:hAnsi="方正仿宋_GBK" w:eastAsia="仿宋_GB2312" w:cs="方正仿宋_GBK"/>
                <w:color w:val="auto"/>
                <w:sz w:val="24"/>
                <w:highlight w:val="none"/>
              </w:rPr>
              <w:t>。</w:t>
            </w:r>
          </w:p>
          <w:p w14:paraId="30C6A0B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3.应急场景应用</w:t>
            </w:r>
          </w:p>
          <w:p w14:paraId="05F2F538">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在应急响应场景下能够快速调用临近卫星资源和附近无人机，实时回传事故区域的影像与视频数据，为应急处置提供第一手资料。</w:t>
            </w:r>
          </w:p>
        </w:tc>
      </w:tr>
      <w:tr w14:paraId="1CFCE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E32E971">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DFA2FB1">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EE1CD3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遥感多源数据整合建库</w:t>
            </w:r>
          </w:p>
        </w:tc>
        <w:tc>
          <w:tcPr>
            <w:tcW w:w="3209" w:type="pct"/>
          </w:tcPr>
          <w:p w14:paraId="3E47EEF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系统支持将卫星与无人机采集到的各类数据进行统一管理与存储。对数据添加详细的索引和元数据信息，涵盖采集时间、地点、分辨率、卫星类型等关键要素，构建标准化的数据仓库。</w:t>
            </w:r>
          </w:p>
          <w:p w14:paraId="1A6E4E0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提供数据清洗、格式转换等预处理操作，确保数据的规范性和可用性，为后续的数据处理与分析奠定坚实基础，实现数据的高效检索与调用。</w:t>
            </w:r>
          </w:p>
        </w:tc>
      </w:tr>
      <w:tr w14:paraId="522F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3211A523">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7CABF5D">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815D01B">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卫星与无人机影像遥感预处理</w:t>
            </w:r>
          </w:p>
        </w:tc>
        <w:tc>
          <w:tcPr>
            <w:tcW w:w="3209" w:type="pct"/>
          </w:tcPr>
          <w:p w14:paraId="46BFA96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支持对采集到的原始影像进行辐射校正、几何校正等预处理操作。通过大气校正，消除大气条件等因素导致的误差，纠正影像的几何变形，统一影像的地理坐标系。</w:t>
            </w:r>
          </w:p>
          <w:p w14:paraId="2B8F287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支持对多源数据进行融合处理，结合卫星大范围覆盖和无人机高分辨率的优势，运用数据配准、融合算法，生成更全面、准确的综合影像数据，提升影像质量，为后续的深入分析提供优质的数据素材。</w:t>
            </w:r>
          </w:p>
        </w:tc>
      </w:tr>
      <w:tr w14:paraId="0715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B8469F2">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90422F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B45EB6E">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遥感GIS空间综合分析</w:t>
            </w:r>
          </w:p>
        </w:tc>
        <w:tc>
          <w:tcPr>
            <w:tcW w:w="3209" w:type="pct"/>
          </w:tcPr>
          <w:p w14:paraId="51DBA4A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w:t>
            </w:r>
            <w:r>
              <w:rPr>
                <w:rFonts w:hint="eastAsia" w:ascii="仿宋_GB2312" w:hAnsi="方正仿宋_GBK" w:eastAsia="仿宋_GB2312" w:cs="方正仿宋_GBK"/>
                <w:color w:val="auto"/>
                <w:sz w:val="24"/>
                <w:highlight w:val="none"/>
              </w:rPr>
              <w:t>将危险废物</w:t>
            </w:r>
            <w:r>
              <w:rPr>
                <w:rFonts w:ascii="仿宋_GB2312" w:hAnsi="方正仿宋_GBK" w:eastAsia="仿宋_GB2312" w:cs="方正仿宋_GBK"/>
                <w:color w:val="auto"/>
                <w:sz w:val="24"/>
                <w:highlight w:val="none"/>
              </w:rPr>
              <w:t>遥感解译结果与动态变化信息与GIS平台融合。开展空间分析工作。分析危险废物与周边居民区、水源地、生态保护区等环境敏感点的距离关系，运用缓冲区分析、网络分析等功能，评估环境风险。基于空间分析结果，为危险废物运输路线规划、应急救援路径选择、处置设施选址等提供科学的决策</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，实现危险废物监管的空间可视化与智能化管理。</w:t>
            </w:r>
          </w:p>
        </w:tc>
      </w:tr>
      <w:tr w14:paraId="1868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A35BFDC">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4AEA81BE">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20FAE92F">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联合执法遥感影像支持</w:t>
            </w:r>
          </w:p>
        </w:tc>
        <w:tc>
          <w:tcPr>
            <w:tcW w:w="3209" w:type="pct"/>
          </w:tcPr>
          <w:p w14:paraId="6F93865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整合卫星和无人机遥感数据，为执法部门提供精准的执法线索和确凿的影像证据。执法人员可通过系统获取危险废物违规行为的具体位置、详细影像资料等信息，制定周密的执法计划。在执法过程中，利用无人机实时监控执法现场情况，进行动态跟踪与取证，辅助执法人员高效完成处置工作，提高执法效率和准确性。</w:t>
            </w:r>
          </w:p>
        </w:tc>
      </w:tr>
      <w:tr w14:paraId="40D1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5C3E2D7">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4B583793">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A99916F">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遥感数据共享与协同</w:t>
            </w:r>
          </w:p>
        </w:tc>
        <w:tc>
          <w:tcPr>
            <w:tcW w:w="3209" w:type="pct"/>
          </w:tcPr>
          <w:p w14:paraId="7D3D312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对系统产生的各类遥感数据、解译结果、分析成果等进行统一管理和存储。建立数据索引和元数据信息，方便数据的查询、检索和调用。同时，支持相关部门的数据共享，实现危险废物监管信息的互联互通，提高协同监管能力。</w:t>
            </w:r>
          </w:p>
        </w:tc>
      </w:tr>
      <w:tr w14:paraId="1F479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46580422">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投标人应提供危险废物遥感技术应用系统设计方案</w:t>
            </w:r>
          </w:p>
        </w:tc>
      </w:tr>
      <w:tr w14:paraId="2AFA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6A0DEAD5">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5</w:t>
            </w:r>
          </w:p>
        </w:tc>
        <w:tc>
          <w:tcPr>
            <w:tcW w:w="683" w:type="pct"/>
            <w:vMerge w:val="restart"/>
          </w:tcPr>
          <w:p w14:paraId="754E509B">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危险废物物联网装备评估系统</w:t>
            </w:r>
          </w:p>
        </w:tc>
        <w:tc>
          <w:tcPr>
            <w:tcW w:w="768" w:type="pct"/>
          </w:tcPr>
          <w:p w14:paraId="3F92A89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危险废物物联网装备数据采集与集成</w:t>
            </w:r>
          </w:p>
        </w:tc>
        <w:tc>
          <w:tcPr>
            <w:tcW w:w="3209" w:type="pct"/>
          </w:tcPr>
          <w:p w14:paraId="0E33324A">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物联网装备评估：指依据《危险废物物联网智能监控设备技术要求》等规范，对危险废物产生、贮存、转移、处置全环节部署的物联网感知装备（含智能称重、视频监控、电子标签、环境传感器、定位终端等），从设备性能、数据准确性、联网稳定性、合规匹配度等维度开展全维度校验与评价工作，保障物联网感知数据真实可靠。</w:t>
            </w:r>
          </w:p>
          <w:p w14:paraId="3135670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1.物联网装备基础数据库</w:t>
            </w:r>
          </w:p>
          <w:p w14:paraId="7AA6BBD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构建全面的物联网装备基础数据库。详细记录物联网装备厂家、型号、技术参数、功能特点、分布位置等信息。针对不同类别危险废物处理需求和不同企业类型，对装备信息进行分类管理。</w:t>
            </w:r>
          </w:p>
          <w:p w14:paraId="78EBFA7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2.信息查询与比对</w:t>
            </w:r>
          </w:p>
          <w:p w14:paraId="7B03219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提供装备信息查询、对比功能，支持企业根据自身业务需求选择合适的装备。</w:t>
            </w:r>
          </w:p>
          <w:p w14:paraId="702EB60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3.数据动态维护与更新</w:t>
            </w:r>
          </w:p>
          <w:p w14:paraId="5725B6A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支持装备信息的新增、修改、删除操作，及时更新装备动态信息，如装备升级、报废等情况，确保数据库的时效性和完整性。</w:t>
            </w:r>
          </w:p>
        </w:tc>
      </w:tr>
      <w:tr w14:paraId="6F384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E286B01">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25722E9">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0494588">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危险废物物联网装备技术应用</w:t>
            </w:r>
          </w:p>
        </w:tc>
        <w:tc>
          <w:tcPr>
            <w:tcW w:w="3209" w:type="pct"/>
          </w:tcPr>
          <w:p w14:paraId="69BB5ED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1.物联网装备技术应用数据资源库</w:t>
            </w:r>
          </w:p>
          <w:p w14:paraId="0CF1563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汇总调研现有执法装备生产技术，梳理分析现有技术的特点与不足。收集梳理危险废物物联网装备技术应用案例信息，包括应用情况、案例信息、应用效果等信息，整合技术特点和案例信息，构建危险废物物联网装备技术应用数据资源库。</w:t>
            </w:r>
          </w:p>
          <w:p w14:paraId="2DA8457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2.查询与检索</w:t>
            </w:r>
          </w:p>
          <w:p w14:paraId="1FDC0A2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提供应用技术的查询及检索服务，为产业技术对接，企业数字化服务提供数据支撑。</w:t>
            </w:r>
          </w:p>
        </w:tc>
      </w:tr>
      <w:tr w14:paraId="224A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D4C6E4E">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FCFB57E">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53FBB772">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危险废物物联网装备互联互通验证</w:t>
            </w:r>
          </w:p>
        </w:tc>
        <w:tc>
          <w:tcPr>
            <w:tcW w:w="3209" w:type="pct"/>
          </w:tcPr>
          <w:p w14:paraId="5BFFEBC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该模块旨在确保不同厂家、不同型号的危险废物物联网装备能在系统中实现无缝对接与协同工作。</w:t>
            </w:r>
          </w:p>
          <w:p w14:paraId="5CECE2C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1.测试环境搭建与验证</w:t>
            </w:r>
          </w:p>
          <w:p w14:paraId="1980722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搭建互联互通测试环境，模拟真实的危险废物管理场景，接入各类物联网装备，依据制定的硬件接口标准、通信协议标准，对装备的数据传输格式、接口兼容性、数据交互稳定性进行全面测试。通过自动化测试工具与人工测试相结合的方式，对装备间的联动操作进行验证。</w:t>
            </w:r>
          </w:p>
          <w:p w14:paraId="47DB166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2.分析报告管理</w:t>
            </w:r>
          </w:p>
          <w:p w14:paraId="7CE05A4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对于验证过程中发现的兼容性问题，</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提供详细的分析报告和解决方案，推动装备生产企业改进技术，实现行业内装备的互联互通，保障危险废物物联网装备接入的稳定性和准确性。</w:t>
            </w:r>
          </w:p>
        </w:tc>
      </w:tr>
      <w:tr w14:paraId="77602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ED40DA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72BCE4A">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E38A432">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信息安全评估验证</w:t>
            </w:r>
          </w:p>
        </w:tc>
        <w:tc>
          <w:tcPr>
            <w:tcW w:w="3209" w:type="pct"/>
          </w:tcPr>
          <w:p w14:paraId="6F2CAD5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信息安全评估验证模块着重保障危险废物物联网装备评估系统及相关数据的安全性。</w:t>
            </w:r>
          </w:p>
          <w:p w14:paraId="7E2511F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系统支持通过运用漏洞扫描、渗透测试、数据加密分析、应用安全测试等软硬件工具（由本平台的关联项目提供），对系统开展网络安全、数据安全及应用安全的多维度评估，同时，模拟黑客攻击、数据泄露等安全事件，验证防护措施的有效性、应急响应与数据恢复能力。生成装备信息安全评估报告，报告应列出风险项、严重等级，并提供安全加固整改建议。</w:t>
            </w:r>
          </w:p>
        </w:tc>
      </w:tr>
      <w:tr w14:paraId="2DB1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A9754C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9FAF8E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B26A7C2">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危险废物物联网装备质量检测管理</w:t>
            </w:r>
          </w:p>
        </w:tc>
        <w:tc>
          <w:tcPr>
            <w:tcW w:w="3209" w:type="pct"/>
          </w:tcPr>
          <w:p w14:paraId="03F1297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1.设备检测计划和流程</w:t>
            </w:r>
          </w:p>
          <w:p w14:paraId="72FB44E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制定详细的设备检测计划和流程，支持定期检测和不定期抽检。记录检测过程中的各项数据，包括检测时间、检测项目、检测结果等。根据检测标准对设备质量进行评定，对不合格设备生成整改通知书，跟踪企业的整改情况。</w:t>
            </w:r>
          </w:p>
          <w:p w14:paraId="3E61B96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2.设备质量检测档案</w:t>
            </w:r>
          </w:p>
          <w:p w14:paraId="74A84FB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建立设备质量检测档案，为企业提供设备质量历史记录查询服务，帮助企业全面掌握设备质量状况。</w:t>
            </w:r>
          </w:p>
        </w:tc>
      </w:tr>
      <w:tr w14:paraId="5E61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A106DAE">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5B6D259">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BC5D511">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软件系统质量测评</w:t>
            </w:r>
          </w:p>
        </w:tc>
        <w:tc>
          <w:tcPr>
            <w:tcW w:w="3209" w:type="pct"/>
          </w:tcPr>
          <w:p w14:paraId="5DE70ED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构建涵盖功能测试、性能测试、安全测试、兼容性测试等多种类型的测试体系。在功能测试环节，按照相关规范要求，对软件的各项功能进行逐一验证；性能测试通过模拟大数据量和高并发访问场景，评估软件的响应时间、吞吐量、资源利用率等性能指标。配备专业的测试工具和测试团队，根据测评结果生成详细的软件质量测评报告，保障危险废物物联网装备相关软件的完整性、健壮性、稳定性和安全性。</w:t>
            </w:r>
          </w:p>
        </w:tc>
      </w:tr>
      <w:tr w14:paraId="23B2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0757438">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9CC607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2E0061C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标准符合性评估</w:t>
            </w:r>
          </w:p>
        </w:tc>
        <w:tc>
          <w:tcPr>
            <w:tcW w:w="3209" w:type="pct"/>
          </w:tcPr>
          <w:p w14:paraId="59D7FDC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对危险废物物联网装备及相关信息系统是否符合既定标准和规范进行评估。组建由行业专家、技术人员、监管代表等组成的评估团队，依据系统制定的硬件接口标准、通信协议标准、数据格式标准以及信息系统接入规范等，对企业申报的装备和系统进行审核与评估。评估流程包括资料审查、现场检测、功能验证等环节，对物联网装备的硬件接口进行物理检测，对信息系统的数据交互流程进行模拟验证。</w:t>
            </w:r>
          </w:p>
          <w:p w14:paraId="7EC7ABC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对于符合标准的装备和系统，颁发标准符合性评估证书；对于不符合标准的，给予详细的整改指导意见，要求企业限期改进后重新申请评估。</w:t>
            </w:r>
          </w:p>
        </w:tc>
      </w:tr>
      <w:tr w14:paraId="7C07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4491A87">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A5BAAC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7DAE27D">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产业服务对接</w:t>
            </w:r>
          </w:p>
        </w:tc>
        <w:tc>
          <w:tcPr>
            <w:tcW w:w="3209" w:type="pct"/>
          </w:tcPr>
          <w:p w14:paraId="582B117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汇聚危险废物管理产业链上的各类资源，促进企业间的合作与交流。平台汇聚设备供应商、软件开发商、技术服务商、科研机构、金融机构等多方资源，为危险废物相关企业提供一站式服务。支持企业发布装备采购需求、软件定制需求、技术合作需求等信息，供应商和服务商则根据需求进行响应和对接；支持科研机构发布最新的研究成果和技术专利；</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支持金融机构提供数字化转型融资、设备租赁等金融服务方案。</w:t>
            </w:r>
          </w:p>
          <w:p w14:paraId="6E5EA21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支持线上线下的产业交流活动，如技术研讨会、项目对接会等，促进产业资源的优化配置，助力危险废物管理产业的协同升级。</w:t>
            </w:r>
          </w:p>
        </w:tc>
      </w:tr>
      <w:tr w14:paraId="3173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BA0A30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95C31E0">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2EE5C87F">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评估报告签发与管理</w:t>
            </w:r>
          </w:p>
        </w:tc>
        <w:tc>
          <w:tcPr>
            <w:tcW w:w="3209" w:type="pct"/>
          </w:tcPr>
          <w:p w14:paraId="2B8E5117">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系统</w:t>
            </w:r>
            <w:r>
              <w:rPr>
                <w:rFonts w:ascii="仿宋_GB2312" w:hAnsi="方正仿宋_GBK" w:eastAsia="仿宋_GB2312" w:cs="方正仿宋_GBK"/>
                <w:color w:val="auto"/>
                <w:sz w:val="24"/>
                <w:highlight w:val="none"/>
              </w:rPr>
              <w:t>采用全流程闭环模式对危险废物物联网装备</w:t>
            </w:r>
            <w:r>
              <w:rPr>
                <w:rFonts w:hint="eastAsia" w:ascii="仿宋_GB2312" w:hAnsi="方正仿宋_GBK" w:eastAsia="仿宋_GB2312" w:cs="方正仿宋_GBK"/>
                <w:color w:val="auto"/>
                <w:sz w:val="24"/>
                <w:highlight w:val="none"/>
              </w:rPr>
              <w:t>进行</w:t>
            </w:r>
            <w:r>
              <w:rPr>
                <w:rFonts w:ascii="仿宋_GB2312" w:hAnsi="方正仿宋_GBK" w:eastAsia="仿宋_GB2312" w:cs="方正仿宋_GBK"/>
                <w:color w:val="auto"/>
                <w:sz w:val="24"/>
                <w:highlight w:val="none"/>
              </w:rPr>
              <w:t>多维度评估，自动完成评估报告的签发与管理。签发阶段实行严格的多级审核机制，报告编制完成后，经项目负责人初审、专家审核小组复核、授权负责人签字盖章后完成签发，保障报告权威性。</w:t>
            </w:r>
          </w:p>
          <w:p w14:paraId="64597D8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签发后的报告进入全周期管理流程，存储上采用分布式存储与本地备份结合的方式，并依据企业属性、评估类别等建立索引目录，搭配智能检索系统实现快速查询；权限管理依据用户角色设置差异化权限，同时运用区块链技术对报告关键信息进行哈希加密存证，防止数据篡改；支持报告版本追溯与修订管理。</w:t>
            </w:r>
          </w:p>
        </w:tc>
      </w:tr>
      <w:tr w14:paraId="55F6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A924D56">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F18969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B414C02">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危险废物物联网装备评估技术应用</w:t>
            </w:r>
          </w:p>
        </w:tc>
        <w:tc>
          <w:tcPr>
            <w:tcW w:w="3209" w:type="pct"/>
          </w:tcPr>
          <w:p w14:paraId="5BDCFAE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通过多源数据采集系统，全面整合执法装备的技术参数、运行日志、维护记录、使用场景数据等，结合危险废物管理业务流程中产生的各类数据，运用大数据清洗与预处理技术，剔除无效、错误数据，统一数据格式，形成高质量数据集。</w:t>
            </w:r>
          </w:p>
          <w:p w14:paraId="754C2CA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依托危险废物物联网装备评估体系，建设危险废物物联网装备评估技术应用。支持数据可视化分析、智能评估、报告生成等功能，支持通过可视化界面直观查看装备各项指标数据及评估结果；支持系统根据预设评估规则自动对装备进行打分评级，并生成详细评估报告，指出装备优势与不足，提供针对性改进建议，为装备采购、升级、维护决策提供科学依据。</w:t>
            </w:r>
          </w:p>
        </w:tc>
      </w:tr>
      <w:tr w14:paraId="6594C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547CBC6">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1F428A5">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233FC20">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危险废物物联网装备匹配应用</w:t>
            </w:r>
          </w:p>
        </w:tc>
        <w:tc>
          <w:tcPr>
            <w:tcW w:w="3209" w:type="pct"/>
          </w:tcPr>
          <w:p w14:paraId="5D04C8F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支持调用装备数据库与评估技术成果，综合分析企业业务需求信息，运用智能算法构建匹配模型，通过多维度权重计算，基于危险废物物联网装备数据库，为企业</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提供智能匹配与业务场景适配、经济、易于集成的物联网装备组合方案。并提供各装备的详细技术参数、操作指南、部署建议及兼容性说明。</w:t>
            </w:r>
          </w:p>
          <w:p w14:paraId="67E99A7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提供动态调整功能，支持根据企业实际运行数据与反馈持续调整装备配置推荐，为危险废物物联网装备的科学选型、部署与应用提供持续支撑。</w:t>
            </w:r>
          </w:p>
        </w:tc>
      </w:tr>
      <w:tr w14:paraId="3741C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4B491D3A">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投标人应提供危险废物物联网装备评估系统设计方案</w:t>
            </w:r>
          </w:p>
        </w:tc>
      </w:tr>
      <w:tr w14:paraId="0106C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6DD6B2A6">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6</w:t>
            </w:r>
          </w:p>
        </w:tc>
        <w:tc>
          <w:tcPr>
            <w:tcW w:w="683" w:type="pct"/>
            <w:vMerge w:val="restart"/>
          </w:tcPr>
          <w:p w14:paraId="0812387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危险废物集中转运装备评估系统</w:t>
            </w:r>
          </w:p>
        </w:tc>
        <w:tc>
          <w:tcPr>
            <w:tcW w:w="768" w:type="pct"/>
          </w:tcPr>
          <w:p w14:paraId="2EDDBAA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危险废物集中转运装备数据采集与集成</w:t>
            </w:r>
          </w:p>
        </w:tc>
        <w:tc>
          <w:tcPr>
            <w:tcW w:w="3209" w:type="pct"/>
          </w:tcPr>
          <w:p w14:paraId="1E01E359">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智能转运装备：指集成卫星定位、智能锁控、称重计量、视频监控、泄漏监测、数据实时上传等智能化功能，用于危险废物场内转运、跨单位转移运输的专用装备，主要包括智能周转容器、移动式智能收储设备，需满足《危险废物收集 贮存 运输技术规范》（HJ 2025-2012）的基础要求。</w:t>
            </w:r>
          </w:p>
          <w:p w14:paraId="349B72E1">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集中转运装备评估：指针对危险废物集中收集转运站点配置的装卸、贮存、转运等成套装备，从合规性、转运效能、信息化匹配度、环境风险防控能力等维度开展的系统性评估，为集中转运站点的装备配置优化与规范化运行提供技术依据。</w:t>
            </w:r>
          </w:p>
          <w:p w14:paraId="327F088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1.集中转运装备基础数据库</w:t>
            </w:r>
          </w:p>
          <w:p w14:paraId="76E81B0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构建全面的集中转运装备基础数据库。详细记录集中转运装备厂家、型号、技术参数、功能特点、分布位置等信息。针对不同类别危险废物处理需求和不同企业类型，对装备信息进行分类管理。</w:t>
            </w:r>
          </w:p>
          <w:p w14:paraId="6D62B83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2.信息查询与比对</w:t>
            </w:r>
          </w:p>
          <w:p w14:paraId="4FDCF42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提供装备信息查询、对比功能，支持企业根据自身业务需求选择合适的装备。</w:t>
            </w:r>
          </w:p>
          <w:p w14:paraId="1A80E04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3.数据动态维护与更新</w:t>
            </w:r>
          </w:p>
          <w:p w14:paraId="4A8B3AC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支持装备信息的新增、修改、删除操作，及时更新装备动态信息，如装备升级、报废等情况，确保数据库的时效性和完整性。</w:t>
            </w:r>
          </w:p>
        </w:tc>
      </w:tr>
      <w:tr w14:paraId="152DD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89B0F27">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723BAA2">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E61039D">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集中转运管理信息技术应用</w:t>
            </w:r>
          </w:p>
        </w:tc>
        <w:tc>
          <w:tcPr>
            <w:tcW w:w="3209" w:type="pct"/>
          </w:tcPr>
          <w:p w14:paraId="18D767A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基于危险废物集中转运业务工作实际需求，利用物联网、大数据、云计算、人工智能等先进技术对危险废物集中转运全环节进行动态监控，对数据实现实时汇总和分析展示。</w:t>
            </w:r>
          </w:p>
          <w:p w14:paraId="5052E658">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构建数据看板，面向各级生态环境管理部门、第三方收运机构、小微型危险废物相关企业、大专院校、社会科研机构等用户，动态展示关键指标与业务状态。</w:t>
            </w:r>
          </w:p>
        </w:tc>
      </w:tr>
      <w:tr w14:paraId="0774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5096C43">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E207C95">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596B15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危险废物集中转运装备技术应用分析</w:t>
            </w:r>
          </w:p>
        </w:tc>
        <w:tc>
          <w:tcPr>
            <w:tcW w:w="3209" w:type="pct"/>
          </w:tcPr>
          <w:p w14:paraId="2E7DF93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1.集中转运装备技术应用数据资源库构建</w:t>
            </w:r>
          </w:p>
          <w:p w14:paraId="1AD9003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汇总调研现有集中转运装备技术，梳理分析现有技术的特点与不足。收集梳理危险废物集中转运装备技术应用案例信息，包括应用</w:t>
            </w:r>
            <w:r>
              <w:rPr>
                <w:rFonts w:hint="eastAsia" w:ascii="仿宋_GB2312" w:hAnsi="方正仿宋_GBK" w:eastAsia="仿宋_GB2312" w:cs="方正仿宋_GBK"/>
                <w:color w:val="auto"/>
                <w:sz w:val="24"/>
                <w:highlight w:val="none"/>
              </w:rPr>
              <w:t>情况</w:t>
            </w:r>
            <w:r>
              <w:rPr>
                <w:rFonts w:ascii="仿宋_GB2312" w:hAnsi="方正仿宋_GBK" w:eastAsia="仿宋_GB2312" w:cs="方正仿宋_GBK"/>
                <w:color w:val="auto"/>
                <w:sz w:val="24"/>
                <w:highlight w:val="none"/>
              </w:rPr>
              <w:t>、应用效果等信息，整合技术特点和案例信息，构建危险废物集中转运装备技术应用数据资源库。</w:t>
            </w:r>
          </w:p>
          <w:p w14:paraId="2B23836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2.查询与检索</w:t>
            </w:r>
          </w:p>
          <w:p w14:paraId="3563B45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提供应用技术的查询、检索及分析服务，为集中转运装备研发、产业技术对接，企业数字化服务提供数据支撑。</w:t>
            </w:r>
          </w:p>
        </w:tc>
      </w:tr>
      <w:tr w14:paraId="5F7A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02C1218">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BEB272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281358C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危险废物智能转运装备互联互通验证</w:t>
            </w:r>
          </w:p>
        </w:tc>
        <w:tc>
          <w:tcPr>
            <w:tcW w:w="3209" w:type="pct"/>
          </w:tcPr>
          <w:p w14:paraId="5AD07D4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该模块旨在确保不同厂家、不同型号的危险废物物联网装备能在系统中实现无缝对接与协同工作。</w:t>
            </w:r>
          </w:p>
          <w:p w14:paraId="66C793C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1.测试环境搭建与验证</w:t>
            </w:r>
          </w:p>
          <w:p w14:paraId="4E1F5F9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搭建集中转运设备互联互通测试环境，模拟真实的危险废物管理场景，接入各类集中转运装备，依据制定的硬件接口标准、通信协议标准，对装备的数据传输格式、接口兼容性、数据交互稳定性进行全面测试。对装备间的联动操作进行验证。</w:t>
            </w:r>
          </w:p>
          <w:p w14:paraId="32C6FCB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2.分析报告管理</w:t>
            </w:r>
          </w:p>
          <w:p w14:paraId="3A5DE1B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对于验证过程中发现的兼容性问题，</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提供详细的分析报告和解决方案，推动装备生产企业改进技术，实现集中转运装备与监管平台的互联互通。</w:t>
            </w:r>
          </w:p>
        </w:tc>
      </w:tr>
      <w:tr w14:paraId="7F7A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8A7948C">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4B88611A">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4C5B9AE">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危险废物集中转运装备标准符合性评估</w:t>
            </w:r>
          </w:p>
        </w:tc>
        <w:tc>
          <w:tcPr>
            <w:tcW w:w="3209" w:type="pct"/>
          </w:tcPr>
          <w:p w14:paraId="1BC6A04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对危险废物集中转运装备及相关信息系统是否符合既定标准和规范的评估。组建由行业专家、技术人员、监管代表等组成的评估团队，依据系统制定的硬件接口标准、通信协议标准、数据格式标准以及信息系统接入规范等，对企业申报的装备和系统进行审核与评估。评估流程包括资料审查、现场检测、功能验证等环节，对物联网装备的硬件接口进行物理检测，对信息系统的数据交互流程进行模拟验证。</w:t>
            </w:r>
          </w:p>
          <w:p w14:paraId="47D737C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对于符合标准的装备和系统，颁发标准符合性评估证书；对于不符合标准的，给予详细的整改指导意见，要求企业限期改进后重新申请评估。</w:t>
            </w:r>
          </w:p>
        </w:tc>
      </w:tr>
      <w:tr w14:paraId="3C4B8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3273833">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FFDFC46">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74D861E">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危险废物集中转运装备评估报告签发与管理</w:t>
            </w:r>
          </w:p>
        </w:tc>
        <w:tc>
          <w:tcPr>
            <w:tcW w:w="3209" w:type="pct"/>
          </w:tcPr>
          <w:p w14:paraId="727A9AE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系统采用全流程闭环模式对危险废物集中转运装备进行多维度评估，自动完成评估报告的签发与管理。签发阶段实行严格的多级审核机制，报告编制完成后，经项目负责人初审、专家审核小组复核、授权负责人签字盖章后完成签发，保障报告权威性。</w:t>
            </w:r>
          </w:p>
          <w:p w14:paraId="13644201">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签发后的报告进入全周期管理流程，存储上采用分布式存储与本地备份结合的方式，并依据企业属性、评估类别等建立索引目录，搭配智能检索系统实现快速查询；权限管理依据用户角色设置差异化权限，同时运用区块链技术对报告关键信息进行哈希加密存证，防止数据篡改；支持报告版本追溯与修订管理。</w:t>
            </w:r>
          </w:p>
        </w:tc>
      </w:tr>
      <w:tr w14:paraId="1248D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82601FE">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688A16E">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51D41FAD">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危险废物集中转运装备运行管理</w:t>
            </w:r>
          </w:p>
        </w:tc>
        <w:tc>
          <w:tcPr>
            <w:tcW w:w="3209" w:type="pct"/>
          </w:tcPr>
          <w:p w14:paraId="0B7FEFB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通过多源数据采集系统，全面整合集中转运装备的技术参数、运行日志、维护记录、使用场景数据等，结合危险废物管理业务流程中产生的各类数据，运用大数据清洗与预处理技术，剔除无效、错误数据，统一数据格式，形成高质量数据集。</w:t>
            </w:r>
          </w:p>
        </w:tc>
      </w:tr>
      <w:tr w14:paraId="35E1E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C00B224">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3EAA3F3">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B5E01D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危险废物集中转运装备技术评估分析</w:t>
            </w:r>
          </w:p>
        </w:tc>
        <w:tc>
          <w:tcPr>
            <w:tcW w:w="3209" w:type="pct"/>
          </w:tcPr>
          <w:p w14:paraId="02C1B90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依托危险废物集中转运装备评估体系，建设危险废物集中转运装备评估技术应用。提供数据可视化分析、智能评估、报告生成等功能，支持通过可视化界面直观查看装备各项指标数据及评估结果；支持根据预设评估规则自动对装备进行打分评级，并生成详细评估报告，指出装备优势与不足，提供针对性改进建议，为集中转运装备采购、升级、维护决策提供科学依据。</w:t>
            </w:r>
          </w:p>
        </w:tc>
      </w:tr>
      <w:tr w14:paraId="2D3B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4AFFED6">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16D09F2">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BD404BB">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集中转运智能化装备技术研发管理</w:t>
            </w:r>
          </w:p>
        </w:tc>
        <w:tc>
          <w:tcPr>
            <w:tcW w:w="3209" w:type="pct"/>
          </w:tcPr>
          <w:p w14:paraId="34803F5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依托危险废物集中转运装备技术分析成果，结合对危险废物集中转运全过程动态跟踪的实际需求，对智能化集中转运车辆研发过程进行机械管理，动态记录和分析研发过程和成果，主要包括智能化集中转运设备设计、研发、测试、生产、市场等环节的关键数据。</w:t>
            </w:r>
          </w:p>
        </w:tc>
      </w:tr>
      <w:tr w14:paraId="7130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49F7B2B">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6B7F31E">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9AED88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集中转运智能化装备技术成果验证</w:t>
            </w:r>
          </w:p>
        </w:tc>
        <w:tc>
          <w:tcPr>
            <w:tcW w:w="3209" w:type="pct"/>
          </w:tcPr>
          <w:p w14:paraId="3233CE3F">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利用物联网、大数据、可视化等先进的技术手段，搭建集中转运智能化装备技术研发成果验证功能，通过系统实时接入集中转运智能化设备，并对数据传输情况、数据质量情况、数据稳定性、数据准确性等方面进行评估和分析，保障技术研发成果的应用效率和质量。</w:t>
            </w:r>
          </w:p>
        </w:tc>
      </w:tr>
      <w:tr w14:paraId="32519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56A947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589E18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B2C9D0E">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集中转运装备技术产业服务对接</w:t>
            </w:r>
          </w:p>
        </w:tc>
        <w:tc>
          <w:tcPr>
            <w:tcW w:w="3209" w:type="pct"/>
          </w:tcPr>
          <w:p w14:paraId="33CC93E4">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整合危险废物集中转运装备技术产业链上的各类资源，促进企业间的合作与交流。平台汇聚设备供应商、软件开发商、技术服务商、科研机构、金融机构等多方资源，为危险废物相关企业提供一站式服务。支持企业发布装备采购需求、软件定制需求、技术合作需求等信息，供应商和服务商根据需求进行响应和对接；支持科研机构发布最新的研究成果和技术专利；</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支持金融机构提供数字化转型融资、设备租赁等金融服务方案。</w:t>
            </w:r>
          </w:p>
          <w:p w14:paraId="385EA22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支持线上线下的产业交流活动，如技术研讨会、项目对接会等，促进产业资源的优化配置，助力危险废物管理产业的协同升级。</w:t>
            </w:r>
          </w:p>
        </w:tc>
      </w:tr>
      <w:tr w14:paraId="56C26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7E1F08E3">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投标人应提供危险废物集中转运装备评估系统设计方案</w:t>
            </w:r>
          </w:p>
        </w:tc>
      </w:tr>
      <w:tr w14:paraId="0857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48CCF1F4">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7</w:t>
            </w:r>
          </w:p>
        </w:tc>
        <w:tc>
          <w:tcPr>
            <w:tcW w:w="683" w:type="pct"/>
            <w:vMerge w:val="restart"/>
          </w:tcPr>
          <w:p w14:paraId="4B36EE0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危险废物环境政策分类研究与应用系统</w:t>
            </w:r>
          </w:p>
        </w:tc>
        <w:tc>
          <w:tcPr>
            <w:tcW w:w="768" w:type="pct"/>
          </w:tcPr>
          <w:p w14:paraId="5136BD4C">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危险废物环境政策分类研究采集分享模块</w:t>
            </w:r>
          </w:p>
        </w:tc>
        <w:tc>
          <w:tcPr>
            <w:tcW w:w="3209" w:type="pct"/>
          </w:tcPr>
          <w:p w14:paraId="2666B73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多渠道政策信息采集，包括自动网络爬取、政府公开平台对接、人工采集等多种方式。全面收集国内外危险废物环境政策、标准规范、研究报告等资料，并进行分类整理与存储。支持政策研究者、监管部门、企业等不同用户在线浏览、下载政策文件，支持用户间的信息共享与交流。提供数据更新机制，实时追踪政策动态，及时补充最新政策信息，确保用户获取的资料准确、全面，为危险废物环境政策的研究与应用提供坚实的数据基础。针对“华北区域危险废物联防联控政策”、“城市危险废物循环利用体系政策”、“减污降碳协同增效政策”分别建立专题库。</w:t>
            </w:r>
          </w:p>
        </w:tc>
      </w:tr>
      <w:tr w14:paraId="1CADB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E6BD3C5">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28B2BD1">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78791E6">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危险废物环境政策分类研究废物分类模块</w:t>
            </w:r>
          </w:p>
        </w:tc>
        <w:tc>
          <w:tcPr>
            <w:tcW w:w="3209" w:type="pct"/>
          </w:tcPr>
          <w:p w14:paraId="38247D2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与“危害特性数据分析及行业危险废物指纹图谱分析系统”联动，基于危险废物的物理、化学特性及危害程度，结合</w:t>
            </w:r>
            <w:r>
              <w:rPr>
                <w:rFonts w:hint="eastAsia" w:ascii="仿宋_GB2312" w:hAnsi="方正仿宋_GBK" w:eastAsia="仿宋_GB2312" w:cs="方正仿宋_GBK"/>
                <w:color w:val="auto"/>
                <w:sz w:val="24"/>
                <w:highlight w:val="none"/>
              </w:rPr>
              <w:t>《国家危险废物名录（2025年版）》</w:t>
            </w:r>
            <w:r>
              <w:rPr>
                <w:rFonts w:ascii="仿宋_GB2312" w:hAnsi="方正仿宋_GBK" w:eastAsia="仿宋_GB2312" w:cs="方正仿宋_GBK"/>
                <w:color w:val="auto"/>
                <w:sz w:val="24"/>
                <w:highlight w:val="none"/>
              </w:rPr>
              <w:t>，对危险废物进行精准分类；可利用人工智能图像识别、光谱分析等技术，辅助判断废物类别，同时建立动态分类数据库，随着新危险废物种类的出现和分类标准的更新，及时优化分类模型。</w:t>
            </w:r>
          </w:p>
          <w:p w14:paraId="0650652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危险废物分类查询与解读，可检索危险废物对应的政策要求与处理规范，为危险废物的合规管理、安全处置提供清晰指引，帮助企业准确识别自身产生的危险废物类别，避免因分类错误导致的环境风险与违规问题。</w:t>
            </w:r>
          </w:p>
        </w:tc>
      </w:tr>
      <w:tr w14:paraId="2A5B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4A52D49">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95E0981">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75D9EDC">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危险废物环境政策分类研究政策匹配模块</w:t>
            </w:r>
          </w:p>
        </w:tc>
        <w:tc>
          <w:tcPr>
            <w:tcW w:w="3209" w:type="pct"/>
          </w:tcPr>
          <w:p w14:paraId="37A62E0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基于大模型实现危险废物管理场景与相关政策的精准匹配。通过收集企业生产经营、废物产生处理等多维度数据，结合危险废物分类信息，自动分析企业面临的实际问题，然后从政策数据库中筛选出与之适配的政策法规、标准要求，形成个性化的政策匹配清单。提供政策匹配应用的统计分析功能，支持对高频问题、政策使用频率等进行多维度专题分析，为精准执法与政策优化提供数据支撑。</w:t>
            </w:r>
          </w:p>
        </w:tc>
      </w:tr>
      <w:tr w14:paraId="7048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9D9826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12AC92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6B9F19C">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危险废物环境政策分类研究政策覆盖分析模块</w:t>
            </w:r>
          </w:p>
        </w:tc>
        <w:tc>
          <w:tcPr>
            <w:tcW w:w="3209" w:type="pct"/>
          </w:tcPr>
          <w:p w14:paraId="3E1D46EC">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对现有危险废物环境政策的覆盖范围进行系统性评估。通过对政策条款的梳理与拆解，结合危险废物全生命周期管理流程，分析政策在废物产生、收集、贮存、转移、利用、处置等环节的覆盖情况。识别政策空白与薄弱领域。基于GIS技术，分析政策在不同区域的覆盖差异，分析结果可为政策制定者提供参考，帮助其发现政策体系中的漏洞，及时修订和完善政策，填补空白。</w:t>
            </w:r>
          </w:p>
        </w:tc>
      </w:tr>
      <w:tr w14:paraId="1A9A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10763EE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E68269E">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36DA17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危险废物环境政策分类研究政策区别分析模块</w:t>
            </w:r>
          </w:p>
        </w:tc>
        <w:tc>
          <w:tcPr>
            <w:tcW w:w="3209" w:type="pct"/>
          </w:tcPr>
          <w:p w14:paraId="3E98C02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持对不同省市、地区及不同时期危险废物环境政策的对比研究。通过对政策目标、适用范围、管理措施、处罚机制等要素的深入剖析，揭示政策间的差异与特点。支持构建和管理政策对比案例库，以可视化图表形式展示政策差异，为政策研究积累素材，也为政策制定者借鉴先进经验。</w:t>
            </w:r>
          </w:p>
        </w:tc>
      </w:tr>
      <w:tr w14:paraId="032D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0CA3160">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6A3E1E1">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8EE8492">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危险废物环境政策分类研究政策效果分析模块</w:t>
            </w:r>
          </w:p>
        </w:tc>
        <w:tc>
          <w:tcPr>
            <w:tcW w:w="3209" w:type="pct"/>
          </w:tcPr>
          <w:p w14:paraId="19D8D50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构建定量评估体系，通过对比政策实施前后危险废物产生量、处置率、污染事故发生率等数据，通过统计学分析、案例研究等手段，评估政策在减少污染排放、保障环境安全、推动产业升级等方面的成效。构建政策定性评估体系，支持收集与分析企业、公众等多方反馈的意见，分析政策实施过程中存在的问题与障碍。基于分析结果，为政策调整与优化提供建议，帮助政策制定者及时改进政策措施，提高政策的针对性与有效性。</w:t>
            </w:r>
          </w:p>
        </w:tc>
      </w:tr>
      <w:tr w14:paraId="1007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35CC7398">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A3FF179">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765E12F">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华北区域危险废物联防联控政策应用模块</w:t>
            </w:r>
          </w:p>
        </w:tc>
        <w:tc>
          <w:tcPr>
            <w:tcW w:w="3209" w:type="pct"/>
          </w:tcPr>
          <w:p w14:paraId="385CBD58">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该模块紧密围绕华北区域危险废物联防联控政策。整合京津冀及周边地区在危险废物协同管理方面的政策措施，如区域内危险废物转移简化审批流程、联合应急处置机制等。为区域内企业、环保部门及相关机构提供一站式政策应用服务，包括政策查询、申报流程指引、联防联控项目合作信息发布等。助力华北区域打破行政壁垒，实现危险废物管理的协同高效，提升区域整体环境风险防控能力。</w:t>
            </w:r>
          </w:p>
        </w:tc>
      </w:tr>
      <w:tr w14:paraId="2F55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598523D">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CDEA14F">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1B1478C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城市危险废物循环利用体系政策应用模块</w:t>
            </w:r>
          </w:p>
        </w:tc>
        <w:tc>
          <w:tcPr>
            <w:tcW w:w="3209" w:type="pct"/>
          </w:tcPr>
          <w:p w14:paraId="64E7EAEA">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聚焦城市危险废物循环利用体系建设，此模块提供相关政策落地应用支持。梳理国家及地方鼓励危险废物资源化利用的政策，如税收优惠、补贴政策、技术标准等。为城市内从事危险废物循环利用的企业提供政策解读与申报指导，帮助企业充分享受政策红利，降低运营成本；同时，为城市规划者和管理者提供政策实施案例参考，助力构建完善的城市危险废物循环利用产业链，推动城市绿色可持续发展。</w:t>
            </w:r>
          </w:p>
        </w:tc>
      </w:tr>
      <w:tr w14:paraId="6250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3630AF4">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27EF910">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DC3822A">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减污降碳协同增效政策应用模块</w:t>
            </w:r>
          </w:p>
        </w:tc>
        <w:tc>
          <w:tcPr>
            <w:tcW w:w="3209" w:type="pct"/>
          </w:tcPr>
          <w:p w14:paraId="060AD32B">
            <w:pPr>
              <w:adjustRightInd w:val="0"/>
              <w:snapToGrid w:val="0"/>
              <w:ind w:firstLine="480" w:firstLineChars="20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减污降碳协同增效政策应用模块专注于相关政策在危险废物管理领域的落实。收集国家及地方在减污降碳与危险废物管理融合方面的政策，如推动危险废物焚烧余热利用、鼓励采用低碳处置技术等政策。为企业提供技术改造方向和政策支持渠道，助力企业在危险废物处理过程中实现减污降碳目标；同时，为环保部门提供协同监管工具，监测和评估区域内危险废物管理环节的减污降碳成效，推动环境治理向绿色低碳转型。</w:t>
            </w:r>
          </w:p>
        </w:tc>
      </w:tr>
      <w:tr w14:paraId="0F36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FC97AA8">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EA5F75C">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46F34B7">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危险废物政策模拟与战略规划政策应用模块</w:t>
            </w:r>
          </w:p>
        </w:tc>
        <w:tc>
          <w:tcPr>
            <w:tcW w:w="3209" w:type="pct"/>
          </w:tcPr>
          <w:p w14:paraId="0754B16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借助先进模型和算法，对不同危险废物政策情景进行模拟推演。用户可设定政策参数，观察模拟结果中危险废物产生量、处置流向、环境影响等指标变化。基于模拟分析，为地区或企业制定长期危险废物管理战略规划提供决策</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，提前评估政策实施效果，</w:t>
            </w:r>
            <w:r>
              <w:rPr>
                <w:rFonts w:hint="eastAsia" w:ascii="仿宋_GB2312" w:hAnsi="方正仿宋_GBK" w:eastAsia="仿宋_GB2312" w:cs="方正仿宋_GBK"/>
                <w:color w:val="auto"/>
                <w:sz w:val="24"/>
                <w:highlight w:val="none"/>
              </w:rPr>
              <w:t>辅助</w:t>
            </w:r>
            <w:r>
              <w:rPr>
                <w:rFonts w:ascii="仿宋_GB2312" w:hAnsi="方正仿宋_GBK" w:eastAsia="仿宋_GB2312" w:cs="方正仿宋_GBK"/>
                <w:color w:val="auto"/>
                <w:sz w:val="24"/>
                <w:highlight w:val="none"/>
              </w:rPr>
              <w:t>优化战略规划方案。</w:t>
            </w:r>
          </w:p>
        </w:tc>
      </w:tr>
      <w:tr w14:paraId="3276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52EDE947">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20C8604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7425B96F">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危险废物环境政策分类研究政策分析报告</w:t>
            </w:r>
          </w:p>
        </w:tc>
        <w:tc>
          <w:tcPr>
            <w:tcW w:w="3209" w:type="pct"/>
          </w:tcPr>
          <w:p w14:paraId="1BBE394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提供可配置的报告模板库，支持面向不同应用场景定制报告结构和内容框架，涵盖危险废物环境政策的分类研究、政策匹配情况、覆盖分析、效果评估等多方面内容。报告包含统计汇总的数据、可视化的图表，对危险废物环境政策进行深度解读与分析，并提出针对性的政策建议。支持报告一键导出为通用格式（如PDF、Word），并提供报告版本管理、归档与权限控制功能，方便不同角色用户查阅、引用或进行协同修订。</w:t>
            </w:r>
          </w:p>
        </w:tc>
      </w:tr>
      <w:tr w14:paraId="5E82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24DAECD4">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投标人应提供危险废物环境政策分类研究与应用系统设计方案</w:t>
            </w:r>
          </w:p>
        </w:tc>
      </w:tr>
      <w:tr w14:paraId="45D3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45D1E2B1">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8</w:t>
            </w:r>
          </w:p>
        </w:tc>
        <w:tc>
          <w:tcPr>
            <w:tcW w:w="683" w:type="pct"/>
            <w:vMerge w:val="restart"/>
          </w:tcPr>
          <w:p w14:paraId="520B7F69">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新型固体废物智慧监管技术应用系统</w:t>
            </w:r>
          </w:p>
        </w:tc>
        <w:tc>
          <w:tcPr>
            <w:tcW w:w="768" w:type="pct"/>
          </w:tcPr>
          <w:p w14:paraId="7BE418B7">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新兴固废数据集成</w:t>
            </w:r>
          </w:p>
        </w:tc>
        <w:tc>
          <w:tcPr>
            <w:tcW w:w="3209" w:type="pct"/>
          </w:tcPr>
          <w:p w14:paraId="5853B64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多源数据汇聚：负责集成各类新兴固体废物和大宗固废的关键数据，通过标准化的数据采集接口和数据清洗、转换技术，将多源异构数据进行统一处理，构建新兴固废数据资源池，涵盖属性与特征、地区与行业分布、污染迁移转化规律、资源化利用方式等多方面信息。</w:t>
            </w:r>
          </w:p>
          <w:p w14:paraId="68D65CC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智能检索与分析：支持按固废类型、区域、行业、转移轨迹等维度进行多条件组合检索；通过对新兴固废指纹数据的分析，生成区域行业统计、转移数据、利用处置率等可视化图表，帮助监管人员和研究人员清晰掌握新兴固废的整体态势，为政策制定、资源调配提供数据依据。</w:t>
            </w:r>
          </w:p>
        </w:tc>
      </w:tr>
      <w:tr w14:paraId="6EF2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08F220C5">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26F3E57">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44DC81F9">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新兴固废分类管理</w:t>
            </w:r>
          </w:p>
        </w:tc>
        <w:tc>
          <w:tcPr>
            <w:tcW w:w="3209" w:type="pct"/>
          </w:tcPr>
          <w:p w14:paraId="19731B6D">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分类管理，实现新兴固废和大宗固废产废企业基本信息、设施设备、合作单位、产废申报、产废台账、固废转移、固废处置全链条数字化管理。</w:t>
            </w:r>
          </w:p>
          <w:p w14:paraId="02310529">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数据校验：对固废产生、收集、贮存、转移、利用、处置等全过程的数据进行逻辑校验，识别分类错误、数据矛盾等问题，确保数据真实有效。</w:t>
            </w:r>
          </w:p>
        </w:tc>
      </w:tr>
      <w:tr w14:paraId="117D6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7AF4D832">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3F3C7502">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55C135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新兴固废算法模型</w:t>
            </w:r>
          </w:p>
        </w:tc>
        <w:tc>
          <w:tcPr>
            <w:tcW w:w="3209" w:type="pct"/>
          </w:tcPr>
          <w:p w14:paraId="1865A0D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多维度预测：以大数据和人工智能技术为核心，</w:t>
            </w:r>
            <w:r>
              <w:rPr>
                <w:rFonts w:hint="eastAsia" w:ascii="仿宋_GB2312" w:hAnsi="方正仿宋_GBK" w:eastAsia="仿宋_GB2312" w:cs="方正仿宋_GBK"/>
                <w:color w:val="auto"/>
                <w:sz w:val="24"/>
                <w:highlight w:val="none"/>
              </w:rPr>
              <w:t>基于</w:t>
            </w:r>
            <w:r>
              <w:rPr>
                <w:rFonts w:ascii="仿宋_GB2312" w:hAnsi="方正仿宋_GBK" w:eastAsia="仿宋_GB2312" w:cs="方正仿宋_GBK"/>
                <w:color w:val="auto"/>
                <w:sz w:val="24"/>
                <w:highlight w:val="none"/>
              </w:rPr>
              <w:t>海量固废数据，运用大模型，精准预测固废产生量，预测可能出现的环境风险，提前制定防范措施。</w:t>
            </w:r>
          </w:p>
          <w:p w14:paraId="272C093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异常识别预警：对新兴固体废物的全生命周期进行深度分析，对固废产生、收集、贮存、转移、利用、处置等过程中的异常情况进行智能预警，加强监管。</w:t>
            </w:r>
          </w:p>
        </w:tc>
      </w:tr>
      <w:tr w14:paraId="05FF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3751CED4">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2113383">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127AFA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新兴固废分布特征管理</w:t>
            </w:r>
          </w:p>
        </w:tc>
        <w:tc>
          <w:tcPr>
            <w:tcW w:w="3209" w:type="pct"/>
          </w:tcPr>
          <w:p w14:paraId="2E402EB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分布特征可视化：开展新兴固体废物和大宗固废的空间分布和转移轨迹研究与应用，通过空间位置展示和地图可视化，将固废产生源、运输路线、处理设施等信息标注在电子地图上，直观呈现新兴固废在不同地区的分布密度和转移路径。</w:t>
            </w:r>
          </w:p>
          <w:p w14:paraId="0A2C9AE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产处时空错配：利用算法模型预测新兴固废产生与处理处置在时间和空间上的匹配矛盾，为政府部门加强新兴固废资源化的宏观调控提供有力支持，优化资源配置，提高处理效率。</w:t>
            </w:r>
          </w:p>
        </w:tc>
      </w:tr>
      <w:tr w14:paraId="6F6DE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34C2E3E5">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68582AE2">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3A7DCCDF">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新兴固废样品管理与溯源</w:t>
            </w:r>
          </w:p>
        </w:tc>
        <w:tc>
          <w:tcPr>
            <w:tcW w:w="3209" w:type="pct"/>
          </w:tcPr>
          <w:p w14:paraId="7677DA32">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样品管理：对废旧风电光伏、锂电池等样品的全生命周期管理，涵盖样品接收、登记、存储、处理、销毁等各个环节。从样品采集环节开始，模块对样品的采集时间、地点、采集人等信息进行详细记录。</w:t>
            </w:r>
          </w:p>
          <w:p w14:paraId="0E2C4926">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样品溯源：为样品赋予唯一标识编码，实时监控样品状态，实现样品的全程追踪。当样品运输、存储、检测等过程中出现问题或环境异常，可快速追溯样品来源、流转过程和检测结果，精准定位问题环节和责任主体。</w:t>
            </w:r>
          </w:p>
        </w:tc>
      </w:tr>
      <w:tr w14:paraId="61D8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E25A49D">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5DDE2AF1">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D5812C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新兴固废实验过程控制</w:t>
            </w:r>
          </w:p>
        </w:tc>
        <w:tc>
          <w:tcPr>
            <w:tcW w:w="3209" w:type="pct"/>
          </w:tcPr>
          <w:p w14:paraId="6B83B26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实验过程管理：针对湿法回收工艺和火法工艺，从样品接收、预处理、检测分析到结果输出，实现全流程闭环管理。</w:t>
            </w:r>
          </w:p>
          <w:p w14:paraId="702A64A7">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实验流程标准化：预设标准化实验流程与参数控制逻辑，确保每个实验步骤按规范执行，避免操作遗漏或错误，保障实验完整性；模块内置国家及行业相关法规、标准要求，在实验方案制定、样品处理、数据记录等环节，实时对照合规性标准自动校验与预警。</w:t>
            </w:r>
          </w:p>
          <w:p w14:paraId="0AFF099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3.</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实验数据安全管理：对实验全过程数据进行加密存储与审计追踪，确保实验数据可追溯、可验证，为实验结果的可靠性与合规性提供有力支撑。</w:t>
            </w:r>
          </w:p>
        </w:tc>
      </w:tr>
      <w:tr w14:paraId="3816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D84379B">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0CE023A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207EEC3">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新兴固废数据分析与决策支持</w:t>
            </w:r>
          </w:p>
        </w:tc>
        <w:tc>
          <w:tcPr>
            <w:tcW w:w="3209" w:type="pct"/>
          </w:tcPr>
          <w:p w14:paraId="00FAC1D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统计分析：运用数据挖掘、统计分析等技术，从固废产生、分类、处理等多个角度进行数据统计分析；利用机器学习模型对不同浸出条件下金属回收率等关键指标进行预测，通过分析大量的实验和生产数据，优化工艺参数，提高资源回收效率和处理效果。</w:t>
            </w:r>
          </w:p>
          <w:p w14:paraId="2BEEB4A3">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数据可视化：对监测数据生成动态报表，以图表和数据形式展示分析结果，方便管理人员和决策者快速了解新兴固废处理的各项指标和趋势，为企业的生产和管理提供有力的决策支持。</w:t>
            </w:r>
          </w:p>
        </w:tc>
      </w:tr>
      <w:tr w14:paraId="06C6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45BDABED">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A5C24AB">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6E9E5CD9">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新兴固废资源化利用与知识库</w:t>
            </w:r>
          </w:p>
        </w:tc>
        <w:tc>
          <w:tcPr>
            <w:tcW w:w="3209" w:type="pct"/>
          </w:tcPr>
          <w:p w14:paraId="19505B98">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1.</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资源化利用知识库：收集整理国内外先进的固废资源化利用技术、工艺案例和政策法规，构建全面的知识库体系。支持用户上传新的技术成果和实践经验，不断丰富知识库内容，促进固废资源化利用领域的技术交流和创新发展。</w:t>
            </w:r>
          </w:p>
          <w:p w14:paraId="36FF5FB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2.</w:t>
            </w:r>
            <w:r>
              <w:rPr>
                <w:rFonts w:ascii="仿宋_GB2312" w:hAnsi="方正仿宋_GBK" w:eastAsia="仿宋_GB2312" w:cs="方正仿宋_GBK"/>
                <w:color w:val="auto"/>
                <w:sz w:val="24"/>
                <w:highlight w:val="none"/>
              </w:rPr>
              <w:tab/>
            </w:r>
            <w:r>
              <w:rPr>
                <w:rFonts w:ascii="仿宋_GB2312" w:hAnsi="方正仿宋_GBK" w:eastAsia="仿宋_GB2312" w:cs="方正仿宋_GBK"/>
                <w:color w:val="auto"/>
                <w:sz w:val="24"/>
                <w:highlight w:val="none"/>
              </w:rPr>
              <w:t>资源化技术智能匹配推荐：通过对固废成分和特性的分析，结合知识库中的技术方案，</w:t>
            </w:r>
            <w:r>
              <w:rPr>
                <w:rFonts w:hint="eastAsia" w:ascii="仿宋_GB2312" w:hAnsi="方正仿宋_GBK" w:eastAsia="仿宋_GB2312" w:cs="方正仿宋_GBK"/>
                <w:color w:val="auto"/>
                <w:sz w:val="24"/>
                <w:highlight w:val="none"/>
              </w:rPr>
              <w:t>为</w:t>
            </w:r>
            <w:r>
              <w:rPr>
                <w:rFonts w:ascii="仿宋_GB2312" w:hAnsi="方正仿宋_GBK" w:eastAsia="仿宋_GB2312" w:cs="方正仿宋_GBK"/>
                <w:color w:val="auto"/>
                <w:sz w:val="24"/>
                <w:highlight w:val="none"/>
              </w:rPr>
              <w:t>固废资源化利用技术指导和匹配方案</w:t>
            </w:r>
            <w:r>
              <w:rPr>
                <w:rFonts w:hint="eastAsia" w:ascii="仿宋_GB2312" w:hAnsi="方正仿宋_GBK" w:eastAsia="仿宋_GB2312" w:cs="方正仿宋_GBK"/>
                <w:color w:val="auto"/>
                <w:sz w:val="24"/>
                <w:highlight w:val="none"/>
              </w:rPr>
              <w:t>推荐提供支撑</w:t>
            </w:r>
            <w:r>
              <w:rPr>
                <w:rFonts w:ascii="仿宋_GB2312" w:hAnsi="方正仿宋_GBK" w:eastAsia="仿宋_GB2312" w:cs="方正仿宋_GBK"/>
                <w:color w:val="auto"/>
                <w:sz w:val="24"/>
                <w:highlight w:val="none"/>
              </w:rPr>
              <w:t>。</w:t>
            </w:r>
          </w:p>
        </w:tc>
      </w:tr>
      <w:tr w14:paraId="7914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6A3781FE">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投标人应提供新型固体废物智慧监管技术应用系统设计方案</w:t>
            </w:r>
          </w:p>
        </w:tc>
      </w:tr>
      <w:tr w14:paraId="3B38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restart"/>
          </w:tcPr>
          <w:p w14:paraId="7ED9037C">
            <w:pPr>
              <w:adjustRightInd w:val="0"/>
              <w:snapToGrid w:val="0"/>
              <w:rPr>
                <w:rFonts w:ascii="仿宋_GB2312" w:hAnsi="方正仿宋_GBK" w:eastAsia="仿宋_GB2312" w:cs="方正仿宋_GBK"/>
                <w:color w:val="auto"/>
                <w:sz w:val="24"/>
                <w:highlight w:val="none"/>
              </w:rPr>
            </w:pPr>
            <w:r>
              <w:rPr>
                <w:rFonts w:hint="eastAsia" w:ascii="仿宋_GB2312" w:hAnsi="方正仿宋_GBK" w:eastAsia="仿宋_GB2312" w:cs="方正仿宋_GBK"/>
                <w:color w:val="auto"/>
                <w:sz w:val="24"/>
                <w:highlight w:val="none"/>
              </w:rPr>
              <w:t>9</w:t>
            </w:r>
          </w:p>
        </w:tc>
        <w:tc>
          <w:tcPr>
            <w:tcW w:w="683" w:type="pct"/>
            <w:vMerge w:val="restart"/>
          </w:tcPr>
          <w:p w14:paraId="7C66939A">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支撑类软件系统</w:t>
            </w:r>
          </w:p>
        </w:tc>
        <w:tc>
          <w:tcPr>
            <w:tcW w:w="768" w:type="pct"/>
          </w:tcPr>
          <w:p w14:paraId="42785FC5">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物联感知平台</w:t>
            </w:r>
          </w:p>
        </w:tc>
        <w:tc>
          <w:tcPr>
            <w:tcW w:w="3209" w:type="pct"/>
          </w:tcPr>
          <w:p w14:paraId="4C185D4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具备设备接入、设备管理、数据转发、数据存储、数据查询、视频服务、运维管理、开放生态、系统管理等</w:t>
            </w:r>
            <w:r>
              <w:rPr>
                <w:rFonts w:hint="eastAsia" w:ascii="仿宋_GB2312" w:hAnsi="方正仿宋_GBK" w:eastAsia="仿宋_GB2312" w:cs="方正仿宋_GBK"/>
                <w:color w:val="auto"/>
                <w:sz w:val="24"/>
                <w:highlight w:val="none"/>
              </w:rPr>
              <w:t>模块</w:t>
            </w:r>
            <w:r>
              <w:rPr>
                <w:rFonts w:ascii="仿宋_GB2312" w:hAnsi="方正仿宋_GBK" w:eastAsia="仿宋_GB2312" w:cs="方正仿宋_GBK"/>
                <w:color w:val="auto"/>
                <w:sz w:val="24"/>
                <w:highlight w:val="none"/>
              </w:rPr>
              <w:t>。并可集成物联、AI、数据等能力，满足跨时空的数据汇聚、存储、分析</w:t>
            </w:r>
            <w:r>
              <w:rPr>
                <w:rFonts w:hint="eastAsia" w:ascii="仿宋_GB2312" w:hAnsi="方正仿宋_GBK" w:eastAsia="仿宋_GB2312" w:cs="方正仿宋_GBK"/>
                <w:color w:val="auto"/>
                <w:sz w:val="24"/>
                <w:highlight w:val="none"/>
              </w:rPr>
              <w:t>等应用</w:t>
            </w:r>
            <w:r>
              <w:rPr>
                <w:rFonts w:ascii="仿宋_GB2312" w:hAnsi="方正仿宋_GBK" w:eastAsia="仿宋_GB2312" w:cs="方正仿宋_GBK"/>
                <w:color w:val="auto"/>
                <w:sz w:val="24"/>
                <w:highlight w:val="none"/>
              </w:rPr>
              <w:t>，发挥智能化管理效能。</w:t>
            </w:r>
          </w:p>
        </w:tc>
      </w:tr>
      <w:tr w14:paraId="57B2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2ACC88C3">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7F8D20E8">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2807E10">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视频融合赋能平台</w:t>
            </w:r>
          </w:p>
        </w:tc>
        <w:tc>
          <w:tcPr>
            <w:tcW w:w="3209" w:type="pct"/>
          </w:tcPr>
          <w:p w14:paraId="6926E9E0">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通过视频融合赋能平台，以视频、云计算、大数据、人工智能为核心技术，构建统一的视频智能AI服务，提升AI应用管理和服务水平，加速普惠化AI应用落地，实现算法、模型的优化升级，充分挖掘视频中蕴含的潜在价值。</w:t>
            </w:r>
          </w:p>
          <w:p w14:paraId="072DF9AE">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视频融合赋能平台主要包括能力超市、视频广场、智能分析申请、视频资源申请、智能分析编排、研判管理、运行监控等模块。</w:t>
            </w:r>
          </w:p>
        </w:tc>
      </w:tr>
      <w:tr w14:paraId="149F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C27FDFF">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20E394D">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5CC9BAF2">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遥感平台</w:t>
            </w:r>
          </w:p>
        </w:tc>
        <w:tc>
          <w:tcPr>
            <w:tcW w:w="3209" w:type="pct"/>
          </w:tcPr>
          <w:p w14:paraId="6775076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遥感平台提供遥感资源接入管理、遥感影像预处理，支撑上层的基础应用、智能分析等能力构建，实现通过卫星遥感实现全国危险废物风险事件的发现和预警。</w:t>
            </w:r>
          </w:p>
          <w:p w14:paraId="6578FD55">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主要包括多源数据接入、遥感影像预处理、遥感影像智能分析等模块。</w:t>
            </w:r>
          </w:p>
        </w:tc>
      </w:tr>
      <w:tr w14:paraId="0F3E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8" w:type="pct"/>
            <w:vMerge w:val="continue"/>
          </w:tcPr>
          <w:p w14:paraId="6FA28E6A">
            <w:pPr>
              <w:adjustRightInd w:val="0"/>
              <w:snapToGrid w:val="0"/>
              <w:ind w:firstLine="480" w:firstLineChars="200"/>
              <w:rPr>
                <w:rFonts w:ascii="仿宋_GB2312" w:hAnsi="方正仿宋_GBK" w:eastAsia="仿宋_GB2312" w:cs="方正仿宋_GBK"/>
                <w:color w:val="auto"/>
                <w:sz w:val="24"/>
                <w:highlight w:val="none"/>
              </w:rPr>
            </w:pPr>
          </w:p>
        </w:tc>
        <w:tc>
          <w:tcPr>
            <w:tcW w:w="683" w:type="pct"/>
            <w:vMerge w:val="continue"/>
          </w:tcPr>
          <w:p w14:paraId="1AD47BA4">
            <w:pPr>
              <w:adjustRightInd w:val="0"/>
              <w:snapToGrid w:val="0"/>
              <w:ind w:firstLine="480" w:firstLineChars="200"/>
              <w:rPr>
                <w:rFonts w:ascii="仿宋_GB2312" w:hAnsi="方正仿宋_GBK" w:eastAsia="仿宋_GB2312" w:cs="方正仿宋_GBK"/>
                <w:color w:val="auto"/>
                <w:sz w:val="24"/>
                <w:highlight w:val="none"/>
              </w:rPr>
            </w:pPr>
          </w:p>
        </w:tc>
        <w:tc>
          <w:tcPr>
            <w:tcW w:w="768" w:type="pct"/>
          </w:tcPr>
          <w:p w14:paraId="0BD66CF4">
            <w:pPr>
              <w:adjustRightInd w:val="0"/>
              <w:snapToGrid w:val="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智能应用开放平台</w:t>
            </w:r>
          </w:p>
        </w:tc>
        <w:tc>
          <w:tcPr>
            <w:tcW w:w="3209" w:type="pct"/>
          </w:tcPr>
          <w:p w14:paraId="2B1AD34B">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智能应用开放平台提供统一的应用构架、一系列通用应用组件，屏蔽底层数据模型和人工智能算法的差异，提供应用开发接口，支撑上层业务应用的开发。</w:t>
            </w:r>
          </w:p>
          <w:p w14:paraId="14EB70AA">
            <w:pPr>
              <w:adjustRightInd w:val="0"/>
              <w:snapToGrid w:val="0"/>
              <w:ind w:firstLine="480" w:firstLineChars="200"/>
              <w:rPr>
                <w:rFonts w:ascii="仿宋_GB2312" w:hAnsi="方正仿宋_GBK" w:eastAsia="仿宋_GB2312" w:cs="方正仿宋_GBK"/>
                <w:color w:val="auto"/>
                <w:sz w:val="24"/>
                <w:highlight w:val="none"/>
              </w:rPr>
            </w:pPr>
            <w:r>
              <w:rPr>
                <w:rFonts w:ascii="仿宋_GB2312" w:hAnsi="方正仿宋_GBK" w:eastAsia="仿宋_GB2312" w:cs="方正仿宋_GBK"/>
                <w:color w:val="auto"/>
                <w:sz w:val="24"/>
                <w:highlight w:val="none"/>
              </w:rPr>
              <w:t>主要包括API管理、合作方管理、调用统计、文件管理、限流管理、文档中心、下载中心、在线调试、接口调用等模块。</w:t>
            </w:r>
          </w:p>
        </w:tc>
      </w:tr>
    </w:tbl>
    <w:p w14:paraId="49F971E0">
      <w:pPr>
        <w:rPr>
          <w:rFonts w:ascii="方正仿宋_GBK" w:hAnsi="方正仿宋_GBK" w:eastAsia="方正仿宋_GBK" w:cs="方正仿宋_GBK"/>
          <w:color w:val="auto"/>
          <w:sz w:val="28"/>
          <w:szCs w:val="28"/>
          <w:highlight w:val="none"/>
        </w:rPr>
      </w:pPr>
    </w:p>
    <w:p w14:paraId="43F0C2BE">
      <w:pP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br w:type="page"/>
      </w:r>
    </w:p>
    <w:p w14:paraId="6C746C92">
      <w:pPr>
        <w:spacing w:line="600" w:lineRule="exact"/>
        <w:ind w:firstLine="562" w:firstLineChars="200"/>
        <w:jc w:val="left"/>
        <w:outlineLvl w:val="1"/>
        <w:rPr>
          <w:rFonts w:ascii="仿宋_GB2312" w:hAnsi="方正仿宋_GBK" w:eastAsia="仿宋_GB2312" w:cs="方正仿宋_GBK"/>
          <w:b/>
          <w:color w:val="auto"/>
          <w:sz w:val="28"/>
          <w:szCs w:val="28"/>
          <w:highlight w:val="none"/>
        </w:rPr>
      </w:pPr>
      <w:r>
        <w:rPr>
          <w:rFonts w:hint="eastAsia" w:ascii="仿宋_GB2312" w:hAnsi="方正仿宋_GBK" w:eastAsia="仿宋_GB2312" w:cs="方正仿宋_GBK"/>
          <w:b/>
          <w:color w:val="auto"/>
          <w:sz w:val="28"/>
          <w:szCs w:val="28"/>
          <w:highlight w:val="none"/>
        </w:rPr>
        <w:t>三、商务要求</w:t>
      </w:r>
    </w:p>
    <w:p w14:paraId="72742F7F">
      <w:pPr>
        <w:spacing w:line="600" w:lineRule="exact"/>
        <w:ind w:firstLine="480" w:firstLineChars="200"/>
        <w:outlineLvl w:val="2"/>
        <w:rPr>
          <w:rFonts w:ascii="仿宋_GB2312" w:hAnsi="方正仿宋_GBK" w:eastAsia="仿宋_GB2312" w:cs="方正仿宋_GBK"/>
          <w:b/>
          <w:bCs/>
          <w:color w:val="auto"/>
          <w:sz w:val="28"/>
          <w:szCs w:val="28"/>
          <w:highlight w:val="none"/>
        </w:rPr>
      </w:pPr>
      <w:r>
        <w:rPr>
          <w:rFonts w:ascii="Segoe UI Symbol" w:hAnsi="Segoe UI Symbol" w:cs="Segoe UI Symbol"/>
          <w:color w:val="auto"/>
          <w:kern w:val="0"/>
          <w:sz w:val="24"/>
          <w:highlight w:val="none"/>
        </w:rPr>
        <w:t>★</w:t>
      </w:r>
      <w:r>
        <w:rPr>
          <w:rFonts w:hint="eastAsia" w:ascii="仿宋_GB2312" w:hAnsi="方正仿宋_GBK" w:eastAsia="仿宋_GB2312" w:cs="方正仿宋_GBK"/>
          <w:b/>
          <w:bCs/>
          <w:color w:val="auto"/>
          <w:sz w:val="28"/>
          <w:szCs w:val="28"/>
          <w:highlight w:val="none"/>
        </w:rPr>
        <w:t>（一）实施时间</w:t>
      </w:r>
    </w:p>
    <w:p w14:paraId="5B7C4ED9">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自本合同签订之日起 12个月内，按照国家、地方、行业标准，本合同约定及甲方要求完成全部系统开发、部署、调试、测试及上线运行。</w:t>
      </w:r>
    </w:p>
    <w:p w14:paraId="1C8E56BD">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（二）实施地点</w:t>
      </w:r>
    </w:p>
    <w:p w14:paraId="02B00B25">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北京市房山区长阳镇水碾屯村。</w:t>
      </w:r>
    </w:p>
    <w:p w14:paraId="4BB743EE">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（三）实施组织要求</w:t>
      </w:r>
    </w:p>
    <w:p w14:paraId="232B88FB">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1.中标人在项目实施过程中，需对项目进行规范化管理，要有项目管理组织、项目管理计划、项目进度计划、项目验收计划等方案，确保项目实施质量。</w:t>
      </w:r>
    </w:p>
    <w:p w14:paraId="0C412237">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2.中标人对提供的所有软件开发、软件购置及其他保证系统完整性的相应工作和项目质量负责。在项目开发建设过程中（从项目启动、开发测试、项目验收直至售后服务）严格执行本招标文件、项目开发建设合同中有关的技术、商务条款，若招标文件与项目</w:t>
      </w:r>
      <w:bookmarkStart w:id="860" w:name="OLE_LINK6"/>
      <w:r>
        <w:rPr>
          <w:rFonts w:hint="eastAsia" w:ascii="仿宋_GB2312" w:hAnsi="方正仿宋_GBK" w:eastAsia="仿宋_GB2312" w:cs="方正仿宋_GBK"/>
          <w:color w:val="auto"/>
          <w:sz w:val="28"/>
          <w:szCs w:val="28"/>
          <w:highlight w:val="none"/>
        </w:rPr>
        <w:t>技术开发服务</w:t>
      </w:r>
      <w:bookmarkEnd w:id="860"/>
      <w:r>
        <w:rPr>
          <w:rFonts w:hint="eastAsia" w:ascii="仿宋_GB2312" w:hAnsi="方正仿宋_GBK" w:eastAsia="仿宋_GB2312" w:cs="方正仿宋_GBK"/>
          <w:color w:val="auto"/>
          <w:sz w:val="28"/>
          <w:szCs w:val="28"/>
          <w:highlight w:val="none"/>
        </w:rPr>
        <w:t>合同的条款存在冲突的以项目技术开发服务合同为准。</w:t>
      </w:r>
    </w:p>
    <w:p w14:paraId="75229B5E">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3.中标人应依规安全建设，遵守网络安全、数据安全和运行维护等相关制度，对项目实施过程中所有实施人员人身安全等事项负责。</w:t>
      </w:r>
    </w:p>
    <w:p w14:paraId="36FD8B51">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4.中标人应就本项目及其实施相关的技术、管理、控制等各方面问题向采购人提出建议，供采购人参考。本项目所有涉及第三方产品的采购、安装、调试均由中标人负责完成，并保证其正常运行和售后服务。中标人有义务为采购内容提供支持，包括但不限于产品相关技术文档、软件接口规范说明的提供，中标人不得拒绝或收取额外费用。</w:t>
      </w:r>
    </w:p>
    <w:p w14:paraId="6C88CE36">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（四）验收要求</w:t>
      </w:r>
    </w:p>
    <w:p w14:paraId="1FCF5AB3">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1.项目初验：项目建设完成后，乙方应向甲方提交《项目初验申请报告》，甲方收到《项目初验申请报告》后10个工作日内组织并完成项目初验。初步验收通过评审后15个工作日内，评审专家组签发正式的初验评审意见；初步验收未通过评审的，乙方应立即整改，双方按照上述约定重新启动项目初验，因整改产生和发生的所有费用（包括评审专家费用）由乙方自行承担，且合同期限不予顺延。</w:t>
      </w:r>
    </w:p>
    <w:p w14:paraId="53FB3282">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2.项目试运行：从通过初验评审意见签署后的第二日起，甲方组织对系统进行试运行，并同步开展稳定性与安全性专项监测，试运行期限为30天。在试运行期间出现的任何故障或性能问题，乙方须在24小时内完成调整、修复，确保系统运行正常、安全、稳定、高效运行，符合本合同约定及甲方要求。如试运行期间系统出现多次或长期无法正常、安全、稳定、高效运行的，或运行标准不符合本合同约定及甲方要求，甲方有权视为项目未通过试运行，并有权单方面无责解除本合同，或者要求乙方立即整改并重新申请初验，整改产生的所有和发生的所有费用（包括评审专家费用）由乙方自行承担，且合同期限不予顺延。</w:t>
      </w:r>
    </w:p>
    <w:p w14:paraId="39FC7597">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3.项目终验：试运行期满且无任何问题后，乙方向甲方提交《项目终验申请报告》及项目终验材料，甲方收到《项目终验申请报告》后10个工作日内组织并完成本项目整体终验。最终验收通过评审后的15个工作日内，评审专家组签发正式的终验评审意见；最终验收未通过评审的，乙方应立即整改，双方按照上述约定重新启动项目终验，因整改产生和发生的所有费用（包括评审专家费用）由乙方自行承担，且合同期限不予顺延。</w:t>
      </w:r>
    </w:p>
    <w:p w14:paraId="3733746C">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4.乙方应于项目终验通过后15个工作日内无偿向甲方办理项目的移交手续，移交内容包括但不限于：本项目建成的所有平台、系统的所有权、知识产权、与项目相关的所有文档资料（文件、图纸、手册等），以及本项目采购的服务以及甲方要求乙方提供的其他文件或材料。</w:t>
      </w:r>
    </w:p>
    <w:p w14:paraId="4E43D8F6">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5.双方确认，本合同约定的初验、试运行以及终验仅为形式验收，不能因此免除乙方应承担责任。乙方供应的技术服务成果在交付使用后出现质量问题的，乙方仍应承担法律责任，不得以初验、试运行、终验合格为由主张免责，拒绝赔偿给甲方造成的损失。</w:t>
      </w:r>
    </w:p>
    <w:p w14:paraId="1EBFFA0F">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（五）售后及运维服务要求</w:t>
      </w:r>
    </w:p>
    <w:p w14:paraId="5F7AF9B0">
      <w:pPr>
        <w:spacing w:line="600" w:lineRule="exact"/>
        <w:ind w:firstLine="480" w:firstLineChars="200"/>
        <w:rPr>
          <w:rFonts w:ascii="仿宋_GB2312" w:hAnsi="方正仿宋_GBK" w:eastAsia="仿宋_GB2312" w:cs="方正仿宋_GBK"/>
          <w:color w:val="auto"/>
          <w:sz w:val="28"/>
          <w:szCs w:val="28"/>
          <w:highlight w:val="none"/>
        </w:rPr>
      </w:pPr>
      <w:r>
        <w:rPr>
          <w:rFonts w:ascii="Segoe UI Symbol" w:hAnsi="Segoe UI Symbol" w:cs="Segoe UI Symbol"/>
          <w:color w:val="auto"/>
          <w:kern w:val="0"/>
          <w:sz w:val="24"/>
          <w:highlight w:val="none"/>
        </w:rPr>
        <w:t>★</w:t>
      </w:r>
      <w:r>
        <w:rPr>
          <w:rFonts w:ascii="仿宋_GB2312" w:hAnsi="方正仿宋_GBK" w:eastAsia="仿宋_GB2312" w:cs="方正仿宋_GBK"/>
          <w:color w:val="auto"/>
          <w:sz w:val="28"/>
          <w:szCs w:val="28"/>
          <w:highlight w:val="none"/>
        </w:rPr>
        <w:t>1.自项目终验合格，乙方向甲方完成全部项目移交手续之日起，</w:t>
      </w:r>
      <w:r>
        <w:rPr>
          <w:rFonts w:ascii="仿宋_GB2312" w:hAnsi="方正仿宋_GBK" w:eastAsia="仿宋_GB2312" w:cs="方正仿宋_GBK"/>
          <w:b/>
          <w:color w:val="auto"/>
          <w:sz w:val="28"/>
          <w:szCs w:val="28"/>
          <w:highlight w:val="none"/>
        </w:rPr>
        <w:t>乙方提供3年运维期的项目免费维护。</w:t>
      </w:r>
    </w:p>
    <w:p w14:paraId="041B6806">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2.乙方负责项目系统的日常监控、故障处理、技术支持、功能优化、版本升级及安全补丁更新等所有服务，确保系统正常、安全、稳定、高效运行。运维期内产生的所有费用已包括在本合同价款内，乙方不得另行向甲方收取任何费用。</w:t>
      </w:r>
    </w:p>
    <w:p w14:paraId="721E1867">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3.在运维服务期内，乙方应提供7</w:t>
      </w:r>
      <w:r>
        <w:rPr>
          <w:rFonts w:ascii="Cambria" w:hAnsi="Cambria" w:eastAsia="仿宋_GB2312" w:cs="Cambria"/>
          <w:color w:val="auto"/>
          <w:sz w:val="28"/>
          <w:szCs w:val="28"/>
          <w:highlight w:val="none"/>
        </w:rPr>
        <w:t>×</w:t>
      </w:r>
      <w:r>
        <w:rPr>
          <w:rFonts w:ascii="仿宋_GB2312" w:hAnsi="方正仿宋_GBK" w:eastAsia="仿宋_GB2312" w:cs="方正仿宋_GBK"/>
          <w:color w:val="auto"/>
          <w:sz w:val="28"/>
          <w:szCs w:val="28"/>
          <w:highlight w:val="none"/>
        </w:rPr>
        <w:t>24小时实时免费服务。</w:t>
      </w:r>
    </w:p>
    <w:p w14:paraId="064B04A3">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4.在系统故障发生后乙方响应的时间为：工作期间（星期一至星期五8: 00-18: 00）为4小时，并在接到通知后8小时内完成故障修复工作；非工作期间为8小时内，并在接到通知后24小时之内完成故障修复工作。</w:t>
      </w:r>
    </w:p>
    <w:p w14:paraId="076FAF31">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5.如遇紧急情况，乙方应立即响应，并按照甲方要求的时间执行。乙方运维服务的联系人：         ，联系电话：         。乙方应保证上述联系人员电话24小时畅通，如更换联系人或联系电话，乙方必须事先书面通知甲方并经甲方确认。</w:t>
      </w:r>
    </w:p>
    <w:p w14:paraId="36B8649D">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6.在运维保障期内，乙方须免费向甲方提供所有软件系统升级的服务。在升级时，必须派专业技术人员到场指导。</w:t>
      </w:r>
    </w:p>
    <w:p w14:paraId="712CE768">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7.运维期满后，乙方承诺继续负责系统的运维工作。如需维修、更换、更新或升级软件系统，乙方保证按成本价提供，不收取额外费用。</w:t>
      </w:r>
    </w:p>
    <w:p w14:paraId="35B9C317">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（六）知识产权要求</w:t>
      </w:r>
    </w:p>
    <w:p w14:paraId="29AF7CA9">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1.本次建设项目中建成的所有平台、系统的使用权均保证甲方在项目（有配套软件的还包括软件产品）使用期间不受第三方提出侵犯其专利权、商标权和工业设计权等的起诉，乙方应做好数据资源的安全和保密工作。</w:t>
      </w:r>
    </w:p>
    <w:p w14:paraId="5D7E99EB">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2.甲方享有本次建设项目中建成的所有软件系统的永久使用权，且甲方享有本项目建设期间新增部分软件系统功能的永久使用权。后续如若有延续性研发项目合作，合作产生的相关共同成果的知识产权由双方另行签署相关协议。</w:t>
      </w:r>
    </w:p>
    <w:p w14:paraId="3BE1D1E5">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3.本合同标的范围内的一切实物及非实物（如软件系统等）成果，以及在执行本合同过程中产生的一切知识产权、技术秘密以及商业秘密等等的所有权、使用权、申请权、署名权等一切权利均归甲方所有，均与乙方无关。未经甲方事先书面同意，乙方不得以任何理由或方式申请保护、申请权利、注册、占有、使用、向其他方披露、转让或许可使用</w:t>
      </w:r>
      <w:r>
        <w:rPr>
          <w:rFonts w:ascii="仿宋_GB2312" w:hAnsi="方正仿宋_GBK" w:eastAsia="仿宋_GB2312" w:cs="方正仿宋_GBK"/>
          <w:color w:val="auto"/>
          <w:sz w:val="28"/>
          <w:szCs w:val="28"/>
          <w:highlight w:val="none"/>
        </w:rPr>
        <w:t>等。</w:t>
      </w:r>
    </w:p>
    <w:p w14:paraId="10B47F24">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4.甲方同意遵守乙方的商标使用政策，不对乙方商标擅自更改，不申请注册与乙方商标相同或与乙方商标构成混淆或近似的商标／商号／域名，各方在收到乙方关于乙方商标具有侵权风险的通知时，应立即停止使用相关商标。</w:t>
      </w:r>
    </w:p>
    <w:p w14:paraId="02AEBB16">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5.乙方应当保证，其依据本合同为甲方提供的技术开发服务过程或其为甲方提供的技术开发成果不侵犯任何第三人的合法权益。如果有人提出法律诉讼或行政程序（合称</w:t>
      </w:r>
      <w:r>
        <w:rPr>
          <w:rFonts w:eastAsia="仿宋_GB2312"/>
          <w:color w:val="auto"/>
          <w:sz w:val="28"/>
          <w:szCs w:val="28"/>
          <w:highlight w:val="none"/>
        </w:rPr>
        <w:t>“</w:t>
      </w:r>
      <w:r>
        <w:rPr>
          <w:rFonts w:ascii="仿宋_GB2312" w:hAnsi="方正仿宋_GBK" w:eastAsia="仿宋_GB2312" w:cs="方正仿宋_GBK"/>
          <w:color w:val="auto"/>
          <w:sz w:val="28"/>
          <w:szCs w:val="28"/>
          <w:highlight w:val="none"/>
        </w:rPr>
        <w:t>侵权指控</w:t>
      </w:r>
      <w:r>
        <w:rPr>
          <w:rFonts w:eastAsia="仿宋_GB2312"/>
          <w:color w:val="auto"/>
          <w:sz w:val="28"/>
          <w:szCs w:val="28"/>
          <w:highlight w:val="none"/>
        </w:rPr>
        <w:t>”</w:t>
      </w:r>
      <w:r>
        <w:rPr>
          <w:rFonts w:ascii="仿宋_GB2312" w:hAnsi="方正仿宋_GBK" w:eastAsia="仿宋_GB2312" w:cs="方正仿宋_GBK"/>
          <w:color w:val="auto"/>
          <w:sz w:val="28"/>
          <w:szCs w:val="28"/>
          <w:highlight w:val="none"/>
        </w:rPr>
        <w:t>），声称甲方使用的技术开发成果侵犯了其知识产权等合法权益，乙方同意赔偿甲方就此所承担的所有费用，包括但不限于上述侵权指控中所产生的一切诉讼费用、合理的律师费用、和解金额或终审判决中规定的赔偿金额。</w:t>
      </w:r>
    </w:p>
    <w:p w14:paraId="4B9CFD7A">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（七）人员培训要求</w:t>
      </w:r>
    </w:p>
    <w:p w14:paraId="6C6B21E8">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项目试运行期间，根据采购人需要，中标人应对采购人提供不少于3次的系统软件和定制开发系统使用及维护的培训，应根据项目使用需求提供详细的培训方案。保证采购人能独立操作完成系统软件和定制开发系统日常管理、使用、维护。</w:t>
      </w:r>
    </w:p>
    <w:p w14:paraId="7ACBB569">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（八）保密要求</w:t>
      </w:r>
    </w:p>
    <w:p w14:paraId="193245F7">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1.甲乙双方应当遵守国家有关保密法规。</w:t>
      </w:r>
    </w:p>
    <w:p w14:paraId="0B85C666">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2.对于合同一方向另一方提供的业务数据等文件资料，接受方有保密的义务。未经提供方书面同意，不得向社会公众或第三方通过任何途径出示、泄露，不得许可使用，不得传播、销售。本保密条款不因本合同的无效、终止、解除、撤销而失去效力。上述保密义务不适用于下述任何资料或数据：在未违反本条的情况下属于或成为公共资料的资料或数据；一方合法地从第三方获得的资料或数据；根据相关法律的规定、法院、仲裁机构的裁决或有权行政部门的要求而必须披露的资料。</w:t>
      </w:r>
    </w:p>
    <w:p w14:paraId="5A8CA620">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3.乙方在验收合格后应将项目资料全部移交给甲方。乙方保存的专属于甲方所有的项目资料的备份仅限用于本项目的运行维护服务。</w:t>
      </w:r>
    </w:p>
    <w:p w14:paraId="1E1FEC41">
      <w:pPr>
        <w:spacing w:line="600" w:lineRule="exact"/>
        <w:ind w:firstLine="560" w:firstLineChars="200"/>
        <w:rPr>
          <w:rFonts w:ascii="仿宋_GB2312" w:hAnsi="方正仿宋_GBK" w:eastAsia="仿宋_GB2312" w:cs="方正仿宋_GBK"/>
          <w:color w:val="auto"/>
          <w:sz w:val="28"/>
          <w:szCs w:val="28"/>
          <w:highlight w:val="none"/>
        </w:rPr>
      </w:pPr>
      <w:r>
        <w:rPr>
          <w:rFonts w:ascii="仿宋_GB2312" w:hAnsi="方正仿宋_GBK" w:eastAsia="仿宋_GB2312" w:cs="方正仿宋_GBK"/>
          <w:color w:val="auto"/>
          <w:sz w:val="28"/>
          <w:szCs w:val="28"/>
          <w:highlight w:val="none"/>
        </w:rPr>
        <w:t>4.乙方若违反上述任何一个条款的约定，甲方有权解除合同，并由乙方向甲方支付本合同项下价款总额的30%作为赔偿，若前述赔偿金额不足以弥补甲方实际损失的，乙方还应全额赔偿甲方所遭受的实际损失。</w:t>
      </w:r>
    </w:p>
    <w:p w14:paraId="4DFA0761">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（九）报价要求</w:t>
      </w:r>
    </w:p>
    <w:p w14:paraId="21D349E9">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1.采购项目最高限价：人民币811万元。</w:t>
      </w:r>
    </w:p>
    <w:p w14:paraId="7CC72238">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2.本项目为人民币报价。投标人应根据自身的实力和对招标文件、技术条件和国家技术规范和标准的理解，结合市场行情进行自主报价。投标人必须自行考虑本项目在实施期间的一切可能产生的费用。</w:t>
      </w:r>
    </w:p>
    <w:p w14:paraId="79154E3D">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3.投标人所报的投标价格包括但不限于：</w:t>
      </w:r>
      <w:bookmarkStart w:id="861" w:name="OLE_LINK13"/>
      <w:bookmarkStart w:id="862" w:name="OLE_LINK12"/>
      <w:r>
        <w:rPr>
          <w:rFonts w:hint="eastAsia" w:ascii="仿宋_GB2312" w:hAnsi="方正仿宋_GBK" w:eastAsia="仿宋_GB2312" w:cs="方正仿宋_GBK"/>
          <w:color w:val="auto"/>
          <w:sz w:val="28"/>
          <w:szCs w:val="28"/>
          <w:highlight w:val="none"/>
        </w:rPr>
        <w:t>系统开发、设备采购费、安装调试费、鉴定费、运行维护费、人工费、差旅费、住宿交通费、运输费、企业管理费、提供服务所需的设备或货物购买（制造）费、办公费、技术培训费、利润、各种应缴税费等。</w:t>
      </w:r>
      <w:bookmarkEnd w:id="861"/>
      <w:bookmarkEnd w:id="862"/>
    </w:p>
    <w:p w14:paraId="7B5CECD3">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（十）其他要求</w:t>
      </w:r>
    </w:p>
    <w:p w14:paraId="602E117A">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其他未尽事宜由采购人和中标人双方在采购合同中详细约定。</w:t>
      </w:r>
    </w:p>
    <w:p w14:paraId="10ABC90C">
      <w:pPr>
        <w:spacing w:line="600" w:lineRule="exact"/>
        <w:ind w:firstLine="562" w:firstLineChars="200"/>
        <w:jc w:val="left"/>
        <w:outlineLvl w:val="1"/>
        <w:rPr>
          <w:rFonts w:ascii="仿宋_GB2312" w:hAnsi="方正仿宋_GBK" w:eastAsia="仿宋_GB2312" w:cs="方正仿宋_GBK"/>
          <w:b/>
          <w:color w:val="auto"/>
          <w:sz w:val="28"/>
          <w:szCs w:val="28"/>
          <w:highlight w:val="none"/>
        </w:rPr>
      </w:pPr>
      <w:r>
        <w:rPr>
          <w:rFonts w:hint="eastAsia" w:ascii="仿宋_GB2312" w:hAnsi="方正仿宋_GBK" w:eastAsia="仿宋_GB2312" w:cs="方正仿宋_GBK"/>
          <w:b/>
          <w:color w:val="auto"/>
          <w:sz w:val="28"/>
          <w:szCs w:val="28"/>
          <w:highlight w:val="none"/>
        </w:rPr>
        <w:t>四、系统性能与质量要求</w:t>
      </w:r>
    </w:p>
    <w:p w14:paraId="574455A5">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（一）系统性能</w:t>
      </w:r>
    </w:p>
    <w:p w14:paraId="2635003C">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1.易用性</w:t>
      </w:r>
    </w:p>
    <w:p w14:paraId="278A3E82">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本项目的建设，在系统的界面布局、菜单的设计及用户操作等设计方面，要遵循界面友好、直观的原则，菜单要简洁，菜单格式、快捷键等要充分考虑用户习惯，满足用户使用方便、易于修改的要求。</w:t>
      </w:r>
    </w:p>
    <w:p w14:paraId="305CB1BB">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2.安全性</w:t>
      </w:r>
    </w:p>
    <w:p w14:paraId="6123B8C6">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在信息安全、非法访问和操作处理等方面需保障平台数据安全、不易被侵入、干扰、窃取信息或破坏，应满足以下要求：</w:t>
      </w:r>
    </w:p>
    <w:p w14:paraId="29FCB111">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（1）权限管理。系统提供权限管理功能，用以增加、修改、删除用户、用户组，设置用户、用户组的功能权限和数据权限；</w:t>
      </w:r>
    </w:p>
    <w:p w14:paraId="0FF08AA9">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（2）加密存储。对系统中关键敏感数据，需要进行加密存储的，应提供加密存储功能；</w:t>
      </w:r>
    </w:p>
    <w:p w14:paraId="3D9F5082">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（3）加密传输。对系统中的关键敏感数据和系统涉及的账号、密码，需要进行加密传输，并提供加密传输功能；</w:t>
      </w:r>
    </w:p>
    <w:p w14:paraId="0EE8889E">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（4）密码保护。按照国家有关要求，项目中涉及密码保护的数据均要采用国产密码算法和技术进行保护。</w:t>
      </w:r>
    </w:p>
    <w:p w14:paraId="70EF722B">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3.可扩展性</w:t>
      </w:r>
    </w:p>
    <w:p w14:paraId="00D925BF">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平台应具有较好的可扩展性，各系统或模块之间采用松散耦合的方式，未来可方便与新应用子系统或模块进行对接。平台建设不仅要满足本系统当前的功能需求，并能根据业务的变化灵活的在平台上扩展新功能，模块与模块之间、系统与系统之间应具备松散耦合的特性，方便未来业务扩展和平台延伸。</w:t>
      </w:r>
    </w:p>
    <w:p w14:paraId="36069C97">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4.易于维护性</w:t>
      </w:r>
    </w:p>
    <w:p w14:paraId="07B172C0">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系统日常的业务运行应基本做到无需人工干预，但同时应具有功能强大的运行维护平台，便于值班人员随时掌握系统运行情况，当系统出现故障后，可对故障进行及时的处理。系统的管理、维护和维修应具有简易性和可操作性。</w:t>
      </w:r>
    </w:p>
    <w:p w14:paraId="697B05CD">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5.稳定性和可靠性</w:t>
      </w:r>
    </w:p>
    <w:p w14:paraId="2FB522D8">
      <w:pPr>
        <w:spacing w:line="600" w:lineRule="exact"/>
        <w:ind w:firstLine="560" w:firstLineChars="200"/>
        <w:rPr>
          <w:rFonts w:ascii="仿宋_GB2312" w:hAnsi="方正仿宋_GBK" w:eastAsia="仿宋_GB2312" w:cs="方正仿宋_GBK"/>
          <w:color w:val="auto"/>
          <w:sz w:val="28"/>
          <w:szCs w:val="28"/>
          <w:highlight w:val="none"/>
        </w:rPr>
      </w:pPr>
      <w:r>
        <w:rPr>
          <w:rFonts w:hint="eastAsia" w:ascii="仿宋_GB2312" w:hAnsi="方正仿宋_GBK" w:eastAsia="仿宋_GB2312" w:cs="方正仿宋_GBK"/>
          <w:color w:val="auto"/>
          <w:sz w:val="28"/>
          <w:szCs w:val="28"/>
          <w:highlight w:val="none"/>
        </w:rPr>
        <w:t>由于平台业务需求，平台要考虑到数据稳定性的要求，保障系统在运行过程中正常稳定运行，系统应保证7×24小时不间断运行。</w:t>
      </w:r>
    </w:p>
    <w:p w14:paraId="07FD5086">
      <w:pPr>
        <w:spacing w:line="600" w:lineRule="exact"/>
        <w:ind w:firstLine="562" w:firstLineChars="200"/>
        <w:outlineLvl w:val="2"/>
        <w:rPr>
          <w:rFonts w:ascii="仿宋_GB2312" w:hAnsi="方正仿宋_GBK" w:eastAsia="仿宋_GB2312" w:cs="方正仿宋_GBK"/>
          <w:b/>
          <w:bCs/>
          <w:color w:val="auto"/>
          <w:sz w:val="28"/>
          <w:szCs w:val="28"/>
          <w:highlight w:val="none"/>
        </w:rPr>
      </w:pPr>
      <w:r>
        <w:rPr>
          <w:rFonts w:hint="eastAsia" w:ascii="仿宋_GB2312" w:hAnsi="方正仿宋_GBK" w:eastAsia="仿宋_GB2312" w:cs="方正仿宋_GBK"/>
          <w:b/>
          <w:bCs/>
          <w:color w:val="auto"/>
          <w:sz w:val="28"/>
          <w:szCs w:val="28"/>
          <w:highlight w:val="none"/>
        </w:rPr>
        <w:t>（二）质量管理要求</w:t>
      </w:r>
    </w:p>
    <w:p w14:paraId="607525FD">
      <w:pPr>
        <w:spacing w:line="600" w:lineRule="exact"/>
        <w:ind w:firstLine="560" w:firstLineChars="200"/>
        <w:rPr>
          <w:rFonts w:ascii="方正仿宋_GBK" w:hAnsi="方正仿宋_GBK" w:eastAsia="方正仿宋_GBK" w:cs="方正仿宋_GBK"/>
          <w:color w:val="auto"/>
          <w:sz w:val="28"/>
          <w:szCs w:val="28"/>
          <w:highlight w:val="none"/>
        </w:rPr>
      </w:pPr>
      <w:r>
        <w:rPr>
          <w:rFonts w:hint="eastAsia" w:ascii="仿宋_GB2312" w:hAnsi="方正仿宋_GBK" w:eastAsia="仿宋_GB2312" w:cs="方正仿宋_GBK"/>
          <w:color w:val="auto"/>
          <w:sz w:val="28"/>
          <w:szCs w:val="28"/>
          <w:highlight w:val="none"/>
        </w:rPr>
        <w:t>投标人须提供贯穿项目始终的项目管理控制服务，对项目进度、人力资源、文档资料、项目质量等进行全过程管理。项目结束后须提供项目相关建设内容的咨询服务和知识转移。</w:t>
      </w:r>
    </w:p>
    <w:p w14:paraId="637D90F6">
      <w:pPr>
        <w:spacing w:line="360" w:lineRule="auto"/>
        <w:jc w:val="center"/>
        <w:outlineLvl w:val="0"/>
        <w:rPr>
          <w:b/>
          <w:color w:val="auto"/>
          <w:sz w:val="36"/>
          <w:szCs w:val="36"/>
          <w:highlight w:val="none"/>
        </w:rPr>
      </w:pPr>
      <w:r>
        <w:rPr>
          <w:color w:val="auto"/>
          <w:highlight w:val="none"/>
        </w:rPr>
        <w:br w:type="page"/>
      </w:r>
      <w:bookmarkStart w:id="863" w:name="_Toc99301425"/>
      <w:r>
        <w:rPr>
          <w:b/>
          <w:color w:val="auto"/>
          <w:sz w:val="36"/>
          <w:szCs w:val="36"/>
          <w:highlight w:val="none"/>
        </w:rPr>
        <w:t>第六章   拟签订的合同文本</w:t>
      </w:r>
      <w:bookmarkEnd w:id="863"/>
    </w:p>
    <w:p w14:paraId="226E9AD3">
      <w:pPr>
        <w:tabs>
          <w:tab w:val="left" w:pos="900"/>
          <w:tab w:val="left" w:pos="1080"/>
        </w:tabs>
        <w:snapToGrid w:val="0"/>
        <w:spacing w:line="360" w:lineRule="auto"/>
        <w:rPr>
          <w:color w:val="auto"/>
          <w:kern w:val="0"/>
          <w:sz w:val="18"/>
          <w:szCs w:val="18"/>
          <w:highlight w:val="none"/>
        </w:rPr>
        <w:sectPr>
          <w:pgSz w:w="11907" w:h="16840"/>
          <w:pgMar w:top="1418" w:right="1134" w:bottom="1418" w:left="1701" w:header="851" w:footer="851" w:gutter="0"/>
          <w:pgNumType w:fmt="decimal"/>
          <w:cols w:space="720" w:num="1"/>
          <w:docGrid w:linePitch="462" w:charSpace="0"/>
        </w:sectPr>
      </w:pPr>
    </w:p>
    <w:p w14:paraId="4EC8B742">
      <w:pPr>
        <w:pStyle w:val="3"/>
        <w:pageBreakBefore/>
        <w:numPr>
          <w:ilvl w:val="1"/>
          <w:numId w:val="0"/>
        </w:numPr>
        <w:spacing w:line="415" w:lineRule="auto"/>
        <w:rPr>
          <w:rFonts w:ascii="仿宋_GB2312" w:hAnsi="仿宋" w:eastAsia="仿宋_GB2312" w:cs="仿宋"/>
          <w:color w:val="auto"/>
          <w:sz w:val="44"/>
          <w:szCs w:val="44"/>
          <w:highlight w:val="none"/>
        </w:rPr>
      </w:pPr>
      <w:r>
        <w:rPr>
          <w:rFonts w:ascii="仿宋_GB2312" w:hAnsi="仿宋" w:eastAsia="仿宋_GB2312" w:cs="仿宋"/>
          <w:color w:val="auto"/>
          <w:sz w:val="44"/>
          <w:szCs w:val="44"/>
          <w:highlight w:val="none"/>
        </w:rPr>
        <w:t>技术开发服务合同</w:t>
      </w:r>
    </w:p>
    <w:p w14:paraId="52EFEC22">
      <w:pPr>
        <w:rPr>
          <w:rFonts w:ascii="仿宋_GB2312" w:hAnsi="仿宋" w:eastAsia="仿宋_GB2312" w:cs="仿宋"/>
          <w:color w:val="auto"/>
          <w:sz w:val="32"/>
          <w:szCs w:val="32"/>
          <w:highlight w:val="none"/>
        </w:rPr>
      </w:pPr>
    </w:p>
    <w:p w14:paraId="5296B67B">
      <w:pPr>
        <w:rPr>
          <w:rFonts w:ascii="仿宋_GB2312" w:hAnsi="仿宋" w:eastAsia="仿宋_GB2312" w:cs="仿宋"/>
          <w:color w:val="auto"/>
          <w:sz w:val="32"/>
          <w:szCs w:val="32"/>
          <w:highlight w:val="none"/>
        </w:rPr>
      </w:pPr>
    </w:p>
    <w:p w14:paraId="715AFFD8">
      <w:pPr>
        <w:rPr>
          <w:rFonts w:ascii="仿宋_GB2312" w:hAnsi="仿宋" w:eastAsia="仿宋_GB2312" w:cs="仿宋"/>
          <w:color w:val="auto"/>
          <w:sz w:val="32"/>
          <w:szCs w:val="32"/>
          <w:highlight w:val="none"/>
        </w:rPr>
      </w:pPr>
    </w:p>
    <w:p w14:paraId="08889B78">
      <w:pP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项目名称：</w:t>
      </w:r>
      <w:r>
        <w:rPr>
          <w:rFonts w:ascii="仿宋_GB2312" w:hAnsi="仿宋" w:eastAsia="仿宋_GB2312" w:cs="仿宋"/>
          <w:color w:val="auto"/>
          <w:sz w:val="28"/>
          <w:szCs w:val="28"/>
          <w:highlight w:val="none"/>
          <w:u w:val="single"/>
        </w:rPr>
        <w:t>国家危险废物环境风险防控技术中心建设项目-危险废物智慧环境监管技术应用开发（一期）</w:t>
      </w:r>
    </w:p>
    <w:p w14:paraId="5879AE6A">
      <w:pPr>
        <w:rPr>
          <w:rFonts w:ascii="仿宋_GB2312" w:hAnsi="仿宋" w:eastAsia="仿宋_GB2312" w:cs="仿宋"/>
          <w:color w:val="auto"/>
          <w:sz w:val="28"/>
          <w:szCs w:val="28"/>
          <w:highlight w:val="none"/>
        </w:rPr>
      </w:pPr>
    </w:p>
    <w:p w14:paraId="12444B43">
      <w:pP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采购编号：</w:t>
      </w:r>
    </w:p>
    <w:p w14:paraId="61D29076">
      <w:pPr>
        <w:rPr>
          <w:rFonts w:ascii="仿宋_GB2312" w:hAnsi="仿宋" w:eastAsia="仿宋_GB2312" w:cs="仿宋"/>
          <w:color w:val="auto"/>
          <w:sz w:val="28"/>
          <w:szCs w:val="28"/>
          <w:highlight w:val="none"/>
        </w:rPr>
      </w:pPr>
    </w:p>
    <w:p w14:paraId="01B75DB5">
      <w:pPr>
        <w:rPr>
          <w:rFonts w:ascii="仿宋_GB2312" w:hAnsi="仿宋" w:eastAsia="仿宋_GB2312" w:cs="仿宋"/>
          <w:color w:val="auto"/>
          <w:sz w:val="28"/>
          <w:szCs w:val="28"/>
          <w:highlight w:val="none"/>
        </w:rPr>
      </w:pPr>
    </w:p>
    <w:p w14:paraId="2D56C4C5">
      <w:pP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甲方（采购人）：</w:t>
      </w:r>
      <w:r>
        <w:rPr>
          <w:rFonts w:ascii="仿宋_GB2312" w:hAnsi="仿宋" w:eastAsia="仿宋_GB2312" w:cs="仿宋"/>
          <w:color w:val="auto"/>
          <w:sz w:val="28"/>
          <w:szCs w:val="28"/>
          <w:highlight w:val="none"/>
          <w:u w:val="single"/>
        </w:rPr>
        <w:t>生态环境部固体废物与化学品管理技术中心</w:t>
      </w:r>
    </w:p>
    <w:p w14:paraId="70721B5F">
      <w:pPr>
        <w:rPr>
          <w:rFonts w:ascii="仿宋_GB2312" w:hAnsi="仿宋" w:eastAsia="仿宋_GB2312" w:cs="仿宋"/>
          <w:color w:val="auto"/>
          <w:sz w:val="28"/>
          <w:szCs w:val="28"/>
          <w:highlight w:val="none"/>
        </w:rPr>
      </w:pPr>
    </w:p>
    <w:p w14:paraId="76DBBDC3">
      <w:pP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乙方（中标人）：</w:t>
      </w:r>
    </w:p>
    <w:p w14:paraId="2E554BCE">
      <w:pPr>
        <w:rPr>
          <w:rFonts w:ascii="仿宋_GB2312" w:hAnsi="仿宋" w:eastAsia="仿宋_GB2312" w:cs="仿宋"/>
          <w:color w:val="auto"/>
          <w:sz w:val="28"/>
          <w:szCs w:val="28"/>
          <w:highlight w:val="none"/>
        </w:rPr>
      </w:pPr>
    </w:p>
    <w:p w14:paraId="79F5298A">
      <w:pPr>
        <w:rPr>
          <w:rFonts w:ascii="仿宋_GB2312" w:hAnsi="仿宋" w:eastAsia="仿宋_GB2312" w:cs="仿宋"/>
          <w:color w:val="auto"/>
          <w:sz w:val="28"/>
          <w:szCs w:val="28"/>
          <w:highlight w:val="none"/>
        </w:rPr>
      </w:pPr>
    </w:p>
    <w:p w14:paraId="3E958229">
      <w:pP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签订地点：</w:t>
      </w:r>
      <w:r>
        <w:rPr>
          <w:rFonts w:ascii="仿宋_GB2312" w:hAnsi="仿宋" w:eastAsia="仿宋_GB2312" w:cs="仿宋"/>
          <w:color w:val="auto"/>
          <w:sz w:val="28"/>
          <w:szCs w:val="28"/>
          <w:highlight w:val="none"/>
          <w:u w:val="single"/>
        </w:rPr>
        <w:t>北京市</w:t>
      </w:r>
    </w:p>
    <w:p w14:paraId="5F185CDF">
      <w:pPr>
        <w:rPr>
          <w:rFonts w:ascii="仿宋_GB2312" w:hAnsi="仿宋" w:eastAsia="仿宋_GB2312" w:cs="仿宋"/>
          <w:color w:val="auto"/>
          <w:sz w:val="28"/>
          <w:szCs w:val="28"/>
          <w:highlight w:val="none"/>
        </w:rPr>
      </w:pPr>
    </w:p>
    <w:p w14:paraId="2ED8A410">
      <w:pP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签订日期：年月日</w:t>
      </w:r>
    </w:p>
    <w:p w14:paraId="426468A1">
      <w:pPr>
        <w:rPr>
          <w:rFonts w:ascii="仿宋_GB2312" w:hAnsi="仿宋" w:eastAsia="仿宋_GB2312" w:cs="仿宋"/>
          <w:color w:val="auto"/>
          <w:sz w:val="28"/>
          <w:szCs w:val="28"/>
          <w:highlight w:val="none"/>
        </w:rPr>
      </w:pPr>
    </w:p>
    <w:p w14:paraId="3B2F751E">
      <w:pPr>
        <w:rPr>
          <w:rFonts w:ascii="仿宋_GB2312" w:hAnsi="仿宋" w:eastAsia="仿宋_GB2312" w:cs="仿宋"/>
          <w:color w:val="auto"/>
          <w:sz w:val="28"/>
          <w:szCs w:val="28"/>
          <w:highlight w:val="none"/>
        </w:rPr>
      </w:pPr>
    </w:p>
    <w:p w14:paraId="5D0CF38D">
      <w:pPr>
        <w:rPr>
          <w:rFonts w:ascii="仿宋_GB2312" w:hAnsi="仿宋" w:eastAsia="仿宋_GB2312" w:cs="仿宋"/>
          <w:color w:val="auto"/>
          <w:sz w:val="28"/>
          <w:szCs w:val="28"/>
          <w:highlight w:val="none"/>
        </w:rPr>
      </w:pPr>
    </w:p>
    <w:p w14:paraId="5D618372">
      <w:pPr>
        <w:pageBreakBefore/>
        <w:spacing w:line="500" w:lineRule="exact"/>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（本合同内容仅供参考，具体内容以双方签订为准）</w:t>
      </w:r>
    </w:p>
    <w:p w14:paraId="178DAC3C">
      <w:pPr>
        <w:spacing w:line="500" w:lineRule="exact"/>
        <w:jc w:val="left"/>
        <w:rPr>
          <w:rFonts w:ascii="仿宋_GB2312" w:hAnsi="仿宋" w:eastAsia="仿宋_GB2312" w:cs="仿宋"/>
          <w:color w:val="auto"/>
          <w:sz w:val="28"/>
          <w:szCs w:val="28"/>
          <w:highlight w:val="none"/>
        </w:rPr>
      </w:pPr>
    </w:p>
    <w:p w14:paraId="34A30CC2">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依据《中华人民共和国民法典》《中华人民共和国政府采购法》《中华人民共和国政府采购法实施条例》及其他有关法律、行政法规，</w:t>
      </w:r>
      <w:r>
        <w:rPr>
          <w:rFonts w:ascii="仿宋_GB2312" w:hAnsi="仿宋" w:eastAsia="仿宋_GB2312" w:cs="仿宋"/>
          <w:color w:val="auto"/>
          <w:sz w:val="28"/>
          <w:szCs w:val="28"/>
          <w:highlight w:val="none"/>
          <w:u w:val="single"/>
        </w:rPr>
        <w:t>甲乙</w:t>
      </w:r>
      <w:r>
        <w:rPr>
          <w:rFonts w:ascii="仿宋_GB2312" w:hAnsi="仿宋" w:eastAsia="仿宋_GB2312" w:cs="仿宋"/>
          <w:color w:val="auto"/>
          <w:sz w:val="28"/>
          <w:szCs w:val="28"/>
          <w:highlight w:val="none"/>
        </w:rPr>
        <w:t>双方本着自愿、平等、互利和诚实信用的原则，根据</w:t>
      </w:r>
      <w:r>
        <w:rPr>
          <w:rFonts w:ascii="仿宋_GB2312" w:hAnsi="仿宋" w:eastAsia="仿宋_GB2312" w:cs="仿宋"/>
          <w:color w:val="auto"/>
          <w:sz w:val="28"/>
          <w:szCs w:val="28"/>
          <w:highlight w:val="none"/>
          <w:u w:val="single"/>
        </w:rPr>
        <w:t>国家危险废物环境风险防控技术中心建设项目-危险废物智慧环境监管技术应用开发（一期）</w:t>
      </w:r>
      <w:r>
        <w:rPr>
          <w:rFonts w:ascii="仿宋_GB2312" w:hAnsi="仿宋" w:eastAsia="仿宋_GB2312" w:cs="仿宋"/>
          <w:color w:val="auto"/>
          <w:sz w:val="28"/>
          <w:szCs w:val="28"/>
          <w:highlight w:val="none"/>
        </w:rPr>
        <w:t>项目（项目编号：）的招投标结果，同意按照以下条款和条件，签署本合同。</w:t>
      </w:r>
    </w:p>
    <w:p w14:paraId="643A7E42">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第一条合同组成部分</w:t>
      </w:r>
    </w:p>
    <w:p w14:paraId="7D41186C">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1.本项目招标文件（含澄清或者说明文件）</w:t>
      </w:r>
    </w:p>
    <w:p w14:paraId="0B9A94B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2.中标人的投标文件（含澄清或者修改文件）</w:t>
      </w:r>
    </w:p>
    <w:p w14:paraId="5AE34FFB">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3.中标通知书</w:t>
      </w:r>
    </w:p>
    <w:p w14:paraId="353CD0F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4.合同书及其附件</w:t>
      </w:r>
    </w:p>
    <w:p w14:paraId="1309E63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5.合同履行中双方签订的补充协议</w:t>
      </w:r>
    </w:p>
    <w:p w14:paraId="2025663B">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6.双方约定构成合同组成部分的其它文件</w:t>
      </w:r>
    </w:p>
    <w:p w14:paraId="17B1CE74">
      <w:pPr>
        <w:spacing w:line="500" w:lineRule="exact"/>
        <w:ind w:firstLine="562" w:firstLineChars="200"/>
        <w:jc w:val="left"/>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第二条项目名称、项目内容和项目实施地点</w:t>
      </w:r>
    </w:p>
    <w:p w14:paraId="6BCB7439">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1.项目名称：</w:t>
      </w:r>
      <w:r>
        <w:rPr>
          <w:rFonts w:ascii="仿宋_GB2312" w:hAnsi="仿宋" w:eastAsia="仿宋_GB2312" w:cs="仿宋"/>
          <w:color w:val="auto"/>
          <w:sz w:val="28"/>
          <w:szCs w:val="28"/>
          <w:highlight w:val="none"/>
          <w:u w:val="single"/>
        </w:rPr>
        <w:t>国家危险废物环境风险防控技术中心建设项目-危险废物智慧环境监管技术应用开发（一期）</w:t>
      </w:r>
    </w:p>
    <w:p w14:paraId="5ADE1579">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2.项目内容：</w:t>
      </w:r>
      <w:r>
        <w:rPr>
          <w:rFonts w:ascii="仿宋_GB2312" w:hAnsi="仿宋" w:eastAsia="仿宋_GB2312" w:cs="仿宋"/>
          <w:color w:val="auto"/>
          <w:sz w:val="28"/>
          <w:szCs w:val="28"/>
          <w:highlight w:val="none"/>
          <w:u w:val="single"/>
        </w:rPr>
        <w:t>本项目主要建设内容包括遥感技术应用、物联网技术应用、区块链技术应用、移动互联网应用、物联网装备评估、集中转运装备评估等系列软件系统，以全面支撑危险废物、工业固体废物、新兴固体废物等智慧监管体系建设。</w:t>
      </w:r>
    </w:p>
    <w:p w14:paraId="7BFF7FB2">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3.项目地点：</w:t>
      </w:r>
      <w:r>
        <w:rPr>
          <w:rFonts w:ascii="仿宋_GB2312" w:hAnsi="仿宋" w:eastAsia="仿宋_GB2312" w:cs="仿宋"/>
          <w:color w:val="auto"/>
          <w:sz w:val="28"/>
          <w:szCs w:val="28"/>
          <w:highlight w:val="none"/>
          <w:u w:val="single"/>
        </w:rPr>
        <w:t>北京市房山区长阳镇水碾屯村</w:t>
      </w:r>
    </w:p>
    <w:p w14:paraId="12E75FB7">
      <w:pPr>
        <w:spacing w:line="500" w:lineRule="exact"/>
        <w:ind w:firstLine="562" w:firstLineChars="200"/>
        <w:jc w:val="left"/>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第三条合同期限</w:t>
      </w:r>
    </w:p>
    <w:p w14:paraId="54C26802">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1.合同有效期：合同生效之日起，至本项目所有实施内容和相关服务内容提供完成，并经甲方全部确认无误之前，本合同均持续有效，除非甲乙双方提前终止合同。</w:t>
      </w:r>
    </w:p>
    <w:p w14:paraId="1C4B45FD">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2.项目建设期限：自本合同签订之日起12个月内，按照国家、地方、行业标准，本合同约定及甲方要求完成全部系统开发、部署、调试、测试及上线运行。</w:t>
      </w:r>
    </w:p>
    <w:p w14:paraId="2C4F8705">
      <w:pPr>
        <w:spacing w:line="500" w:lineRule="exact"/>
        <w:ind w:firstLine="562" w:firstLineChars="200"/>
        <w:jc w:val="left"/>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第四条合同价款</w:t>
      </w:r>
    </w:p>
    <w:p w14:paraId="0EAF86C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1.本合同总价款含税金额大写共计：元整（小写：）。</w:t>
      </w:r>
    </w:p>
    <w:p w14:paraId="10D4A956">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2.上述合同总价款系包含履行本合同涉及的</w:t>
      </w:r>
      <w:bookmarkStart w:id="864" w:name="OLE_LINK11"/>
      <w:bookmarkStart w:id="865" w:name="OLE_LINK10"/>
      <w:r>
        <w:rPr>
          <w:rFonts w:ascii="仿宋_GB2312" w:hAnsi="仿宋" w:eastAsia="仿宋_GB2312" w:cs="仿宋"/>
          <w:color w:val="auto"/>
          <w:sz w:val="28"/>
          <w:szCs w:val="28"/>
          <w:highlight w:val="none"/>
        </w:rPr>
        <w:t>所有费用的含税价格，包括乙方履行本合同义务和职责的所有费用（包括但不限于软件、安装调试、开发、研发、分析、测试、调查、保险、人工、工具、说明、技术资料、试运行、运维、售后服务、鉴定、税金、备品备件等所有费用，以及一切不可预见费用</w:t>
      </w:r>
      <w:bookmarkEnd w:id="864"/>
      <w:bookmarkEnd w:id="865"/>
      <w:r>
        <w:rPr>
          <w:rFonts w:ascii="仿宋_GB2312" w:hAnsi="仿宋" w:eastAsia="仿宋_GB2312" w:cs="仿宋"/>
          <w:color w:val="auto"/>
          <w:sz w:val="28"/>
          <w:szCs w:val="28"/>
          <w:highlight w:val="none"/>
        </w:rPr>
        <w:t>，上述费用不因任何因素调整。除本合同另有明确约定或经双方达成书面协议外，乙方不得以任何理由要求甲方额外支付其他任何费用。</w:t>
      </w:r>
    </w:p>
    <w:p w14:paraId="12808ABB">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3.本合同项下有关款项的支付，均以银行对公账户转账的方式履行。</w:t>
      </w:r>
    </w:p>
    <w:p w14:paraId="4D5B6B9D">
      <w:pPr>
        <w:spacing w:line="500" w:lineRule="exact"/>
        <w:ind w:firstLine="562" w:firstLineChars="200"/>
        <w:jc w:val="left"/>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第五条银行信息</w:t>
      </w:r>
    </w:p>
    <w:p w14:paraId="65954F93">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甲、乙任意一方的下述账号信息发生变更或临时变更，应在本合同项下某笔款项应当完成付款之日前15个工作日内，以书面形式通知另一方；一方未能及时通知或通知有误而导致另一方回款延误或遭受损失的，责任方应当承担相关责任并予以赔偿。甲乙双方的收付款银行信息如下：</w:t>
      </w:r>
    </w:p>
    <w:tbl>
      <w:tblPr>
        <w:tblStyle w:val="43"/>
        <w:tblW w:w="7979" w:type="dxa"/>
        <w:jc w:val="center"/>
        <w:tblLayout w:type="autofit"/>
        <w:tblCellMar>
          <w:top w:w="0" w:type="dxa"/>
          <w:left w:w="108" w:type="dxa"/>
          <w:bottom w:w="0" w:type="dxa"/>
          <w:right w:w="108" w:type="dxa"/>
        </w:tblCellMar>
      </w:tblPr>
      <w:tblGrid>
        <w:gridCol w:w="2243"/>
        <w:gridCol w:w="5736"/>
      </w:tblGrid>
      <w:tr w14:paraId="31ADF147">
        <w:tblPrEx>
          <w:tblCellMar>
            <w:top w:w="0" w:type="dxa"/>
            <w:left w:w="108" w:type="dxa"/>
            <w:bottom w:w="0" w:type="dxa"/>
            <w:right w:w="108" w:type="dxa"/>
          </w:tblCellMar>
        </w:tblPrEx>
        <w:trPr>
          <w:trHeight w:val="288" w:hRule="atLeast"/>
          <w:jc w:val="center"/>
        </w:trPr>
        <w:tc>
          <w:tcPr>
            <w:tcW w:w="7979" w:type="dxa"/>
            <w:gridSpan w:val="2"/>
            <w:tcBorders>
              <w:top w:val="single" w:color="auto" w:sz="4" w:space="0"/>
              <w:left w:val="single" w:color="auto" w:sz="4" w:space="0"/>
              <w:bottom w:val="single" w:color="auto" w:sz="4" w:space="0"/>
              <w:right w:val="single" w:color="auto" w:sz="4" w:space="0"/>
            </w:tcBorders>
            <w:noWrap/>
            <w:vAlign w:val="center"/>
          </w:tcPr>
          <w:p w14:paraId="42C7B997">
            <w:pPr>
              <w:widowControl/>
              <w:spacing w:line="500" w:lineRule="exact"/>
              <w:jc w:val="left"/>
              <w:textAlignment w:val="center"/>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甲方付款账户银行信息</w:t>
            </w:r>
          </w:p>
        </w:tc>
      </w:tr>
      <w:tr w14:paraId="2DBB591F">
        <w:tblPrEx>
          <w:tblCellMar>
            <w:top w:w="0" w:type="dxa"/>
            <w:left w:w="108" w:type="dxa"/>
            <w:bottom w:w="0" w:type="dxa"/>
            <w:right w:w="108" w:type="dxa"/>
          </w:tblCellMar>
        </w:tblPrEx>
        <w:trPr>
          <w:trHeight w:val="288" w:hRule="atLeast"/>
          <w:jc w:val="center"/>
        </w:trPr>
        <w:tc>
          <w:tcPr>
            <w:tcW w:w="2243" w:type="dxa"/>
            <w:tcBorders>
              <w:top w:val="nil"/>
              <w:left w:val="single" w:color="auto" w:sz="4" w:space="0"/>
              <w:bottom w:val="single" w:color="auto" w:sz="4" w:space="0"/>
              <w:right w:val="single" w:color="auto" w:sz="4" w:space="0"/>
            </w:tcBorders>
            <w:noWrap/>
            <w:vAlign w:val="center"/>
          </w:tcPr>
          <w:p w14:paraId="3A565A5E">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开户行</w:t>
            </w:r>
          </w:p>
        </w:tc>
        <w:tc>
          <w:tcPr>
            <w:tcW w:w="5736" w:type="dxa"/>
            <w:tcBorders>
              <w:top w:val="nil"/>
              <w:left w:val="nil"/>
              <w:bottom w:val="single" w:color="auto" w:sz="4" w:space="0"/>
              <w:right w:val="single" w:color="auto" w:sz="4" w:space="0"/>
            </w:tcBorders>
            <w:noWrap/>
            <w:vAlign w:val="center"/>
          </w:tcPr>
          <w:p w14:paraId="05BCA860">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中国农业银行北京惠新里支行</w:t>
            </w:r>
          </w:p>
        </w:tc>
      </w:tr>
      <w:tr w14:paraId="44071297">
        <w:tblPrEx>
          <w:tblCellMar>
            <w:top w:w="0" w:type="dxa"/>
            <w:left w:w="108" w:type="dxa"/>
            <w:bottom w:w="0" w:type="dxa"/>
            <w:right w:w="108" w:type="dxa"/>
          </w:tblCellMar>
        </w:tblPrEx>
        <w:trPr>
          <w:trHeight w:val="300" w:hRule="atLeast"/>
          <w:jc w:val="center"/>
        </w:trPr>
        <w:tc>
          <w:tcPr>
            <w:tcW w:w="2243" w:type="dxa"/>
            <w:tcBorders>
              <w:top w:val="nil"/>
              <w:left w:val="single" w:color="auto" w:sz="4" w:space="0"/>
              <w:bottom w:val="single" w:color="auto" w:sz="4" w:space="0"/>
              <w:right w:val="single" w:color="auto" w:sz="4" w:space="0"/>
            </w:tcBorders>
            <w:noWrap/>
            <w:vAlign w:val="center"/>
          </w:tcPr>
          <w:p w14:paraId="3F7EBF61">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账号名称</w:t>
            </w:r>
          </w:p>
        </w:tc>
        <w:tc>
          <w:tcPr>
            <w:tcW w:w="5736" w:type="dxa"/>
            <w:tcBorders>
              <w:top w:val="nil"/>
              <w:left w:val="nil"/>
              <w:bottom w:val="single" w:color="auto" w:sz="4" w:space="0"/>
              <w:right w:val="single" w:color="auto" w:sz="4" w:space="0"/>
            </w:tcBorders>
            <w:noWrap/>
            <w:vAlign w:val="center"/>
          </w:tcPr>
          <w:p w14:paraId="3549EAD1">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生态环境部固体废物与化学品管理技术中心</w:t>
            </w:r>
          </w:p>
        </w:tc>
      </w:tr>
      <w:tr w14:paraId="69E72201">
        <w:tblPrEx>
          <w:tblCellMar>
            <w:top w:w="0" w:type="dxa"/>
            <w:left w:w="108" w:type="dxa"/>
            <w:bottom w:w="0" w:type="dxa"/>
            <w:right w:w="108" w:type="dxa"/>
          </w:tblCellMar>
        </w:tblPrEx>
        <w:trPr>
          <w:trHeight w:val="300" w:hRule="atLeast"/>
          <w:jc w:val="center"/>
        </w:trPr>
        <w:tc>
          <w:tcPr>
            <w:tcW w:w="2243" w:type="dxa"/>
            <w:tcBorders>
              <w:top w:val="nil"/>
              <w:left w:val="single" w:color="auto" w:sz="4" w:space="0"/>
              <w:bottom w:val="single" w:color="auto" w:sz="4" w:space="0"/>
              <w:right w:val="single" w:color="auto" w:sz="4" w:space="0"/>
            </w:tcBorders>
            <w:noWrap/>
            <w:vAlign w:val="center"/>
          </w:tcPr>
          <w:p w14:paraId="18905C70">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银行账号</w:t>
            </w:r>
          </w:p>
        </w:tc>
        <w:tc>
          <w:tcPr>
            <w:tcW w:w="5736" w:type="dxa"/>
            <w:tcBorders>
              <w:top w:val="nil"/>
              <w:left w:val="nil"/>
              <w:bottom w:val="single" w:color="auto" w:sz="4" w:space="0"/>
              <w:right w:val="single" w:color="auto" w:sz="4" w:space="0"/>
            </w:tcBorders>
            <w:noWrap/>
            <w:vAlign w:val="center"/>
          </w:tcPr>
          <w:p w14:paraId="7D830741">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11191101049200137</w:t>
            </w:r>
          </w:p>
        </w:tc>
      </w:tr>
      <w:tr w14:paraId="7D4FDE6A">
        <w:tblPrEx>
          <w:tblCellMar>
            <w:top w:w="0" w:type="dxa"/>
            <w:left w:w="108" w:type="dxa"/>
            <w:bottom w:w="0" w:type="dxa"/>
            <w:right w:w="108" w:type="dxa"/>
          </w:tblCellMar>
        </w:tblPrEx>
        <w:trPr>
          <w:trHeight w:val="300" w:hRule="atLeast"/>
          <w:jc w:val="center"/>
        </w:trPr>
        <w:tc>
          <w:tcPr>
            <w:tcW w:w="7979" w:type="dxa"/>
            <w:gridSpan w:val="2"/>
            <w:tcBorders>
              <w:top w:val="nil"/>
              <w:left w:val="single" w:color="auto" w:sz="4" w:space="0"/>
              <w:bottom w:val="single" w:color="auto" w:sz="4" w:space="0"/>
              <w:right w:val="single" w:color="auto" w:sz="4" w:space="0"/>
            </w:tcBorders>
            <w:noWrap/>
            <w:vAlign w:val="center"/>
          </w:tcPr>
          <w:p w14:paraId="5C54B31E">
            <w:pPr>
              <w:widowControl/>
              <w:spacing w:line="500" w:lineRule="exact"/>
              <w:jc w:val="left"/>
              <w:textAlignment w:val="center"/>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乙方收款账户银行信息</w:t>
            </w:r>
          </w:p>
        </w:tc>
      </w:tr>
      <w:tr w14:paraId="23F031C2">
        <w:tblPrEx>
          <w:tblCellMar>
            <w:top w:w="0" w:type="dxa"/>
            <w:left w:w="108" w:type="dxa"/>
            <w:bottom w:w="0" w:type="dxa"/>
            <w:right w:w="108" w:type="dxa"/>
          </w:tblCellMar>
        </w:tblPrEx>
        <w:trPr>
          <w:trHeight w:val="300" w:hRule="atLeast"/>
          <w:jc w:val="center"/>
        </w:trPr>
        <w:tc>
          <w:tcPr>
            <w:tcW w:w="2243" w:type="dxa"/>
            <w:tcBorders>
              <w:top w:val="nil"/>
              <w:left w:val="single" w:color="auto" w:sz="4" w:space="0"/>
              <w:bottom w:val="single" w:color="auto" w:sz="4" w:space="0"/>
              <w:right w:val="single" w:color="auto" w:sz="4" w:space="0"/>
            </w:tcBorders>
            <w:noWrap/>
            <w:vAlign w:val="center"/>
          </w:tcPr>
          <w:p w14:paraId="0A45EC81">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开户行</w:t>
            </w:r>
          </w:p>
        </w:tc>
        <w:tc>
          <w:tcPr>
            <w:tcW w:w="5736" w:type="dxa"/>
            <w:tcBorders>
              <w:top w:val="nil"/>
              <w:left w:val="nil"/>
              <w:bottom w:val="single" w:color="auto" w:sz="4" w:space="0"/>
              <w:right w:val="single" w:color="auto" w:sz="4" w:space="0"/>
            </w:tcBorders>
            <w:noWrap/>
            <w:vAlign w:val="center"/>
          </w:tcPr>
          <w:p w14:paraId="01614AD8">
            <w:pPr>
              <w:widowControl/>
              <w:spacing w:line="500" w:lineRule="exact"/>
              <w:jc w:val="left"/>
              <w:textAlignment w:val="center"/>
              <w:rPr>
                <w:rFonts w:ascii="仿宋_GB2312" w:hAnsi="仿宋" w:eastAsia="仿宋_GB2312" w:cs="仿宋"/>
                <w:color w:val="auto"/>
                <w:sz w:val="28"/>
                <w:szCs w:val="28"/>
                <w:highlight w:val="none"/>
              </w:rPr>
            </w:pPr>
          </w:p>
        </w:tc>
      </w:tr>
      <w:tr w14:paraId="63B7F9D2">
        <w:tblPrEx>
          <w:tblCellMar>
            <w:top w:w="0" w:type="dxa"/>
            <w:left w:w="108" w:type="dxa"/>
            <w:bottom w:w="0" w:type="dxa"/>
            <w:right w:w="108" w:type="dxa"/>
          </w:tblCellMar>
        </w:tblPrEx>
        <w:trPr>
          <w:trHeight w:val="300" w:hRule="atLeast"/>
          <w:jc w:val="center"/>
        </w:trPr>
        <w:tc>
          <w:tcPr>
            <w:tcW w:w="2243" w:type="dxa"/>
            <w:tcBorders>
              <w:top w:val="nil"/>
              <w:left w:val="single" w:color="auto" w:sz="4" w:space="0"/>
              <w:bottom w:val="single" w:color="auto" w:sz="4" w:space="0"/>
              <w:right w:val="single" w:color="auto" w:sz="4" w:space="0"/>
            </w:tcBorders>
            <w:noWrap/>
            <w:vAlign w:val="center"/>
          </w:tcPr>
          <w:p w14:paraId="15F0C3B7">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账号名称</w:t>
            </w:r>
          </w:p>
        </w:tc>
        <w:tc>
          <w:tcPr>
            <w:tcW w:w="5736" w:type="dxa"/>
            <w:tcBorders>
              <w:top w:val="nil"/>
              <w:left w:val="nil"/>
              <w:bottom w:val="single" w:color="auto" w:sz="4" w:space="0"/>
              <w:right w:val="single" w:color="auto" w:sz="4" w:space="0"/>
            </w:tcBorders>
            <w:noWrap/>
            <w:vAlign w:val="center"/>
          </w:tcPr>
          <w:p w14:paraId="0508A80E">
            <w:pPr>
              <w:widowControl/>
              <w:spacing w:line="500" w:lineRule="exact"/>
              <w:jc w:val="left"/>
              <w:textAlignment w:val="center"/>
              <w:rPr>
                <w:rFonts w:ascii="仿宋_GB2312" w:hAnsi="仿宋" w:eastAsia="仿宋_GB2312" w:cs="仿宋"/>
                <w:color w:val="auto"/>
                <w:sz w:val="28"/>
                <w:szCs w:val="28"/>
                <w:highlight w:val="none"/>
              </w:rPr>
            </w:pPr>
          </w:p>
        </w:tc>
      </w:tr>
      <w:tr w14:paraId="6E592EFB">
        <w:tblPrEx>
          <w:tblCellMar>
            <w:top w:w="0" w:type="dxa"/>
            <w:left w:w="108" w:type="dxa"/>
            <w:bottom w:w="0" w:type="dxa"/>
            <w:right w:w="108" w:type="dxa"/>
          </w:tblCellMar>
        </w:tblPrEx>
        <w:trPr>
          <w:trHeight w:val="300" w:hRule="atLeast"/>
          <w:jc w:val="center"/>
        </w:trPr>
        <w:tc>
          <w:tcPr>
            <w:tcW w:w="2243" w:type="dxa"/>
            <w:tcBorders>
              <w:top w:val="nil"/>
              <w:left w:val="single" w:color="auto" w:sz="4" w:space="0"/>
              <w:bottom w:val="single" w:color="auto" w:sz="4" w:space="0"/>
              <w:right w:val="single" w:color="auto" w:sz="4" w:space="0"/>
            </w:tcBorders>
            <w:noWrap/>
            <w:vAlign w:val="center"/>
          </w:tcPr>
          <w:p w14:paraId="37118CA2">
            <w:pPr>
              <w:widowControl/>
              <w:spacing w:line="500" w:lineRule="exact"/>
              <w:jc w:val="left"/>
              <w:textAlignment w:val="center"/>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银行账号</w:t>
            </w:r>
          </w:p>
        </w:tc>
        <w:tc>
          <w:tcPr>
            <w:tcW w:w="5736" w:type="dxa"/>
            <w:tcBorders>
              <w:top w:val="nil"/>
              <w:left w:val="nil"/>
              <w:bottom w:val="single" w:color="auto" w:sz="4" w:space="0"/>
              <w:right w:val="single" w:color="auto" w:sz="4" w:space="0"/>
            </w:tcBorders>
            <w:noWrap/>
            <w:vAlign w:val="center"/>
          </w:tcPr>
          <w:p w14:paraId="35405E99">
            <w:pPr>
              <w:widowControl/>
              <w:spacing w:line="500" w:lineRule="exact"/>
              <w:jc w:val="left"/>
              <w:textAlignment w:val="center"/>
              <w:rPr>
                <w:rFonts w:ascii="仿宋_GB2312" w:hAnsi="仿宋" w:eastAsia="仿宋_GB2312" w:cs="仿宋"/>
                <w:color w:val="auto"/>
                <w:sz w:val="28"/>
                <w:szCs w:val="28"/>
                <w:highlight w:val="none"/>
              </w:rPr>
            </w:pPr>
          </w:p>
        </w:tc>
      </w:tr>
    </w:tbl>
    <w:p w14:paraId="3AA683C8">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第六条履约保函</w:t>
      </w:r>
    </w:p>
    <w:p w14:paraId="7D3338F2">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1.本合同签订之日起30日内，乙方向甲方交纳合同总价款（含税）金额的</w:t>
      </w:r>
      <w:r>
        <w:rPr>
          <w:rFonts w:ascii="仿宋_GB2312" w:hAnsi="仿宋" w:eastAsia="仿宋_GB2312" w:cs="仿宋"/>
          <w:color w:val="auto"/>
          <w:sz w:val="28"/>
          <w:szCs w:val="28"/>
          <w:highlight w:val="none"/>
          <w:u w:val="single"/>
        </w:rPr>
        <w:t>3%</w:t>
      </w:r>
      <w:r>
        <w:rPr>
          <w:rFonts w:ascii="仿宋_GB2312" w:hAnsi="仿宋" w:eastAsia="仿宋_GB2312" w:cs="仿宋"/>
          <w:color w:val="auto"/>
          <w:sz w:val="28"/>
          <w:szCs w:val="28"/>
          <w:highlight w:val="none"/>
        </w:rPr>
        <w:t>作为履约保证金，即人民币元（大写：元整），以金融机构、担保机构出具的保函形式提交，甲方可接收保函的账户信息如下：</w:t>
      </w:r>
    </w:p>
    <w:p w14:paraId="72344044">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账户名称：生态环境部固体废物与化学品管理技术中心</w:t>
      </w:r>
    </w:p>
    <w:p w14:paraId="73519C6E">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开户行：中国农业银行北京惠新里支行</w:t>
      </w:r>
    </w:p>
    <w:p w14:paraId="2E01635F">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银行账号:11191101040011632</w:t>
      </w:r>
    </w:p>
    <w:p w14:paraId="50867F66">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2.乙方保函的期限应从本合同签订之日起至乙方完成本合同约定的全部工作，经甲方最终验收合格后，且运维期满，未出现任何问题后，保函自动失效。</w:t>
      </w:r>
    </w:p>
    <w:p w14:paraId="15571EED">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3.乙方保函应由国家级别的正规金融机构、担保机构出具，为无条件的、不可撤销的、见索即付的独立保函。承保范围为乙方履行本合同所对应的全部义务、责任、风险和损失等。</w:t>
      </w:r>
    </w:p>
    <w:p w14:paraId="3406B787">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乙方所提交的保函内容应事先经过甲方的书面认可，如乙方未提交，或者未按约定提交，或保函内容不满足甲方要求，或出具保函的机构因经济风险而影响承保或理赔，甲方有权单方面无责解除本合同，或者要求乙方立即重新提交保函，或者直接要求乙方提供等额的保证金，或者从乙方应收取的合同价款中直接扣除，乙方对此不持任何异议。</w:t>
      </w:r>
    </w:p>
    <w:p w14:paraId="5B3053F6">
      <w:pPr>
        <w:spacing w:line="500" w:lineRule="exact"/>
        <w:ind w:firstLine="560" w:firstLineChars="200"/>
        <w:jc w:val="lef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如乙方发生违约或侵害甲方合法权益之行为，甲方有权直接行使保函权利，要求出具保函的机构支付相应的违约金、损失金额及其他费用，用于补偿甲方因此遭受的经济损失。如有不足，乙方仍应继续承担赔偿责任。同时，乙方应自收到甲方扣除通知之日起3个工作日内补足保函保证金差额。否则，甲方有权按照上述第4项约定处理。</w:t>
      </w:r>
    </w:p>
    <w:p w14:paraId="7427BD49">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第七条合同价款支付方式</w:t>
      </w:r>
    </w:p>
    <w:p w14:paraId="01C3B73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1.本合同签订后20个工作日内，甲方向乙方支付合同总价款的30%，即人民币元（大写：元整）。</w:t>
      </w:r>
    </w:p>
    <w:p w14:paraId="0D70F24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2.乙方完成全部系统开发、部署上线，经甲方组织初步验收合格后20个工作日内，甲方向乙方支付合同总价款的50%，即人民币元（大写：元整）。</w:t>
      </w:r>
    </w:p>
    <w:p w14:paraId="210157C6">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3.项目通过甲方最终验收合格</w:t>
      </w:r>
      <w:r>
        <w:rPr>
          <w:rFonts w:ascii="仿宋_GB2312" w:hAnsi="方正仿宋_GBK" w:eastAsia="仿宋_GB2312" w:cs="方正仿宋_GBK"/>
          <w:color w:val="auto"/>
          <w:sz w:val="28"/>
          <w:szCs w:val="28"/>
          <w:highlight w:val="none"/>
        </w:rPr>
        <w:t>并办理完毕所有移交手续，经甲方确认无误</w:t>
      </w:r>
      <w:r>
        <w:rPr>
          <w:rFonts w:ascii="仿宋_GB2312" w:hAnsi="仿宋" w:eastAsia="仿宋_GB2312" w:cs="仿宋"/>
          <w:color w:val="auto"/>
          <w:sz w:val="28"/>
          <w:szCs w:val="28"/>
          <w:highlight w:val="none"/>
        </w:rPr>
        <w:t>后20个工作日内，甲方向乙方支付合同总价款的20%，即人民币元（大写：元整）。</w:t>
      </w:r>
    </w:p>
    <w:p w14:paraId="72FBC57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4.双方确认，甲方付款前，乙方必须向甲方开具正式、合规、等额的增值税发票，否则甲方有权拒绝付款，且不承担任何违约、补偿或赔偿责任。</w:t>
      </w:r>
    </w:p>
    <w:p w14:paraId="5FEC0A62">
      <w:pPr>
        <w:spacing w:line="500" w:lineRule="exact"/>
        <w:ind w:firstLine="560" w:firstLineChars="200"/>
        <w:rPr>
          <w:rFonts w:ascii="仿宋_GB2312" w:eastAsia="仿宋_GB2312"/>
          <w:color w:val="auto"/>
          <w:highlight w:val="none"/>
        </w:rPr>
      </w:pPr>
      <w:r>
        <w:rPr>
          <w:rFonts w:ascii="仿宋_GB2312" w:hAnsi="仿宋" w:eastAsia="仿宋_GB2312" w:cs="仿宋"/>
          <w:color w:val="auto"/>
          <w:sz w:val="28"/>
          <w:szCs w:val="28"/>
          <w:highlight w:val="none"/>
        </w:rPr>
        <w:t>5.乙方充分理解本项目的性质以及合同价款的专项资金来源，甲方支付时间不包含上级单位、政府或财政部门的审批时间和财政资金到位时间，乙方已清楚明白本合同价款的拨付程序，并理解因上级单位、政府或财政部门审核请款手续和资金拨付等对时间等方面的影响与甲方无关，故非甲方原因造成的本合同价款支付拖延，不得向甲方要求支付拖延本合同价款期间的利息、违约金及因此导致的其他损失，且乙方不可因此问题擅自停止服务。</w:t>
      </w:r>
    </w:p>
    <w:p w14:paraId="22352FED">
      <w:pPr>
        <w:spacing w:line="500" w:lineRule="exact"/>
        <w:ind w:firstLine="562" w:firstLineChars="200"/>
        <w:jc w:val="left"/>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第八条项目质量标准</w:t>
      </w:r>
    </w:p>
    <w:p w14:paraId="1DB74EE8">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1.项目质量严格遵循国家相关政策法规、国家、地方和行业相关标准，符合本合同约定及甲方要求，并结合相关行业建设要求和实际建设需求。</w:t>
      </w:r>
    </w:p>
    <w:p w14:paraId="2DB21BD7">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2.满足经使用方确认，并通过建设方组织的专家论证评审后的技术方案（包括但不限于深化设计方案、需求规格书、详细设计方案、设计图纸等）要求。</w:t>
      </w:r>
    </w:p>
    <w:p w14:paraId="08538E07">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如本条第1项约定的各标准不一致的，按照最高标准执行；若甲乙双方无约定的，按照国家标准、地方、行业标准中标准较高者执行，并满足甲方要求；若甲乙双方无约定，亦无国家标准、行业标准的，由双方协商解决，协商不成的，按照最有利于项目需求的标准执行，且满足甲方要求。</w:t>
      </w:r>
    </w:p>
    <w:p w14:paraId="2F050780">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第九条项目验收</w:t>
      </w:r>
    </w:p>
    <w:p w14:paraId="3D7B1281">
      <w:pPr>
        <w:spacing w:line="500" w:lineRule="exact"/>
        <w:ind w:firstLine="560" w:firstLineChars="200"/>
        <w:rPr>
          <w:rFonts w:ascii="仿宋_GB2312" w:eastAsia="仿宋_GB2312"/>
          <w:color w:val="auto"/>
          <w:highlight w:val="none"/>
        </w:rPr>
      </w:pPr>
      <w:r>
        <w:rPr>
          <w:rFonts w:ascii="仿宋_GB2312" w:hAnsi="仿宋" w:eastAsia="仿宋_GB2312" w:cs="仿宋"/>
          <w:color w:val="auto"/>
          <w:sz w:val="28"/>
          <w:szCs w:val="28"/>
          <w:highlight w:val="none"/>
        </w:rPr>
        <w:t>1.项目初验：项目建设完成后，乙方应向甲方提交《项目初验申请报告》，甲方收到《项目初验申请报告》后10个工作日内组织并完成项目初验。初步验收通过评审后15个工作日内，评审专家组签发正式的初验评审意见；初步验收未通过评审的，乙方应立即整改，双方按照上述约定重新启动项目初验，因整改产生和发生的所有费用（包括评审专家费用）由乙方自行承担，且合同期限不予顺延。</w:t>
      </w:r>
    </w:p>
    <w:p w14:paraId="4E53E671">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项目试运行：从通过初验评审意见签署后的第二日起，甲方组织对系统进行试运行，并同步开展稳定性与安全性专项监测，试运行期限为30天。在试运行期间出现的任何故障或性能问题，乙方须在24小时内完成调整、修复，确保系统运行正常、安全、稳定、高效运行，符合本合同约定及甲方要求。如试运行期间系统出现多次或长期无法正常、安全、稳定、高效运行的，或运行标准不符合本合同约定及甲方要求，甲方有权视为项目未通过试运行，并有权单方面无责解除本合同，或者要求乙方立即整改并重新申请初验，整改产生的所有和发生的所有费用（包括评审专家费用）由乙方自行承担，且合同期限不予顺延。</w:t>
      </w:r>
    </w:p>
    <w:p w14:paraId="7A4275D0">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项目终验：试运行期满且无任何问题后，乙方向甲方提交《项目终验申请报告》及项目终验材料，甲方收到《项目终验申请报告》后10个工作日内组织并完成本项目整体终验。最终验收通过评审后的15个工作日内，评审专家组签发正式的终验评审意见；最终验收未通过评审的，乙方应立即整改，双方按照上述约定重新启动项目终验，因整改产生和发生的所有费用（包括评审专家费用）由乙方自行承担，且合同期限不予顺延。</w:t>
      </w:r>
    </w:p>
    <w:p w14:paraId="5101A86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乙方应于项目终验通过后15个工作日内无偿向甲方办理项目的移交手续，移交内容包括但不限于：本项目建成的所有平台、系统的所有权、知识产权、与项目相关的所有文档资料（文件、图纸、手册等），以及本项目采购的服务以及甲方要求乙方提供的其他文件或材料。</w:t>
      </w:r>
    </w:p>
    <w:p w14:paraId="76B04C81">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双方确认，本合同约定的初验、试运行以及终验仅为形式验收，不能因此免除乙方应承担责任。乙方供应的技术服务成果在交付使用后出现质量问题的，乙方仍应承担法律责任，不得以初验、试运行、终验合格为由主张免责，拒绝赔偿给甲方造成的损失。</w:t>
      </w:r>
    </w:p>
    <w:p w14:paraId="65A6AC27">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第十条运维期及售后服务</w:t>
      </w:r>
    </w:p>
    <w:p w14:paraId="1609AF5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1.自项目终验合格，乙方向甲方完成全部项目移交手续之日起，乙方提供3年运维期的项目免费维护。</w:t>
      </w:r>
    </w:p>
    <w:p w14:paraId="75932E88">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乙方负责项目系统的日常监控、故障处理、技术支持、功能优化、版本升级及安全补丁更新等所有服务，确保系统正常、安全、稳定、高效运行。运维期内产生的所有费用已包括在本合同价款内，乙方不得另行向甲方收取任何费用。</w:t>
      </w:r>
    </w:p>
    <w:p w14:paraId="70263E43">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3.在运维服务期内，乙方应提供7×24小时实时免费服务。</w:t>
      </w:r>
    </w:p>
    <w:p w14:paraId="62B026A5">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4.在系统故障发生后乙方响应的时间为：工作期间（星期一至星期五8:00-18:00）为4小时，并在接到通知后8小时内完成故障修复工作；非工作期间为8小时内，并在接到通知后24小时之内完成故障修复工作。</w:t>
      </w:r>
    </w:p>
    <w:p w14:paraId="3F7F2C5A">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如遇紧急情况，乙方应立即响应，并按照甲方要求的时间执行。乙方运维服务的联系人：，联系电话：。乙方应保证上述联系人员电话24小时畅通，如更换联系人或联系电话，乙方必须事先书面通知甲方并经甲方确认。</w:t>
      </w:r>
    </w:p>
    <w:p w14:paraId="07D88CF0">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6.在运维保障期内，乙方须免费向甲方提供所有软件系统升级的服务。在升级时，必须派专业技术人员到场指导。</w:t>
      </w:r>
    </w:p>
    <w:p w14:paraId="0F5CEA4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7.运维期满后，乙方承诺继续负责系统的运维工作。如需维修、更换、更新或升级软件系统，乙方保证按成本价提供，不收取额外费用。</w:t>
      </w:r>
    </w:p>
    <w:p w14:paraId="06ECB3C0">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第十一条甲乙双方的权利与义务</w:t>
      </w:r>
    </w:p>
    <w:p w14:paraId="6928D58F">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1.甲方的权利与义务</w:t>
      </w:r>
    </w:p>
    <w:p w14:paraId="21690E4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（1）负责合同签订后项目的配合、协调工作。</w:t>
      </w:r>
    </w:p>
    <w:p w14:paraId="131E300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（2）负责提供项目建设所必须的场地和环境。</w:t>
      </w:r>
    </w:p>
    <w:p w14:paraId="5DBC8C65">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（3）负责组织成立验收小组按照合同约定时间对项目进行验收并签署验收报告。</w:t>
      </w:r>
    </w:p>
    <w:p w14:paraId="2D615AE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（4）按合同规定享有乙方提供的软件系统或项目服务，为乙方履行项目实施提供一切必要的外部协调、支持。</w:t>
      </w:r>
    </w:p>
    <w:p w14:paraId="4289E8A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成立项目小组，指定专人负责与本项目建设相关部门和其他单位的沟通协调工作，同时根据项目建设目标、建设内容和使用需求，提出相关建设需求，并组织相关部门或人员对建设需求进行确认，为乙方的项目实施工作提供必要的行政支持和保障。</w:t>
      </w:r>
    </w:p>
    <w:p w14:paraId="74E5AFC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（6）甲方确认其依法完全享有本项目建设管理等权利，甲方在本合同项下的其他义务以及依据国家法律法规应当履行的义务。</w:t>
      </w:r>
    </w:p>
    <w:p w14:paraId="3F03D1AC">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（7）甲方有权对合同执行和项目质量等事项进行监督检查，按照相关规定对乙方的履约行为进行监督和检查，情节严重酌情进行违约处罚。</w:t>
      </w:r>
    </w:p>
    <w:p w14:paraId="0DC3CB4F">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8）如果在项目实施过程中出现因乙方项目团队成员的工作能力或态度导致的项目进度、质量或协调不力等重大问题，甲方有权要求更换项目成员，乙方必须在2日内完成成员更换，确保更换后成员符合项目需求和甲方要求，并保证项目负责人的更换不影响项目建设的进度和质量。</w:t>
      </w:r>
    </w:p>
    <w:p w14:paraId="48A623D1">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（9）甲方有权要求乙方按照合同约定履行其项目实施、交付等合同义务，对本项目进行监管，对违约行为提出纠正意见，要求乙方提供工作计划和进展报告。</w:t>
      </w:r>
    </w:p>
    <w:p w14:paraId="5D96B25B">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（10）甲方应积极配合乙方开展项目的现场勘察或需求调研，并指定专人配合乙方开展现场勘察、需求调研、系统部署、系统培训、系统运维等工作。</w:t>
      </w:r>
    </w:p>
    <w:p w14:paraId="3CCB0F43">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（11）按政府招标规定落实招标资金并办理招标资金划拨手续，并按本合同约定，按期向乙方支付合同款、组织项目验收。</w:t>
      </w:r>
    </w:p>
    <w:p w14:paraId="0D2C58BC">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（12）甲方有权委托第三方进行软件测评和安全测评，或就单个子项目委托相关单位组织功能性测试和确认。</w:t>
      </w:r>
    </w:p>
    <w:p w14:paraId="3BF1D47C">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2.乙方的权利和义务</w:t>
      </w:r>
    </w:p>
    <w:p w14:paraId="598D4536">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（1）在本合同约定的期限内，按照国家、地方、行业标准，依据本合同约定及甲方要求完成全部系统开发、部署、调试、测试、上线运行及运维等全部工作。</w:t>
      </w:r>
    </w:p>
    <w:p w14:paraId="4448D51B">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乙方应根据甲方的使用需求、建设需求和信息安全整改要求，配合甲方完成相关软件系统的部署并满足使用需求，该内容视为合同范围内容不属于软件系统功能需求增量或者变更设计部分，项目费用仍按原合同价款进行结算。</w:t>
      </w:r>
    </w:p>
    <w:p w14:paraId="6BD928D4">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在免费运维期间，因政策原因、使用需求变化导致的软件功能需求调整或者重复开发设计升级迭代，乙方应在政策要求时限前或甲方要求时限前，免费配合甲方完成相关软件系统的开发部署并满足使用需求。</w:t>
      </w:r>
    </w:p>
    <w:p w14:paraId="4ADBB683">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（4）在免费运维期间，若本项目招标服务范围内的服务内容已经无法满足业主方需求，甲方有权要求乙方进行免费升级，乙方应无条件响应。</w:t>
      </w:r>
    </w:p>
    <w:p w14:paraId="51068400">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（5）自合同签订之日起至运维服务期结束期间，若乙方提供的软件系统有版本升级，应告知甲方并进行软件系统免费升级。</w:t>
      </w:r>
    </w:p>
    <w:p w14:paraId="33E5B9A1">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（6）因乙方提供软件系统或产品软件、硬件设备导致本项目无法顺利通过项目验收，造成工期延期、变更和产生的整改费用，由乙方承担。</w:t>
      </w:r>
    </w:p>
    <w:p w14:paraId="692CF6EC">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（7）因甲方对项目实施、业务需求做出变更且可能影响工期的，乙方可提请对项目进行合理延期。</w:t>
      </w:r>
    </w:p>
    <w:p w14:paraId="25A335E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（8）乙方在本合同项下，对项目的方案和计划可行性负责。</w:t>
      </w:r>
    </w:p>
    <w:p w14:paraId="526D512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（9）乙方保证所提供产品具有合法的版权或使用权。</w:t>
      </w:r>
    </w:p>
    <w:p w14:paraId="161AADA0">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（10）乙方提供的产品或服务，应保证甲方在合同设备、系统使用期间不受第三方提出侵犯其专利权、商标权和工业设计权等的起诉。</w:t>
      </w:r>
    </w:p>
    <w:p w14:paraId="5D6FAE97">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（11）乙方提供的产品质量、数量、功能等不能满足约定的功能要求、技术指标和项目需求，经甲方催告后，乙方在双方协商期限内未按要求整改的，甲方有权解除合同，乙方应赔偿甲方由此遭受的损失。</w:t>
      </w:r>
    </w:p>
    <w:p w14:paraId="1B129E4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12）乙方保证向甲方提供的应用系统、硬件设备、软件、服务等不侵犯第三方知识产权，由此发生或引起的任何索赔或纠纷，由乙方承担一切责任。除赔偿损失之外，甲方有权要求乙方在30日内更换无权利瑕疵的产品，若乙方无法在约定时间内更换，甲方可自行联系第三方进行购买，所产生的一切费用均由乙方承担。</w:t>
      </w:r>
    </w:p>
    <w:p w14:paraId="2725DC84">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13）乙方应负责并完成对甲方操作人员进行现场讲解培训，甲方学习人员人数和乙方现场讲解培训次数不限，直至甲方人员能够熟练操作为止。对于软件系统更换、更新及升级的，乙方应继续按照上述约定的标准提供免费培训直至甲方人员完全掌握新功能。</w:t>
      </w:r>
    </w:p>
    <w:p w14:paraId="0BEA7EE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（14）严格遵守谈判、技术澄清、商务谈判、成交所承诺的一切规定和条款，乙方有权拒绝合同整体范围以外的条件。</w:t>
      </w:r>
    </w:p>
    <w:p w14:paraId="2C5195C7">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第十二条所有权、使用权与知识产权</w:t>
      </w:r>
    </w:p>
    <w:p w14:paraId="08E9D57B">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次建设项目中建成的所有平台、系统的使用权均保证甲方在项目（有配套软件的还包括软件产品）使用期间不受第三方提出侵犯其专利权、商标权和工业设计权等的起诉，乙方应做好数据资源的安全和保密工作。</w:t>
      </w:r>
    </w:p>
    <w:p w14:paraId="07B2DEAC">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甲方享有本次建设项目中建成的所有软件系统的永久使用权，且甲方享有本项目建设期间新增部分软件系统功能的永久使用权。后续如若有延续性研发项目合作，合作产生的相关共同成果的知识产权由双方另行签署相关协议。</w:t>
      </w:r>
    </w:p>
    <w:p w14:paraId="549949C6">
      <w:pPr>
        <w:spacing w:line="500" w:lineRule="exact"/>
        <w:ind w:firstLine="560" w:firstLineChars="200"/>
        <w:rPr>
          <w:color w:val="auto"/>
          <w:highlight w:val="none"/>
        </w:rPr>
      </w:pPr>
      <w:r>
        <w:rPr>
          <w:rFonts w:ascii="仿宋_GB2312" w:hAnsi="仿宋" w:eastAsia="仿宋_GB2312" w:cs="仿宋"/>
          <w:color w:val="auto"/>
          <w:sz w:val="28"/>
          <w:szCs w:val="28"/>
          <w:highlight w:val="none"/>
        </w:rPr>
        <w:t>3.本合同标的范围内的一切实物及非实物（如软件系统等）成果，以及在执行本合同过程中产生的一切知识产权、技术秘密以及商业秘密等等的所有权、使用权、申请权、署名权等一切权利均归甲方所有，均与乙方无关。未经甲方事先书面同意，乙方不得以任何理由或方式申请保护、申请权利、注册、占有、使用、向其他方披露、转让或许可使用等。</w:t>
      </w:r>
    </w:p>
    <w:p w14:paraId="57D49298">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甲方同意遵守乙方的商标使用政策，不对乙方商标擅自更改，不申请注册与乙方商标相同或与乙方商标构成混淆或近似的商标／商号／域名，各方在收到乙方关于乙方商标具有侵权风险的通知时，应立即停止使用相关商标。</w:t>
      </w:r>
    </w:p>
    <w:p w14:paraId="1FFA77D5">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乙方应当保证，其依据本合同为甲方提供的技术开发服务过程或其为甲方提供的技术开发成果不侵犯任何第三人的合法权益。如果有人提出法律诉讼或行政程序（合称“侵权指控”），声称甲方使用的技术开发成果侵犯了其知识产权等合法权益，乙方同意赔偿甲方就此所承担的所有费用，包括但不限于上述侵权指控中所产生的一切诉讼费用、合理的律师费用、和解金额或终审判决中规定的赔偿金额。</w:t>
      </w:r>
    </w:p>
    <w:p w14:paraId="7ED78C32">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第十三条信息安全保密</w:t>
      </w:r>
    </w:p>
    <w:p w14:paraId="1181A7A3">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1.甲乙双方应当遵守国家有关保密法规。</w:t>
      </w:r>
    </w:p>
    <w:p w14:paraId="5DB4E3CB">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对于合同一方向另一方提供的业务数据等文件资料，接受方有保密的义务。未经提供方书面同意，不得向社会公众或第三方通过任何途径出示、泄露，不得许可使用，不得传播、销售。本保密条款不因本合同的无效、终止、解除、撤销而失去效力。上述保密义务不适用于下述任何资料或数据：在未违反本条的情况下属于或成为公共资料的资料或数据；一方合法地从第三方获得的资料或数据；根据相关法律的规定、法院、仲裁机构的裁决或有权行政部门的要求而必须披露的资料。</w:t>
      </w:r>
    </w:p>
    <w:p w14:paraId="521F007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3.乙方在验收合格后应将项目资料全部移交给甲方。乙方保存的专属于甲方所有的项目资料的备份仅限用于本项目的运行维护服务。</w:t>
      </w:r>
    </w:p>
    <w:p w14:paraId="1F708164">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4.乙方若违反上述任何一个条款的约定，甲方有权解除合同，并由乙方向甲方支付本合同项下价款总额的30%作为赔偿，若前述赔偿金额不足以弥补甲方实际损失的，乙方还应全额赔偿甲方所遭受的实际损失。</w:t>
      </w:r>
    </w:p>
    <w:p w14:paraId="033F4EF6">
      <w:pPr>
        <w:adjustRightInd w:val="0"/>
        <w:snapToGrid w:val="0"/>
        <w:spacing w:line="500" w:lineRule="exact"/>
        <w:ind w:firstLine="562" w:firstLineChars="200"/>
        <w:rPr>
          <w:rFonts w:ascii="仿宋_GB2312" w:hAnsi="仿宋" w:eastAsia="仿宋_GB2312" w:cs="仿宋"/>
          <w:b/>
          <w:color w:val="auto"/>
          <w:sz w:val="28"/>
          <w:szCs w:val="28"/>
          <w:highlight w:val="none"/>
        </w:rPr>
      </w:pPr>
      <w:r>
        <w:rPr>
          <w:rFonts w:ascii="仿宋_GB2312" w:hAnsi="仿宋" w:eastAsia="仿宋_GB2312" w:cs="仿宋"/>
          <w:b/>
          <w:bCs/>
          <w:color w:val="auto"/>
          <w:sz w:val="28"/>
          <w:szCs w:val="28"/>
          <w:highlight w:val="none"/>
        </w:rPr>
        <w:t>第十四条</w:t>
      </w:r>
      <w:r>
        <w:rPr>
          <w:rFonts w:ascii="仿宋_GB2312" w:hAnsi="仿宋" w:eastAsia="仿宋_GB2312" w:cs="仿宋"/>
          <w:b/>
          <w:color w:val="auto"/>
          <w:sz w:val="28"/>
          <w:szCs w:val="28"/>
          <w:highlight w:val="none"/>
        </w:rPr>
        <w:t>合同解除</w:t>
      </w:r>
    </w:p>
    <w:p w14:paraId="7E645819">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1.出现下列情况，甲方有权单方解除合同，并要求乙方返还货款，并承担违约、赔偿责任：</w:t>
      </w:r>
    </w:p>
    <w:p w14:paraId="43AAB41E">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（1）乙方未能按照约定或甲方要求履行系统开发、部署、调试、测试、上线运行及运维等义务和职责的，在甲方宽限期届满后，乙方仍未履行上述义务的。</w:t>
      </w:r>
    </w:p>
    <w:p w14:paraId="47064493">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（2）乙方使用假冒伪劣产品、翻新产品。</w:t>
      </w:r>
    </w:p>
    <w:p w14:paraId="6EA09B28">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（3）乙方提供的软件系统或项目服务达不到国家、地方及行业规定，本合同约定以及甲方要求的质量标准、性能，造成甲方严重损失或经乙方调换后仍不符合要求的。</w:t>
      </w:r>
    </w:p>
    <w:p w14:paraId="3A824F75">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（4）乙方违反本合同第十二条及第十三条约定的。</w:t>
      </w:r>
    </w:p>
    <w:p w14:paraId="67453C77">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（5）乙方未按约定或甲方要求提交、补足履约保函或保证金。</w:t>
      </w:r>
    </w:p>
    <w:p w14:paraId="1491F9D9">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（6）乙方出现经营困难或破产等情形，无法履行合同的。</w:t>
      </w:r>
    </w:p>
    <w:p w14:paraId="6B82AEF9">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（7）乙方其他违反本合同约定的行为，给甲方造成严重损失的。</w:t>
      </w:r>
    </w:p>
    <w:p w14:paraId="0B5C749F">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合同解除并不影响甲方按合同约定要求乙方承担赔偿责任的权利。</w:t>
      </w:r>
    </w:p>
    <w:p w14:paraId="09581A50">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2.出现下列情况，甲方终止合同的，不视为甲方违约，甲方无需向乙方承担任何违约责任，或支付任何补偿或赔偿：</w:t>
      </w:r>
    </w:p>
    <w:p w14:paraId="0E62492B">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（1）因不可抗力、政策变更或市场环境重大变化，导致合同目的无法实现，甲方有权终止本合同。</w:t>
      </w:r>
    </w:p>
    <w:p w14:paraId="1B8DAD72">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（2）甲方单位撤销或合并，或服务地址因政府拆迁、规划调整，或甲方经营计划、主营业务调整等原因，不再需要乙方提供产品的，甲方有权要求终止本合同。</w:t>
      </w:r>
    </w:p>
    <w:p w14:paraId="71175791">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（3）因国家、政府部门或主管部门政策变化，或者甲方、甲方上级单位经营方案调整、资产划转、战略转型等原因，导致甲方无法继续履行本合同的，甲方有权要求终止本合同。</w:t>
      </w:r>
    </w:p>
    <w:p w14:paraId="030788E3">
      <w:pPr>
        <w:adjustRightInd w:val="0"/>
        <w:snapToGrid w:val="0"/>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（4）双方订立合同所依据的国家计划或甲方相关财政拨款预算进行调整，导致合同不能履行的。</w:t>
      </w:r>
    </w:p>
    <w:p w14:paraId="72E49F86">
      <w:pPr>
        <w:adjustRightInd w:val="0"/>
        <w:snapToGrid w:val="0"/>
        <w:spacing w:line="500" w:lineRule="exact"/>
        <w:ind w:firstLine="560" w:firstLineChars="200"/>
        <w:rPr>
          <w:rFonts w:ascii="仿宋_GB2312" w:eastAsia="仿宋_GB2312"/>
          <w:color w:val="auto"/>
          <w:highlight w:val="none"/>
        </w:rPr>
      </w:pPr>
      <w:r>
        <w:rPr>
          <w:rFonts w:ascii="仿宋_GB2312" w:hAnsi="仿宋" w:eastAsia="仿宋_GB2312" w:cs="仿宋"/>
          <w:color w:val="auto"/>
          <w:sz w:val="28"/>
          <w:szCs w:val="28"/>
          <w:highlight w:val="none"/>
        </w:rPr>
        <w:t>（5）因项目自身原因，或甲方上级单位原因，或其他第三方原因导致项目停止或终止的。</w:t>
      </w:r>
    </w:p>
    <w:p w14:paraId="110F79B4">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第十五条违约责任</w:t>
      </w:r>
    </w:p>
    <w:p w14:paraId="46A227D1">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乙方未按照本合同约定及甲方要求的期限、地点和方式履行本合同义务，每逾期一日，乙方应按照本合同约定总价款的日千分之三的标准向甲方支付违约金；超过十日仍不能履约的，乙方应按照本合同约定总价款的10%向甲方支付违约金；逾期超过二十日的，甲方有权单方解除本合同，乙方应按照本合同约定总价款的20%向甲方支付违约金。如乙方违约金不足以弥补甲方损失的，乙方还应当承担赔偿责任。</w:t>
      </w:r>
    </w:p>
    <w:p w14:paraId="72F7E43A">
      <w:pPr>
        <w:numPr>
          <w:ilvl w:val="0"/>
          <w:numId w:val="13"/>
        </w:num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若乙方所供软件系统或项目服务经查实为假冒伪劣、以次充好、擅自更换产品的，甲方有权解除合同，乙方应按照本合同约定总价款的20%向甲方支付违约金，违约金不足以补偿甲方损失的，乙方补足甲方损失。</w:t>
      </w:r>
    </w:p>
    <w:p w14:paraId="2D84B39D">
      <w:pPr>
        <w:numPr>
          <w:ilvl w:val="0"/>
          <w:numId w:val="13"/>
        </w:num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乙方违反合同约定，擅自变更、解除或终止合同，应当向甲方支付相当于合同总价款20%的违约金，并赔偿因违约行为给甲方造成的各项损失。</w:t>
      </w:r>
    </w:p>
    <w:p w14:paraId="2FA0A9C4">
      <w:pPr>
        <w:numPr>
          <w:ilvl w:val="0"/>
          <w:numId w:val="13"/>
        </w:num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乙方违反本合同技术及保密要求条款的，应当向甲方支付相当于合同总价款20%的违约金，并赔偿因违约行为给甲方造成的损失。</w:t>
      </w:r>
    </w:p>
    <w:p w14:paraId="2158CC9D">
      <w:pPr>
        <w:numPr>
          <w:ilvl w:val="0"/>
          <w:numId w:val="13"/>
        </w:num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如乙方违反本合同第十四条第（一）第3、4、5、6、7项，应按照本合同约定总价款的10%向甲方支付违约金；如甲方单方解除合同的，乙方应按照本合同约定总价款的20%向甲方支付违约金。如乙方违约金不足以弥补甲方损失的，乙方还应当承担赔偿责任。</w:t>
      </w:r>
    </w:p>
    <w:p w14:paraId="2AC550D3">
      <w:pPr>
        <w:numPr>
          <w:ilvl w:val="0"/>
          <w:numId w:val="13"/>
        </w:num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除不可抗力外，乙方未能履行本合同约定的其它义务，经催告后在合理期限内仍未履行的，或者乙方有其它违约行为致使不能实现合同目的的，或者乙方有腐败行为（即：提供或给予或接受或索取任何财物或其他好处，或者采取其他不正当手段影响甲方在合同签订、履行过程中的行为）或者欺诈行为（即：以谎报事实或者隐瞒真相的方法来影响甲方在合同签订、履行过程中的行为）的，甲方有权解除合同，乙方应按照本合同约定总价款的20%向甲方支付违约金，违约金不足以补偿甲方损失的，乙方补足甲方损失。</w:t>
      </w:r>
    </w:p>
    <w:p w14:paraId="0860007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7.甲方按照前述约定要求乙方支付违约金的同时，仍有权要求乙方继续履行合同、采取补救措施，并有权按照甲方实际损失情况要求违约方赔偿损失。甲方按照前述约定要求解除本合同的同时，仍有权要求乙方支付违约金和按照甲方实际损失情况要求乙方赔偿损失。且甲方行使的任何权利救济方式均不视为其放弃了其他法定或者约定的权利救济方式。</w:t>
      </w:r>
    </w:p>
    <w:p w14:paraId="6990C743">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第十六条不可抗力</w:t>
      </w:r>
    </w:p>
    <w:p w14:paraId="1F951DF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由于地震、台风、水灾、火灾、战争、疫情、法律规范政策的颁行、政府及其有关部门的行为以及其他不能预见并对其发生和后果不能预防、不能克服或避免的不可抗力直接影响本合同的履行或者导致双方不能按照约定履行合同的，遇有不可抗力的一方可以免除相关合同责任。</w:t>
      </w:r>
    </w:p>
    <w:p w14:paraId="31515C32">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2.遇有不可抗力的一方应立即书面通知对方，并在15天之内提供上述不可抗力的详细情况及合同不能履行或者部分不能履行或者需要延期履行的理由和有效的证明文件。</w:t>
      </w:r>
    </w:p>
    <w:p w14:paraId="1F09CAC4">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3.按照不可抗力对履行合同影响的程度，由双方协商决定是否解除合同，或者部分免除履行合同的义务，或者延期履行合同。一方迟延履行本合同时发生了不可抗力的，迟延方的合同义务不能免除。</w:t>
      </w:r>
    </w:p>
    <w:p w14:paraId="6F5DBC11">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4.受不可抗力影响的一方，应当尽可能采取合理的行为和适当的措施减轻不可抗力对履行本合同所造成的影响。</w:t>
      </w:r>
    </w:p>
    <w:p w14:paraId="55CF8673">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第十七条争议解决</w:t>
      </w:r>
    </w:p>
    <w:p w14:paraId="05C437F5">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因本合同引起的或与本合同有关的任何争议，由甲、乙双方友好协商解决。协商不成应依法向合同签订地人民法院起诉，本合同签订地为北京市房山区。</w:t>
      </w:r>
    </w:p>
    <w:p w14:paraId="1DC6A065">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第十八条通知与送达</w:t>
      </w:r>
    </w:p>
    <w:p w14:paraId="2269614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1.本合同履行过程中的相关书面文件的送达方式为：甲方将本方的明确要求送达至乙方在本合同中注明的地址，乙方应当在收到之日起3日内予以书面答复，逾期未答复或无人接收、拒收的，视为同意甲方的要求。</w:t>
      </w:r>
    </w:p>
    <w:p w14:paraId="69ACBC00">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2.乙方在本合同中注明的地址为合法有效的法定送达地址。若发生变更时，应当在当日书面告知甲方，逾期告知或不履行告知义务的，视为没有变更，由乙方承担一切责任。</w:t>
      </w:r>
    </w:p>
    <w:p w14:paraId="5DB59FE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3.乙方在本合同中注明的地址同样适用于甲方或司法机关向乙方送达法律文书和文件。</w:t>
      </w:r>
    </w:p>
    <w:p w14:paraId="3FED9934">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4.本合同所列明的地址为本合同履行过程中向对方发出或者提供所有通知、文件、文书等资料的有效送达地址。</w:t>
      </w:r>
    </w:p>
    <w:p w14:paraId="6159707E">
      <w:pPr>
        <w:spacing w:line="500" w:lineRule="exact"/>
        <w:ind w:firstLine="562" w:firstLineChars="200"/>
        <w:rPr>
          <w:rFonts w:ascii="仿宋_GB2312" w:hAnsi="仿宋" w:eastAsia="仿宋_GB2312" w:cs="仿宋"/>
          <w:b/>
          <w:bCs/>
          <w:color w:val="auto"/>
          <w:sz w:val="28"/>
          <w:szCs w:val="28"/>
          <w:highlight w:val="none"/>
        </w:rPr>
      </w:pPr>
      <w:r>
        <w:rPr>
          <w:rFonts w:ascii="仿宋_GB2312" w:hAnsi="仿宋" w:eastAsia="仿宋_GB2312" w:cs="仿宋"/>
          <w:b/>
          <w:bCs/>
          <w:color w:val="auto"/>
          <w:sz w:val="28"/>
          <w:szCs w:val="28"/>
          <w:highlight w:val="none"/>
        </w:rPr>
        <w:t>第十九条其他</w:t>
      </w:r>
    </w:p>
    <w:p w14:paraId="6D8B6B9E">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1.本合同生效后，未经双方同意，任意一方均不得随意、擅自变更本合同及其条款。本项目合同履行过程中的项目实施变更、合同变更等，由双方本着诚实信用、公平公正的原则进行变更，并采用书面形式约定，包括但不限于补充协议、确认函、承诺书、备忘录等任何对甲、乙双方具有合同约束力的形式。</w:t>
      </w:r>
    </w:p>
    <w:p w14:paraId="154925A5">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2.本合同自甲乙双方签字并盖章之日起生效。</w:t>
      </w:r>
    </w:p>
    <w:p w14:paraId="573F1694">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3.本合同一式陆份，甲方执叁份，乙方执叁份，具有同等法律效力。本合同签订后，不得涂改，涂改之处无效。</w:t>
      </w:r>
    </w:p>
    <w:p w14:paraId="0D3A5439">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4.在没有另一方事先书面同意的情况下，任何一方不得将本合同项下的权利、义务部分或全部转让给第三方。</w:t>
      </w:r>
    </w:p>
    <w:p w14:paraId="3C4B52AD">
      <w:pPr>
        <w:spacing w:line="500" w:lineRule="exact"/>
        <w:ind w:firstLine="560" w:firstLineChars="200"/>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5.本合同未尽事宜，双方另行协商处理。</w:t>
      </w:r>
    </w:p>
    <w:p w14:paraId="20C3E5C7">
      <w:pPr>
        <w:rPr>
          <w:rFonts w:ascii="仿宋_GB2312" w:hAnsi="仿宋" w:eastAsia="仿宋_GB2312" w:cs="仿宋"/>
          <w:b/>
          <w:color w:val="auto"/>
          <w:sz w:val="28"/>
          <w:szCs w:val="28"/>
          <w:highlight w:val="none"/>
        </w:rPr>
      </w:pPr>
      <w:r>
        <w:rPr>
          <w:rFonts w:ascii="仿宋_GB2312" w:hAnsi="仿宋" w:eastAsia="仿宋_GB2312" w:cs="仿宋"/>
          <w:b/>
          <w:color w:val="auto"/>
          <w:sz w:val="28"/>
          <w:szCs w:val="28"/>
          <w:highlight w:val="none"/>
        </w:rPr>
        <w:t>（以下无正文）</w:t>
      </w:r>
    </w:p>
    <w:p w14:paraId="50C92027">
      <w:pPr>
        <w:rPr>
          <w:rFonts w:ascii="仿宋_GB2312" w:hAnsi="仿宋" w:eastAsia="仿宋_GB2312" w:cs="仿宋"/>
          <w:b/>
          <w:color w:val="auto"/>
          <w:sz w:val="28"/>
          <w:szCs w:val="28"/>
          <w:highlight w:val="none"/>
        </w:rPr>
      </w:pPr>
    </w:p>
    <w:p w14:paraId="38B98123">
      <w:pPr>
        <w:rPr>
          <w:rFonts w:ascii="仿宋_GB2312" w:hAnsi="仿宋" w:eastAsia="仿宋_GB2312" w:cs="仿宋"/>
          <w:b/>
          <w:color w:val="auto"/>
          <w:sz w:val="28"/>
          <w:szCs w:val="28"/>
          <w:highlight w:val="none"/>
        </w:rPr>
      </w:pPr>
    </w:p>
    <w:p w14:paraId="7F2F9F7C">
      <w:pPr>
        <w:rPr>
          <w:rFonts w:ascii="仿宋_GB2312" w:hAnsi="仿宋" w:eastAsia="仿宋_GB2312" w:cs="仿宋"/>
          <w:b/>
          <w:color w:val="auto"/>
          <w:sz w:val="28"/>
          <w:szCs w:val="28"/>
          <w:highlight w:val="none"/>
        </w:rPr>
      </w:pPr>
    </w:p>
    <w:p w14:paraId="51F4BAB9">
      <w:pPr>
        <w:rPr>
          <w:rFonts w:ascii="仿宋_GB2312" w:hAnsi="仿宋" w:eastAsia="仿宋_GB2312" w:cs="仿宋"/>
          <w:b/>
          <w:color w:val="auto"/>
          <w:sz w:val="28"/>
          <w:szCs w:val="28"/>
          <w:highlight w:val="none"/>
        </w:rPr>
      </w:pPr>
    </w:p>
    <w:p w14:paraId="4B0A7FA2">
      <w:pPr>
        <w:spacing w:line="500" w:lineRule="exact"/>
        <w:rPr>
          <w:rFonts w:ascii="仿宋_GB2312" w:hAnsi="仿宋" w:eastAsia="仿宋_GB2312" w:cs="仿宋"/>
          <w:b/>
          <w:color w:val="auto"/>
          <w:sz w:val="28"/>
          <w:szCs w:val="28"/>
          <w:highlight w:val="none"/>
        </w:rPr>
      </w:pPr>
    </w:p>
    <w:p w14:paraId="549D2300">
      <w:pPr>
        <w:rPr>
          <w:color w:val="auto"/>
          <w:highlight w:val="none"/>
        </w:rPr>
      </w:pPr>
    </w:p>
    <w:p w14:paraId="0EE592A9">
      <w:pPr>
        <w:spacing w:line="500" w:lineRule="exact"/>
        <w:rPr>
          <w:rFonts w:ascii="仿宋_GB2312" w:hAnsi="仿宋" w:eastAsia="仿宋_GB2312" w:cs="仿宋"/>
          <w:b/>
          <w:color w:val="auto"/>
          <w:sz w:val="28"/>
          <w:szCs w:val="28"/>
          <w:highlight w:val="none"/>
        </w:rPr>
      </w:pPr>
      <w:r>
        <w:rPr>
          <w:rFonts w:ascii="仿宋_GB2312" w:hAnsi="仿宋" w:eastAsia="仿宋_GB2312" w:cs="仿宋"/>
          <w:b/>
          <w:color w:val="auto"/>
          <w:sz w:val="28"/>
          <w:szCs w:val="28"/>
          <w:highlight w:val="none"/>
        </w:rPr>
        <w:t>（本页无正文，为签署页）</w:t>
      </w:r>
    </w:p>
    <w:p w14:paraId="2AA19298">
      <w:pPr>
        <w:spacing w:line="500" w:lineRule="exact"/>
        <w:rPr>
          <w:rFonts w:ascii="仿宋_GB2312" w:hAnsi="仿宋" w:eastAsia="仿宋_GB2312" w:cs="仿宋"/>
          <w:color w:val="auto"/>
          <w:sz w:val="28"/>
          <w:szCs w:val="28"/>
          <w:highlight w:val="none"/>
        </w:rPr>
      </w:pPr>
    </w:p>
    <w:p w14:paraId="0E860BF8">
      <w:pPr>
        <w:spacing w:line="500" w:lineRule="exact"/>
        <w:rPr>
          <w:rFonts w:ascii="仿宋_GB2312" w:hAnsi="仿宋" w:eastAsia="仿宋_GB2312" w:cs="仿宋"/>
          <w:color w:val="auto"/>
          <w:sz w:val="28"/>
          <w:szCs w:val="28"/>
          <w:highlight w:val="none"/>
        </w:rPr>
      </w:pPr>
    </w:p>
    <w:p w14:paraId="4B100C06">
      <w:pPr>
        <w:spacing w:line="600" w:lineRule="exac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甲方名称（盖章）：生态环境部固体废物与化学品管理技术中心</w:t>
      </w:r>
    </w:p>
    <w:p w14:paraId="27EE747C">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法定代表人或委托代理人：</w:t>
      </w:r>
    </w:p>
    <w:p w14:paraId="2B128A1E">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经办人：</w:t>
      </w:r>
    </w:p>
    <w:p w14:paraId="04271F47">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联系电话：</w:t>
      </w:r>
    </w:p>
    <w:p w14:paraId="1B393C98">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签订日期：  年  月  日</w:t>
      </w:r>
    </w:p>
    <w:p w14:paraId="453B2924">
      <w:pPr>
        <w:pStyle w:val="38"/>
        <w:spacing w:line="600" w:lineRule="exact"/>
        <w:rPr>
          <w:rFonts w:ascii="仿宋_GB2312" w:hAnsi="仿宋" w:eastAsia="仿宋_GB2312" w:cs="仿宋"/>
          <w:color w:val="auto"/>
          <w:kern w:val="2"/>
          <w:sz w:val="28"/>
          <w:szCs w:val="28"/>
          <w:highlight w:val="none"/>
        </w:rPr>
      </w:pPr>
    </w:p>
    <w:p w14:paraId="234B14BB">
      <w:pPr>
        <w:pStyle w:val="38"/>
        <w:spacing w:line="600" w:lineRule="exact"/>
        <w:rPr>
          <w:rFonts w:ascii="仿宋_GB2312" w:hAnsi="仿宋" w:eastAsia="仿宋_GB2312" w:cs="仿宋"/>
          <w:color w:val="auto"/>
          <w:kern w:val="2"/>
          <w:sz w:val="28"/>
          <w:szCs w:val="28"/>
          <w:highlight w:val="none"/>
        </w:rPr>
      </w:pPr>
    </w:p>
    <w:p w14:paraId="0283A357">
      <w:pPr>
        <w:pStyle w:val="38"/>
        <w:spacing w:line="600" w:lineRule="exact"/>
        <w:rPr>
          <w:rFonts w:ascii="仿宋_GB2312" w:hAnsi="仿宋" w:eastAsia="仿宋_GB2312" w:cs="仿宋"/>
          <w:color w:val="auto"/>
          <w:kern w:val="2"/>
          <w:sz w:val="28"/>
          <w:szCs w:val="28"/>
          <w:highlight w:val="none"/>
        </w:rPr>
      </w:pPr>
    </w:p>
    <w:p w14:paraId="59F2D6FA">
      <w:pPr>
        <w:spacing w:line="600" w:lineRule="exact"/>
        <w:rPr>
          <w:rFonts w:ascii="仿宋_GB2312" w:hAnsi="仿宋" w:eastAsia="仿宋_GB2312" w:cs="仿宋"/>
          <w:color w:val="auto"/>
          <w:sz w:val="28"/>
          <w:szCs w:val="28"/>
          <w:highlight w:val="none"/>
        </w:rPr>
      </w:pPr>
      <w:r>
        <w:rPr>
          <w:rFonts w:ascii="仿宋_GB2312" w:hAnsi="仿宋" w:eastAsia="仿宋_GB2312" w:cs="仿宋"/>
          <w:color w:val="auto"/>
          <w:sz w:val="28"/>
          <w:szCs w:val="28"/>
          <w:highlight w:val="none"/>
        </w:rPr>
        <w:t>乙方名称（盖章）：</w:t>
      </w:r>
    </w:p>
    <w:p w14:paraId="7BB3147D">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法定代表人或委托代理人：</w:t>
      </w:r>
    </w:p>
    <w:p w14:paraId="5812FE8A">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经办人：</w:t>
      </w:r>
    </w:p>
    <w:p w14:paraId="6B7C98B1">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联系电话：</w:t>
      </w:r>
    </w:p>
    <w:p w14:paraId="7E03B7FD">
      <w:pPr>
        <w:pStyle w:val="38"/>
        <w:spacing w:line="600" w:lineRule="exact"/>
        <w:rPr>
          <w:rFonts w:ascii="仿宋_GB2312" w:hAnsi="仿宋" w:eastAsia="仿宋_GB2312" w:cs="仿宋"/>
          <w:color w:val="auto"/>
          <w:kern w:val="2"/>
          <w:sz w:val="28"/>
          <w:szCs w:val="28"/>
          <w:highlight w:val="none"/>
        </w:rPr>
      </w:pPr>
      <w:r>
        <w:rPr>
          <w:rFonts w:hint="eastAsia" w:ascii="仿宋_GB2312" w:hAnsi="仿宋" w:eastAsia="仿宋_GB2312" w:cs="仿宋"/>
          <w:color w:val="auto"/>
          <w:kern w:val="2"/>
          <w:sz w:val="28"/>
          <w:szCs w:val="28"/>
          <w:highlight w:val="none"/>
        </w:rPr>
        <w:t>签订日期：  年  月  日</w:t>
      </w:r>
    </w:p>
    <w:p w14:paraId="3EA9A035">
      <w:pPr>
        <w:rPr>
          <w:color w:val="auto"/>
          <w:highlight w:val="none"/>
        </w:rPr>
      </w:pPr>
    </w:p>
    <w:p w14:paraId="1400160C">
      <w:pPr>
        <w:spacing w:line="360" w:lineRule="auto"/>
        <w:jc w:val="center"/>
        <w:outlineLvl w:val="0"/>
        <w:rPr>
          <w:b/>
          <w:color w:val="auto"/>
          <w:sz w:val="36"/>
          <w:szCs w:val="36"/>
          <w:highlight w:val="none"/>
        </w:rPr>
      </w:pPr>
      <w:r>
        <w:rPr>
          <w:b/>
          <w:color w:val="auto"/>
          <w:sz w:val="36"/>
          <w:szCs w:val="36"/>
          <w:highlight w:val="none"/>
        </w:rPr>
        <w:br w:type="page"/>
      </w:r>
      <w:bookmarkStart w:id="866" w:name="_Toc99301426"/>
      <w:r>
        <w:rPr>
          <w:b/>
          <w:color w:val="auto"/>
          <w:sz w:val="36"/>
          <w:szCs w:val="36"/>
          <w:highlight w:val="none"/>
        </w:rPr>
        <w:t>第七章   投标文件格式</w:t>
      </w:r>
      <w:bookmarkEnd w:id="866"/>
    </w:p>
    <w:p w14:paraId="44395EC2">
      <w:pPr>
        <w:tabs>
          <w:tab w:val="left" w:pos="900"/>
          <w:tab w:val="left" w:pos="1980"/>
        </w:tabs>
        <w:snapToGrid w:val="0"/>
        <w:spacing w:line="360" w:lineRule="auto"/>
        <w:ind w:left="142"/>
        <w:jc w:val="center"/>
        <w:rPr>
          <w:color w:val="auto"/>
          <w:sz w:val="24"/>
          <w:highlight w:val="none"/>
        </w:rPr>
      </w:pPr>
      <w:r>
        <w:rPr>
          <w:b/>
          <w:color w:val="auto"/>
          <w:sz w:val="24"/>
          <w:highlight w:val="none"/>
        </w:rPr>
        <w:t>投标人编制文件须知</w:t>
      </w:r>
    </w:p>
    <w:p w14:paraId="31B4E6AC">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5C22B84D">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798109E">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2780BDF1">
      <w:pPr>
        <w:widowControl/>
        <w:jc w:val="left"/>
        <w:rPr>
          <w:color w:val="auto"/>
          <w:sz w:val="24"/>
          <w:highlight w:val="none"/>
        </w:rPr>
      </w:pPr>
      <w:r>
        <w:rPr>
          <w:color w:val="auto"/>
          <w:sz w:val="24"/>
          <w:highlight w:val="none"/>
        </w:rPr>
        <w:br w:type="page"/>
      </w:r>
    </w:p>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14:paraId="08DBCA57">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31676E1D">
      <w:pPr>
        <w:rPr>
          <w:b/>
          <w:color w:val="auto"/>
          <w:spacing w:val="20"/>
          <w:szCs w:val="21"/>
          <w:highlight w:val="none"/>
        </w:rPr>
      </w:pPr>
    </w:p>
    <w:p w14:paraId="46920187">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4ECD0BA5">
      <w:pPr>
        <w:jc w:val="center"/>
        <w:rPr>
          <w:color w:val="auto"/>
          <w:szCs w:val="21"/>
          <w:highlight w:val="none"/>
        </w:rPr>
      </w:pPr>
    </w:p>
    <w:p w14:paraId="166CCEC5">
      <w:pPr>
        <w:jc w:val="center"/>
        <w:rPr>
          <w:b/>
          <w:color w:val="auto"/>
          <w:spacing w:val="60"/>
          <w:sz w:val="84"/>
          <w:szCs w:val="84"/>
          <w:highlight w:val="none"/>
        </w:rPr>
      </w:pPr>
      <w:r>
        <w:rPr>
          <w:b/>
          <w:color w:val="auto"/>
          <w:spacing w:val="60"/>
          <w:sz w:val="84"/>
          <w:szCs w:val="84"/>
          <w:highlight w:val="none"/>
        </w:rPr>
        <w:t>投 标 文 件</w:t>
      </w:r>
    </w:p>
    <w:p w14:paraId="0D406A7F">
      <w:pPr>
        <w:jc w:val="center"/>
        <w:rPr>
          <w:b/>
          <w:color w:val="auto"/>
          <w:spacing w:val="60"/>
          <w:sz w:val="52"/>
          <w:szCs w:val="52"/>
          <w:highlight w:val="none"/>
        </w:rPr>
      </w:pPr>
      <w:r>
        <w:rPr>
          <w:b/>
          <w:color w:val="auto"/>
          <w:spacing w:val="60"/>
          <w:sz w:val="52"/>
          <w:szCs w:val="52"/>
          <w:highlight w:val="none"/>
        </w:rPr>
        <w:t>（资格证明文件）</w:t>
      </w:r>
    </w:p>
    <w:p w14:paraId="3B8D0EEC">
      <w:pPr>
        <w:ind w:firstLine="542" w:firstLineChars="150"/>
        <w:rPr>
          <w:b/>
          <w:color w:val="auto"/>
          <w:spacing w:val="20"/>
          <w:sz w:val="32"/>
          <w:szCs w:val="32"/>
          <w:highlight w:val="none"/>
        </w:rPr>
      </w:pPr>
    </w:p>
    <w:p w14:paraId="106CE257">
      <w:pPr>
        <w:ind w:firstLine="542" w:firstLineChars="150"/>
        <w:rPr>
          <w:b/>
          <w:color w:val="auto"/>
          <w:spacing w:val="20"/>
          <w:sz w:val="32"/>
          <w:szCs w:val="32"/>
          <w:highlight w:val="none"/>
        </w:rPr>
      </w:pPr>
    </w:p>
    <w:p w14:paraId="6E7D6761">
      <w:pPr>
        <w:ind w:firstLine="542" w:firstLineChars="150"/>
        <w:rPr>
          <w:b/>
          <w:color w:val="auto"/>
          <w:spacing w:val="20"/>
          <w:sz w:val="32"/>
          <w:szCs w:val="32"/>
          <w:highlight w:val="none"/>
        </w:rPr>
      </w:pPr>
      <w:r>
        <w:rPr>
          <w:b/>
          <w:color w:val="auto"/>
          <w:spacing w:val="20"/>
          <w:sz w:val="32"/>
          <w:szCs w:val="32"/>
          <w:highlight w:val="none"/>
        </w:rPr>
        <w:t>项目名称:</w:t>
      </w:r>
    </w:p>
    <w:p w14:paraId="766446E5">
      <w:pPr>
        <w:ind w:firstLine="542" w:firstLineChars="150"/>
        <w:rPr>
          <w:b/>
          <w:color w:val="auto"/>
          <w:spacing w:val="20"/>
          <w:sz w:val="32"/>
          <w:szCs w:val="32"/>
          <w:highlight w:val="none"/>
        </w:rPr>
      </w:pPr>
      <w:r>
        <w:rPr>
          <w:b/>
          <w:color w:val="auto"/>
          <w:spacing w:val="20"/>
          <w:sz w:val="32"/>
          <w:szCs w:val="32"/>
          <w:highlight w:val="none"/>
        </w:rPr>
        <w:t>项目编号/包号：</w:t>
      </w:r>
    </w:p>
    <w:p w14:paraId="1CB4E029">
      <w:pPr>
        <w:ind w:firstLine="542" w:firstLineChars="150"/>
        <w:rPr>
          <w:b/>
          <w:color w:val="auto"/>
          <w:spacing w:val="20"/>
          <w:sz w:val="32"/>
          <w:szCs w:val="32"/>
          <w:highlight w:val="none"/>
        </w:rPr>
      </w:pPr>
    </w:p>
    <w:p w14:paraId="7A42CF25">
      <w:pPr>
        <w:ind w:firstLine="542" w:firstLineChars="150"/>
        <w:rPr>
          <w:b/>
          <w:color w:val="auto"/>
          <w:spacing w:val="20"/>
          <w:sz w:val="32"/>
          <w:szCs w:val="32"/>
          <w:highlight w:val="none"/>
        </w:rPr>
      </w:pPr>
    </w:p>
    <w:p w14:paraId="528C7685">
      <w:pPr>
        <w:jc w:val="center"/>
        <w:rPr>
          <w:b/>
          <w:color w:val="auto"/>
          <w:sz w:val="32"/>
          <w:szCs w:val="32"/>
          <w:highlight w:val="none"/>
        </w:rPr>
      </w:pPr>
    </w:p>
    <w:p w14:paraId="50AD7A0E">
      <w:pPr>
        <w:jc w:val="center"/>
        <w:rPr>
          <w:b/>
          <w:color w:val="auto"/>
          <w:sz w:val="32"/>
          <w:szCs w:val="32"/>
          <w:highlight w:val="none"/>
        </w:rPr>
      </w:pPr>
    </w:p>
    <w:p w14:paraId="3E522851">
      <w:pPr>
        <w:jc w:val="center"/>
        <w:rPr>
          <w:b/>
          <w:color w:val="auto"/>
          <w:sz w:val="32"/>
          <w:szCs w:val="32"/>
          <w:highlight w:val="none"/>
        </w:rPr>
      </w:pPr>
    </w:p>
    <w:p w14:paraId="53068FF8">
      <w:pPr>
        <w:jc w:val="center"/>
        <w:rPr>
          <w:b/>
          <w:color w:val="auto"/>
          <w:spacing w:val="20"/>
          <w:sz w:val="32"/>
          <w:szCs w:val="32"/>
          <w:highlight w:val="none"/>
        </w:rPr>
      </w:pPr>
    </w:p>
    <w:p w14:paraId="1441F3E3">
      <w:pPr>
        <w:jc w:val="center"/>
        <w:rPr>
          <w:b/>
          <w:color w:val="auto"/>
          <w:spacing w:val="20"/>
          <w:sz w:val="32"/>
          <w:szCs w:val="32"/>
          <w:highlight w:val="none"/>
        </w:rPr>
      </w:pPr>
    </w:p>
    <w:p w14:paraId="3FB96322">
      <w:pPr>
        <w:jc w:val="center"/>
        <w:rPr>
          <w:b/>
          <w:color w:val="auto"/>
          <w:spacing w:val="20"/>
          <w:sz w:val="32"/>
          <w:szCs w:val="32"/>
          <w:highlight w:val="none"/>
        </w:rPr>
      </w:pPr>
    </w:p>
    <w:p w14:paraId="06F45CCF">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668A9B7A">
      <w:pPr>
        <w:jc w:val="center"/>
        <w:rPr>
          <w:b/>
          <w:color w:val="auto"/>
          <w:sz w:val="32"/>
          <w:szCs w:val="32"/>
          <w:highlight w:val="none"/>
        </w:rPr>
      </w:pPr>
    </w:p>
    <w:p w14:paraId="241E2D0C">
      <w:pPr>
        <w:rPr>
          <w:b/>
          <w:color w:val="auto"/>
          <w:highlight w:val="none"/>
        </w:rPr>
      </w:pPr>
      <w:r>
        <w:rPr>
          <w:b/>
          <w:color w:val="auto"/>
          <w:spacing w:val="20"/>
          <w:sz w:val="32"/>
          <w:szCs w:val="32"/>
          <w:highlight w:val="none"/>
        </w:rPr>
        <w:br w:type="page"/>
      </w:r>
    </w:p>
    <w:p w14:paraId="097DF693">
      <w:pPr>
        <w:numPr>
          <w:ilvl w:val="0"/>
          <w:numId w:val="14"/>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3B38E429">
      <w:pPr>
        <w:spacing w:line="360" w:lineRule="auto"/>
        <w:outlineLvl w:val="2"/>
        <w:rPr>
          <w:color w:val="auto"/>
          <w:sz w:val="24"/>
          <w:szCs w:val="20"/>
          <w:highlight w:val="none"/>
        </w:rPr>
      </w:pPr>
      <w:r>
        <w:rPr>
          <w:color w:val="auto"/>
          <w:sz w:val="24"/>
          <w:szCs w:val="20"/>
          <w:highlight w:val="none"/>
        </w:rPr>
        <w:t>1-1 营业执照等证明文件</w:t>
      </w:r>
    </w:p>
    <w:p w14:paraId="259D7A11">
      <w:pPr>
        <w:tabs>
          <w:tab w:val="left" w:pos="1080"/>
        </w:tabs>
        <w:snapToGrid w:val="0"/>
        <w:rPr>
          <w:color w:val="auto"/>
          <w:sz w:val="24"/>
          <w:highlight w:val="none"/>
        </w:rPr>
      </w:pPr>
    </w:p>
    <w:p w14:paraId="3F205D2F">
      <w:pPr>
        <w:widowControl/>
        <w:jc w:val="left"/>
        <w:rPr>
          <w:color w:val="auto"/>
          <w:sz w:val="24"/>
          <w:szCs w:val="20"/>
          <w:highlight w:val="none"/>
        </w:rPr>
      </w:pPr>
      <w:r>
        <w:rPr>
          <w:color w:val="auto"/>
          <w:sz w:val="24"/>
          <w:highlight w:val="none"/>
        </w:rPr>
        <w:br w:type="page"/>
      </w:r>
    </w:p>
    <w:p w14:paraId="57097ADC">
      <w:pPr>
        <w:pStyle w:val="4"/>
        <w:rPr>
          <w:rFonts w:ascii="Times New Roman"/>
          <w:b w:val="0"/>
          <w:bCs/>
          <w:color w:val="auto"/>
          <w:highlight w:val="none"/>
          <w:u w:val="none"/>
        </w:rPr>
      </w:pPr>
      <w:r>
        <w:rPr>
          <w:rFonts w:ascii="Times New Roman"/>
          <w:b w:val="0"/>
          <w:color w:val="auto"/>
          <w:highlight w:val="none"/>
          <w:u w:val="none"/>
        </w:rPr>
        <w:t>1-2 投标人资格声明书</w:t>
      </w:r>
    </w:p>
    <w:p w14:paraId="034E5923">
      <w:pPr>
        <w:jc w:val="center"/>
        <w:rPr>
          <w:b/>
          <w:color w:val="auto"/>
          <w:sz w:val="36"/>
          <w:szCs w:val="36"/>
          <w:highlight w:val="none"/>
        </w:rPr>
      </w:pPr>
      <w:r>
        <w:rPr>
          <w:b/>
          <w:color w:val="auto"/>
          <w:sz w:val="36"/>
          <w:szCs w:val="36"/>
          <w:highlight w:val="none"/>
        </w:rPr>
        <w:t>投标人资格声明书</w:t>
      </w:r>
    </w:p>
    <w:p w14:paraId="17B81342">
      <w:pPr>
        <w:tabs>
          <w:tab w:val="left" w:pos="5580"/>
        </w:tabs>
        <w:spacing w:line="360" w:lineRule="auto"/>
        <w:rPr>
          <w:color w:val="auto"/>
          <w:sz w:val="24"/>
          <w:highlight w:val="none"/>
        </w:rPr>
      </w:pPr>
    </w:p>
    <w:p w14:paraId="2DF19118">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7F134C4">
      <w:pPr>
        <w:spacing w:line="360" w:lineRule="auto"/>
        <w:ind w:firstLine="480" w:firstLineChars="200"/>
        <w:rPr>
          <w:color w:val="auto"/>
          <w:sz w:val="24"/>
          <w:highlight w:val="none"/>
        </w:rPr>
      </w:pPr>
      <w:r>
        <w:rPr>
          <w:color w:val="auto"/>
          <w:sz w:val="24"/>
          <w:highlight w:val="none"/>
        </w:rPr>
        <w:t>在参与本次项目投标中，我单位承诺：</w:t>
      </w:r>
    </w:p>
    <w:p w14:paraId="53560620">
      <w:pPr>
        <w:numPr>
          <w:ilvl w:val="0"/>
          <w:numId w:val="15"/>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2C4225EA">
      <w:pPr>
        <w:numPr>
          <w:ilvl w:val="0"/>
          <w:numId w:val="15"/>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3928C3A4">
      <w:pPr>
        <w:numPr>
          <w:ilvl w:val="0"/>
          <w:numId w:val="15"/>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1F469AD1">
      <w:pPr>
        <w:numPr>
          <w:ilvl w:val="0"/>
          <w:numId w:val="15"/>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A2D68CB">
      <w:pPr>
        <w:numPr>
          <w:ilvl w:val="0"/>
          <w:numId w:val="15"/>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3A3DC7C5">
      <w:pPr>
        <w:numPr>
          <w:ilvl w:val="0"/>
          <w:numId w:val="15"/>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1176705">
      <w:pPr>
        <w:numPr>
          <w:ilvl w:val="0"/>
          <w:numId w:val="15"/>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3BAE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B4802C9">
            <w:pPr>
              <w:jc w:val="center"/>
              <w:rPr>
                <w:color w:val="auto"/>
                <w:sz w:val="24"/>
                <w:highlight w:val="none"/>
              </w:rPr>
            </w:pPr>
            <w:r>
              <w:rPr>
                <w:color w:val="auto"/>
                <w:sz w:val="24"/>
                <w:highlight w:val="none"/>
              </w:rPr>
              <w:t>序号</w:t>
            </w:r>
          </w:p>
        </w:tc>
        <w:tc>
          <w:tcPr>
            <w:tcW w:w="4574" w:type="dxa"/>
            <w:vAlign w:val="center"/>
          </w:tcPr>
          <w:p w14:paraId="7C2F4CE8">
            <w:pPr>
              <w:jc w:val="center"/>
              <w:rPr>
                <w:color w:val="auto"/>
                <w:sz w:val="24"/>
                <w:highlight w:val="none"/>
              </w:rPr>
            </w:pPr>
            <w:r>
              <w:rPr>
                <w:color w:val="auto"/>
                <w:sz w:val="24"/>
                <w:highlight w:val="none"/>
              </w:rPr>
              <w:t>单位名称</w:t>
            </w:r>
          </w:p>
        </w:tc>
        <w:tc>
          <w:tcPr>
            <w:tcW w:w="2976" w:type="dxa"/>
            <w:vAlign w:val="center"/>
          </w:tcPr>
          <w:p w14:paraId="7BE6488A">
            <w:pPr>
              <w:jc w:val="center"/>
              <w:rPr>
                <w:color w:val="auto"/>
                <w:sz w:val="24"/>
                <w:highlight w:val="none"/>
              </w:rPr>
            </w:pPr>
            <w:r>
              <w:rPr>
                <w:color w:val="auto"/>
                <w:sz w:val="24"/>
                <w:highlight w:val="none"/>
              </w:rPr>
              <w:t>相互关系</w:t>
            </w:r>
          </w:p>
        </w:tc>
      </w:tr>
      <w:tr w14:paraId="0D173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437D46">
            <w:pPr>
              <w:jc w:val="center"/>
              <w:rPr>
                <w:color w:val="auto"/>
                <w:sz w:val="24"/>
                <w:highlight w:val="none"/>
              </w:rPr>
            </w:pPr>
            <w:r>
              <w:rPr>
                <w:color w:val="auto"/>
                <w:sz w:val="24"/>
                <w:highlight w:val="none"/>
              </w:rPr>
              <w:t>1</w:t>
            </w:r>
          </w:p>
        </w:tc>
        <w:tc>
          <w:tcPr>
            <w:tcW w:w="4574" w:type="dxa"/>
            <w:vAlign w:val="center"/>
          </w:tcPr>
          <w:p w14:paraId="63CEFA7B">
            <w:pPr>
              <w:jc w:val="center"/>
              <w:rPr>
                <w:color w:val="auto"/>
                <w:sz w:val="24"/>
                <w:highlight w:val="none"/>
              </w:rPr>
            </w:pPr>
          </w:p>
        </w:tc>
        <w:tc>
          <w:tcPr>
            <w:tcW w:w="2976" w:type="dxa"/>
            <w:vAlign w:val="center"/>
          </w:tcPr>
          <w:p w14:paraId="0431306F">
            <w:pPr>
              <w:jc w:val="center"/>
              <w:rPr>
                <w:color w:val="auto"/>
                <w:sz w:val="24"/>
                <w:highlight w:val="none"/>
              </w:rPr>
            </w:pPr>
          </w:p>
        </w:tc>
      </w:tr>
      <w:tr w14:paraId="4057B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8A0560">
            <w:pPr>
              <w:jc w:val="center"/>
              <w:rPr>
                <w:color w:val="auto"/>
                <w:sz w:val="24"/>
                <w:highlight w:val="none"/>
              </w:rPr>
            </w:pPr>
            <w:r>
              <w:rPr>
                <w:color w:val="auto"/>
                <w:sz w:val="24"/>
                <w:highlight w:val="none"/>
              </w:rPr>
              <w:t>2</w:t>
            </w:r>
          </w:p>
        </w:tc>
        <w:tc>
          <w:tcPr>
            <w:tcW w:w="4574" w:type="dxa"/>
            <w:vAlign w:val="center"/>
          </w:tcPr>
          <w:p w14:paraId="090BA7AA">
            <w:pPr>
              <w:jc w:val="center"/>
              <w:rPr>
                <w:color w:val="auto"/>
                <w:sz w:val="24"/>
                <w:highlight w:val="none"/>
              </w:rPr>
            </w:pPr>
          </w:p>
        </w:tc>
        <w:tc>
          <w:tcPr>
            <w:tcW w:w="2976" w:type="dxa"/>
            <w:vAlign w:val="center"/>
          </w:tcPr>
          <w:p w14:paraId="445301A8">
            <w:pPr>
              <w:jc w:val="center"/>
              <w:rPr>
                <w:color w:val="auto"/>
                <w:sz w:val="24"/>
                <w:highlight w:val="none"/>
              </w:rPr>
            </w:pPr>
          </w:p>
        </w:tc>
      </w:tr>
      <w:tr w14:paraId="59160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783BBA6">
            <w:pPr>
              <w:jc w:val="center"/>
              <w:rPr>
                <w:color w:val="auto"/>
                <w:sz w:val="24"/>
                <w:highlight w:val="none"/>
              </w:rPr>
            </w:pPr>
            <w:r>
              <w:rPr>
                <w:color w:val="auto"/>
                <w:sz w:val="24"/>
                <w:highlight w:val="none"/>
              </w:rPr>
              <w:t>…</w:t>
            </w:r>
          </w:p>
        </w:tc>
        <w:tc>
          <w:tcPr>
            <w:tcW w:w="4574" w:type="dxa"/>
            <w:vAlign w:val="center"/>
          </w:tcPr>
          <w:p w14:paraId="6CC611E3">
            <w:pPr>
              <w:jc w:val="center"/>
              <w:rPr>
                <w:color w:val="auto"/>
                <w:sz w:val="24"/>
                <w:highlight w:val="none"/>
              </w:rPr>
            </w:pPr>
          </w:p>
        </w:tc>
        <w:tc>
          <w:tcPr>
            <w:tcW w:w="2976" w:type="dxa"/>
            <w:vAlign w:val="center"/>
          </w:tcPr>
          <w:p w14:paraId="3903D1D1">
            <w:pPr>
              <w:jc w:val="center"/>
              <w:rPr>
                <w:color w:val="auto"/>
                <w:sz w:val="24"/>
                <w:highlight w:val="none"/>
              </w:rPr>
            </w:pPr>
          </w:p>
        </w:tc>
      </w:tr>
    </w:tbl>
    <w:p w14:paraId="1C9C4559">
      <w:pPr>
        <w:rPr>
          <w:color w:val="auto"/>
          <w:highlight w:val="none"/>
        </w:rPr>
      </w:pPr>
    </w:p>
    <w:p w14:paraId="399A12A6">
      <w:pPr>
        <w:ind w:firstLine="480" w:firstLineChars="200"/>
        <w:rPr>
          <w:color w:val="auto"/>
          <w:sz w:val="24"/>
          <w:szCs w:val="22"/>
          <w:highlight w:val="none"/>
        </w:rPr>
      </w:pPr>
      <w:r>
        <w:rPr>
          <w:color w:val="auto"/>
          <w:sz w:val="24"/>
          <w:highlight w:val="none"/>
        </w:rPr>
        <w:t>上述声明真实有效，否则我方负全部责任。</w:t>
      </w:r>
    </w:p>
    <w:p w14:paraId="76CF1F6F">
      <w:pPr>
        <w:spacing w:line="360" w:lineRule="auto"/>
        <w:rPr>
          <w:color w:val="auto"/>
          <w:sz w:val="24"/>
          <w:highlight w:val="none"/>
        </w:rPr>
      </w:pPr>
    </w:p>
    <w:p w14:paraId="11FD7F2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FEF7D0B">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576B6760">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4067BC42">
      <w:pPr>
        <w:tabs>
          <w:tab w:val="left" w:pos="5580"/>
        </w:tabs>
        <w:spacing w:line="360" w:lineRule="auto"/>
        <w:rPr>
          <w:color w:val="auto"/>
          <w:sz w:val="24"/>
          <w:highlight w:val="none"/>
        </w:rPr>
        <w:sectPr>
          <w:pgSz w:w="11907" w:h="16840"/>
          <w:pgMar w:top="1418" w:right="1134" w:bottom="1418" w:left="1701" w:header="851" w:footer="851" w:gutter="0"/>
          <w:pgNumType w:fmt="decimal"/>
          <w:cols w:space="720" w:num="1"/>
          <w:docGrid w:linePitch="462" w:charSpace="0"/>
        </w:sectPr>
      </w:pPr>
    </w:p>
    <w:p w14:paraId="59A35FC7">
      <w:pPr>
        <w:numPr>
          <w:ilvl w:val="0"/>
          <w:numId w:val="14"/>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7C955D6E">
      <w:pPr>
        <w:spacing w:line="360" w:lineRule="auto"/>
        <w:outlineLvl w:val="2"/>
        <w:rPr>
          <w:color w:val="auto"/>
          <w:sz w:val="24"/>
          <w:szCs w:val="20"/>
          <w:highlight w:val="none"/>
        </w:rPr>
      </w:pPr>
      <w:r>
        <w:rPr>
          <w:color w:val="auto"/>
          <w:sz w:val="24"/>
          <w:szCs w:val="20"/>
          <w:highlight w:val="none"/>
        </w:rPr>
        <w:t>2-1 中小企业政策证明文件</w:t>
      </w:r>
    </w:p>
    <w:p w14:paraId="28DBABD2">
      <w:pPr>
        <w:tabs>
          <w:tab w:val="left" w:pos="5580"/>
        </w:tabs>
        <w:spacing w:line="360" w:lineRule="auto"/>
        <w:rPr>
          <w:color w:val="auto"/>
          <w:sz w:val="24"/>
          <w:highlight w:val="none"/>
        </w:rPr>
      </w:pPr>
      <w:r>
        <w:rPr>
          <w:color w:val="auto"/>
          <w:sz w:val="24"/>
          <w:highlight w:val="none"/>
        </w:rPr>
        <w:t>说明：</w:t>
      </w:r>
    </w:p>
    <w:p w14:paraId="05A6B047">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2980D37">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10A22BA">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A36F8F1">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67" w:name="_Hlk145526067"/>
      <w:r>
        <w:rPr>
          <w:color w:val="auto"/>
          <w:sz w:val="24"/>
          <w:highlight w:val="none"/>
        </w:rPr>
        <w:t>如供应商为联合体的，</w:t>
      </w:r>
      <w:bookmarkEnd w:id="867"/>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96F859F">
      <w:pPr>
        <w:tabs>
          <w:tab w:val="left" w:pos="5580"/>
        </w:tabs>
        <w:spacing w:line="360" w:lineRule="auto"/>
        <w:rPr>
          <w:color w:val="auto"/>
          <w:sz w:val="24"/>
          <w:highlight w:val="none"/>
        </w:rPr>
      </w:pPr>
      <w:r>
        <w:rPr>
          <w:color w:val="auto"/>
          <w:sz w:val="24"/>
          <w:highlight w:val="none"/>
        </w:rPr>
        <w:t>（5）中小企业声明函填写注意事项</w:t>
      </w:r>
    </w:p>
    <w:p w14:paraId="0048B013">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6B70F2B8">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0B36EDE">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3B4032B8">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BB04144">
      <w:pPr>
        <w:tabs>
          <w:tab w:val="left" w:pos="5580"/>
        </w:tabs>
        <w:spacing w:line="360" w:lineRule="auto"/>
        <w:rPr>
          <w:color w:val="auto"/>
          <w:sz w:val="24"/>
          <w:highlight w:val="none"/>
        </w:rPr>
      </w:pPr>
    </w:p>
    <w:p w14:paraId="77DDDE07">
      <w:pPr>
        <w:tabs>
          <w:tab w:val="left" w:pos="5580"/>
        </w:tabs>
        <w:spacing w:line="360" w:lineRule="auto"/>
        <w:rPr>
          <w:color w:val="auto"/>
          <w:sz w:val="24"/>
          <w:highlight w:val="none"/>
        </w:rPr>
      </w:pPr>
      <w:r>
        <w:rPr>
          <w:color w:val="auto"/>
          <w:sz w:val="24"/>
          <w:highlight w:val="none"/>
        </w:rPr>
        <w:br w:type="page"/>
      </w:r>
    </w:p>
    <w:p w14:paraId="1B3C102B">
      <w:pPr>
        <w:pStyle w:val="6"/>
        <w:rPr>
          <w:color w:val="auto"/>
          <w:sz w:val="24"/>
          <w:highlight w:val="none"/>
        </w:rPr>
      </w:pPr>
      <w:r>
        <w:rPr>
          <w:color w:val="auto"/>
          <w:highlight w:val="none"/>
        </w:rPr>
        <w:t>2-1-1 中小企业证明文件</w:t>
      </w:r>
    </w:p>
    <w:p w14:paraId="59CB5F95">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4DE72D24">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5EE83EF">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6666E877">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4CCA30D5">
      <w:pPr>
        <w:spacing w:line="360" w:lineRule="auto"/>
        <w:ind w:firstLine="504"/>
        <w:rPr>
          <w:color w:val="auto"/>
          <w:spacing w:val="6"/>
          <w:sz w:val="24"/>
          <w:highlight w:val="none"/>
        </w:rPr>
      </w:pPr>
    </w:p>
    <w:p w14:paraId="41E2F25E">
      <w:pPr>
        <w:spacing w:line="360" w:lineRule="auto"/>
        <w:ind w:firstLine="504"/>
        <w:rPr>
          <w:color w:val="auto"/>
          <w:spacing w:val="6"/>
          <w:sz w:val="24"/>
          <w:highlight w:val="none"/>
        </w:rPr>
      </w:pPr>
      <w:r>
        <w:rPr>
          <w:color w:val="auto"/>
          <w:spacing w:val="6"/>
          <w:sz w:val="24"/>
          <w:highlight w:val="none"/>
        </w:rPr>
        <w:t>……</w:t>
      </w:r>
    </w:p>
    <w:p w14:paraId="7F6AA9D8">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42E750F9">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C7FDD8C">
      <w:pPr>
        <w:spacing w:line="360" w:lineRule="auto"/>
        <w:ind w:right="360" w:firstLine="480"/>
        <w:jc w:val="right"/>
        <w:rPr>
          <w:color w:val="auto"/>
          <w:sz w:val="24"/>
          <w:highlight w:val="none"/>
        </w:rPr>
      </w:pPr>
    </w:p>
    <w:p w14:paraId="73C4B8ED">
      <w:pPr>
        <w:spacing w:line="360" w:lineRule="auto"/>
        <w:ind w:right="360" w:firstLine="480"/>
        <w:jc w:val="right"/>
        <w:rPr>
          <w:color w:val="auto"/>
          <w:sz w:val="24"/>
          <w:highlight w:val="none"/>
        </w:rPr>
      </w:pPr>
      <w:r>
        <w:rPr>
          <w:color w:val="auto"/>
          <w:sz w:val="24"/>
          <w:highlight w:val="none"/>
        </w:rPr>
        <w:t>企业名称（盖章）：________</w:t>
      </w:r>
    </w:p>
    <w:p w14:paraId="1912F4B4">
      <w:pPr>
        <w:spacing w:line="360" w:lineRule="auto"/>
        <w:ind w:right="360" w:firstLine="480"/>
        <w:jc w:val="right"/>
        <w:rPr>
          <w:color w:val="auto"/>
          <w:sz w:val="24"/>
          <w:highlight w:val="none"/>
        </w:rPr>
      </w:pPr>
      <w:r>
        <w:rPr>
          <w:color w:val="auto"/>
          <w:sz w:val="24"/>
          <w:highlight w:val="none"/>
        </w:rPr>
        <w:t>日 期：________</w:t>
      </w:r>
    </w:p>
    <w:p w14:paraId="623BD05F">
      <w:pPr>
        <w:adjustRightInd w:val="0"/>
        <w:snapToGrid w:val="0"/>
        <w:jc w:val="left"/>
        <w:rPr>
          <w:color w:val="auto"/>
          <w:sz w:val="24"/>
          <w:szCs w:val="21"/>
          <w:highlight w:val="none"/>
        </w:rPr>
      </w:pPr>
    </w:p>
    <w:p w14:paraId="2FDE60BB">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1FAD2B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CAAE9F2">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1E773A65">
      <w:pPr>
        <w:adjustRightInd w:val="0"/>
        <w:snapToGrid w:val="0"/>
        <w:jc w:val="left"/>
        <w:rPr>
          <w:color w:val="auto"/>
          <w:szCs w:val="21"/>
          <w:highlight w:val="none"/>
          <w:vertAlign w:val="superscript"/>
        </w:rPr>
      </w:pPr>
    </w:p>
    <w:p w14:paraId="24D5CEBA">
      <w:pPr>
        <w:spacing w:line="360" w:lineRule="auto"/>
        <w:ind w:right="360" w:firstLine="480"/>
        <w:jc w:val="right"/>
        <w:rPr>
          <w:color w:val="auto"/>
          <w:sz w:val="24"/>
          <w:highlight w:val="none"/>
        </w:rPr>
      </w:pPr>
    </w:p>
    <w:p w14:paraId="40EAF1FF">
      <w:pPr>
        <w:spacing w:line="360" w:lineRule="auto"/>
        <w:ind w:right="360" w:firstLine="480"/>
        <w:jc w:val="right"/>
        <w:rPr>
          <w:color w:val="auto"/>
          <w:sz w:val="24"/>
          <w:highlight w:val="none"/>
        </w:rPr>
      </w:pPr>
    </w:p>
    <w:p w14:paraId="044552CE">
      <w:pPr>
        <w:spacing w:line="360" w:lineRule="auto"/>
        <w:outlineLvl w:val="9"/>
        <w:rPr>
          <w:color w:val="auto"/>
          <w:sz w:val="24"/>
          <w:szCs w:val="20"/>
          <w:highlight w:val="none"/>
        </w:rPr>
      </w:pPr>
      <w:r>
        <w:rPr>
          <w:color w:val="auto"/>
          <w:sz w:val="24"/>
          <w:szCs w:val="20"/>
          <w:highlight w:val="none"/>
        </w:rPr>
        <w:br w:type="page"/>
      </w:r>
    </w:p>
    <w:p w14:paraId="2E3AF5E0">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48E2C063">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76E7AEA8">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63205DFC">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B6AE7DE">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2C22D893">
      <w:pPr>
        <w:spacing w:line="588" w:lineRule="exact"/>
        <w:ind w:firstLine="504" w:firstLineChars="200"/>
        <w:rPr>
          <w:color w:val="auto"/>
          <w:spacing w:val="6"/>
          <w:sz w:val="24"/>
          <w:highlight w:val="none"/>
        </w:rPr>
      </w:pPr>
    </w:p>
    <w:p w14:paraId="424CB998">
      <w:pPr>
        <w:spacing w:line="588" w:lineRule="exact"/>
        <w:ind w:firstLine="504" w:firstLineChars="200"/>
        <w:rPr>
          <w:color w:val="auto"/>
          <w:spacing w:val="6"/>
          <w:sz w:val="24"/>
          <w:highlight w:val="none"/>
        </w:rPr>
      </w:pPr>
    </w:p>
    <w:p w14:paraId="373E56F3">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0F77076B">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2D2CFE8F">
      <w:pPr>
        <w:widowControl/>
        <w:jc w:val="left"/>
        <w:rPr>
          <w:color w:val="auto"/>
          <w:sz w:val="30"/>
          <w:szCs w:val="30"/>
          <w:highlight w:val="none"/>
        </w:rPr>
      </w:pPr>
      <w:r>
        <w:rPr>
          <w:color w:val="auto"/>
          <w:sz w:val="24"/>
          <w:szCs w:val="20"/>
          <w:highlight w:val="none"/>
        </w:rPr>
        <w:br w:type="page"/>
      </w:r>
    </w:p>
    <w:p w14:paraId="760A85F2">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198FB2BE">
      <w:pPr>
        <w:widowControl/>
        <w:jc w:val="left"/>
        <w:rPr>
          <w:color w:val="auto"/>
          <w:sz w:val="24"/>
          <w:highlight w:val="none"/>
        </w:rPr>
      </w:pPr>
    </w:p>
    <w:p w14:paraId="3BF1F3C4">
      <w:pPr>
        <w:widowControl/>
        <w:jc w:val="left"/>
        <w:rPr>
          <w:color w:val="auto"/>
          <w:sz w:val="24"/>
          <w:highlight w:val="none"/>
        </w:rPr>
      </w:pPr>
      <w:r>
        <w:rPr>
          <w:color w:val="auto"/>
          <w:sz w:val="24"/>
          <w:highlight w:val="none"/>
        </w:rPr>
        <w:br w:type="page"/>
      </w:r>
    </w:p>
    <w:p w14:paraId="61961029">
      <w:pPr>
        <w:numPr>
          <w:ilvl w:val="0"/>
          <w:numId w:val="14"/>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5F805962">
      <w:pPr>
        <w:spacing w:line="360" w:lineRule="auto"/>
        <w:outlineLvl w:val="2"/>
        <w:rPr>
          <w:color w:val="auto"/>
          <w:sz w:val="24"/>
          <w:szCs w:val="20"/>
          <w:highlight w:val="none"/>
        </w:rPr>
      </w:pPr>
      <w:r>
        <w:rPr>
          <w:color w:val="auto"/>
          <w:sz w:val="24"/>
          <w:szCs w:val="20"/>
          <w:highlight w:val="none"/>
        </w:rPr>
        <w:t>3-1 联合协议（如有）</w:t>
      </w:r>
    </w:p>
    <w:p w14:paraId="5C89817F">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1B6067DC">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0E27DD71">
      <w:pPr>
        <w:numPr>
          <w:ilvl w:val="0"/>
          <w:numId w:val="16"/>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426BE072">
      <w:pPr>
        <w:numPr>
          <w:ilvl w:val="0"/>
          <w:numId w:val="16"/>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40C17607">
      <w:pPr>
        <w:numPr>
          <w:ilvl w:val="0"/>
          <w:numId w:val="16"/>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34D6549A">
      <w:pPr>
        <w:numPr>
          <w:ilvl w:val="0"/>
          <w:numId w:val="16"/>
        </w:numPr>
        <w:spacing w:line="360" w:lineRule="auto"/>
        <w:rPr>
          <w:bCs/>
          <w:color w:val="auto"/>
          <w:sz w:val="24"/>
          <w:highlight w:val="none"/>
        </w:rPr>
      </w:pPr>
      <w:r>
        <w:rPr>
          <w:bCs/>
          <w:color w:val="auto"/>
          <w:sz w:val="24"/>
          <w:highlight w:val="none"/>
        </w:rPr>
        <w:t>牵头人为项目的总负责单位；组织各参加方进行项目实施工作。</w:t>
      </w:r>
    </w:p>
    <w:p w14:paraId="7FD17988">
      <w:pPr>
        <w:numPr>
          <w:ilvl w:val="0"/>
          <w:numId w:val="16"/>
        </w:numPr>
        <w:spacing w:line="360" w:lineRule="auto"/>
        <w:rPr>
          <w:bCs/>
          <w:color w:val="auto"/>
          <w:sz w:val="24"/>
          <w:highlight w:val="none"/>
        </w:rPr>
      </w:pPr>
      <w:r>
        <w:rPr>
          <w:bCs/>
          <w:color w:val="auto"/>
          <w:sz w:val="24"/>
          <w:highlight w:val="none"/>
        </w:rPr>
        <w:t>______负责_____，具体工作范围、内容以投标文件及合同为准。</w:t>
      </w:r>
    </w:p>
    <w:p w14:paraId="380322E1">
      <w:pPr>
        <w:numPr>
          <w:ilvl w:val="0"/>
          <w:numId w:val="16"/>
        </w:numPr>
        <w:spacing w:line="360" w:lineRule="auto"/>
        <w:rPr>
          <w:bCs/>
          <w:color w:val="auto"/>
          <w:sz w:val="24"/>
          <w:highlight w:val="none"/>
        </w:rPr>
      </w:pPr>
      <w:r>
        <w:rPr>
          <w:bCs/>
          <w:color w:val="auto"/>
          <w:sz w:val="24"/>
          <w:highlight w:val="none"/>
        </w:rPr>
        <w:t>______负责_____，具体工作范围、内容以投标文件及合同为准。</w:t>
      </w:r>
    </w:p>
    <w:p w14:paraId="6581D6E1">
      <w:pPr>
        <w:numPr>
          <w:ilvl w:val="0"/>
          <w:numId w:val="16"/>
        </w:numPr>
        <w:spacing w:line="360" w:lineRule="auto"/>
        <w:rPr>
          <w:bCs/>
          <w:color w:val="auto"/>
          <w:sz w:val="24"/>
          <w:highlight w:val="none"/>
        </w:rPr>
      </w:pPr>
      <w:r>
        <w:rPr>
          <w:bCs/>
          <w:color w:val="auto"/>
          <w:sz w:val="24"/>
          <w:highlight w:val="none"/>
        </w:rPr>
        <w:t>______负责_____（如有），具体工作范围、内容以投标文件及合同为准。</w:t>
      </w:r>
    </w:p>
    <w:p w14:paraId="7B4460AA">
      <w:pPr>
        <w:numPr>
          <w:ilvl w:val="0"/>
          <w:numId w:val="16"/>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12C78226">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411CA4B">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49EB99F">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75681CBE">
      <w:pPr>
        <w:numPr>
          <w:ilvl w:val="0"/>
          <w:numId w:val="16"/>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3900E681">
      <w:pPr>
        <w:numPr>
          <w:ilvl w:val="0"/>
          <w:numId w:val="16"/>
        </w:numPr>
        <w:spacing w:line="360" w:lineRule="auto"/>
        <w:rPr>
          <w:bCs/>
          <w:color w:val="auto"/>
          <w:sz w:val="24"/>
          <w:highlight w:val="none"/>
        </w:rPr>
      </w:pPr>
      <w:r>
        <w:rPr>
          <w:bCs/>
          <w:color w:val="auto"/>
          <w:sz w:val="24"/>
          <w:highlight w:val="none"/>
        </w:rPr>
        <w:t>其他约定（如有）：_______。</w:t>
      </w:r>
    </w:p>
    <w:p w14:paraId="61323E4E">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3B88FA58">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49E1DFA6">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4652013E">
      <w:pPr>
        <w:spacing w:line="360" w:lineRule="auto"/>
        <w:ind w:firstLine="471"/>
        <w:rPr>
          <w:color w:val="auto"/>
          <w:sz w:val="24"/>
          <w:highlight w:val="none"/>
        </w:rPr>
      </w:pPr>
    </w:p>
    <w:p w14:paraId="1F2E04CB">
      <w:pPr>
        <w:spacing w:line="360" w:lineRule="auto"/>
        <w:ind w:firstLine="471"/>
        <w:rPr>
          <w:color w:val="auto"/>
          <w:sz w:val="24"/>
          <w:highlight w:val="none"/>
        </w:rPr>
      </w:pPr>
    </w:p>
    <w:p w14:paraId="0C187C62">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4505522B">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4FEF24BA">
      <w:pPr>
        <w:spacing w:line="360" w:lineRule="auto"/>
        <w:ind w:firstLine="471"/>
        <w:rPr>
          <w:color w:val="auto"/>
          <w:sz w:val="24"/>
          <w:highlight w:val="none"/>
        </w:rPr>
      </w:pPr>
    </w:p>
    <w:p w14:paraId="43731869">
      <w:pPr>
        <w:spacing w:line="360" w:lineRule="auto"/>
        <w:ind w:firstLine="471"/>
        <w:rPr>
          <w:color w:val="auto"/>
          <w:sz w:val="24"/>
          <w:highlight w:val="none"/>
        </w:rPr>
      </w:pPr>
    </w:p>
    <w:p w14:paraId="523CC33F">
      <w:pPr>
        <w:spacing w:line="360" w:lineRule="auto"/>
        <w:ind w:left="480"/>
        <w:jc w:val="right"/>
        <w:rPr>
          <w:color w:val="auto"/>
          <w:sz w:val="24"/>
          <w:highlight w:val="none"/>
        </w:rPr>
      </w:pPr>
    </w:p>
    <w:p w14:paraId="4A750529">
      <w:pPr>
        <w:spacing w:line="360" w:lineRule="auto"/>
        <w:ind w:left="480"/>
        <w:jc w:val="right"/>
        <w:rPr>
          <w:color w:val="auto"/>
          <w:sz w:val="24"/>
          <w:highlight w:val="none"/>
        </w:rPr>
      </w:pPr>
      <w:r>
        <w:rPr>
          <w:color w:val="auto"/>
          <w:sz w:val="24"/>
          <w:szCs w:val="20"/>
          <w:highlight w:val="none"/>
        </w:rPr>
        <w:t>日期：_____年______月______日</w:t>
      </w:r>
    </w:p>
    <w:p w14:paraId="0FF5D041">
      <w:pPr>
        <w:spacing w:line="360" w:lineRule="auto"/>
        <w:ind w:left="480"/>
        <w:jc w:val="right"/>
        <w:rPr>
          <w:b/>
          <w:color w:val="auto"/>
          <w:sz w:val="24"/>
          <w:highlight w:val="none"/>
        </w:rPr>
      </w:pPr>
    </w:p>
    <w:p w14:paraId="3AA9D041">
      <w:pPr>
        <w:tabs>
          <w:tab w:val="left" w:pos="8280"/>
        </w:tabs>
        <w:spacing w:line="360" w:lineRule="auto"/>
        <w:ind w:firstLine="480"/>
        <w:rPr>
          <w:color w:val="auto"/>
          <w:sz w:val="24"/>
          <w:highlight w:val="none"/>
        </w:rPr>
      </w:pPr>
    </w:p>
    <w:p w14:paraId="7B35EBE3">
      <w:pPr>
        <w:tabs>
          <w:tab w:val="left" w:pos="8280"/>
        </w:tabs>
        <w:spacing w:line="360" w:lineRule="auto"/>
        <w:ind w:firstLine="480"/>
        <w:rPr>
          <w:color w:val="auto"/>
          <w:sz w:val="24"/>
          <w:highlight w:val="none"/>
        </w:rPr>
      </w:pPr>
    </w:p>
    <w:p w14:paraId="2127CCC4">
      <w:pPr>
        <w:spacing w:line="360" w:lineRule="auto"/>
        <w:ind w:left="719" w:leftChars="228" w:hanging="240" w:hangingChars="100"/>
        <w:rPr>
          <w:color w:val="auto"/>
          <w:sz w:val="24"/>
          <w:highlight w:val="none"/>
        </w:rPr>
      </w:pPr>
      <w:r>
        <w:rPr>
          <w:color w:val="auto"/>
          <w:sz w:val="24"/>
          <w:highlight w:val="none"/>
        </w:rPr>
        <w:t>注：</w:t>
      </w:r>
    </w:p>
    <w:p w14:paraId="7A76CF4C">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44D6E69D">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38C3A88C">
      <w:pPr>
        <w:spacing w:line="360" w:lineRule="auto"/>
        <w:ind w:left="719" w:leftChars="228" w:hanging="240" w:hangingChars="100"/>
        <w:rPr>
          <w:color w:val="auto"/>
          <w:sz w:val="24"/>
          <w:highlight w:val="none"/>
        </w:rPr>
      </w:pPr>
      <w:r>
        <w:rPr>
          <w:color w:val="auto"/>
          <w:sz w:val="24"/>
          <w:highlight w:val="none"/>
        </w:rPr>
        <w:br w:type="page"/>
      </w:r>
    </w:p>
    <w:p w14:paraId="15A6C5E2">
      <w:pPr>
        <w:spacing w:line="360" w:lineRule="auto"/>
        <w:outlineLvl w:val="2"/>
        <w:rPr>
          <w:color w:val="auto"/>
          <w:sz w:val="24"/>
          <w:szCs w:val="20"/>
          <w:highlight w:val="none"/>
        </w:rPr>
      </w:pPr>
      <w:r>
        <w:rPr>
          <w:color w:val="auto"/>
          <w:sz w:val="24"/>
          <w:szCs w:val="20"/>
          <w:highlight w:val="none"/>
        </w:rPr>
        <w:t>3-2 其他特定资格要求</w:t>
      </w:r>
    </w:p>
    <w:p w14:paraId="199AC5D3">
      <w:pPr>
        <w:widowControl/>
        <w:jc w:val="left"/>
        <w:rPr>
          <w:color w:val="auto"/>
          <w:sz w:val="24"/>
          <w:szCs w:val="20"/>
          <w:highlight w:val="none"/>
        </w:rPr>
      </w:pPr>
      <w:r>
        <w:rPr>
          <w:color w:val="auto"/>
          <w:sz w:val="24"/>
          <w:szCs w:val="20"/>
          <w:highlight w:val="none"/>
        </w:rPr>
        <w:br w:type="page"/>
      </w:r>
    </w:p>
    <w:p w14:paraId="2312493E">
      <w:pPr>
        <w:numPr>
          <w:ilvl w:val="0"/>
          <w:numId w:val="14"/>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p>
    <w:p w14:paraId="7B90D846">
      <w:pPr>
        <w:spacing w:line="360" w:lineRule="auto"/>
        <w:rPr>
          <w:color w:val="auto"/>
          <w:sz w:val="24"/>
          <w:szCs w:val="20"/>
          <w:highlight w:val="none"/>
        </w:rPr>
      </w:pPr>
    </w:p>
    <w:p w14:paraId="614890F7">
      <w:pPr>
        <w:spacing w:line="360" w:lineRule="auto"/>
        <w:rPr>
          <w:color w:val="auto"/>
          <w:sz w:val="24"/>
          <w:szCs w:val="20"/>
          <w:highlight w:val="none"/>
        </w:rPr>
      </w:pPr>
    </w:p>
    <w:p w14:paraId="2AF64746">
      <w:pPr>
        <w:widowControl/>
        <w:jc w:val="left"/>
        <w:rPr>
          <w:color w:val="auto"/>
          <w:kern w:val="0"/>
          <w:sz w:val="24"/>
          <w:szCs w:val="20"/>
          <w:highlight w:val="none"/>
        </w:rPr>
      </w:pPr>
      <w:r>
        <w:rPr>
          <w:color w:val="auto"/>
          <w:sz w:val="24"/>
          <w:szCs w:val="20"/>
          <w:highlight w:val="none"/>
        </w:rPr>
        <w:br w:type="page"/>
      </w:r>
    </w:p>
    <w:p w14:paraId="286FCF8C">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2B049CED">
      <w:pPr>
        <w:rPr>
          <w:b/>
          <w:color w:val="auto"/>
          <w:spacing w:val="20"/>
          <w:szCs w:val="21"/>
          <w:highlight w:val="none"/>
        </w:rPr>
      </w:pPr>
    </w:p>
    <w:p w14:paraId="6B10B06E">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09313199">
      <w:pPr>
        <w:jc w:val="center"/>
        <w:rPr>
          <w:color w:val="auto"/>
          <w:szCs w:val="21"/>
          <w:highlight w:val="none"/>
        </w:rPr>
      </w:pPr>
    </w:p>
    <w:p w14:paraId="3459551A">
      <w:pPr>
        <w:jc w:val="center"/>
        <w:rPr>
          <w:b/>
          <w:color w:val="auto"/>
          <w:spacing w:val="60"/>
          <w:sz w:val="84"/>
          <w:szCs w:val="84"/>
          <w:highlight w:val="none"/>
        </w:rPr>
      </w:pPr>
      <w:r>
        <w:rPr>
          <w:b/>
          <w:color w:val="auto"/>
          <w:spacing w:val="60"/>
          <w:sz w:val="84"/>
          <w:szCs w:val="84"/>
          <w:highlight w:val="none"/>
        </w:rPr>
        <w:t>投 标 文 件</w:t>
      </w:r>
    </w:p>
    <w:p w14:paraId="4634DD6D">
      <w:pPr>
        <w:jc w:val="center"/>
        <w:rPr>
          <w:b/>
          <w:color w:val="auto"/>
          <w:spacing w:val="60"/>
          <w:sz w:val="52"/>
          <w:szCs w:val="52"/>
          <w:highlight w:val="none"/>
        </w:rPr>
      </w:pPr>
      <w:r>
        <w:rPr>
          <w:b/>
          <w:color w:val="auto"/>
          <w:spacing w:val="60"/>
          <w:sz w:val="52"/>
          <w:szCs w:val="52"/>
          <w:highlight w:val="none"/>
        </w:rPr>
        <w:t>（商务技术文件）</w:t>
      </w:r>
    </w:p>
    <w:p w14:paraId="4A04A38B">
      <w:pPr>
        <w:ind w:firstLine="542" w:firstLineChars="150"/>
        <w:rPr>
          <w:b/>
          <w:color w:val="auto"/>
          <w:spacing w:val="20"/>
          <w:sz w:val="32"/>
          <w:szCs w:val="32"/>
          <w:highlight w:val="none"/>
        </w:rPr>
      </w:pPr>
    </w:p>
    <w:p w14:paraId="3C517F10">
      <w:pPr>
        <w:ind w:firstLine="542" w:firstLineChars="150"/>
        <w:rPr>
          <w:b/>
          <w:color w:val="auto"/>
          <w:spacing w:val="20"/>
          <w:sz w:val="32"/>
          <w:szCs w:val="32"/>
          <w:highlight w:val="none"/>
        </w:rPr>
      </w:pPr>
    </w:p>
    <w:p w14:paraId="5F939ACE">
      <w:pPr>
        <w:ind w:firstLine="542" w:firstLineChars="150"/>
        <w:rPr>
          <w:b/>
          <w:color w:val="auto"/>
          <w:spacing w:val="20"/>
          <w:sz w:val="32"/>
          <w:szCs w:val="32"/>
          <w:highlight w:val="none"/>
        </w:rPr>
      </w:pPr>
      <w:r>
        <w:rPr>
          <w:b/>
          <w:color w:val="auto"/>
          <w:spacing w:val="20"/>
          <w:sz w:val="32"/>
          <w:szCs w:val="32"/>
          <w:highlight w:val="none"/>
        </w:rPr>
        <w:t>项目名称:</w:t>
      </w:r>
    </w:p>
    <w:p w14:paraId="0B35EB5E">
      <w:pPr>
        <w:ind w:firstLine="542" w:firstLineChars="150"/>
        <w:rPr>
          <w:b/>
          <w:color w:val="auto"/>
          <w:spacing w:val="20"/>
          <w:sz w:val="32"/>
          <w:szCs w:val="32"/>
          <w:highlight w:val="none"/>
        </w:rPr>
      </w:pPr>
      <w:r>
        <w:rPr>
          <w:b/>
          <w:color w:val="auto"/>
          <w:spacing w:val="20"/>
          <w:sz w:val="32"/>
          <w:szCs w:val="32"/>
          <w:highlight w:val="none"/>
        </w:rPr>
        <w:t>项目编号/包号：</w:t>
      </w:r>
    </w:p>
    <w:p w14:paraId="2FBBAFAB">
      <w:pPr>
        <w:ind w:firstLine="542" w:firstLineChars="150"/>
        <w:rPr>
          <w:b/>
          <w:color w:val="auto"/>
          <w:spacing w:val="20"/>
          <w:sz w:val="32"/>
          <w:szCs w:val="32"/>
          <w:highlight w:val="none"/>
        </w:rPr>
      </w:pPr>
    </w:p>
    <w:p w14:paraId="0DE7AAE9">
      <w:pPr>
        <w:ind w:firstLine="542" w:firstLineChars="150"/>
        <w:rPr>
          <w:b/>
          <w:color w:val="auto"/>
          <w:spacing w:val="20"/>
          <w:sz w:val="32"/>
          <w:szCs w:val="32"/>
          <w:highlight w:val="none"/>
        </w:rPr>
      </w:pPr>
    </w:p>
    <w:p w14:paraId="2CBBB447">
      <w:pPr>
        <w:jc w:val="center"/>
        <w:rPr>
          <w:b/>
          <w:color w:val="auto"/>
          <w:sz w:val="32"/>
          <w:szCs w:val="32"/>
          <w:highlight w:val="none"/>
        </w:rPr>
      </w:pPr>
    </w:p>
    <w:p w14:paraId="2BF3514D">
      <w:pPr>
        <w:jc w:val="center"/>
        <w:rPr>
          <w:b/>
          <w:color w:val="auto"/>
          <w:sz w:val="32"/>
          <w:szCs w:val="32"/>
          <w:highlight w:val="none"/>
        </w:rPr>
      </w:pPr>
    </w:p>
    <w:p w14:paraId="5B378B53">
      <w:pPr>
        <w:jc w:val="center"/>
        <w:rPr>
          <w:b/>
          <w:color w:val="auto"/>
          <w:sz w:val="32"/>
          <w:szCs w:val="32"/>
          <w:highlight w:val="none"/>
        </w:rPr>
      </w:pPr>
    </w:p>
    <w:p w14:paraId="238C27AB">
      <w:pPr>
        <w:jc w:val="center"/>
        <w:rPr>
          <w:b/>
          <w:color w:val="auto"/>
          <w:spacing w:val="20"/>
          <w:sz w:val="32"/>
          <w:szCs w:val="32"/>
          <w:highlight w:val="none"/>
        </w:rPr>
      </w:pPr>
    </w:p>
    <w:p w14:paraId="153C8C33">
      <w:pPr>
        <w:jc w:val="center"/>
        <w:rPr>
          <w:b/>
          <w:color w:val="auto"/>
          <w:spacing w:val="20"/>
          <w:sz w:val="32"/>
          <w:szCs w:val="32"/>
          <w:highlight w:val="none"/>
        </w:rPr>
      </w:pPr>
    </w:p>
    <w:p w14:paraId="58A8609E">
      <w:pPr>
        <w:jc w:val="center"/>
        <w:rPr>
          <w:b/>
          <w:color w:val="auto"/>
          <w:spacing w:val="20"/>
          <w:sz w:val="32"/>
          <w:szCs w:val="32"/>
          <w:highlight w:val="none"/>
        </w:rPr>
      </w:pPr>
    </w:p>
    <w:p w14:paraId="6B5049C9">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283D991">
      <w:pPr>
        <w:jc w:val="center"/>
        <w:rPr>
          <w:b/>
          <w:color w:val="auto"/>
          <w:sz w:val="32"/>
          <w:szCs w:val="32"/>
          <w:highlight w:val="none"/>
        </w:rPr>
      </w:pPr>
    </w:p>
    <w:p w14:paraId="6401FF97">
      <w:pPr>
        <w:widowControl/>
        <w:jc w:val="left"/>
        <w:rPr>
          <w:b/>
          <w:color w:val="auto"/>
          <w:sz w:val="24"/>
          <w:highlight w:val="none"/>
        </w:rPr>
      </w:pPr>
      <w:r>
        <w:rPr>
          <w:b/>
          <w:color w:val="auto"/>
          <w:sz w:val="24"/>
          <w:highlight w:val="none"/>
        </w:rPr>
        <w:br w:type="page"/>
      </w:r>
    </w:p>
    <w:p w14:paraId="1FFBE652">
      <w:pPr>
        <w:numPr>
          <w:ilvl w:val="0"/>
          <w:numId w:val="17"/>
        </w:numPr>
        <w:tabs>
          <w:tab w:val="left" w:pos="360"/>
        </w:tabs>
        <w:snapToGrid w:val="0"/>
        <w:spacing w:line="360" w:lineRule="auto"/>
        <w:outlineLvl w:val="1"/>
        <w:rPr>
          <w:color w:val="auto"/>
          <w:sz w:val="24"/>
          <w:szCs w:val="20"/>
          <w:highlight w:val="none"/>
        </w:rPr>
      </w:pPr>
      <w:bookmarkStart w:id="868" w:name="_Hlt520343392"/>
      <w:bookmarkEnd w:id="868"/>
      <w:bookmarkStart w:id="869" w:name="_Hlt520274065"/>
      <w:bookmarkEnd w:id="869"/>
      <w:bookmarkStart w:id="870" w:name="_Hlt520274407"/>
      <w:bookmarkEnd w:id="870"/>
      <w:bookmarkStart w:id="871" w:name="_Hlt520355504"/>
      <w:bookmarkEnd w:id="871"/>
      <w:bookmarkStart w:id="872" w:name="_Hlt520350918"/>
      <w:bookmarkEnd w:id="872"/>
      <w:bookmarkStart w:id="873" w:name="_Hlt520274393"/>
      <w:bookmarkEnd w:id="873"/>
      <w:bookmarkStart w:id="874" w:name="_Hlt520343000"/>
      <w:bookmarkEnd w:id="874"/>
      <w:bookmarkStart w:id="875" w:name="_Hlt520271212"/>
      <w:bookmarkEnd w:id="875"/>
      <w:bookmarkStart w:id="876" w:name="_Hlt520274121"/>
      <w:bookmarkEnd w:id="876"/>
      <w:bookmarkStart w:id="877" w:name="_Hlt520273711"/>
      <w:bookmarkEnd w:id="877"/>
      <w:bookmarkStart w:id="878" w:name="_Ref467988698"/>
      <w:bookmarkStart w:id="879" w:name="_Toc480942349"/>
      <w:bookmarkStart w:id="880" w:name="_Toc226309800"/>
      <w:bookmarkStart w:id="881" w:name="_Toc226337252"/>
      <w:bookmarkStart w:id="882" w:name="_Toc195842921"/>
      <w:bookmarkStart w:id="883" w:name="_Toc150774761"/>
      <w:bookmarkStart w:id="884" w:name="_Toc142311058"/>
      <w:bookmarkStart w:id="885" w:name="_Toc520356217"/>
      <w:bookmarkStart w:id="886" w:name="_Toc150480794"/>
      <w:bookmarkStart w:id="887" w:name="_Toc226965829"/>
      <w:bookmarkStart w:id="888" w:name="_Toc127151556"/>
      <w:bookmarkStart w:id="889" w:name="_Toc226965746"/>
      <w:r>
        <w:rPr>
          <w:color w:val="auto"/>
          <w:sz w:val="24"/>
          <w:highlight w:val="none"/>
        </w:rPr>
        <w:t>投标</w:t>
      </w:r>
      <w:bookmarkEnd w:id="878"/>
      <w:bookmarkEnd w:id="879"/>
      <w:r>
        <w:rPr>
          <w:color w:val="auto"/>
          <w:sz w:val="24"/>
          <w:highlight w:val="none"/>
        </w:rPr>
        <w:t>书</w:t>
      </w:r>
      <w:bookmarkEnd w:id="880"/>
      <w:bookmarkEnd w:id="881"/>
      <w:bookmarkEnd w:id="882"/>
      <w:bookmarkEnd w:id="883"/>
      <w:bookmarkEnd w:id="884"/>
      <w:bookmarkEnd w:id="885"/>
      <w:bookmarkEnd w:id="886"/>
      <w:bookmarkEnd w:id="887"/>
      <w:bookmarkEnd w:id="888"/>
      <w:bookmarkEnd w:id="889"/>
      <w:r>
        <w:rPr>
          <w:color w:val="auto"/>
          <w:sz w:val="24"/>
          <w:szCs w:val="20"/>
          <w:highlight w:val="none"/>
        </w:rPr>
        <w:t>（实质性格式）</w:t>
      </w:r>
    </w:p>
    <w:p w14:paraId="244E5754">
      <w:pPr>
        <w:tabs>
          <w:tab w:val="left" w:pos="5580"/>
        </w:tabs>
        <w:spacing w:line="360" w:lineRule="auto"/>
        <w:rPr>
          <w:color w:val="auto"/>
          <w:sz w:val="24"/>
          <w:highlight w:val="none"/>
        </w:rPr>
      </w:pPr>
    </w:p>
    <w:p w14:paraId="73BC1FD2">
      <w:pPr>
        <w:spacing w:line="360" w:lineRule="auto"/>
        <w:jc w:val="center"/>
        <w:rPr>
          <w:b/>
          <w:color w:val="auto"/>
          <w:sz w:val="36"/>
          <w:szCs w:val="36"/>
          <w:highlight w:val="none"/>
        </w:rPr>
      </w:pPr>
      <w:r>
        <w:rPr>
          <w:b/>
          <w:color w:val="auto"/>
          <w:sz w:val="36"/>
          <w:szCs w:val="36"/>
          <w:highlight w:val="none"/>
        </w:rPr>
        <w:t>投标书</w:t>
      </w:r>
    </w:p>
    <w:p w14:paraId="05F5258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4FA17654">
      <w:pPr>
        <w:tabs>
          <w:tab w:val="left" w:pos="5580"/>
        </w:tabs>
        <w:spacing w:line="360" w:lineRule="auto"/>
        <w:rPr>
          <w:color w:val="auto"/>
          <w:sz w:val="24"/>
          <w:szCs w:val="20"/>
          <w:highlight w:val="none"/>
        </w:rPr>
      </w:pPr>
    </w:p>
    <w:p w14:paraId="35068B7A">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5541AD6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703F427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57C38FC2">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2D86C67C">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12BA185E">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4E3C1F43">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3C1209D9">
      <w:pPr>
        <w:spacing w:line="360" w:lineRule="auto"/>
        <w:ind w:firstLine="480" w:firstLineChars="200"/>
        <w:rPr>
          <w:color w:val="auto"/>
          <w:sz w:val="24"/>
          <w:highlight w:val="none"/>
        </w:rPr>
      </w:pPr>
      <w:r>
        <w:rPr>
          <w:color w:val="auto"/>
          <w:sz w:val="24"/>
          <w:highlight w:val="none"/>
        </w:rPr>
        <w:t>与本投标有关的一切正式往来信函请寄：</w:t>
      </w:r>
    </w:p>
    <w:p w14:paraId="60238000">
      <w:pPr>
        <w:tabs>
          <w:tab w:val="left" w:pos="5580"/>
        </w:tabs>
        <w:spacing w:line="360" w:lineRule="auto"/>
        <w:ind w:left="420"/>
        <w:rPr>
          <w:color w:val="auto"/>
          <w:sz w:val="24"/>
          <w:szCs w:val="20"/>
          <w:highlight w:val="none"/>
        </w:rPr>
      </w:pPr>
    </w:p>
    <w:p w14:paraId="6E732C2F">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3C81BFAB">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72454B84">
      <w:pPr>
        <w:tabs>
          <w:tab w:val="left" w:pos="5580"/>
        </w:tabs>
        <w:spacing w:line="360" w:lineRule="auto"/>
        <w:ind w:left="420"/>
        <w:rPr>
          <w:color w:val="auto"/>
          <w:sz w:val="24"/>
          <w:szCs w:val="20"/>
          <w:highlight w:val="none"/>
        </w:rPr>
      </w:pPr>
    </w:p>
    <w:p w14:paraId="69B97CFF">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663B8126">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1968192D">
      <w:pPr>
        <w:tabs>
          <w:tab w:val="left" w:pos="5580"/>
        </w:tabs>
        <w:spacing w:line="360" w:lineRule="auto"/>
        <w:ind w:left="420"/>
        <w:rPr>
          <w:color w:val="auto"/>
          <w:sz w:val="24"/>
          <w:szCs w:val="20"/>
          <w:highlight w:val="none"/>
          <w:u w:val="single"/>
        </w:rPr>
      </w:pPr>
    </w:p>
    <w:p w14:paraId="44560043">
      <w:pPr>
        <w:widowControl/>
        <w:jc w:val="left"/>
        <w:rPr>
          <w:color w:val="auto"/>
          <w:sz w:val="24"/>
          <w:highlight w:val="none"/>
        </w:rPr>
      </w:pPr>
      <w:bookmarkStart w:id="890" w:name="_Hlt520356243"/>
      <w:bookmarkEnd w:id="890"/>
      <w:bookmarkStart w:id="891" w:name="_Hlt520355938"/>
      <w:bookmarkEnd w:id="891"/>
      <w:bookmarkStart w:id="892" w:name="_Toc226309801"/>
      <w:bookmarkStart w:id="893" w:name="_Toc305158825"/>
      <w:bookmarkStart w:id="894" w:name="_Toc480942350"/>
      <w:bookmarkStart w:id="895" w:name="_Toc195842922"/>
      <w:bookmarkStart w:id="896" w:name="_Toc226965747"/>
      <w:bookmarkStart w:id="897" w:name="_Toc265228395"/>
      <w:bookmarkStart w:id="898" w:name="_Toc127151557"/>
      <w:bookmarkStart w:id="899" w:name="_Toc150774762"/>
      <w:bookmarkStart w:id="900" w:name="_Toc226337253"/>
      <w:bookmarkStart w:id="901" w:name="_Toc142311059"/>
      <w:bookmarkStart w:id="902" w:name="_Ref467988705"/>
      <w:bookmarkStart w:id="903" w:name="_Toc305158899"/>
      <w:bookmarkStart w:id="904" w:name="_Toc264969247"/>
      <w:bookmarkStart w:id="905" w:name="_Toc520356218"/>
      <w:bookmarkStart w:id="906" w:name="_Toc150480795"/>
      <w:bookmarkStart w:id="907" w:name="_Toc226965830"/>
      <w:r>
        <w:rPr>
          <w:color w:val="auto"/>
          <w:sz w:val="24"/>
          <w:highlight w:val="none"/>
        </w:rPr>
        <w:br w:type="page"/>
      </w:r>
    </w:p>
    <w:p w14:paraId="0D54BE85">
      <w:pPr>
        <w:numPr>
          <w:ilvl w:val="0"/>
          <w:numId w:val="17"/>
        </w:numPr>
        <w:tabs>
          <w:tab w:val="left" w:pos="360"/>
        </w:tabs>
        <w:snapToGrid w:val="0"/>
        <w:spacing w:line="360" w:lineRule="auto"/>
        <w:outlineLvl w:val="1"/>
        <w:rPr>
          <w:color w:val="auto"/>
          <w:sz w:val="24"/>
          <w:highlight w:val="none"/>
        </w:rPr>
      </w:pPr>
      <w:r>
        <w:rPr>
          <w:color w:val="auto"/>
          <w:sz w:val="24"/>
          <w:highlight w:val="none"/>
        </w:rPr>
        <w:t>授权委托书</w:t>
      </w:r>
    </w:p>
    <w:p w14:paraId="07A2AE08">
      <w:pPr>
        <w:spacing w:line="360" w:lineRule="exact"/>
        <w:jc w:val="center"/>
        <w:rPr>
          <w:b/>
          <w:color w:val="auto"/>
          <w:sz w:val="36"/>
          <w:szCs w:val="36"/>
          <w:highlight w:val="none"/>
        </w:rPr>
      </w:pPr>
      <w:r>
        <w:rPr>
          <w:b/>
          <w:color w:val="auto"/>
          <w:sz w:val="36"/>
          <w:szCs w:val="36"/>
          <w:highlight w:val="none"/>
        </w:rPr>
        <w:t>授权委托书</w:t>
      </w:r>
    </w:p>
    <w:p w14:paraId="1DD4DA58">
      <w:pPr>
        <w:spacing w:line="360" w:lineRule="auto"/>
        <w:ind w:firstLine="420"/>
        <w:rPr>
          <w:color w:val="auto"/>
          <w:sz w:val="24"/>
          <w:szCs w:val="20"/>
          <w:highlight w:val="none"/>
        </w:rPr>
      </w:pPr>
    </w:p>
    <w:p w14:paraId="13E9D79D">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69BB8F15">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D76480A">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63A41B21">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403C86CA">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5F896078">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532BC5C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3B2700F6">
      <w:pPr>
        <w:tabs>
          <w:tab w:val="left" w:pos="5580"/>
        </w:tabs>
        <w:spacing w:line="360" w:lineRule="auto"/>
        <w:ind w:firstLine="480" w:firstLineChars="200"/>
        <w:rPr>
          <w:color w:val="auto"/>
          <w:sz w:val="24"/>
          <w:szCs w:val="20"/>
          <w:highlight w:val="none"/>
        </w:rPr>
      </w:pPr>
    </w:p>
    <w:p w14:paraId="7FF5F955">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519DD948">
      <w:pPr>
        <w:tabs>
          <w:tab w:val="left" w:pos="5580"/>
        </w:tabs>
        <w:spacing w:line="360" w:lineRule="auto"/>
        <w:jc w:val="left"/>
        <w:rPr>
          <w:color w:val="auto"/>
          <w:sz w:val="24"/>
          <w:szCs w:val="20"/>
          <w:highlight w:val="none"/>
        </w:rPr>
      </w:pPr>
    </w:p>
    <w:p w14:paraId="7F5EFF30">
      <w:pPr>
        <w:tabs>
          <w:tab w:val="left" w:pos="5580"/>
        </w:tabs>
        <w:spacing w:line="360" w:lineRule="auto"/>
        <w:jc w:val="left"/>
        <w:rPr>
          <w:color w:val="auto"/>
          <w:sz w:val="24"/>
          <w:szCs w:val="20"/>
          <w:highlight w:val="none"/>
        </w:rPr>
      </w:pPr>
    </w:p>
    <w:p w14:paraId="026DA896">
      <w:pPr>
        <w:tabs>
          <w:tab w:val="left" w:pos="5580"/>
        </w:tabs>
        <w:spacing w:line="360" w:lineRule="auto"/>
        <w:jc w:val="left"/>
        <w:rPr>
          <w:color w:val="auto"/>
          <w:sz w:val="24"/>
          <w:szCs w:val="20"/>
          <w:highlight w:val="none"/>
        </w:rPr>
      </w:pPr>
    </w:p>
    <w:p w14:paraId="1934F466">
      <w:pPr>
        <w:tabs>
          <w:tab w:val="left" w:pos="5580"/>
        </w:tabs>
        <w:spacing w:line="360" w:lineRule="auto"/>
        <w:jc w:val="left"/>
        <w:rPr>
          <w:color w:val="auto"/>
          <w:sz w:val="24"/>
          <w:szCs w:val="20"/>
          <w:highlight w:val="none"/>
        </w:rPr>
      </w:pPr>
    </w:p>
    <w:p w14:paraId="499FD390">
      <w:pPr>
        <w:tabs>
          <w:tab w:val="left" w:pos="5580"/>
        </w:tabs>
        <w:spacing w:line="360" w:lineRule="auto"/>
        <w:jc w:val="left"/>
        <w:rPr>
          <w:color w:val="auto"/>
          <w:sz w:val="24"/>
          <w:szCs w:val="20"/>
          <w:highlight w:val="none"/>
        </w:rPr>
      </w:pPr>
    </w:p>
    <w:p w14:paraId="21DD6030">
      <w:pPr>
        <w:tabs>
          <w:tab w:val="left" w:pos="5580"/>
        </w:tabs>
        <w:spacing w:line="360" w:lineRule="auto"/>
        <w:jc w:val="left"/>
        <w:rPr>
          <w:color w:val="auto"/>
          <w:sz w:val="24"/>
          <w:szCs w:val="20"/>
          <w:highlight w:val="none"/>
        </w:rPr>
      </w:pPr>
      <w:r>
        <w:rPr>
          <w:color w:val="auto"/>
          <w:sz w:val="24"/>
          <w:szCs w:val="20"/>
          <w:highlight w:val="none"/>
        </w:rPr>
        <w:t>说明：</w:t>
      </w:r>
    </w:p>
    <w:p w14:paraId="3C3ED407">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1BCED177">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7CE8EFFE">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3DB1BD6B">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3C6C5182">
      <w:pPr>
        <w:spacing w:line="360" w:lineRule="exact"/>
        <w:jc w:val="center"/>
        <w:rPr>
          <w:b/>
          <w:color w:val="auto"/>
          <w:sz w:val="36"/>
          <w:szCs w:val="36"/>
          <w:highlight w:val="none"/>
        </w:rPr>
      </w:pPr>
      <w:r>
        <w:rPr>
          <w:b/>
          <w:color w:val="auto"/>
          <w:sz w:val="36"/>
          <w:szCs w:val="36"/>
          <w:highlight w:val="none"/>
        </w:rPr>
        <w:t>法定代表人（单位负责人）身份证明</w:t>
      </w:r>
    </w:p>
    <w:p w14:paraId="7185532E">
      <w:pPr>
        <w:kinsoku w:val="0"/>
        <w:overflowPunct w:val="0"/>
        <w:spacing w:line="200" w:lineRule="exact"/>
        <w:rPr>
          <w:color w:val="auto"/>
          <w:sz w:val="20"/>
          <w:szCs w:val="20"/>
          <w:highlight w:val="none"/>
        </w:rPr>
      </w:pPr>
    </w:p>
    <w:p w14:paraId="5BCF0E6C">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C68CE48">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020F6B8B">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0F0F0CAB">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10B1BDB">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0B5D38E">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870B449">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2CA655E5">
      <w:pPr>
        <w:pStyle w:val="17"/>
        <w:kinsoku w:val="0"/>
        <w:overflowPunct w:val="0"/>
        <w:spacing w:line="583" w:lineRule="auto"/>
        <w:ind w:right="4305"/>
        <w:rPr>
          <w:rFonts w:ascii="Times New Roman" w:hAnsi="Times New Roman"/>
          <w:color w:val="auto"/>
          <w:spacing w:val="-3"/>
          <w:highlight w:val="none"/>
        </w:rPr>
      </w:pPr>
    </w:p>
    <w:p w14:paraId="3A59E827">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55212EF0">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21E4BEBD">
      <w:pPr>
        <w:autoSpaceDE w:val="0"/>
        <w:autoSpaceDN w:val="0"/>
        <w:adjustRightInd w:val="0"/>
        <w:snapToGrid w:val="0"/>
        <w:spacing w:line="360" w:lineRule="auto"/>
        <w:rPr>
          <w:color w:val="auto"/>
          <w:sz w:val="24"/>
          <w:highlight w:val="none"/>
        </w:rPr>
      </w:pPr>
    </w:p>
    <w:p w14:paraId="3AEB74A1">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074BC277">
      <w:pPr>
        <w:widowControl/>
        <w:jc w:val="left"/>
        <w:rPr>
          <w:i/>
          <w:color w:val="auto"/>
          <w:sz w:val="24"/>
          <w:szCs w:val="20"/>
          <w:highlight w:val="none"/>
          <w:u w:val="single"/>
        </w:rPr>
      </w:pPr>
    </w:p>
    <w:p w14:paraId="355A98C3">
      <w:pPr>
        <w:widowControl/>
        <w:jc w:val="left"/>
        <w:rPr>
          <w:color w:val="auto"/>
          <w:sz w:val="24"/>
          <w:szCs w:val="20"/>
          <w:highlight w:val="none"/>
        </w:rPr>
      </w:pPr>
      <w:r>
        <w:rPr>
          <w:color w:val="auto"/>
          <w:sz w:val="24"/>
          <w:szCs w:val="20"/>
          <w:highlight w:val="none"/>
        </w:rPr>
        <w:br w:type="page"/>
      </w:r>
    </w:p>
    <w:p w14:paraId="2DD1E107">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auto"/>
          <w:sz w:val="24"/>
          <w:szCs w:val="20"/>
          <w:highlight w:val="none"/>
        </w:rPr>
        <w:t>（实质性格式）</w:t>
      </w:r>
    </w:p>
    <w:p w14:paraId="6F68957A">
      <w:pPr>
        <w:spacing w:line="360" w:lineRule="exact"/>
        <w:jc w:val="center"/>
        <w:rPr>
          <w:b/>
          <w:color w:val="auto"/>
          <w:sz w:val="36"/>
          <w:szCs w:val="36"/>
          <w:highlight w:val="none"/>
        </w:rPr>
      </w:pPr>
      <w:bookmarkStart w:id="908" w:name="_Toc226965831"/>
      <w:bookmarkStart w:id="909" w:name="_Toc265228396"/>
      <w:bookmarkStart w:id="910" w:name="_Toc264969248"/>
      <w:bookmarkStart w:id="911" w:name="_Toc226965748"/>
      <w:bookmarkStart w:id="912" w:name="_Toc305158826"/>
      <w:bookmarkStart w:id="913" w:name="_Toc226309802"/>
      <w:bookmarkStart w:id="914" w:name="_Toc164608672"/>
      <w:bookmarkStart w:id="915" w:name="_Toc195842923"/>
      <w:bookmarkStart w:id="916" w:name="_Toc305158900"/>
      <w:bookmarkStart w:id="917" w:name="_Toc226337254"/>
      <w:bookmarkStart w:id="918" w:name="_Toc164608827"/>
      <w:r>
        <w:rPr>
          <w:b/>
          <w:color w:val="auto"/>
          <w:sz w:val="36"/>
          <w:szCs w:val="36"/>
          <w:highlight w:val="none"/>
        </w:rPr>
        <w:t>开标一览表</w:t>
      </w:r>
      <w:bookmarkEnd w:id="908"/>
      <w:bookmarkEnd w:id="909"/>
      <w:bookmarkEnd w:id="910"/>
      <w:bookmarkEnd w:id="911"/>
      <w:bookmarkEnd w:id="912"/>
      <w:bookmarkEnd w:id="913"/>
      <w:bookmarkEnd w:id="914"/>
      <w:bookmarkEnd w:id="915"/>
      <w:bookmarkEnd w:id="916"/>
      <w:bookmarkEnd w:id="917"/>
      <w:bookmarkEnd w:id="918"/>
    </w:p>
    <w:p w14:paraId="0D46A25F">
      <w:pPr>
        <w:tabs>
          <w:tab w:val="left" w:pos="1800"/>
          <w:tab w:val="left" w:pos="5580"/>
        </w:tabs>
        <w:spacing w:line="360" w:lineRule="auto"/>
        <w:jc w:val="left"/>
        <w:rPr>
          <w:i/>
          <w:color w:val="auto"/>
          <w:sz w:val="24"/>
          <w:highlight w:val="none"/>
        </w:rPr>
      </w:pPr>
    </w:p>
    <w:p w14:paraId="0FD7F63D">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3"/>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6"/>
        <w:gridCol w:w="2646"/>
        <w:gridCol w:w="1275"/>
        <w:gridCol w:w="1562"/>
        <w:gridCol w:w="1418"/>
        <w:gridCol w:w="1419"/>
      </w:tblGrid>
      <w:tr w14:paraId="150D6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81" w:type="pct"/>
            <w:vMerge w:val="restart"/>
            <w:vAlign w:val="center"/>
          </w:tcPr>
          <w:p w14:paraId="33B94612">
            <w:pPr>
              <w:tabs>
                <w:tab w:val="left" w:pos="5580"/>
              </w:tabs>
              <w:jc w:val="center"/>
              <w:rPr>
                <w:b/>
                <w:color w:val="auto"/>
                <w:sz w:val="24"/>
                <w:highlight w:val="none"/>
              </w:rPr>
            </w:pPr>
            <w:r>
              <w:rPr>
                <w:b/>
                <w:color w:val="auto"/>
                <w:sz w:val="24"/>
                <w:highlight w:val="none"/>
              </w:rPr>
              <w:t>包号</w:t>
            </w:r>
          </w:p>
        </w:tc>
        <w:tc>
          <w:tcPr>
            <w:tcW w:w="1469" w:type="pct"/>
            <w:vMerge w:val="restart"/>
            <w:vAlign w:val="center"/>
          </w:tcPr>
          <w:p w14:paraId="339F2F46">
            <w:pPr>
              <w:tabs>
                <w:tab w:val="left" w:pos="5580"/>
              </w:tabs>
              <w:jc w:val="center"/>
              <w:rPr>
                <w:b/>
                <w:color w:val="auto"/>
                <w:sz w:val="24"/>
                <w:highlight w:val="none"/>
              </w:rPr>
            </w:pPr>
            <w:r>
              <w:rPr>
                <w:b/>
                <w:color w:val="auto"/>
                <w:sz w:val="24"/>
                <w:highlight w:val="none"/>
              </w:rPr>
              <w:t>投标人名称</w:t>
            </w:r>
          </w:p>
        </w:tc>
        <w:tc>
          <w:tcPr>
            <w:tcW w:w="1575" w:type="pct"/>
            <w:gridSpan w:val="2"/>
            <w:vAlign w:val="center"/>
          </w:tcPr>
          <w:p w14:paraId="7D28E01A">
            <w:pPr>
              <w:tabs>
                <w:tab w:val="left" w:pos="5580"/>
              </w:tabs>
              <w:jc w:val="center"/>
              <w:rPr>
                <w:b/>
                <w:color w:val="auto"/>
                <w:sz w:val="24"/>
                <w:highlight w:val="none"/>
              </w:rPr>
            </w:pPr>
            <w:r>
              <w:rPr>
                <w:b/>
                <w:color w:val="auto"/>
                <w:sz w:val="24"/>
                <w:highlight w:val="none"/>
              </w:rPr>
              <w:t>投标报价</w:t>
            </w:r>
          </w:p>
        </w:tc>
        <w:tc>
          <w:tcPr>
            <w:tcW w:w="787" w:type="pct"/>
            <w:vAlign w:val="center"/>
          </w:tcPr>
          <w:p w14:paraId="67852DF3">
            <w:pPr>
              <w:tabs>
                <w:tab w:val="left" w:pos="5580"/>
              </w:tabs>
              <w:jc w:val="center"/>
              <w:rPr>
                <w:b/>
                <w:color w:val="auto"/>
                <w:sz w:val="24"/>
                <w:highlight w:val="none"/>
              </w:rPr>
            </w:pPr>
            <w:r>
              <w:rPr>
                <w:b/>
                <w:color w:val="auto"/>
                <w:sz w:val="24"/>
                <w:highlight w:val="none"/>
              </w:rPr>
              <w:t>服务地点</w:t>
            </w:r>
          </w:p>
        </w:tc>
        <w:tc>
          <w:tcPr>
            <w:tcW w:w="788" w:type="pct"/>
            <w:vAlign w:val="center"/>
          </w:tcPr>
          <w:p w14:paraId="0BFE3238">
            <w:pPr>
              <w:tabs>
                <w:tab w:val="left" w:pos="5580"/>
              </w:tabs>
              <w:jc w:val="center"/>
              <w:rPr>
                <w:b/>
                <w:color w:val="auto"/>
                <w:sz w:val="24"/>
                <w:highlight w:val="none"/>
              </w:rPr>
            </w:pPr>
            <w:r>
              <w:rPr>
                <w:b/>
                <w:color w:val="auto"/>
                <w:sz w:val="24"/>
                <w:highlight w:val="none"/>
              </w:rPr>
              <w:t>服务周期</w:t>
            </w:r>
          </w:p>
        </w:tc>
      </w:tr>
      <w:tr w14:paraId="5666E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81" w:type="pct"/>
            <w:vMerge w:val="continue"/>
            <w:vAlign w:val="center"/>
          </w:tcPr>
          <w:p w14:paraId="73E9EE6F">
            <w:pPr>
              <w:tabs>
                <w:tab w:val="left" w:pos="5580"/>
              </w:tabs>
              <w:jc w:val="center"/>
              <w:rPr>
                <w:color w:val="auto"/>
                <w:sz w:val="24"/>
                <w:highlight w:val="none"/>
              </w:rPr>
            </w:pPr>
          </w:p>
        </w:tc>
        <w:tc>
          <w:tcPr>
            <w:tcW w:w="1469" w:type="pct"/>
            <w:vMerge w:val="continue"/>
            <w:vAlign w:val="center"/>
          </w:tcPr>
          <w:p w14:paraId="1B0CC479">
            <w:pPr>
              <w:tabs>
                <w:tab w:val="left" w:pos="5580"/>
              </w:tabs>
              <w:jc w:val="center"/>
              <w:rPr>
                <w:color w:val="auto"/>
                <w:sz w:val="24"/>
                <w:highlight w:val="none"/>
              </w:rPr>
            </w:pPr>
          </w:p>
        </w:tc>
        <w:tc>
          <w:tcPr>
            <w:tcW w:w="708" w:type="pct"/>
            <w:vAlign w:val="center"/>
          </w:tcPr>
          <w:p w14:paraId="7CF469EF">
            <w:pPr>
              <w:tabs>
                <w:tab w:val="left" w:pos="5580"/>
              </w:tabs>
              <w:jc w:val="center"/>
              <w:rPr>
                <w:b/>
                <w:color w:val="auto"/>
                <w:sz w:val="24"/>
                <w:highlight w:val="none"/>
              </w:rPr>
            </w:pPr>
            <w:r>
              <w:rPr>
                <w:b/>
                <w:color w:val="auto"/>
                <w:sz w:val="24"/>
                <w:highlight w:val="none"/>
              </w:rPr>
              <w:t>大写</w:t>
            </w:r>
          </w:p>
        </w:tc>
        <w:tc>
          <w:tcPr>
            <w:tcW w:w="867" w:type="pct"/>
            <w:vAlign w:val="center"/>
          </w:tcPr>
          <w:p w14:paraId="5A949703">
            <w:pPr>
              <w:tabs>
                <w:tab w:val="left" w:pos="5580"/>
              </w:tabs>
              <w:jc w:val="center"/>
              <w:rPr>
                <w:b/>
                <w:color w:val="auto"/>
                <w:sz w:val="24"/>
                <w:highlight w:val="none"/>
              </w:rPr>
            </w:pPr>
            <w:r>
              <w:rPr>
                <w:b/>
                <w:color w:val="auto"/>
                <w:sz w:val="24"/>
                <w:highlight w:val="none"/>
              </w:rPr>
              <w:t>小写</w:t>
            </w:r>
          </w:p>
        </w:tc>
        <w:tc>
          <w:tcPr>
            <w:tcW w:w="787" w:type="pct"/>
            <w:vMerge w:val="restart"/>
          </w:tcPr>
          <w:p w14:paraId="3DF8B742">
            <w:pPr>
              <w:tabs>
                <w:tab w:val="left" w:pos="5580"/>
              </w:tabs>
              <w:jc w:val="center"/>
              <w:rPr>
                <w:b/>
                <w:color w:val="auto"/>
                <w:sz w:val="24"/>
                <w:highlight w:val="none"/>
              </w:rPr>
            </w:pPr>
          </w:p>
        </w:tc>
        <w:tc>
          <w:tcPr>
            <w:tcW w:w="788" w:type="pct"/>
            <w:vMerge w:val="restart"/>
          </w:tcPr>
          <w:p w14:paraId="2CCCD3C8">
            <w:pPr>
              <w:tabs>
                <w:tab w:val="left" w:pos="5580"/>
              </w:tabs>
              <w:jc w:val="center"/>
              <w:rPr>
                <w:b/>
                <w:color w:val="auto"/>
                <w:sz w:val="24"/>
                <w:highlight w:val="none"/>
              </w:rPr>
            </w:pPr>
          </w:p>
        </w:tc>
      </w:tr>
      <w:tr w14:paraId="5036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81" w:type="pct"/>
            <w:vAlign w:val="center"/>
          </w:tcPr>
          <w:p w14:paraId="16A5B182">
            <w:pPr>
              <w:tabs>
                <w:tab w:val="left" w:pos="5580"/>
              </w:tabs>
              <w:jc w:val="center"/>
              <w:rPr>
                <w:color w:val="auto"/>
                <w:sz w:val="24"/>
                <w:highlight w:val="none"/>
              </w:rPr>
            </w:pPr>
          </w:p>
        </w:tc>
        <w:tc>
          <w:tcPr>
            <w:tcW w:w="1469" w:type="pct"/>
            <w:vAlign w:val="center"/>
          </w:tcPr>
          <w:p w14:paraId="2B27F470">
            <w:pPr>
              <w:tabs>
                <w:tab w:val="left" w:pos="5580"/>
              </w:tabs>
              <w:jc w:val="center"/>
              <w:rPr>
                <w:color w:val="auto"/>
                <w:sz w:val="24"/>
                <w:highlight w:val="none"/>
              </w:rPr>
            </w:pPr>
          </w:p>
        </w:tc>
        <w:tc>
          <w:tcPr>
            <w:tcW w:w="708" w:type="pct"/>
            <w:vAlign w:val="center"/>
          </w:tcPr>
          <w:p w14:paraId="10ED44A1">
            <w:pPr>
              <w:tabs>
                <w:tab w:val="left" w:pos="5580"/>
              </w:tabs>
              <w:jc w:val="center"/>
              <w:rPr>
                <w:color w:val="auto"/>
                <w:sz w:val="24"/>
                <w:highlight w:val="none"/>
              </w:rPr>
            </w:pPr>
          </w:p>
        </w:tc>
        <w:tc>
          <w:tcPr>
            <w:tcW w:w="867" w:type="pct"/>
            <w:vAlign w:val="center"/>
          </w:tcPr>
          <w:p w14:paraId="5D5B03FA">
            <w:pPr>
              <w:tabs>
                <w:tab w:val="left" w:pos="5580"/>
              </w:tabs>
              <w:jc w:val="center"/>
              <w:rPr>
                <w:color w:val="auto"/>
                <w:sz w:val="24"/>
                <w:highlight w:val="none"/>
              </w:rPr>
            </w:pPr>
          </w:p>
        </w:tc>
        <w:tc>
          <w:tcPr>
            <w:tcW w:w="787" w:type="pct"/>
            <w:vMerge w:val="continue"/>
          </w:tcPr>
          <w:p w14:paraId="4F1F840E">
            <w:pPr>
              <w:tabs>
                <w:tab w:val="left" w:pos="5580"/>
              </w:tabs>
              <w:jc w:val="center"/>
              <w:rPr>
                <w:color w:val="auto"/>
                <w:sz w:val="24"/>
                <w:highlight w:val="none"/>
              </w:rPr>
            </w:pPr>
          </w:p>
        </w:tc>
        <w:tc>
          <w:tcPr>
            <w:tcW w:w="788" w:type="pct"/>
            <w:vMerge w:val="continue"/>
          </w:tcPr>
          <w:p w14:paraId="2667CBF4">
            <w:pPr>
              <w:tabs>
                <w:tab w:val="left" w:pos="5580"/>
              </w:tabs>
              <w:jc w:val="center"/>
              <w:rPr>
                <w:color w:val="auto"/>
                <w:sz w:val="24"/>
                <w:highlight w:val="none"/>
              </w:rPr>
            </w:pPr>
          </w:p>
        </w:tc>
      </w:tr>
    </w:tbl>
    <w:p w14:paraId="5A9A6D0E">
      <w:pPr>
        <w:autoSpaceDE w:val="0"/>
        <w:autoSpaceDN w:val="0"/>
        <w:adjustRightInd w:val="0"/>
        <w:jc w:val="left"/>
        <w:rPr>
          <w:color w:val="auto"/>
          <w:kern w:val="0"/>
          <w:sz w:val="24"/>
          <w:highlight w:val="none"/>
        </w:rPr>
      </w:pPr>
    </w:p>
    <w:p w14:paraId="2C7F13CE">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79E0C881">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1FA64240">
      <w:pPr>
        <w:autoSpaceDE w:val="0"/>
        <w:autoSpaceDN w:val="0"/>
        <w:adjustRightInd w:val="0"/>
        <w:snapToGrid w:val="0"/>
        <w:spacing w:before="25" w:after="25" w:line="360" w:lineRule="auto"/>
        <w:rPr>
          <w:color w:val="auto"/>
          <w:sz w:val="24"/>
          <w:highlight w:val="none"/>
          <w:lang w:val="zh-CN"/>
        </w:rPr>
      </w:pPr>
    </w:p>
    <w:p w14:paraId="6406149B">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CFB9D7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21ACCC72">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CAD80E1">
      <w:pPr>
        <w:widowControl/>
        <w:jc w:val="left"/>
        <w:rPr>
          <w:color w:val="auto"/>
          <w:sz w:val="24"/>
          <w:szCs w:val="20"/>
          <w:highlight w:val="none"/>
        </w:rPr>
      </w:pPr>
      <w:bookmarkStart w:id="919" w:name="_Toc226309803"/>
      <w:bookmarkStart w:id="920" w:name="_Toc226337255"/>
      <w:bookmarkStart w:id="921" w:name="_Toc142311060"/>
      <w:bookmarkStart w:id="922" w:name="_Toc305158827"/>
      <w:bookmarkStart w:id="923" w:name="_Toc226965832"/>
      <w:bookmarkStart w:id="924" w:name="_Toc150774763"/>
      <w:bookmarkStart w:id="925" w:name="_Toc226965749"/>
      <w:bookmarkStart w:id="926" w:name="_Toc264969249"/>
      <w:bookmarkStart w:id="927" w:name="_Toc305158901"/>
      <w:bookmarkStart w:id="928" w:name="_Toc127151558"/>
      <w:bookmarkStart w:id="929" w:name="_Toc195842924"/>
      <w:bookmarkStart w:id="930" w:name="_Toc265228397"/>
      <w:bookmarkStart w:id="931" w:name="_Toc150480796"/>
    </w:p>
    <w:p w14:paraId="3F7D372F">
      <w:pPr>
        <w:widowControl/>
        <w:jc w:val="left"/>
        <w:rPr>
          <w:color w:val="auto"/>
          <w:sz w:val="24"/>
          <w:szCs w:val="20"/>
          <w:highlight w:val="none"/>
        </w:rPr>
      </w:pPr>
    </w:p>
    <w:p w14:paraId="13E33100">
      <w:pPr>
        <w:numPr>
          <w:ilvl w:val="0"/>
          <w:numId w:val="17"/>
        </w:numPr>
        <w:tabs>
          <w:tab w:val="left" w:pos="360"/>
        </w:tabs>
        <w:snapToGrid w:val="0"/>
        <w:spacing w:line="360" w:lineRule="auto"/>
        <w:outlineLvl w:val="1"/>
        <w:rPr>
          <w:color w:val="auto"/>
          <w:sz w:val="24"/>
          <w:szCs w:val="20"/>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75739418">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919"/>
      <w:bookmarkEnd w:id="920"/>
      <w:bookmarkEnd w:id="921"/>
      <w:bookmarkEnd w:id="922"/>
      <w:bookmarkEnd w:id="923"/>
      <w:bookmarkEnd w:id="924"/>
      <w:bookmarkEnd w:id="925"/>
      <w:bookmarkEnd w:id="926"/>
      <w:bookmarkEnd w:id="927"/>
      <w:bookmarkEnd w:id="928"/>
      <w:bookmarkEnd w:id="929"/>
      <w:bookmarkEnd w:id="930"/>
      <w:bookmarkEnd w:id="931"/>
    </w:p>
    <w:p w14:paraId="1BD3050C">
      <w:pPr>
        <w:spacing w:line="360" w:lineRule="exact"/>
        <w:jc w:val="center"/>
        <w:rPr>
          <w:color w:val="auto"/>
          <w:sz w:val="36"/>
          <w:szCs w:val="36"/>
          <w:highlight w:val="none"/>
        </w:rPr>
      </w:pPr>
    </w:p>
    <w:p w14:paraId="013624CB">
      <w:pPr>
        <w:spacing w:line="360" w:lineRule="exact"/>
        <w:jc w:val="center"/>
        <w:rPr>
          <w:b/>
          <w:color w:val="auto"/>
          <w:sz w:val="36"/>
          <w:szCs w:val="36"/>
          <w:highlight w:val="none"/>
        </w:rPr>
      </w:pPr>
      <w:r>
        <w:rPr>
          <w:b/>
          <w:color w:val="auto"/>
          <w:sz w:val="36"/>
          <w:szCs w:val="36"/>
          <w:highlight w:val="none"/>
        </w:rPr>
        <w:t>投标分项报价表</w:t>
      </w:r>
    </w:p>
    <w:p w14:paraId="64201F58">
      <w:pPr>
        <w:spacing w:line="260" w:lineRule="exact"/>
        <w:jc w:val="center"/>
        <w:rPr>
          <w:color w:val="auto"/>
          <w:sz w:val="36"/>
          <w:szCs w:val="36"/>
          <w:highlight w:val="none"/>
        </w:rPr>
      </w:pPr>
    </w:p>
    <w:p w14:paraId="0800261A">
      <w:pPr>
        <w:tabs>
          <w:tab w:val="left" w:pos="1800"/>
          <w:tab w:val="left" w:pos="5580"/>
        </w:tabs>
        <w:rPr>
          <w:color w:val="auto"/>
          <w:sz w:val="24"/>
          <w:highlight w:val="none"/>
        </w:rPr>
      </w:pPr>
      <w:bookmarkStart w:id="932" w:name="_Toc265228400"/>
      <w:bookmarkStart w:id="933" w:name="_Toc127151562"/>
      <w:bookmarkStart w:id="934" w:name="_Toc264969252"/>
      <w:bookmarkStart w:id="935" w:name="_Toc150480798"/>
      <w:bookmarkStart w:id="936" w:name="_Toc226965752"/>
      <w:bookmarkStart w:id="937" w:name="_Toc305158830"/>
      <w:bookmarkStart w:id="938" w:name="_Toc305158904"/>
      <w:bookmarkStart w:id="939" w:name="_Toc150774765"/>
      <w:bookmarkStart w:id="940" w:name="_Toc142311062"/>
      <w:bookmarkStart w:id="941" w:name="_Toc226309806"/>
      <w:bookmarkStart w:id="942" w:name="_Toc195842927"/>
      <w:bookmarkStart w:id="943" w:name="_Toc226337258"/>
      <w:bookmarkStart w:id="944" w:name="_Toc226965835"/>
      <w:bookmarkStart w:id="945" w:name="_Toc305158903"/>
      <w:bookmarkStart w:id="946" w:name="_Toc150480797"/>
      <w:bookmarkStart w:id="947" w:name="_Toc226965751"/>
      <w:bookmarkStart w:id="948" w:name="_Toc127151561"/>
      <w:bookmarkStart w:id="949" w:name="_Toc226309805"/>
      <w:bookmarkStart w:id="950" w:name="_Toc142311061"/>
      <w:bookmarkStart w:id="951" w:name="_Toc195842926"/>
      <w:bookmarkStart w:id="952" w:name="_Toc264969251"/>
      <w:bookmarkStart w:id="953" w:name="_Toc226965834"/>
      <w:bookmarkStart w:id="954" w:name="_Toc150774764"/>
      <w:bookmarkStart w:id="955" w:name="_Toc226337257"/>
      <w:bookmarkStart w:id="956" w:name="_Toc265228399"/>
      <w:bookmarkStart w:id="957" w:name="_Toc305158829"/>
      <w:r>
        <w:rPr>
          <w:color w:val="auto"/>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5D555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1F3191B8">
            <w:pPr>
              <w:adjustRightInd w:val="0"/>
              <w:snapToGrid w:val="0"/>
              <w:jc w:val="left"/>
              <w:rPr>
                <w:b/>
                <w:color w:val="auto"/>
                <w:sz w:val="24"/>
                <w:highlight w:val="none"/>
              </w:rPr>
            </w:pPr>
            <w:r>
              <w:rPr>
                <w:b/>
                <w:color w:val="auto"/>
                <w:sz w:val="24"/>
                <w:highlight w:val="none"/>
              </w:rPr>
              <w:t>序号</w:t>
            </w:r>
          </w:p>
        </w:tc>
        <w:tc>
          <w:tcPr>
            <w:tcW w:w="1605" w:type="pct"/>
            <w:vAlign w:val="center"/>
          </w:tcPr>
          <w:p w14:paraId="7A4DAAE7">
            <w:pPr>
              <w:adjustRightInd w:val="0"/>
              <w:snapToGrid w:val="0"/>
              <w:jc w:val="center"/>
              <w:rPr>
                <w:b/>
                <w:color w:val="auto"/>
                <w:sz w:val="24"/>
                <w:highlight w:val="none"/>
              </w:rPr>
            </w:pPr>
            <w:r>
              <w:rPr>
                <w:b/>
                <w:color w:val="auto"/>
                <w:sz w:val="24"/>
                <w:highlight w:val="none"/>
              </w:rPr>
              <w:t>分项名称</w:t>
            </w:r>
          </w:p>
        </w:tc>
        <w:tc>
          <w:tcPr>
            <w:tcW w:w="736" w:type="pct"/>
            <w:vAlign w:val="center"/>
          </w:tcPr>
          <w:p w14:paraId="6DE484C7">
            <w:pPr>
              <w:adjustRightInd w:val="0"/>
              <w:snapToGrid w:val="0"/>
              <w:jc w:val="center"/>
              <w:rPr>
                <w:b/>
                <w:color w:val="auto"/>
                <w:sz w:val="24"/>
                <w:highlight w:val="none"/>
              </w:rPr>
            </w:pPr>
            <w:r>
              <w:rPr>
                <w:b/>
                <w:color w:val="auto"/>
                <w:sz w:val="24"/>
                <w:highlight w:val="none"/>
              </w:rPr>
              <w:t>单价（元）</w:t>
            </w:r>
          </w:p>
        </w:tc>
        <w:tc>
          <w:tcPr>
            <w:tcW w:w="659" w:type="pct"/>
            <w:vAlign w:val="center"/>
          </w:tcPr>
          <w:p w14:paraId="2430D305">
            <w:pPr>
              <w:adjustRightInd w:val="0"/>
              <w:snapToGrid w:val="0"/>
              <w:jc w:val="center"/>
              <w:rPr>
                <w:b/>
                <w:color w:val="auto"/>
                <w:sz w:val="24"/>
                <w:highlight w:val="none"/>
              </w:rPr>
            </w:pPr>
            <w:r>
              <w:rPr>
                <w:b/>
                <w:color w:val="auto"/>
                <w:sz w:val="24"/>
                <w:highlight w:val="none"/>
              </w:rPr>
              <w:t>数量</w:t>
            </w:r>
          </w:p>
        </w:tc>
        <w:tc>
          <w:tcPr>
            <w:tcW w:w="735" w:type="pct"/>
            <w:vAlign w:val="center"/>
          </w:tcPr>
          <w:p w14:paraId="2BE47039">
            <w:pPr>
              <w:adjustRightInd w:val="0"/>
              <w:snapToGrid w:val="0"/>
              <w:jc w:val="center"/>
              <w:rPr>
                <w:b/>
                <w:color w:val="auto"/>
                <w:sz w:val="24"/>
                <w:highlight w:val="none"/>
              </w:rPr>
            </w:pPr>
            <w:r>
              <w:rPr>
                <w:b/>
                <w:color w:val="auto"/>
                <w:sz w:val="24"/>
                <w:highlight w:val="none"/>
              </w:rPr>
              <w:t>合价（元）</w:t>
            </w:r>
          </w:p>
        </w:tc>
        <w:tc>
          <w:tcPr>
            <w:tcW w:w="933" w:type="pct"/>
            <w:vAlign w:val="center"/>
          </w:tcPr>
          <w:p w14:paraId="60B0FFA4">
            <w:pPr>
              <w:adjustRightInd w:val="0"/>
              <w:snapToGrid w:val="0"/>
              <w:jc w:val="center"/>
              <w:rPr>
                <w:b/>
                <w:color w:val="auto"/>
                <w:sz w:val="24"/>
                <w:highlight w:val="none"/>
              </w:rPr>
            </w:pPr>
            <w:r>
              <w:rPr>
                <w:b/>
                <w:color w:val="auto"/>
                <w:sz w:val="24"/>
                <w:highlight w:val="none"/>
              </w:rPr>
              <w:t>备注/说明</w:t>
            </w:r>
          </w:p>
        </w:tc>
      </w:tr>
      <w:tr w14:paraId="5797F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E266720">
            <w:pPr>
              <w:adjustRightInd w:val="0"/>
              <w:snapToGrid w:val="0"/>
              <w:jc w:val="center"/>
              <w:rPr>
                <w:color w:val="auto"/>
                <w:sz w:val="24"/>
                <w:highlight w:val="none"/>
              </w:rPr>
            </w:pPr>
            <w:r>
              <w:rPr>
                <w:color w:val="auto"/>
                <w:sz w:val="24"/>
                <w:highlight w:val="none"/>
              </w:rPr>
              <w:t>1</w:t>
            </w:r>
          </w:p>
        </w:tc>
        <w:tc>
          <w:tcPr>
            <w:tcW w:w="1605" w:type="pct"/>
            <w:vAlign w:val="center"/>
          </w:tcPr>
          <w:p w14:paraId="572DE77F">
            <w:pPr>
              <w:adjustRightInd w:val="0"/>
              <w:snapToGrid w:val="0"/>
              <w:jc w:val="left"/>
              <w:rPr>
                <w:color w:val="auto"/>
                <w:sz w:val="24"/>
                <w:highlight w:val="none"/>
              </w:rPr>
            </w:pPr>
          </w:p>
        </w:tc>
        <w:tc>
          <w:tcPr>
            <w:tcW w:w="736" w:type="pct"/>
            <w:vAlign w:val="center"/>
          </w:tcPr>
          <w:p w14:paraId="6585378B">
            <w:pPr>
              <w:adjustRightInd w:val="0"/>
              <w:snapToGrid w:val="0"/>
              <w:jc w:val="left"/>
              <w:rPr>
                <w:color w:val="auto"/>
                <w:sz w:val="24"/>
                <w:highlight w:val="none"/>
              </w:rPr>
            </w:pPr>
          </w:p>
        </w:tc>
        <w:tc>
          <w:tcPr>
            <w:tcW w:w="659" w:type="pct"/>
            <w:vAlign w:val="center"/>
          </w:tcPr>
          <w:p w14:paraId="102416E8">
            <w:pPr>
              <w:adjustRightInd w:val="0"/>
              <w:snapToGrid w:val="0"/>
              <w:jc w:val="center"/>
              <w:rPr>
                <w:color w:val="auto"/>
                <w:sz w:val="24"/>
                <w:highlight w:val="none"/>
              </w:rPr>
            </w:pPr>
          </w:p>
        </w:tc>
        <w:tc>
          <w:tcPr>
            <w:tcW w:w="735" w:type="pct"/>
            <w:vAlign w:val="center"/>
          </w:tcPr>
          <w:p w14:paraId="316C056E">
            <w:pPr>
              <w:adjustRightInd w:val="0"/>
              <w:snapToGrid w:val="0"/>
              <w:jc w:val="left"/>
              <w:rPr>
                <w:color w:val="auto"/>
                <w:sz w:val="24"/>
                <w:highlight w:val="none"/>
              </w:rPr>
            </w:pPr>
          </w:p>
        </w:tc>
        <w:tc>
          <w:tcPr>
            <w:tcW w:w="933" w:type="pct"/>
            <w:vAlign w:val="center"/>
          </w:tcPr>
          <w:p w14:paraId="4CBEA18C">
            <w:pPr>
              <w:adjustRightInd w:val="0"/>
              <w:snapToGrid w:val="0"/>
              <w:jc w:val="left"/>
              <w:rPr>
                <w:color w:val="auto"/>
                <w:sz w:val="24"/>
                <w:highlight w:val="none"/>
              </w:rPr>
            </w:pPr>
          </w:p>
        </w:tc>
      </w:tr>
      <w:tr w14:paraId="0FC2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0AC57977">
            <w:pPr>
              <w:adjustRightInd w:val="0"/>
              <w:snapToGrid w:val="0"/>
              <w:jc w:val="center"/>
              <w:rPr>
                <w:color w:val="auto"/>
                <w:sz w:val="24"/>
                <w:highlight w:val="none"/>
              </w:rPr>
            </w:pPr>
            <w:r>
              <w:rPr>
                <w:color w:val="auto"/>
                <w:sz w:val="24"/>
                <w:highlight w:val="none"/>
              </w:rPr>
              <w:t>2</w:t>
            </w:r>
          </w:p>
        </w:tc>
        <w:tc>
          <w:tcPr>
            <w:tcW w:w="1605" w:type="pct"/>
            <w:vAlign w:val="center"/>
          </w:tcPr>
          <w:p w14:paraId="260DED05">
            <w:pPr>
              <w:adjustRightInd w:val="0"/>
              <w:snapToGrid w:val="0"/>
              <w:jc w:val="left"/>
              <w:rPr>
                <w:color w:val="auto"/>
                <w:sz w:val="24"/>
                <w:highlight w:val="none"/>
              </w:rPr>
            </w:pPr>
          </w:p>
        </w:tc>
        <w:tc>
          <w:tcPr>
            <w:tcW w:w="736" w:type="pct"/>
            <w:vAlign w:val="center"/>
          </w:tcPr>
          <w:p w14:paraId="076B6C83">
            <w:pPr>
              <w:adjustRightInd w:val="0"/>
              <w:snapToGrid w:val="0"/>
              <w:jc w:val="left"/>
              <w:rPr>
                <w:color w:val="auto"/>
                <w:sz w:val="24"/>
                <w:highlight w:val="none"/>
              </w:rPr>
            </w:pPr>
          </w:p>
        </w:tc>
        <w:tc>
          <w:tcPr>
            <w:tcW w:w="659" w:type="pct"/>
            <w:vAlign w:val="center"/>
          </w:tcPr>
          <w:p w14:paraId="0A5A8620">
            <w:pPr>
              <w:adjustRightInd w:val="0"/>
              <w:snapToGrid w:val="0"/>
              <w:jc w:val="center"/>
              <w:rPr>
                <w:color w:val="auto"/>
                <w:sz w:val="24"/>
                <w:highlight w:val="none"/>
              </w:rPr>
            </w:pPr>
          </w:p>
        </w:tc>
        <w:tc>
          <w:tcPr>
            <w:tcW w:w="735" w:type="pct"/>
            <w:vAlign w:val="center"/>
          </w:tcPr>
          <w:p w14:paraId="6F9D94CA">
            <w:pPr>
              <w:adjustRightInd w:val="0"/>
              <w:snapToGrid w:val="0"/>
              <w:jc w:val="left"/>
              <w:rPr>
                <w:color w:val="auto"/>
                <w:sz w:val="24"/>
                <w:highlight w:val="none"/>
              </w:rPr>
            </w:pPr>
          </w:p>
        </w:tc>
        <w:tc>
          <w:tcPr>
            <w:tcW w:w="933" w:type="pct"/>
            <w:vAlign w:val="center"/>
          </w:tcPr>
          <w:p w14:paraId="6F0F3CBB">
            <w:pPr>
              <w:adjustRightInd w:val="0"/>
              <w:snapToGrid w:val="0"/>
              <w:jc w:val="left"/>
              <w:rPr>
                <w:color w:val="auto"/>
                <w:sz w:val="24"/>
                <w:highlight w:val="none"/>
              </w:rPr>
            </w:pPr>
          </w:p>
        </w:tc>
      </w:tr>
      <w:tr w14:paraId="16EF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5BEDBB8C">
            <w:pPr>
              <w:adjustRightInd w:val="0"/>
              <w:snapToGrid w:val="0"/>
              <w:jc w:val="center"/>
              <w:rPr>
                <w:color w:val="auto"/>
                <w:sz w:val="24"/>
                <w:highlight w:val="none"/>
              </w:rPr>
            </w:pPr>
            <w:r>
              <w:rPr>
                <w:color w:val="auto"/>
                <w:sz w:val="24"/>
                <w:highlight w:val="none"/>
              </w:rPr>
              <w:t>3</w:t>
            </w:r>
          </w:p>
        </w:tc>
        <w:tc>
          <w:tcPr>
            <w:tcW w:w="1605" w:type="pct"/>
            <w:vAlign w:val="center"/>
          </w:tcPr>
          <w:p w14:paraId="1CBDAA2D">
            <w:pPr>
              <w:adjustRightInd w:val="0"/>
              <w:snapToGrid w:val="0"/>
              <w:jc w:val="left"/>
              <w:rPr>
                <w:color w:val="auto"/>
                <w:sz w:val="24"/>
                <w:highlight w:val="none"/>
              </w:rPr>
            </w:pPr>
            <w:r>
              <w:rPr>
                <w:color w:val="auto"/>
                <w:sz w:val="24"/>
                <w:highlight w:val="none"/>
              </w:rPr>
              <w:t>…</w:t>
            </w:r>
          </w:p>
        </w:tc>
        <w:tc>
          <w:tcPr>
            <w:tcW w:w="736" w:type="pct"/>
            <w:vAlign w:val="center"/>
          </w:tcPr>
          <w:p w14:paraId="0858218B">
            <w:pPr>
              <w:adjustRightInd w:val="0"/>
              <w:snapToGrid w:val="0"/>
              <w:jc w:val="left"/>
              <w:rPr>
                <w:color w:val="auto"/>
                <w:sz w:val="24"/>
                <w:highlight w:val="none"/>
              </w:rPr>
            </w:pPr>
          </w:p>
        </w:tc>
        <w:tc>
          <w:tcPr>
            <w:tcW w:w="659" w:type="pct"/>
            <w:vAlign w:val="center"/>
          </w:tcPr>
          <w:p w14:paraId="55F4AE29">
            <w:pPr>
              <w:adjustRightInd w:val="0"/>
              <w:snapToGrid w:val="0"/>
              <w:jc w:val="center"/>
              <w:rPr>
                <w:color w:val="auto"/>
                <w:sz w:val="24"/>
                <w:highlight w:val="none"/>
              </w:rPr>
            </w:pPr>
          </w:p>
        </w:tc>
        <w:tc>
          <w:tcPr>
            <w:tcW w:w="735" w:type="pct"/>
            <w:vAlign w:val="center"/>
          </w:tcPr>
          <w:p w14:paraId="34918761">
            <w:pPr>
              <w:adjustRightInd w:val="0"/>
              <w:snapToGrid w:val="0"/>
              <w:jc w:val="left"/>
              <w:rPr>
                <w:color w:val="auto"/>
                <w:sz w:val="24"/>
                <w:highlight w:val="none"/>
              </w:rPr>
            </w:pPr>
          </w:p>
        </w:tc>
        <w:tc>
          <w:tcPr>
            <w:tcW w:w="933" w:type="pct"/>
            <w:vAlign w:val="center"/>
          </w:tcPr>
          <w:p w14:paraId="1739E2B0">
            <w:pPr>
              <w:adjustRightInd w:val="0"/>
              <w:snapToGrid w:val="0"/>
              <w:jc w:val="left"/>
              <w:rPr>
                <w:color w:val="auto"/>
                <w:sz w:val="24"/>
                <w:highlight w:val="none"/>
              </w:rPr>
            </w:pPr>
          </w:p>
        </w:tc>
      </w:tr>
      <w:tr w14:paraId="41A7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632394D6">
            <w:pPr>
              <w:adjustRightInd w:val="0"/>
              <w:snapToGrid w:val="0"/>
              <w:jc w:val="right"/>
              <w:rPr>
                <w:color w:val="auto"/>
                <w:sz w:val="24"/>
                <w:highlight w:val="none"/>
              </w:rPr>
            </w:pPr>
            <w:r>
              <w:rPr>
                <w:b/>
                <w:color w:val="auto"/>
                <w:sz w:val="24"/>
                <w:highlight w:val="none"/>
              </w:rPr>
              <w:t>总价（元）</w:t>
            </w:r>
          </w:p>
        </w:tc>
        <w:tc>
          <w:tcPr>
            <w:tcW w:w="735" w:type="pct"/>
            <w:vAlign w:val="center"/>
          </w:tcPr>
          <w:p w14:paraId="17407EE1">
            <w:pPr>
              <w:adjustRightInd w:val="0"/>
              <w:snapToGrid w:val="0"/>
              <w:jc w:val="left"/>
              <w:rPr>
                <w:color w:val="auto"/>
                <w:sz w:val="24"/>
                <w:highlight w:val="none"/>
              </w:rPr>
            </w:pPr>
          </w:p>
        </w:tc>
        <w:tc>
          <w:tcPr>
            <w:tcW w:w="933" w:type="pct"/>
            <w:vAlign w:val="center"/>
          </w:tcPr>
          <w:p w14:paraId="3CC60E22">
            <w:pPr>
              <w:adjustRightInd w:val="0"/>
              <w:snapToGrid w:val="0"/>
              <w:jc w:val="left"/>
              <w:rPr>
                <w:color w:val="auto"/>
                <w:sz w:val="24"/>
                <w:highlight w:val="none"/>
              </w:rPr>
            </w:pPr>
          </w:p>
        </w:tc>
      </w:tr>
    </w:tbl>
    <w:p w14:paraId="18026758">
      <w:pPr>
        <w:pStyle w:val="73"/>
        <w:tabs>
          <w:tab w:val="left" w:pos="1800"/>
          <w:tab w:val="left" w:pos="5580"/>
        </w:tabs>
        <w:ind w:left="900" w:firstLine="0" w:firstLineChars="0"/>
        <w:jc w:val="left"/>
        <w:rPr>
          <w:color w:val="auto"/>
          <w:sz w:val="24"/>
          <w:highlight w:val="none"/>
        </w:rPr>
      </w:pPr>
    </w:p>
    <w:p w14:paraId="37357CB1">
      <w:pPr>
        <w:pStyle w:val="73"/>
        <w:tabs>
          <w:tab w:val="left" w:pos="1800"/>
          <w:tab w:val="left" w:pos="5580"/>
        </w:tabs>
        <w:ind w:left="900" w:firstLine="0" w:firstLineChars="0"/>
        <w:jc w:val="left"/>
        <w:rPr>
          <w:color w:val="auto"/>
          <w:sz w:val="24"/>
          <w:highlight w:val="none"/>
        </w:rPr>
      </w:pPr>
    </w:p>
    <w:p w14:paraId="59057892">
      <w:pPr>
        <w:pStyle w:val="73"/>
        <w:tabs>
          <w:tab w:val="left" w:pos="1800"/>
          <w:tab w:val="left" w:pos="5580"/>
        </w:tabs>
        <w:ind w:left="900" w:firstLine="0" w:firstLineChars="0"/>
        <w:jc w:val="left"/>
        <w:rPr>
          <w:color w:val="auto"/>
          <w:sz w:val="24"/>
          <w:highlight w:val="none"/>
        </w:rPr>
      </w:pPr>
    </w:p>
    <w:p w14:paraId="70E29B5C">
      <w:pPr>
        <w:pStyle w:val="73"/>
        <w:tabs>
          <w:tab w:val="left" w:pos="1800"/>
          <w:tab w:val="left" w:pos="5580"/>
        </w:tabs>
        <w:ind w:left="900" w:firstLine="0" w:firstLineChars="0"/>
        <w:jc w:val="left"/>
        <w:rPr>
          <w:color w:val="auto"/>
          <w:sz w:val="24"/>
          <w:highlight w:val="none"/>
        </w:rPr>
      </w:pPr>
    </w:p>
    <w:p w14:paraId="6D9DBD07">
      <w:pPr>
        <w:tabs>
          <w:tab w:val="left" w:pos="1800"/>
          <w:tab w:val="left" w:pos="5580"/>
        </w:tabs>
        <w:jc w:val="left"/>
        <w:rPr>
          <w:color w:val="auto"/>
          <w:sz w:val="24"/>
          <w:highlight w:val="none"/>
        </w:rPr>
      </w:pPr>
      <w:r>
        <w:rPr>
          <w:color w:val="auto"/>
          <w:sz w:val="24"/>
          <w:highlight w:val="none"/>
        </w:rPr>
        <w:t>注：1.本表应按包分别填写。</w:t>
      </w:r>
    </w:p>
    <w:p w14:paraId="3123A5F9">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19C0094E">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2167F3EC">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958" w:name="_Hlk168431865"/>
      <w:bookmarkStart w:id="959" w:name="_Hlk168431972"/>
      <w:bookmarkStart w:id="960" w:name="_Hlk144194261"/>
      <w:r>
        <w:rPr>
          <w:rFonts w:hint="eastAsia" w:eastAsiaTheme="minorEastAsia"/>
          <w:color w:val="auto"/>
          <w:sz w:val="24"/>
          <w:highlight w:val="none"/>
        </w:rPr>
        <w:t>“大型”、</w:t>
      </w:r>
      <w:bookmarkEnd w:id="958"/>
      <w:r>
        <w:rPr>
          <w:rFonts w:eastAsiaTheme="minorEastAsia"/>
          <w:color w:val="auto"/>
          <w:sz w:val="24"/>
          <w:highlight w:val="none"/>
        </w:rPr>
        <w:t>“</w:t>
      </w:r>
      <w:bookmarkEnd w:id="959"/>
      <w:r>
        <w:rPr>
          <w:rFonts w:eastAsiaTheme="minorEastAsia"/>
          <w:color w:val="auto"/>
          <w:sz w:val="24"/>
          <w:highlight w:val="none"/>
        </w:rPr>
        <w:t>中型”、“小型”、“微型”或“其他”</w:t>
      </w:r>
      <w:bookmarkEnd w:id="960"/>
      <w:r>
        <w:rPr>
          <w:rFonts w:eastAsiaTheme="minorEastAsia"/>
          <w:color w:val="auto"/>
          <w:sz w:val="24"/>
          <w:highlight w:val="none"/>
        </w:rPr>
        <w:t>，且不应与《中小企业声明函》或《拟分包情况说明》中内容矛盾。制造商所属性别请填写“男”</w:t>
      </w:r>
      <w:r>
        <w:rPr>
          <w:rFonts w:hint="eastAsia" w:eastAsiaTheme="minorEastAsia"/>
          <w:color w:val="auto"/>
          <w:sz w:val="24"/>
          <w:highlight w:val="none"/>
        </w:rPr>
        <w:t>或</w:t>
      </w:r>
      <w:r>
        <w:rPr>
          <w:rFonts w:eastAsiaTheme="minorEastAsia"/>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Theme="minorEastAsia"/>
          <w:color w:val="auto"/>
          <w:sz w:val="24"/>
          <w:highlight w:val="none"/>
        </w:rPr>
        <w:t>。外商投资类型请填写“外商单独投资”、“外商部分投资”</w:t>
      </w:r>
      <w:r>
        <w:rPr>
          <w:rFonts w:hint="eastAsia" w:eastAsiaTheme="minorEastAsia"/>
          <w:color w:val="auto"/>
          <w:sz w:val="24"/>
          <w:highlight w:val="none"/>
        </w:rPr>
        <w:t>或</w:t>
      </w:r>
      <w:r>
        <w:rPr>
          <w:rFonts w:eastAsiaTheme="minorEastAsia"/>
          <w:color w:val="auto"/>
          <w:sz w:val="24"/>
          <w:highlight w:val="none"/>
        </w:rPr>
        <w:t>“内资”。</w:t>
      </w:r>
    </w:p>
    <w:p w14:paraId="0C09B234">
      <w:pPr>
        <w:pStyle w:val="73"/>
        <w:autoSpaceDE w:val="0"/>
        <w:autoSpaceDN w:val="0"/>
        <w:adjustRightInd w:val="0"/>
        <w:snapToGrid w:val="0"/>
        <w:spacing w:before="25" w:after="25" w:line="360" w:lineRule="auto"/>
        <w:ind w:left="900" w:firstLine="0" w:firstLineChars="0"/>
        <w:rPr>
          <w:color w:val="auto"/>
          <w:sz w:val="24"/>
          <w:highlight w:val="none"/>
          <w:lang w:val="zh-CN"/>
        </w:rPr>
      </w:pPr>
      <w:r>
        <w:rPr>
          <w:color w:val="auto"/>
          <w:sz w:val="24"/>
          <w:highlight w:val="none"/>
          <w:lang w:val="zh-CN"/>
        </w:rPr>
        <w:t xml:space="preserve">                  </w:t>
      </w:r>
    </w:p>
    <w:p w14:paraId="79CE4A03">
      <w:pPr>
        <w:autoSpaceDE w:val="0"/>
        <w:autoSpaceDN w:val="0"/>
        <w:adjustRightInd w:val="0"/>
        <w:snapToGrid w:val="0"/>
        <w:spacing w:before="25" w:after="25" w:line="360" w:lineRule="auto"/>
        <w:rPr>
          <w:color w:val="auto"/>
          <w:sz w:val="24"/>
          <w:highlight w:val="none"/>
        </w:rPr>
      </w:pPr>
    </w:p>
    <w:p w14:paraId="2E84B5CC">
      <w:pPr>
        <w:autoSpaceDE w:val="0"/>
        <w:autoSpaceDN w:val="0"/>
        <w:adjustRightInd w:val="0"/>
        <w:snapToGrid w:val="0"/>
        <w:spacing w:before="25" w:after="25" w:line="360" w:lineRule="auto"/>
        <w:rPr>
          <w:color w:val="auto"/>
          <w:sz w:val="24"/>
          <w:highlight w:val="none"/>
        </w:rPr>
      </w:pPr>
    </w:p>
    <w:p w14:paraId="66223828">
      <w:pPr>
        <w:autoSpaceDE w:val="0"/>
        <w:autoSpaceDN w:val="0"/>
        <w:adjustRightInd w:val="0"/>
        <w:snapToGrid w:val="0"/>
        <w:spacing w:before="25" w:after="25" w:line="360" w:lineRule="auto"/>
        <w:rPr>
          <w:color w:val="auto"/>
          <w:sz w:val="24"/>
          <w:highlight w:val="none"/>
        </w:rPr>
      </w:pPr>
      <w:r>
        <w:rPr>
          <w:color w:val="auto"/>
          <w:sz w:val="24"/>
          <w:highlight w:val="none"/>
        </w:rPr>
        <w:t>投标人名称（加盖公章）：____________</w:t>
      </w:r>
    </w:p>
    <w:p w14:paraId="5A215640">
      <w:pPr>
        <w:autoSpaceDE w:val="0"/>
        <w:autoSpaceDN w:val="0"/>
        <w:adjustRightInd w:val="0"/>
        <w:snapToGrid w:val="0"/>
        <w:spacing w:before="25" w:after="25" w:line="360" w:lineRule="auto"/>
        <w:rPr>
          <w:color w:val="auto"/>
          <w:sz w:val="24"/>
          <w:highlight w:val="none"/>
        </w:rPr>
      </w:pPr>
      <w:r>
        <w:rPr>
          <w:color w:val="auto"/>
          <w:sz w:val="24"/>
          <w:highlight w:val="none"/>
        </w:rPr>
        <w:t xml:space="preserve">日期：_____年______月______日   </w:t>
      </w:r>
    </w:p>
    <w:p w14:paraId="0D022FB5">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合同条款偏离表</w:t>
      </w:r>
      <w:bookmarkEnd w:id="932"/>
      <w:bookmarkEnd w:id="933"/>
      <w:bookmarkEnd w:id="934"/>
      <w:bookmarkEnd w:id="935"/>
      <w:bookmarkEnd w:id="936"/>
      <w:bookmarkEnd w:id="937"/>
      <w:bookmarkEnd w:id="938"/>
      <w:bookmarkEnd w:id="939"/>
      <w:bookmarkEnd w:id="940"/>
      <w:bookmarkEnd w:id="941"/>
      <w:bookmarkEnd w:id="942"/>
      <w:bookmarkEnd w:id="943"/>
      <w:bookmarkEnd w:id="944"/>
      <w:r>
        <w:rPr>
          <w:color w:val="auto"/>
          <w:sz w:val="24"/>
          <w:szCs w:val="20"/>
          <w:highlight w:val="none"/>
        </w:rPr>
        <w:t>（实质性格式）</w:t>
      </w:r>
    </w:p>
    <w:p w14:paraId="0AA6ED65">
      <w:pPr>
        <w:spacing w:line="360" w:lineRule="auto"/>
        <w:rPr>
          <w:color w:val="auto"/>
          <w:sz w:val="24"/>
          <w:szCs w:val="20"/>
          <w:highlight w:val="none"/>
        </w:rPr>
      </w:pPr>
    </w:p>
    <w:p w14:paraId="74BE3B42">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0835CD84">
      <w:pPr>
        <w:spacing w:line="360" w:lineRule="auto"/>
        <w:rPr>
          <w:color w:val="auto"/>
          <w:sz w:val="24"/>
          <w:szCs w:val="20"/>
          <w:highlight w:val="none"/>
        </w:rPr>
      </w:pPr>
    </w:p>
    <w:p w14:paraId="15FDC9AE">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3B1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A49B61F">
            <w:pPr>
              <w:adjustRightInd w:val="0"/>
              <w:snapToGrid w:val="0"/>
              <w:jc w:val="center"/>
              <w:rPr>
                <w:color w:val="auto"/>
                <w:sz w:val="24"/>
                <w:highlight w:val="none"/>
              </w:rPr>
            </w:pPr>
            <w:bookmarkStart w:id="961" w:name="_Hlk144279231"/>
            <w:r>
              <w:rPr>
                <w:color w:val="auto"/>
                <w:sz w:val="24"/>
                <w:highlight w:val="none"/>
              </w:rPr>
              <w:t>序号</w:t>
            </w:r>
          </w:p>
        </w:tc>
        <w:tc>
          <w:tcPr>
            <w:tcW w:w="1646" w:type="dxa"/>
            <w:vAlign w:val="center"/>
          </w:tcPr>
          <w:p w14:paraId="34B80AF1">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73785731">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34CDF561">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097BC149">
            <w:pPr>
              <w:adjustRightInd w:val="0"/>
              <w:snapToGrid w:val="0"/>
              <w:jc w:val="center"/>
              <w:rPr>
                <w:color w:val="auto"/>
                <w:sz w:val="24"/>
                <w:highlight w:val="none"/>
              </w:rPr>
            </w:pPr>
            <w:r>
              <w:rPr>
                <w:color w:val="auto"/>
                <w:sz w:val="24"/>
                <w:highlight w:val="none"/>
              </w:rPr>
              <w:t>偏离情况</w:t>
            </w:r>
          </w:p>
        </w:tc>
        <w:tc>
          <w:tcPr>
            <w:tcW w:w="1045" w:type="dxa"/>
            <w:vAlign w:val="center"/>
          </w:tcPr>
          <w:p w14:paraId="75177B41">
            <w:pPr>
              <w:adjustRightInd w:val="0"/>
              <w:snapToGrid w:val="0"/>
              <w:jc w:val="center"/>
              <w:rPr>
                <w:color w:val="auto"/>
                <w:sz w:val="24"/>
                <w:highlight w:val="none"/>
              </w:rPr>
            </w:pPr>
            <w:r>
              <w:rPr>
                <w:color w:val="auto"/>
                <w:sz w:val="24"/>
                <w:highlight w:val="none"/>
              </w:rPr>
              <w:t>说明</w:t>
            </w:r>
          </w:p>
        </w:tc>
      </w:tr>
      <w:tr w14:paraId="7C7E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B219E24">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55CDD51E">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2A6FE4D9">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32A5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333BEF8">
            <w:pPr>
              <w:adjustRightInd w:val="0"/>
              <w:snapToGrid w:val="0"/>
              <w:jc w:val="center"/>
              <w:rPr>
                <w:color w:val="auto"/>
                <w:sz w:val="24"/>
                <w:highlight w:val="none"/>
              </w:rPr>
            </w:pPr>
          </w:p>
        </w:tc>
        <w:tc>
          <w:tcPr>
            <w:tcW w:w="1646" w:type="dxa"/>
            <w:vAlign w:val="center"/>
          </w:tcPr>
          <w:p w14:paraId="4B8C7544">
            <w:pPr>
              <w:adjustRightInd w:val="0"/>
              <w:snapToGrid w:val="0"/>
              <w:jc w:val="center"/>
              <w:rPr>
                <w:color w:val="auto"/>
                <w:sz w:val="24"/>
                <w:highlight w:val="none"/>
              </w:rPr>
            </w:pPr>
          </w:p>
        </w:tc>
        <w:tc>
          <w:tcPr>
            <w:tcW w:w="1688" w:type="dxa"/>
            <w:vAlign w:val="center"/>
          </w:tcPr>
          <w:p w14:paraId="5D5B779F">
            <w:pPr>
              <w:adjustRightInd w:val="0"/>
              <w:snapToGrid w:val="0"/>
              <w:jc w:val="center"/>
              <w:rPr>
                <w:color w:val="auto"/>
                <w:sz w:val="24"/>
                <w:highlight w:val="none"/>
              </w:rPr>
            </w:pPr>
          </w:p>
        </w:tc>
        <w:tc>
          <w:tcPr>
            <w:tcW w:w="1688" w:type="dxa"/>
            <w:vAlign w:val="center"/>
          </w:tcPr>
          <w:p w14:paraId="7F459B50">
            <w:pPr>
              <w:adjustRightInd w:val="0"/>
              <w:snapToGrid w:val="0"/>
              <w:jc w:val="center"/>
              <w:rPr>
                <w:color w:val="auto"/>
                <w:sz w:val="24"/>
                <w:highlight w:val="none"/>
              </w:rPr>
            </w:pPr>
          </w:p>
        </w:tc>
        <w:tc>
          <w:tcPr>
            <w:tcW w:w="1925" w:type="dxa"/>
            <w:vAlign w:val="center"/>
          </w:tcPr>
          <w:p w14:paraId="3FCC1123">
            <w:pPr>
              <w:adjustRightInd w:val="0"/>
              <w:snapToGrid w:val="0"/>
              <w:jc w:val="center"/>
              <w:rPr>
                <w:color w:val="auto"/>
                <w:sz w:val="24"/>
                <w:highlight w:val="none"/>
              </w:rPr>
            </w:pPr>
          </w:p>
        </w:tc>
        <w:tc>
          <w:tcPr>
            <w:tcW w:w="1045" w:type="dxa"/>
            <w:vAlign w:val="center"/>
          </w:tcPr>
          <w:p w14:paraId="26A0C174">
            <w:pPr>
              <w:adjustRightInd w:val="0"/>
              <w:snapToGrid w:val="0"/>
              <w:jc w:val="center"/>
              <w:rPr>
                <w:color w:val="auto"/>
                <w:sz w:val="24"/>
                <w:highlight w:val="none"/>
              </w:rPr>
            </w:pPr>
          </w:p>
        </w:tc>
      </w:tr>
      <w:tr w14:paraId="0966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1FAC6C">
            <w:pPr>
              <w:adjustRightInd w:val="0"/>
              <w:snapToGrid w:val="0"/>
              <w:jc w:val="center"/>
              <w:rPr>
                <w:color w:val="auto"/>
                <w:sz w:val="24"/>
                <w:highlight w:val="none"/>
              </w:rPr>
            </w:pPr>
          </w:p>
        </w:tc>
        <w:tc>
          <w:tcPr>
            <w:tcW w:w="1646" w:type="dxa"/>
            <w:vAlign w:val="center"/>
          </w:tcPr>
          <w:p w14:paraId="0AF7EC35">
            <w:pPr>
              <w:adjustRightInd w:val="0"/>
              <w:snapToGrid w:val="0"/>
              <w:jc w:val="center"/>
              <w:rPr>
                <w:color w:val="auto"/>
                <w:sz w:val="24"/>
                <w:highlight w:val="none"/>
              </w:rPr>
            </w:pPr>
          </w:p>
        </w:tc>
        <w:tc>
          <w:tcPr>
            <w:tcW w:w="1688" w:type="dxa"/>
            <w:vAlign w:val="center"/>
          </w:tcPr>
          <w:p w14:paraId="0B292CBD">
            <w:pPr>
              <w:adjustRightInd w:val="0"/>
              <w:snapToGrid w:val="0"/>
              <w:jc w:val="center"/>
              <w:rPr>
                <w:color w:val="auto"/>
                <w:sz w:val="24"/>
                <w:highlight w:val="none"/>
              </w:rPr>
            </w:pPr>
          </w:p>
        </w:tc>
        <w:tc>
          <w:tcPr>
            <w:tcW w:w="1688" w:type="dxa"/>
            <w:vAlign w:val="center"/>
          </w:tcPr>
          <w:p w14:paraId="479FEBAB">
            <w:pPr>
              <w:adjustRightInd w:val="0"/>
              <w:snapToGrid w:val="0"/>
              <w:jc w:val="center"/>
              <w:rPr>
                <w:color w:val="auto"/>
                <w:sz w:val="24"/>
                <w:highlight w:val="none"/>
              </w:rPr>
            </w:pPr>
          </w:p>
        </w:tc>
        <w:tc>
          <w:tcPr>
            <w:tcW w:w="1925" w:type="dxa"/>
            <w:vAlign w:val="center"/>
          </w:tcPr>
          <w:p w14:paraId="1E4CEA70">
            <w:pPr>
              <w:adjustRightInd w:val="0"/>
              <w:snapToGrid w:val="0"/>
              <w:jc w:val="center"/>
              <w:rPr>
                <w:color w:val="auto"/>
                <w:sz w:val="24"/>
                <w:highlight w:val="none"/>
              </w:rPr>
            </w:pPr>
          </w:p>
        </w:tc>
        <w:tc>
          <w:tcPr>
            <w:tcW w:w="1045" w:type="dxa"/>
            <w:vAlign w:val="center"/>
          </w:tcPr>
          <w:p w14:paraId="13CA2485">
            <w:pPr>
              <w:adjustRightInd w:val="0"/>
              <w:snapToGrid w:val="0"/>
              <w:jc w:val="center"/>
              <w:rPr>
                <w:color w:val="auto"/>
                <w:sz w:val="24"/>
                <w:highlight w:val="none"/>
              </w:rPr>
            </w:pPr>
          </w:p>
        </w:tc>
      </w:tr>
      <w:tr w14:paraId="0A3A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3A6CFEA">
            <w:pPr>
              <w:adjustRightInd w:val="0"/>
              <w:snapToGrid w:val="0"/>
              <w:jc w:val="center"/>
              <w:rPr>
                <w:color w:val="auto"/>
                <w:sz w:val="24"/>
                <w:highlight w:val="none"/>
              </w:rPr>
            </w:pPr>
          </w:p>
        </w:tc>
        <w:tc>
          <w:tcPr>
            <w:tcW w:w="1646" w:type="dxa"/>
            <w:vAlign w:val="center"/>
          </w:tcPr>
          <w:p w14:paraId="1AE60CCC">
            <w:pPr>
              <w:adjustRightInd w:val="0"/>
              <w:snapToGrid w:val="0"/>
              <w:jc w:val="center"/>
              <w:rPr>
                <w:color w:val="auto"/>
                <w:sz w:val="24"/>
                <w:highlight w:val="none"/>
              </w:rPr>
            </w:pPr>
          </w:p>
        </w:tc>
        <w:tc>
          <w:tcPr>
            <w:tcW w:w="1688" w:type="dxa"/>
            <w:vAlign w:val="center"/>
          </w:tcPr>
          <w:p w14:paraId="688543DE">
            <w:pPr>
              <w:adjustRightInd w:val="0"/>
              <w:snapToGrid w:val="0"/>
              <w:jc w:val="center"/>
              <w:rPr>
                <w:color w:val="auto"/>
                <w:sz w:val="24"/>
                <w:highlight w:val="none"/>
              </w:rPr>
            </w:pPr>
          </w:p>
        </w:tc>
        <w:tc>
          <w:tcPr>
            <w:tcW w:w="1688" w:type="dxa"/>
            <w:vAlign w:val="center"/>
          </w:tcPr>
          <w:p w14:paraId="63216D58">
            <w:pPr>
              <w:adjustRightInd w:val="0"/>
              <w:snapToGrid w:val="0"/>
              <w:jc w:val="center"/>
              <w:rPr>
                <w:color w:val="auto"/>
                <w:sz w:val="24"/>
                <w:highlight w:val="none"/>
              </w:rPr>
            </w:pPr>
          </w:p>
        </w:tc>
        <w:tc>
          <w:tcPr>
            <w:tcW w:w="1925" w:type="dxa"/>
            <w:vAlign w:val="center"/>
          </w:tcPr>
          <w:p w14:paraId="41A2344C">
            <w:pPr>
              <w:adjustRightInd w:val="0"/>
              <w:snapToGrid w:val="0"/>
              <w:jc w:val="center"/>
              <w:rPr>
                <w:color w:val="auto"/>
                <w:sz w:val="24"/>
                <w:highlight w:val="none"/>
              </w:rPr>
            </w:pPr>
          </w:p>
        </w:tc>
        <w:tc>
          <w:tcPr>
            <w:tcW w:w="1045" w:type="dxa"/>
            <w:vAlign w:val="center"/>
          </w:tcPr>
          <w:p w14:paraId="01B47547">
            <w:pPr>
              <w:adjustRightInd w:val="0"/>
              <w:snapToGrid w:val="0"/>
              <w:jc w:val="center"/>
              <w:rPr>
                <w:color w:val="auto"/>
                <w:sz w:val="24"/>
                <w:highlight w:val="none"/>
              </w:rPr>
            </w:pPr>
          </w:p>
        </w:tc>
      </w:tr>
      <w:tr w14:paraId="07654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7D504E4">
            <w:pPr>
              <w:adjustRightInd w:val="0"/>
              <w:snapToGrid w:val="0"/>
              <w:jc w:val="center"/>
              <w:rPr>
                <w:color w:val="auto"/>
                <w:sz w:val="24"/>
                <w:highlight w:val="none"/>
              </w:rPr>
            </w:pPr>
          </w:p>
        </w:tc>
        <w:tc>
          <w:tcPr>
            <w:tcW w:w="1646" w:type="dxa"/>
            <w:vAlign w:val="center"/>
          </w:tcPr>
          <w:p w14:paraId="136676F6">
            <w:pPr>
              <w:adjustRightInd w:val="0"/>
              <w:snapToGrid w:val="0"/>
              <w:jc w:val="center"/>
              <w:rPr>
                <w:color w:val="auto"/>
                <w:sz w:val="24"/>
                <w:highlight w:val="none"/>
              </w:rPr>
            </w:pPr>
          </w:p>
        </w:tc>
        <w:tc>
          <w:tcPr>
            <w:tcW w:w="1688" w:type="dxa"/>
            <w:vAlign w:val="center"/>
          </w:tcPr>
          <w:p w14:paraId="79A3A601">
            <w:pPr>
              <w:adjustRightInd w:val="0"/>
              <w:snapToGrid w:val="0"/>
              <w:jc w:val="center"/>
              <w:rPr>
                <w:color w:val="auto"/>
                <w:sz w:val="24"/>
                <w:highlight w:val="none"/>
              </w:rPr>
            </w:pPr>
          </w:p>
        </w:tc>
        <w:tc>
          <w:tcPr>
            <w:tcW w:w="1688" w:type="dxa"/>
            <w:vAlign w:val="center"/>
          </w:tcPr>
          <w:p w14:paraId="237707DD">
            <w:pPr>
              <w:adjustRightInd w:val="0"/>
              <w:snapToGrid w:val="0"/>
              <w:jc w:val="center"/>
              <w:rPr>
                <w:color w:val="auto"/>
                <w:sz w:val="24"/>
                <w:highlight w:val="none"/>
              </w:rPr>
            </w:pPr>
          </w:p>
        </w:tc>
        <w:tc>
          <w:tcPr>
            <w:tcW w:w="1925" w:type="dxa"/>
            <w:vAlign w:val="center"/>
          </w:tcPr>
          <w:p w14:paraId="53A58A25">
            <w:pPr>
              <w:adjustRightInd w:val="0"/>
              <w:snapToGrid w:val="0"/>
              <w:jc w:val="center"/>
              <w:rPr>
                <w:color w:val="auto"/>
                <w:sz w:val="24"/>
                <w:highlight w:val="none"/>
              </w:rPr>
            </w:pPr>
          </w:p>
        </w:tc>
        <w:tc>
          <w:tcPr>
            <w:tcW w:w="1045" w:type="dxa"/>
            <w:vAlign w:val="center"/>
          </w:tcPr>
          <w:p w14:paraId="3FFF6660">
            <w:pPr>
              <w:adjustRightInd w:val="0"/>
              <w:snapToGrid w:val="0"/>
              <w:jc w:val="center"/>
              <w:rPr>
                <w:color w:val="auto"/>
                <w:sz w:val="24"/>
                <w:highlight w:val="none"/>
              </w:rPr>
            </w:pPr>
          </w:p>
        </w:tc>
      </w:tr>
      <w:bookmarkEnd w:id="961"/>
    </w:tbl>
    <w:p w14:paraId="343A60D7">
      <w:pPr>
        <w:tabs>
          <w:tab w:val="left" w:pos="1800"/>
          <w:tab w:val="left" w:pos="5580"/>
        </w:tabs>
        <w:jc w:val="left"/>
        <w:rPr>
          <w:color w:val="auto"/>
          <w:sz w:val="24"/>
          <w:highlight w:val="none"/>
        </w:rPr>
      </w:pPr>
    </w:p>
    <w:p w14:paraId="274045F3">
      <w:pPr>
        <w:tabs>
          <w:tab w:val="left" w:pos="1800"/>
          <w:tab w:val="left" w:pos="5580"/>
        </w:tabs>
        <w:jc w:val="left"/>
        <w:rPr>
          <w:color w:val="auto"/>
          <w:sz w:val="24"/>
          <w:highlight w:val="none"/>
        </w:rPr>
      </w:pPr>
      <w:r>
        <w:rPr>
          <w:color w:val="auto"/>
          <w:sz w:val="24"/>
          <w:highlight w:val="none"/>
        </w:rPr>
        <w:t>注：“偏离情况”列应据实填写“正偏离”或“负偏离”。</w:t>
      </w:r>
    </w:p>
    <w:p w14:paraId="485CD137">
      <w:pPr>
        <w:spacing w:line="360" w:lineRule="auto"/>
        <w:rPr>
          <w:color w:val="auto"/>
          <w:sz w:val="24"/>
          <w:szCs w:val="20"/>
          <w:highlight w:val="none"/>
        </w:rPr>
      </w:pPr>
    </w:p>
    <w:p w14:paraId="282149B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C4447F">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F736721">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2489124">
      <w:pPr>
        <w:numPr>
          <w:ilvl w:val="0"/>
          <w:numId w:val="17"/>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45"/>
      <w:bookmarkEnd w:id="946"/>
      <w:bookmarkEnd w:id="947"/>
      <w:bookmarkEnd w:id="948"/>
      <w:bookmarkEnd w:id="949"/>
      <w:bookmarkEnd w:id="950"/>
      <w:bookmarkEnd w:id="951"/>
      <w:bookmarkEnd w:id="952"/>
      <w:bookmarkEnd w:id="953"/>
      <w:bookmarkEnd w:id="954"/>
      <w:bookmarkEnd w:id="955"/>
      <w:bookmarkEnd w:id="956"/>
      <w:bookmarkEnd w:id="957"/>
      <w:r>
        <w:rPr>
          <w:color w:val="auto"/>
          <w:sz w:val="24"/>
          <w:szCs w:val="20"/>
          <w:highlight w:val="none"/>
        </w:rPr>
        <w:t>采购需求偏离表（实质性格式）</w:t>
      </w:r>
    </w:p>
    <w:p w14:paraId="4B3723F3">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24652E1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EBF3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14:paraId="36CE50CC">
            <w:pPr>
              <w:adjustRightInd w:val="0"/>
              <w:snapToGrid w:val="0"/>
              <w:jc w:val="center"/>
              <w:rPr>
                <w:color w:val="auto"/>
                <w:sz w:val="24"/>
                <w:highlight w:val="none"/>
              </w:rPr>
            </w:pPr>
            <w:r>
              <w:rPr>
                <w:color w:val="auto"/>
                <w:sz w:val="24"/>
                <w:highlight w:val="none"/>
              </w:rPr>
              <w:t>序号</w:t>
            </w:r>
          </w:p>
        </w:tc>
        <w:tc>
          <w:tcPr>
            <w:tcW w:w="1482" w:type="dxa"/>
            <w:vAlign w:val="center"/>
          </w:tcPr>
          <w:p w14:paraId="5C18402D">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2981FF08">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58DAC984">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47E1448E">
            <w:pPr>
              <w:adjustRightInd w:val="0"/>
              <w:snapToGrid w:val="0"/>
              <w:jc w:val="center"/>
              <w:rPr>
                <w:color w:val="auto"/>
                <w:sz w:val="24"/>
                <w:highlight w:val="none"/>
              </w:rPr>
            </w:pPr>
            <w:r>
              <w:rPr>
                <w:color w:val="auto"/>
                <w:sz w:val="24"/>
                <w:highlight w:val="none"/>
              </w:rPr>
              <w:t>偏离情况</w:t>
            </w:r>
          </w:p>
        </w:tc>
        <w:tc>
          <w:tcPr>
            <w:tcW w:w="1009" w:type="dxa"/>
            <w:vAlign w:val="center"/>
          </w:tcPr>
          <w:p w14:paraId="7666D915">
            <w:pPr>
              <w:adjustRightInd w:val="0"/>
              <w:snapToGrid w:val="0"/>
              <w:jc w:val="center"/>
              <w:rPr>
                <w:color w:val="auto"/>
                <w:sz w:val="24"/>
                <w:highlight w:val="none"/>
              </w:rPr>
            </w:pPr>
            <w:r>
              <w:rPr>
                <w:color w:val="auto"/>
                <w:sz w:val="24"/>
                <w:highlight w:val="none"/>
              </w:rPr>
              <w:t>说明</w:t>
            </w:r>
          </w:p>
        </w:tc>
      </w:tr>
      <w:tr w14:paraId="5190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561620F">
            <w:pPr>
              <w:adjustRightInd w:val="0"/>
              <w:snapToGrid w:val="0"/>
              <w:jc w:val="center"/>
              <w:rPr>
                <w:color w:val="auto"/>
                <w:sz w:val="24"/>
                <w:highlight w:val="none"/>
              </w:rPr>
            </w:pPr>
          </w:p>
        </w:tc>
        <w:tc>
          <w:tcPr>
            <w:tcW w:w="1482" w:type="dxa"/>
            <w:vAlign w:val="center"/>
          </w:tcPr>
          <w:p w14:paraId="2828F83A">
            <w:pPr>
              <w:adjustRightInd w:val="0"/>
              <w:snapToGrid w:val="0"/>
              <w:jc w:val="center"/>
              <w:rPr>
                <w:color w:val="auto"/>
                <w:sz w:val="24"/>
                <w:highlight w:val="none"/>
              </w:rPr>
            </w:pPr>
          </w:p>
        </w:tc>
        <w:tc>
          <w:tcPr>
            <w:tcW w:w="2384" w:type="dxa"/>
            <w:vAlign w:val="center"/>
          </w:tcPr>
          <w:p w14:paraId="182A1AA9">
            <w:pPr>
              <w:adjustRightInd w:val="0"/>
              <w:snapToGrid w:val="0"/>
              <w:jc w:val="center"/>
              <w:rPr>
                <w:color w:val="auto"/>
                <w:sz w:val="24"/>
                <w:highlight w:val="none"/>
              </w:rPr>
            </w:pPr>
          </w:p>
        </w:tc>
        <w:tc>
          <w:tcPr>
            <w:tcW w:w="2126" w:type="dxa"/>
            <w:vAlign w:val="center"/>
          </w:tcPr>
          <w:p w14:paraId="7507BDC9">
            <w:pPr>
              <w:adjustRightInd w:val="0"/>
              <w:snapToGrid w:val="0"/>
              <w:jc w:val="center"/>
              <w:rPr>
                <w:color w:val="auto"/>
                <w:sz w:val="24"/>
                <w:highlight w:val="none"/>
              </w:rPr>
            </w:pPr>
          </w:p>
        </w:tc>
        <w:tc>
          <w:tcPr>
            <w:tcW w:w="1875" w:type="dxa"/>
            <w:vAlign w:val="center"/>
          </w:tcPr>
          <w:p w14:paraId="16BD1727">
            <w:pPr>
              <w:adjustRightInd w:val="0"/>
              <w:snapToGrid w:val="0"/>
              <w:jc w:val="center"/>
              <w:rPr>
                <w:color w:val="auto"/>
                <w:sz w:val="24"/>
                <w:highlight w:val="none"/>
              </w:rPr>
            </w:pPr>
          </w:p>
        </w:tc>
        <w:tc>
          <w:tcPr>
            <w:tcW w:w="1009" w:type="dxa"/>
            <w:vAlign w:val="center"/>
          </w:tcPr>
          <w:p w14:paraId="1DA1787E">
            <w:pPr>
              <w:adjustRightInd w:val="0"/>
              <w:snapToGrid w:val="0"/>
              <w:jc w:val="center"/>
              <w:rPr>
                <w:color w:val="auto"/>
                <w:sz w:val="24"/>
                <w:highlight w:val="none"/>
              </w:rPr>
            </w:pPr>
          </w:p>
        </w:tc>
      </w:tr>
      <w:tr w14:paraId="57191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E58C0F">
            <w:pPr>
              <w:adjustRightInd w:val="0"/>
              <w:snapToGrid w:val="0"/>
              <w:jc w:val="center"/>
              <w:rPr>
                <w:color w:val="auto"/>
                <w:sz w:val="24"/>
                <w:highlight w:val="none"/>
              </w:rPr>
            </w:pPr>
          </w:p>
        </w:tc>
        <w:tc>
          <w:tcPr>
            <w:tcW w:w="1482" w:type="dxa"/>
            <w:vAlign w:val="center"/>
          </w:tcPr>
          <w:p w14:paraId="40767427">
            <w:pPr>
              <w:adjustRightInd w:val="0"/>
              <w:snapToGrid w:val="0"/>
              <w:jc w:val="center"/>
              <w:rPr>
                <w:color w:val="auto"/>
                <w:sz w:val="24"/>
                <w:highlight w:val="none"/>
              </w:rPr>
            </w:pPr>
          </w:p>
        </w:tc>
        <w:tc>
          <w:tcPr>
            <w:tcW w:w="2384" w:type="dxa"/>
            <w:vAlign w:val="center"/>
          </w:tcPr>
          <w:p w14:paraId="57E0AB67">
            <w:pPr>
              <w:adjustRightInd w:val="0"/>
              <w:snapToGrid w:val="0"/>
              <w:jc w:val="center"/>
              <w:rPr>
                <w:color w:val="auto"/>
                <w:sz w:val="24"/>
                <w:highlight w:val="none"/>
              </w:rPr>
            </w:pPr>
          </w:p>
        </w:tc>
        <w:tc>
          <w:tcPr>
            <w:tcW w:w="2126" w:type="dxa"/>
            <w:vAlign w:val="center"/>
          </w:tcPr>
          <w:p w14:paraId="3E521B42">
            <w:pPr>
              <w:adjustRightInd w:val="0"/>
              <w:snapToGrid w:val="0"/>
              <w:jc w:val="center"/>
              <w:rPr>
                <w:color w:val="auto"/>
                <w:sz w:val="24"/>
                <w:highlight w:val="none"/>
              </w:rPr>
            </w:pPr>
          </w:p>
        </w:tc>
        <w:tc>
          <w:tcPr>
            <w:tcW w:w="1875" w:type="dxa"/>
            <w:vAlign w:val="center"/>
          </w:tcPr>
          <w:p w14:paraId="4A10776D">
            <w:pPr>
              <w:adjustRightInd w:val="0"/>
              <w:snapToGrid w:val="0"/>
              <w:jc w:val="center"/>
              <w:rPr>
                <w:color w:val="auto"/>
                <w:sz w:val="24"/>
                <w:highlight w:val="none"/>
              </w:rPr>
            </w:pPr>
          </w:p>
        </w:tc>
        <w:tc>
          <w:tcPr>
            <w:tcW w:w="1009" w:type="dxa"/>
            <w:vAlign w:val="center"/>
          </w:tcPr>
          <w:p w14:paraId="6A70ED69">
            <w:pPr>
              <w:adjustRightInd w:val="0"/>
              <w:snapToGrid w:val="0"/>
              <w:jc w:val="center"/>
              <w:rPr>
                <w:color w:val="auto"/>
                <w:sz w:val="24"/>
                <w:highlight w:val="none"/>
              </w:rPr>
            </w:pPr>
          </w:p>
        </w:tc>
      </w:tr>
      <w:tr w14:paraId="489E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48769A">
            <w:pPr>
              <w:adjustRightInd w:val="0"/>
              <w:snapToGrid w:val="0"/>
              <w:jc w:val="center"/>
              <w:rPr>
                <w:color w:val="auto"/>
                <w:sz w:val="24"/>
                <w:highlight w:val="none"/>
              </w:rPr>
            </w:pPr>
          </w:p>
        </w:tc>
        <w:tc>
          <w:tcPr>
            <w:tcW w:w="1482" w:type="dxa"/>
            <w:vAlign w:val="center"/>
          </w:tcPr>
          <w:p w14:paraId="6BA67F4D">
            <w:pPr>
              <w:adjustRightInd w:val="0"/>
              <w:snapToGrid w:val="0"/>
              <w:jc w:val="center"/>
              <w:rPr>
                <w:color w:val="auto"/>
                <w:sz w:val="24"/>
                <w:highlight w:val="none"/>
              </w:rPr>
            </w:pPr>
          </w:p>
        </w:tc>
        <w:tc>
          <w:tcPr>
            <w:tcW w:w="2384" w:type="dxa"/>
            <w:vAlign w:val="center"/>
          </w:tcPr>
          <w:p w14:paraId="04250C99">
            <w:pPr>
              <w:adjustRightInd w:val="0"/>
              <w:snapToGrid w:val="0"/>
              <w:jc w:val="center"/>
              <w:rPr>
                <w:color w:val="auto"/>
                <w:sz w:val="24"/>
                <w:highlight w:val="none"/>
              </w:rPr>
            </w:pPr>
          </w:p>
        </w:tc>
        <w:tc>
          <w:tcPr>
            <w:tcW w:w="2126" w:type="dxa"/>
            <w:vAlign w:val="center"/>
          </w:tcPr>
          <w:p w14:paraId="5B0F278A">
            <w:pPr>
              <w:adjustRightInd w:val="0"/>
              <w:snapToGrid w:val="0"/>
              <w:jc w:val="center"/>
              <w:rPr>
                <w:color w:val="auto"/>
                <w:sz w:val="24"/>
                <w:highlight w:val="none"/>
              </w:rPr>
            </w:pPr>
          </w:p>
        </w:tc>
        <w:tc>
          <w:tcPr>
            <w:tcW w:w="1875" w:type="dxa"/>
            <w:vAlign w:val="center"/>
          </w:tcPr>
          <w:p w14:paraId="61302E6A">
            <w:pPr>
              <w:adjustRightInd w:val="0"/>
              <w:snapToGrid w:val="0"/>
              <w:jc w:val="center"/>
              <w:rPr>
                <w:color w:val="auto"/>
                <w:sz w:val="24"/>
                <w:highlight w:val="none"/>
              </w:rPr>
            </w:pPr>
          </w:p>
        </w:tc>
        <w:tc>
          <w:tcPr>
            <w:tcW w:w="1009" w:type="dxa"/>
            <w:vAlign w:val="center"/>
          </w:tcPr>
          <w:p w14:paraId="68084D2F">
            <w:pPr>
              <w:adjustRightInd w:val="0"/>
              <w:snapToGrid w:val="0"/>
              <w:jc w:val="center"/>
              <w:rPr>
                <w:color w:val="auto"/>
                <w:sz w:val="24"/>
                <w:highlight w:val="none"/>
              </w:rPr>
            </w:pPr>
          </w:p>
        </w:tc>
      </w:tr>
      <w:tr w14:paraId="6301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E7BEC6">
            <w:pPr>
              <w:adjustRightInd w:val="0"/>
              <w:snapToGrid w:val="0"/>
              <w:jc w:val="center"/>
              <w:rPr>
                <w:color w:val="auto"/>
                <w:sz w:val="24"/>
                <w:highlight w:val="none"/>
              </w:rPr>
            </w:pPr>
          </w:p>
        </w:tc>
        <w:tc>
          <w:tcPr>
            <w:tcW w:w="1482" w:type="dxa"/>
            <w:vAlign w:val="center"/>
          </w:tcPr>
          <w:p w14:paraId="4C8B248E">
            <w:pPr>
              <w:adjustRightInd w:val="0"/>
              <w:snapToGrid w:val="0"/>
              <w:jc w:val="center"/>
              <w:rPr>
                <w:color w:val="auto"/>
                <w:sz w:val="24"/>
                <w:highlight w:val="none"/>
              </w:rPr>
            </w:pPr>
          </w:p>
        </w:tc>
        <w:tc>
          <w:tcPr>
            <w:tcW w:w="2384" w:type="dxa"/>
            <w:vAlign w:val="center"/>
          </w:tcPr>
          <w:p w14:paraId="0D508D2D">
            <w:pPr>
              <w:adjustRightInd w:val="0"/>
              <w:snapToGrid w:val="0"/>
              <w:jc w:val="center"/>
              <w:rPr>
                <w:color w:val="auto"/>
                <w:sz w:val="24"/>
                <w:highlight w:val="none"/>
              </w:rPr>
            </w:pPr>
          </w:p>
        </w:tc>
        <w:tc>
          <w:tcPr>
            <w:tcW w:w="2126" w:type="dxa"/>
            <w:vAlign w:val="center"/>
          </w:tcPr>
          <w:p w14:paraId="09B48DBF">
            <w:pPr>
              <w:adjustRightInd w:val="0"/>
              <w:snapToGrid w:val="0"/>
              <w:jc w:val="center"/>
              <w:rPr>
                <w:color w:val="auto"/>
                <w:sz w:val="24"/>
                <w:highlight w:val="none"/>
              </w:rPr>
            </w:pPr>
          </w:p>
        </w:tc>
        <w:tc>
          <w:tcPr>
            <w:tcW w:w="1875" w:type="dxa"/>
            <w:vAlign w:val="center"/>
          </w:tcPr>
          <w:p w14:paraId="5414EA5A">
            <w:pPr>
              <w:adjustRightInd w:val="0"/>
              <w:snapToGrid w:val="0"/>
              <w:jc w:val="center"/>
              <w:rPr>
                <w:color w:val="auto"/>
                <w:sz w:val="24"/>
                <w:highlight w:val="none"/>
              </w:rPr>
            </w:pPr>
          </w:p>
        </w:tc>
        <w:tc>
          <w:tcPr>
            <w:tcW w:w="1009" w:type="dxa"/>
            <w:vAlign w:val="center"/>
          </w:tcPr>
          <w:p w14:paraId="5EC00993">
            <w:pPr>
              <w:adjustRightInd w:val="0"/>
              <w:snapToGrid w:val="0"/>
              <w:jc w:val="center"/>
              <w:rPr>
                <w:color w:val="auto"/>
                <w:sz w:val="24"/>
                <w:highlight w:val="none"/>
              </w:rPr>
            </w:pPr>
          </w:p>
        </w:tc>
      </w:tr>
      <w:tr w14:paraId="7F666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0C37562">
            <w:pPr>
              <w:adjustRightInd w:val="0"/>
              <w:snapToGrid w:val="0"/>
              <w:jc w:val="center"/>
              <w:rPr>
                <w:color w:val="auto"/>
                <w:sz w:val="24"/>
                <w:highlight w:val="none"/>
              </w:rPr>
            </w:pPr>
          </w:p>
        </w:tc>
        <w:tc>
          <w:tcPr>
            <w:tcW w:w="1482" w:type="dxa"/>
            <w:vAlign w:val="center"/>
          </w:tcPr>
          <w:p w14:paraId="1559A567">
            <w:pPr>
              <w:adjustRightInd w:val="0"/>
              <w:snapToGrid w:val="0"/>
              <w:jc w:val="center"/>
              <w:rPr>
                <w:color w:val="auto"/>
                <w:sz w:val="24"/>
                <w:highlight w:val="none"/>
              </w:rPr>
            </w:pPr>
          </w:p>
        </w:tc>
        <w:tc>
          <w:tcPr>
            <w:tcW w:w="2384" w:type="dxa"/>
            <w:vAlign w:val="center"/>
          </w:tcPr>
          <w:p w14:paraId="3166BE11">
            <w:pPr>
              <w:adjustRightInd w:val="0"/>
              <w:snapToGrid w:val="0"/>
              <w:jc w:val="center"/>
              <w:rPr>
                <w:color w:val="auto"/>
                <w:sz w:val="24"/>
                <w:highlight w:val="none"/>
              </w:rPr>
            </w:pPr>
          </w:p>
        </w:tc>
        <w:tc>
          <w:tcPr>
            <w:tcW w:w="2126" w:type="dxa"/>
            <w:vAlign w:val="center"/>
          </w:tcPr>
          <w:p w14:paraId="2BAA8750">
            <w:pPr>
              <w:adjustRightInd w:val="0"/>
              <w:snapToGrid w:val="0"/>
              <w:jc w:val="center"/>
              <w:rPr>
                <w:color w:val="auto"/>
                <w:sz w:val="24"/>
                <w:highlight w:val="none"/>
              </w:rPr>
            </w:pPr>
          </w:p>
        </w:tc>
        <w:tc>
          <w:tcPr>
            <w:tcW w:w="1875" w:type="dxa"/>
            <w:vAlign w:val="center"/>
          </w:tcPr>
          <w:p w14:paraId="57CC43C9">
            <w:pPr>
              <w:adjustRightInd w:val="0"/>
              <w:snapToGrid w:val="0"/>
              <w:jc w:val="center"/>
              <w:rPr>
                <w:color w:val="auto"/>
                <w:sz w:val="24"/>
                <w:highlight w:val="none"/>
              </w:rPr>
            </w:pPr>
          </w:p>
        </w:tc>
        <w:tc>
          <w:tcPr>
            <w:tcW w:w="1009" w:type="dxa"/>
            <w:vAlign w:val="center"/>
          </w:tcPr>
          <w:p w14:paraId="151845F5">
            <w:pPr>
              <w:adjustRightInd w:val="0"/>
              <w:snapToGrid w:val="0"/>
              <w:jc w:val="center"/>
              <w:rPr>
                <w:color w:val="auto"/>
                <w:sz w:val="24"/>
                <w:highlight w:val="none"/>
              </w:rPr>
            </w:pPr>
          </w:p>
        </w:tc>
      </w:tr>
      <w:tr w14:paraId="46B4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7C489D0A">
            <w:pPr>
              <w:adjustRightInd w:val="0"/>
              <w:snapToGrid w:val="0"/>
              <w:jc w:val="center"/>
              <w:rPr>
                <w:color w:val="auto"/>
                <w:sz w:val="24"/>
                <w:highlight w:val="none"/>
              </w:rPr>
            </w:pPr>
          </w:p>
        </w:tc>
        <w:tc>
          <w:tcPr>
            <w:tcW w:w="1482" w:type="dxa"/>
            <w:vAlign w:val="center"/>
          </w:tcPr>
          <w:p w14:paraId="05876B0D">
            <w:pPr>
              <w:adjustRightInd w:val="0"/>
              <w:snapToGrid w:val="0"/>
              <w:jc w:val="center"/>
              <w:rPr>
                <w:color w:val="auto"/>
                <w:sz w:val="24"/>
                <w:highlight w:val="none"/>
              </w:rPr>
            </w:pPr>
          </w:p>
        </w:tc>
        <w:tc>
          <w:tcPr>
            <w:tcW w:w="2384" w:type="dxa"/>
            <w:vAlign w:val="center"/>
          </w:tcPr>
          <w:p w14:paraId="080C722E">
            <w:pPr>
              <w:adjustRightInd w:val="0"/>
              <w:snapToGrid w:val="0"/>
              <w:jc w:val="center"/>
              <w:rPr>
                <w:color w:val="auto"/>
                <w:sz w:val="24"/>
                <w:highlight w:val="none"/>
              </w:rPr>
            </w:pPr>
          </w:p>
        </w:tc>
        <w:tc>
          <w:tcPr>
            <w:tcW w:w="2126" w:type="dxa"/>
            <w:vAlign w:val="center"/>
          </w:tcPr>
          <w:p w14:paraId="0BFE3DF1">
            <w:pPr>
              <w:adjustRightInd w:val="0"/>
              <w:snapToGrid w:val="0"/>
              <w:jc w:val="center"/>
              <w:rPr>
                <w:color w:val="auto"/>
                <w:sz w:val="24"/>
                <w:highlight w:val="none"/>
              </w:rPr>
            </w:pPr>
          </w:p>
        </w:tc>
        <w:tc>
          <w:tcPr>
            <w:tcW w:w="1875" w:type="dxa"/>
            <w:vAlign w:val="center"/>
          </w:tcPr>
          <w:p w14:paraId="058CE3E2">
            <w:pPr>
              <w:adjustRightInd w:val="0"/>
              <w:snapToGrid w:val="0"/>
              <w:jc w:val="center"/>
              <w:rPr>
                <w:color w:val="auto"/>
                <w:sz w:val="24"/>
                <w:highlight w:val="none"/>
              </w:rPr>
            </w:pPr>
          </w:p>
        </w:tc>
        <w:tc>
          <w:tcPr>
            <w:tcW w:w="1009" w:type="dxa"/>
            <w:vAlign w:val="center"/>
          </w:tcPr>
          <w:p w14:paraId="6F08DAA6">
            <w:pPr>
              <w:adjustRightInd w:val="0"/>
              <w:snapToGrid w:val="0"/>
              <w:jc w:val="center"/>
              <w:rPr>
                <w:color w:val="auto"/>
                <w:sz w:val="24"/>
                <w:highlight w:val="none"/>
              </w:rPr>
            </w:pPr>
          </w:p>
        </w:tc>
      </w:tr>
    </w:tbl>
    <w:p w14:paraId="5A4C01C9">
      <w:pPr>
        <w:tabs>
          <w:tab w:val="left" w:pos="1800"/>
          <w:tab w:val="left" w:pos="5580"/>
        </w:tabs>
        <w:spacing w:line="360" w:lineRule="auto"/>
        <w:ind w:firstLine="360" w:firstLineChars="150"/>
        <w:jc w:val="left"/>
        <w:rPr>
          <w:color w:val="auto"/>
          <w:sz w:val="24"/>
          <w:highlight w:val="none"/>
          <w:u w:val="single"/>
        </w:rPr>
      </w:pPr>
    </w:p>
    <w:p w14:paraId="69310484">
      <w:pPr>
        <w:tabs>
          <w:tab w:val="left" w:pos="1800"/>
          <w:tab w:val="left" w:pos="5580"/>
        </w:tabs>
        <w:spacing w:line="360" w:lineRule="auto"/>
        <w:ind w:firstLine="360" w:firstLineChars="150"/>
        <w:jc w:val="left"/>
        <w:rPr>
          <w:color w:val="auto"/>
          <w:sz w:val="24"/>
          <w:highlight w:val="none"/>
          <w:u w:val="single"/>
        </w:rPr>
      </w:pPr>
    </w:p>
    <w:p w14:paraId="7E876A3D">
      <w:pPr>
        <w:tabs>
          <w:tab w:val="left" w:pos="1800"/>
          <w:tab w:val="left" w:pos="5580"/>
        </w:tabs>
        <w:jc w:val="left"/>
        <w:rPr>
          <w:color w:val="auto"/>
          <w:sz w:val="24"/>
          <w:highlight w:val="none"/>
        </w:rPr>
      </w:pPr>
      <w:r>
        <w:rPr>
          <w:color w:val="auto"/>
          <w:sz w:val="24"/>
          <w:highlight w:val="none"/>
        </w:rPr>
        <w:t>注：</w:t>
      </w:r>
    </w:p>
    <w:p w14:paraId="040B44BB">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740140AB">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w:t>
      </w:r>
      <w:bookmarkStart w:id="962" w:name="OLE_LINK15"/>
      <w:bookmarkStart w:id="963" w:name="OLE_LINK20"/>
      <w:r>
        <w:rPr>
          <w:rFonts w:hint="eastAsia"/>
          <w:color w:val="auto"/>
          <w:sz w:val="24"/>
          <w:highlight w:val="none"/>
        </w:rPr>
        <w:t>“正偏离”或“负偏离”</w:t>
      </w:r>
      <w:bookmarkEnd w:id="962"/>
      <w:bookmarkEnd w:id="963"/>
      <w:r>
        <w:rPr>
          <w:rFonts w:hint="eastAsia"/>
          <w:color w:val="auto"/>
          <w:sz w:val="24"/>
          <w:highlight w:val="none"/>
        </w:rPr>
        <w:t>；</w:t>
      </w:r>
      <w:r>
        <w:rPr>
          <w:rFonts w:hint="eastAsia"/>
          <w:b/>
          <w:color w:val="auto"/>
          <w:sz w:val="24"/>
          <w:highlight w:val="none"/>
        </w:rPr>
        <w:t>如对采购需求全部内容均无“正偏离”或“负偏离”，则在本表第一行偏差处填写“无偏离”</w:t>
      </w:r>
      <w:r>
        <w:rPr>
          <w:rFonts w:hint="eastAsia"/>
          <w:color w:val="auto"/>
          <w:sz w:val="24"/>
          <w:highlight w:val="none"/>
        </w:rPr>
        <w:t>。</w:t>
      </w:r>
    </w:p>
    <w:p w14:paraId="0F3725AC">
      <w:pPr>
        <w:tabs>
          <w:tab w:val="left" w:pos="1800"/>
          <w:tab w:val="left" w:pos="5580"/>
        </w:tabs>
        <w:jc w:val="left"/>
        <w:rPr>
          <w:color w:val="auto"/>
          <w:sz w:val="24"/>
          <w:highlight w:val="none"/>
        </w:rPr>
      </w:pPr>
    </w:p>
    <w:p w14:paraId="0D06B827">
      <w:pPr>
        <w:tabs>
          <w:tab w:val="left" w:pos="1800"/>
          <w:tab w:val="left" w:pos="5580"/>
        </w:tabs>
        <w:jc w:val="left"/>
        <w:rPr>
          <w:color w:val="auto"/>
          <w:sz w:val="24"/>
          <w:highlight w:val="none"/>
        </w:rPr>
      </w:pPr>
    </w:p>
    <w:p w14:paraId="6FD1E91E">
      <w:pPr>
        <w:rPr>
          <w:color w:val="auto"/>
          <w:sz w:val="24"/>
          <w:szCs w:val="20"/>
          <w:highlight w:val="none"/>
        </w:rPr>
      </w:pPr>
    </w:p>
    <w:p w14:paraId="5B08FC5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80B8DDC">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0BBE9775">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A37AB3">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3B66BC0B">
      <w:pPr>
        <w:pStyle w:val="38"/>
        <w:shd w:val="clear" w:color="auto" w:fill="FFFFFF"/>
        <w:spacing w:before="30" w:beforeAutospacing="0" w:after="30" w:afterAutospacing="0"/>
        <w:jc w:val="center"/>
        <w:rPr>
          <w:color w:val="auto"/>
          <w:sz w:val="36"/>
          <w:szCs w:val="36"/>
          <w:highlight w:val="none"/>
        </w:rPr>
      </w:pPr>
      <w:r>
        <w:rPr>
          <w:rStyle w:val="47"/>
          <w:rFonts w:hint="eastAsia"/>
          <w:color w:val="auto"/>
          <w:sz w:val="36"/>
          <w:szCs w:val="36"/>
          <w:highlight w:val="none"/>
          <w:shd w:val="clear" w:color="auto" w:fill="FFFFFF"/>
        </w:rPr>
        <w:t>关于符合本国产品标准的声明函</w:t>
      </w:r>
    </w:p>
    <w:p w14:paraId="2E522770">
      <w:pPr>
        <w:pStyle w:val="38"/>
        <w:shd w:val="clear" w:color="auto" w:fill="FFFFFF"/>
        <w:spacing w:before="30" w:beforeAutospacing="0" w:after="30" w:afterAutospacing="0"/>
        <w:ind w:firstLine="420"/>
        <w:rPr>
          <w:color w:val="auto"/>
          <w:highlight w:val="none"/>
        </w:rPr>
      </w:pPr>
    </w:p>
    <w:p w14:paraId="25887208">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700694D">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13D18CAE">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50"/>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48B9D04E">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2D2FA3F6">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29EC23FB">
      <w:pPr>
        <w:pStyle w:val="38"/>
        <w:shd w:val="clear" w:color="auto" w:fill="FFFFFF"/>
        <w:spacing w:before="0" w:beforeAutospacing="0" w:after="0" w:afterAutospacing="0" w:line="360" w:lineRule="auto"/>
        <w:rPr>
          <w:color w:val="auto"/>
          <w:highlight w:val="none"/>
        </w:rPr>
      </w:pPr>
    </w:p>
    <w:p w14:paraId="09E08B69">
      <w:pPr>
        <w:pStyle w:val="38"/>
        <w:shd w:val="clear" w:color="auto" w:fill="FFFFFF"/>
        <w:spacing w:before="0" w:beforeAutospacing="0" w:after="0" w:afterAutospacing="0" w:line="360" w:lineRule="auto"/>
        <w:jc w:val="right"/>
        <w:rPr>
          <w:color w:val="auto"/>
          <w:highlight w:val="none"/>
          <w:shd w:val="clear" w:color="auto" w:fill="FFFFFF"/>
        </w:rPr>
      </w:pPr>
    </w:p>
    <w:p w14:paraId="0E841AD0">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06B762A6">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0CD7B528">
      <w:pPr>
        <w:pStyle w:val="38"/>
        <w:shd w:val="clear" w:color="auto" w:fill="FFFFFF"/>
        <w:spacing w:before="0" w:beforeAutospacing="0" w:after="0" w:afterAutospacing="0" w:line="360" w:lineRule="auto"/>
        <w:rPr>
          <w:color w:val="auto"/>
          <w:highlight w:val="none"/>
          <w:shd w:val="clear" w:color="auto" w:fill="FFFFFF"/>
        </w:rPr>
      </w:pPr>
    </w:p>
    <w:p w14:paraId="061877FA">
      <w:pPr>
        <w:pStyle w:val="38"/>
        <w:shd w:val="clear" w:color="auto" w:fill="FFFFFF"/>
        <w:spacing w:before="0" w:beforeAutospacing="0" w:after="0" w:afterAutospacing="0" w:line="360" w:lineRule="auto"/>
        <w:rPr>
          <w:color w:val="auto"/>
          <w:highlight w:val="none"/>
          <w:shd w:val="clear" w:color="auto" w:fill="FFFFFF"/>
        </w:rPr>
      </w:pPr>
    </w:p>
    <w:p w14:paraId="7D3655B9">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7B79DF08">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294EB742">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1B8F4211">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58BFD764">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18AB693A">
      <w:pPr>
        <w:widowControl/>
        <w:jc w:val="left"/>
        <w:rPr>
          <w:color w:val="auto"/>
          <w:szCs w:val="21"/>
          <w:highlight w:val="none"/>
          <w:shd w:val="clear" w:color="auto" w:fill="FFFFFF"/>
        </w:rPr>
      </w:pPr>
      <w:r>
        <w:rPr>
          <w:color w:val="auto"/>
          <w:szCs w:val="21"/>
          <w:highlight w:val="none"/>
          <w:shd w:val="clear" w:color="auto" w:fill="FFFFFF"/>
        </w:rPr>
        <w:br w:type="page"/>
      </w:r>
    </w:p>
    <w:p w14:paraId="7D8814F7">
      <w:pPr>
        <w:pStyle w:val="38"/>
        <w:shd w:val="clear" w:color="auto" w:fill="FFFFFF"/>
        <w:spacing w:before="30" w:beforeAutospacing="0" w:after="30" w:afterAutospacing="0"/>
        <w:jc w:val="center"/>
        <w:rPr>
          <w:rStyle w:val="47"/>
          <w:color w:val="auto"/>
          <w:sz w:val="36"/>
          <w:szCs w:val="36"/>
          <w:highlight w:val="none"/>
        </w:rPr>
      </w:pPr>
      <w:r>
        <w:rPr>
          <w:rStyle w:val="47"/>
          <w:rFonts w:hint="eastAsia"/>
          <w:color w:val="auto"/>
          <w:sz w:val="36"/>
          <w:szCs w:val="36"/>
          <w:highlight w:val="none"/>
        </w:rPr>
        <w:t>产品成本占比承诺函</w:t>
      </w:r>
    </w:p>
    <w:p w14:paraId="18CF6BF7">
      <w:pPr>
        <w:pStyle w:val="38"/>
        <w:shd w:val="clear" w:color="auto" w:fill="FFFFFF"/>
        <w:spacing w:before="30" w:beforeAutospacing="0" w:after="30" w:afterAutospacing="0"/>
        <w:rPr>
          <w:rStyle w:val="47"/>
          <w:color w:val="auto"/>
          <w:sz w:val="36"/>
          <w:szCs w:val="36"/>
          <w:highlight w:val="none"/>
        </w:rPr>
      </w:pPr>
    </w:p>
    <w:p w14:paraId="00BB042B">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33A962EE">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1BBDCAC3">
      <w:pPr>
        <w:widowControl/>
        <w:spacing w:line="360" w:lineRule="auto"/>
        <w:ind w:firstLine="480" w:firstLineChars="200"/>
        <w:jc w:val="left"/>
        <w:rPr>
          <w:color w:val="auto"/>
          <w:sz w:val="24"/>
          <w:highlight w:val="none"/>
        </w:rPr>
      </w:pPr>
    </w:p>
    <w:p w14:paraId="2ED705A1">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732DB904">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1B7EF6F2">
      <w:pPr>
        <w:widowControl/>
        <w:spacing w:line="360" w:lineRule="auto"/>
        <w:jc w:val="left"/>
        <w:rPr>
          <w:color w:val="auto"/>
          <w:sz w:val="24"/>
          <w:highlight w:val="none"/>
        </w:rPr>
      </w:pPr>
    </w:p>
    <w:p w14:paraId="2BF4DC1A">
      <w:pPr>
        <w:widowControl/>
        <w:spacing w:line="360" w:lineRule="auto"/>
        <w:jc w:val="left"/>
        <w:rPr>
          <w:color w:val="auto"/>
          <w:sz w:val="24"/>
          <w:highlight w:val="none"/>
        </w:rPr>
      </w:pPr>
    </w:p>
    <w:p w14:paraId="5FF63EF8">
      <w:pPr>
        <w:spacing w:line="360" w:lineRule="auto"/>
        <w:rPr>
          <w:color w:val="auto"/>
          <w:sz w:val="22"/>
          <w:szCs w:val="22"/>
          <w:highlight w:val="none"/>
        </w:rPr>
      </w:pPr>
      <w:r>
        <w:rPr>
          <w:rFonts w:hint="eastAsia"/>
          <w:color w:val="auto"/>
          <w:sz w:val="22"/>
          <w:szCs w:val="22"/>
          <w:highlight w:val="none"/>
        </w:rPr>
        <w:t>注：</w:t>
      </w:r>
    </w:p>
    <w:p w14:paraId="3E9994B0">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20C7E796">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5DDCDB59">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31A17BBA">
      <w:pPr>
        <w:widowControl/>
        <w:jc w:val="left"/>
        <w:rPr>
          <w:color w:val="auto"/>
          <w:sz w:val="24"/>
          <w:szCs w:val="20"/>
          <w:highlight w:val="none"/>
        </w:rPr>
      </w:pPr>
      <w:r>
        <w:rPr>
          <w:color w:val="auto"/>
          <w:sz w:val="24"/>
          <w:szCs w:val="20"/>
          <w:highlight w:val="none"/>
        </w:rPr>
        <w:br w:type="page"/>
      </w:r>
    </w:p>
    <w:p w14:paraId="31A593D2">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76A86D53">
      <w:pPr>
        <w:tabs>
          <w:tab w:val="left" w:pos="5580"/>
        </w:tabs>
        <w:spacing w:line="360" w:lineRule="auto"/>
        <w:rPr>
          <w:color w:val="auto"/>
          <w:sz w:val="24"/>
          <w:highlight w:val="none"/>
        </w:rPr>
      </w:pPr>
      <w:r>
        <w:rPr>
          <w:color w:val="auto"/>
          <w:sz w:val="24"/>
          <w:highlight w:val="none"/>
        </w:rPr>
        <w:t>说明：</w:t>
      </w:r>
    </w:p>
    <w:p w14:paraId="43B866E1">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8EBC11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904D9C4">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29CD759">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4E97FCA9">
      <w:pPr>
        <w:widowControl/>
        <w:jc w:val="left"/>
        <w:rPr>
          <w:b/>
          <w:bCs/>
          <w:color w:val="auto"/>
          <w:sz w:val="24"/>
          <w:highlight w:val="none"/>
        </w:rPr>
      </w:pPr>
      <w:r>
        <w:rPr>
          <w:b/>
          <w:bCs/>
          <w:color w:val="auto"/>
          <w:sz w:val="24"/>
          <w:highlight w:val="none"/>
        </w:rPr>
        <w:br w:type="page"/>
      </w:r>
    </w:p>
    <w:p w14:paraId="2CBCF28E">
      <w:pPr>
        <w:spacing w:before="240" w:beforeLines="100" w:after="240" w:afterLines="100" w:line="360" w:lineRule="auto"/>
        <w:jc w:val="center"/>
        <w:rPr>
          <w:b/>
          <w:color w:val="auto"/>
          <w:sz w:val="36"/>
          <w:szCs w:val="36"/>
          <w:highlight w:val="none"/>
        </w:rPr>
      </w:pPr>
      <w:r>
        <w:rPr>
          <w:b/>
          <w:bCs/>
          <w:color w:val="auto"/>
          <w:sz w:val="36"/>
          <w:szCs w:val="36"/>
          <w:highlight w:val="none"/>
        </w:rPr>
        <w:t>中小企业声明函（货物）格式</w:t>
      </w:r>
    </w:p>
    <w:p w14:paraId="08EF2E53">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采购活动，提供的货物全部由符合政策要求的中小企业制造。相关企业（含联合体中的中小企业、签订分包意向协议的中小企业）的具体情况如下：</w:t>
      </w:r>
    </w:p>
    <w:p w14:paraId="0ACDCE0C">
      <w:pPr>
        <w:numPr>
          <w:ilvl w:val="0"/>
          <w:numId w:val="20"/>
        </w:numPr>
        <w:tabs>
          <w:tab w:val="left" w:pos="1183"/>
          <w:tab w:val="left" w:pos="1484"/>
          <w:tab w:val="left" w:pos="4662"/>
          <w:tab w:val="left" w:pos="6903"/>
        </w:tabs>
        <w:autoSpaceDE w:val="0"/>
        <w:autoSpaceDN w:val="0"/>
        <w:spacing w:line="360" w:lineRule="auto"/>
        <w:ind w:right="169" w:firstLine="646"/>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采购文件中明确的所属行业）行业</w:t>
      </w:r>
      <w:r>
        <w:rPr>
          <w:color w:val="auto"/>
          <w:kern w:val="0"/>
          <w:sz w:val="24"/>
          <w:highlight w:val="none"/>
          <w:u w:color="000000"/>
        </w:rPr>
        <w:t>；制造商为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kern w:val="0"/>
          <w:position w:val="16"/>
          <w:sz w:val="24"/>
          <w:highlight w:val="none"/>
          <w:u w:color="000000"/>
        </w:rPr>
        <w:t>1</w:t>
      </w:r>
      <w:r>
        <w:rPr>
          <w:color w:val="auto"/>
          <w:kern w:val="0"/>
          <w:position w:val="16"/>
          <w:sz w:val="24"/>
          <w:highlight w:val="none"/>
          <w:u w:color="000000"/>
        </w:rPr>
        <w:fldChar w:fldCharType="end"/>
      </w:r>
      <w:r>
        <w:rPr>
          <w:color w:val="auto"/>
          <w:kern w:val="0"/>
          <w:sz w:val="24"/>
          <w:highlight w:val="none"/>
          <w:u w:color="000000"/>
        </w:rPr>
        <w:t>，属于</w:t>
      </w:r>
      <w:r>
        <w:rPr>
          <w:i/>
          <w:color w:val="auto"/>
          <w:kern w:val="0"/>
          <w:sz w:val="24"/>
          <w:highlight w:val="none"/>
          <w:u w:val="single" w:color="000000"/>
        </w:rPr>
        <w:t>（中型企业、小型企业、微型企业）</w:t>
      </w:r>
      <w:r>
        <w:rPr>
          <w:color w:val="auto"/>
          <w:kern w:val="0"/>
          <w:sz w:val="24"/>
          <w:highlight w:val="none"/>
          <w:u w:color="000000"/>
        </w:rPr>
        <w:t>；</w:t>
      </w:r>
    </w:p>
    <w:p w14:paraId="2EA5CD8F">
      <w:pPr>
        <w:numPr>
          <w:ilvl w:val="0"/>
          <w:numId w:val="20"/>
        </w:numPr>
        <w:tabs>
          <w:tab w:val="left" w:pos="1165"/>
          <w:tab w:val="left" w:pos="1183"/>
          <w:tab w:val="left" w:pos="4362"/>
          <w:tab w:val="left" w:pos="6577"/>
        </w:tabs>
        <w:autoSpaceDE w:val="0"/>
        <w:autoSpaceDN w:val="0"/>
        <w:spacing w:line="360" w:lineRule="auto"/>
        <w:ind w:right="169" w:firstLine="646"/>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采购文件中明确的所属行业）行业</w:t>
      </w:r>
      <w:r>
        <w:rPr>
          <w:color w:val="auto"/>
          <w:kern w:val="0"/>
          <w:sz w:val="24"/>
          <w:highlight w:val="none"/>
          <w:u w:color="000000"/>
        </w:rPr>
        <w:t>；制造商为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1092BEC7">
      <w:pPr>
        <w:autoSpaceDE w:val="0"/>
        <w:autoSpaceDN w:val="0"/>
        <w:spacing w:line="360" w:lineRule="auto"/>
        <w:ind w:left="860"/>
        <w:jc w:val="left"/>
        <w:rPr>
          <w:color w:val="auto"/>
          <w:kern w:val="0"/>
          <w:sz w:val="24"/>
          <w:highlight w:val="none"/>
        </w:rPr>
      </w:pPr>
      <w:r>
        <w:rPr>
          <w:color w:val="auto"/>
          <w:kern w:val="0"/>
          <w:sz w:val="24"/>
          <w:highlight w:val="none"/>
        </w:rPr>
        <w:t>……</w:t>
      </w:r>
    </w:p>
    <w:p w14:paraId="198AADD3">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0D5F28E7">
      <w:pPr>
        <w:autoSpaceDE w:val="0"/>
        <w:autoSpaceDN w:val="0"/>
        <w:spacing w:line="360" w:lineRule="auto"/>
        <w:ind w:left="220" w:right="372" w:firstLine="645"/>
        <w:jc w:val="left"/>
        <w:rPr>
          <w:color w:val="auto"/>
          <w:kern w:val="0"/>
          <w:sz w:val="24"/>
          <w:highlight w:val="none"/>
        </w:rPr>
      </w:pPr>
      <w:r>
        <w:rPr>
          <w:color w:val="auto"/>
          <w:kern w:val="0"/>
          <w:sz w:val="24"/>
          <w:highlight w:val="none"/>
        </w:rPr>
        <w:t>本企业对上述声明内容的真实性负责。如有虚假，将依法承担相应责任。</w:t>
      </w:r>
    </w:p>
    <w:p w14:paraId="41373A90">
      <w:pPr>
        <w:spacing w:line="360" w:lineRule="auto"/>
        <w:ind w:firstLine="504"/>
        <w:rPr>
          <w:color w:val="auto"/>
          <w:spacing w:val="6"/>
          <w:sz w:val="24"/>
          <w:highlight w:val="none"/>
        </w:rPr>
      </w:pPr>
    </w:p>
    <w:p w14:paraId="0494A70D">
      <w:pPr>
        <w:spacing w:line="360" w:lineRule="auto"/>
        <w:ind w:firstLine="504"/>
        <w:rPr>
          <w:color w:val="auto"/>
          <w:spacing w:val="6"/>
          <w:sz w:val="24"/>
          <w:highlight w:val="none"/>
        </w:rPr>
      </w:pPr>
    </w:p>
    <w:p w14:paraId="03D5EE9F">
      <w:pPr>
        <w:spacing w:line="360" w:lineRule="auto"/>
        <w:ind w:right="360" w:firstLine="480"/>
        <w:jc w:val="right"/>
        <w:rPr>
          <w:color w:val="auto"/>
          <w:sz w:val="24"/>
          <w:highlight w:val="none"/>
        </w:rPr>
      </w:pPr>
      <w:r>
        <w:rPr>
          <w:color w:val="auto"/>
          <w:sz w:val="24"/>
          <w:highlight w:val="none"/>
        </w:rPr>
        <w:t>企业名称（盖章）：________</w:t>
      </w:r>
    </w:p>
    <w:p w14:paraId="645FB229">
      <w:pPr>
        <w:spacing w:line="360" w:lineRule="auto"/>
        <w:ind w:right="360" w:firstLine="480"/>
        <w:jc w:val="right"/>
        <w:rPr>
          <w:color w:val="auto"/>
          <w:sz w:val="24"/>
          <w:highlight w:val="none"/>
        </w:rPr>
      </w:pPr>
      <w:r>
        <w:rPr>
          <w:color w:val="auto"/>
          <w:sz w:val="24"/>
          <w:highlight w:val="none"/>
        </w:rPr>
        <w:t>日 期：________</w:t>
      </w:r>
    </w:p>
    <w:p w14:paraId="71A760C6">
      <w:pPr>
        <w:spacing w:line="360" w:lineRule="auto"/>
        <w:ind w:right="360" w:firstLine="480"/>
        <w:jc w:val="right"/>
        <w:rPr>
          <w:color w:val="auto"/>
          <w:sz w:val="24"/>
          <w:highlight w:val="none"/>
        </w:rPr>
      </w:pPr>
    </w:p>
    <w:p w14:paraId="48138104">
      <w:pPr>
        <w:spacing w:line="360" w:lineRule="auto"/>
        <w:ind w:right="360" w:firstLine="480"/>
        <w:jc w:val="right"/>
        <w:rPr>
          <w:color w:val="auto"/>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942422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D09FB7B">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061A311D">
      <w:pPr>
        <w:autoSpaceDE w:val="0"/>
        <w:autoSpaceDN w:val="0"/>
        <w:adjustRightInd w:val="0"/>
        <w:ind w:firstLine="420"/>
        <w:jc w:val="left"/>
        <w:rPr>
          <w:color w:val="auto"/>
          <w:sz w:val="24"/>
          <w:highlight w:val="none"/>
        </w:rPr>
      </w:pPr>
    </w:p>
    <w:p w14:paraId="3A9F19E1">
      <w:pPr>
        <w:spacing w:line="360" w:lineRule="auto"/>
        <w:rPr>
          <w:color w:val="auto"/>
          <w:sz w:val="24"/>
          <w:highlight w:val="none"/>
        </w:rPr>
      </w:pPr>
    </w:p>
    <w:p w14:paraId="2EF413FE">
      <w:pPr>
        <w:spacing w:before="240" w:beforeLines="100" w:after="240" w:afterLines="100" w:line="360" w:lineRule="auto"/>
        <w:jc w:val="center"/>
        <w:rPr>
          <w:b/>
          <w:bCs/>
          <w:color w:val="auto"/>
          <w:sz w:val="36"/>
          <w:szCs w:val="36"/>
          <w:highlight w:val="none"/>
        </w:rPr>
      </w:pPr>
      <w:r>
        <w:rPr>
          <w:color w:val="auto"/>
          <w:sz w:val="24"/>
          <w:highlight w:val="none"/>
        </w:rPr>
        <w:br w:type="page"/>
      </w:r>
      <w:r>
        <w:rPr>
          <w:b/>
          <w:bCs/>
          <w:color w:val="auto"/>
          <w:sz w:val="36"/>
          <w:szCs w:val="36"/>
          <w:highlight w:val="none"/>
        </w:rPr>
        <w:t>中小企业声明函（工程、服务）格式</w:t>
      </w:r>
    </w:p>
    <w:p w14:paraId="1BF02AE8">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E3F0A12">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51A8F7D2">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7B74C355">
      <w:pPr>
        <w:autoSpaceDE w:val="0"/>
        <w:autoSpaceDN w:val="0"/>
        <w:spacing w:line="360" w:lineRule="auto"/>
        <w:ind w:left="860"/>
        <w:jc w:val="left"/>
        <w:rPr>
          <w:color w:val="auto"/>
          <w:kern w:val="0"/>
          <w:sz w:val="24"/>
          <w:highlight w:val="none"/>
        </w:rPr>
      </w:pPr>
      <w:r>
        <w:rPr>
          <w:color w:val="auto"/>
          <w:kern w:val="0"/>
          <w:sz w:val="24"/>
          <w:highlight w:val="none"/>
        </w:rPr>
        <w:t>……</w:t>
      </w:r>
    </w:p>
    <w:p w14:paraId="322F835E">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6363F15A">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24E146D8">
      <w:pPr>
        <w:spacing w:line="360" w:lineRule="auto"/>
        <w:ind w:firstLine="504"/>
        <w:rPr>
          <w:color w:val="auto"/>
          <w:spacing w:val="6"/>
          <w:sz w:val="24"/>
          <w:highlight w:val="none"/>
        </w:rPr>
      </w:pPr>
    </w:p>
    <w:p w14:paraId="452E61D6">
      <w:pPr>
        <w:spacing w:line="360" w:lineRule="auto"/>
        <w:ind w:right="360" w:firstLine="480"/>
        <w:jc w:val="right"/>
        <w:rPr>
          <w:color w:val="auto"/>
          <w:sz w:val="24"/>
          <w:highlight w:val="none"/>
        </w:rPr>
      </w:pPr>
    </w:p>
    <w:p w14:paraId="2AE34B88">
      <w:pPr>
        <w:spacing w:line="360" w:lineRule="auto"/>
        <w:ind w:right="360" w:firstLine="480"/>
        <w:jc w:val="right"/>
        <w:rPr>
          <w:color w:val="auto"/>
          <w:sz w:val="24"/>
          <w:highlight w:val="none"/>
        </w:rPr>
      </w:pPr>
      <w:r>
        <w:rPr>
          <w:color w:val="auto"/>
          <w:sz w:val="24"/>
          <w:highlight w:val="none"/>
        </w:rPr>
        <w:t>企业名称（盖章）：________</w:t>
      </w:r>
    </w:p>
    <w:p w14:paraId="635153AB">
      <w:pPr>
        <w:spacing w:line="360" w:lineRule="auto"/>
        <w:ind w:right="360" w:firstLine="480"/>
        <w:jc w:val="right"/>
        <w:rPr>
          <w:color w:val="auto"/>
          <w:sz w:val="24"/>
          <w:highlight w:val="none"/>
        </w:rPr>
      </w:pPr>
      <w:r>
        <w:rPr>
          <w:color w:val="auto"/>
          <w:sz w:val="24"/>
          <w:highlight w:val="none"/>
        </w:rPr>
        <w:t>日 期：________</w:t>
      </w:r>
    </w:p>
    <w:p w14:paraId="3B03C7AD">
      <w:pPr>
        <w:spacing w:line="360" w:lineRule="auto"/>
        <w:ind w:right="360" w:firstLine="480"/>
        <w:jc w:val="right"/>
        <w:rPr>
          <w:color w:val="auto"/>
          <w:sz w:val="24"/>
          <w:highlight w:val="none"/>
        </w:rPr>
      </w:pPr>
    </w:p>
    <w:p w14:paraId="0F3A843D">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96D17F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0520B61">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1AB45255">
      <w:pPr>
        <w:adjustRightInd w:val="0"/>
        <w:snapToGrid w:val="0"/>
        <w:jc w:val="left"/>
        <w:rPr>
          <w:color w:val="auto"/>
          <w:szCs w:val="21"/>
          <w:highlight w:val="none"/>
          <w:vertAlign w:val="superscript"/>
        </w:rPr>
      </w:pPr>
    </w:p>
    <w:p w14:paraId="78483C31">
      <w:pPr>
        <w:spacing w:line="360" w:lineRule="auto"/>
        <w:ind w:right="360" w:firstLine="480"/>
        <w:jc w:val="right"/>
        <w:rPr>
          <w:color w:val="auto"/>
          <w:sz w:val="24"/>
          <w:highlight w:val="none"/>
        </w:rPr>
      </w:pPr>
    </w:p>
    <w:p w14:paraId="64F43F16">
      <w:pPr>
        <w:spacing w:line="360" w:lineRule="auto"/>
        <w:ind w:right="360" w:firstLine="480"/>
        <w:jc w:val="right"/>
        <w:rPr>
          <w:color w:val="auto"/>
          <w:sz w:val="24"/>
          <w:highlight w:val="none"/>
        </w:rPr>
      </w:pPr>
    </w:p>
    <w:p w14:paraId="22EBA085">
      <w:pPr>
        <w:spacing w:line="360" w:lineRule="auto"/>
        <w:outlineLvl w:val="9"/>
        <w:rPr>
          <w:color w:val="auto"/>
          <w:sz w:val="24"/>
          <w:szCs w:val="20"/>
          <w:highlight w:val="none"/>
        </w:rPr>
      </w:pPr>
      <w:r>
        <w:rPr>
          <w:color w:val="auto"/>
          <w:sz w:val="24"/>
          <w:szCs w:val="20"/>
          <w:highlight w:val="none"/>
        </w:rPr>
        <w:br w:type="page"/>
      </w:r>
    </w:p>
    <w:p w14:paraId="05F53288">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4D51B972">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5CE371F5">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0553BBE">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04D1D70">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ED0758">
      <w:pPr>
        <w:spacing w:line="588" w:lineRule="exact"/>
        <w:ind w:firstLine="504" w:firstLineChars="200"/>
        <w:rPr>
          <w:color w:val="auto"/>
          <w:spacing w:val="6"/>
          <w:sz w:val="24"/>
          <w:highlight w:val="none"/>
        </w:rPr>
      </w:pPr>
    </w:p>
    <w:p w14:paraId="4E462B31">
      <w:pPr>
        <w:spacing w:line="588" w:lineRule="exact"/>
        <w:ind w:firstLine="504" w:firstLineChars="200"/>
        <w:rPr>
          <w:color w:val="auto"/>
          <w:spacing w:val="6"/>
          <w:sz w:val="24"/>
          <w:highlight w:val="none"/>
        </w:rPr>
      </w:pPr>
    </w:p>
    <w:p w14:paraId="5372DDB4">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F0E3284">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6AA80AC2">
      <w:pPr>
        <w:numPr>
          <w:ilvl w:val="0"/>
          <w:numId w:val="19"/>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p>
    <w:p w14:paraId="6D1C0B48">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38DD5E95">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2AAAFB2">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0E59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95544AE">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443AEA29">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7FC0D8FD">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3DC839B3">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61F54271">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6F949E43">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450CD248">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2855E409">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A2B81A9">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BE76613">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6E1E570D">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597AF7EB">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1BE7C998">
            <w:pPr>
              <w:pStyle w:val="248"/>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2826741A">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4487F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C331AE4">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2AA2FC62">
            <w:pPr>
              <w:pStyle w:val="248"/>
              <w:jc w:val="center"/>
              <w:rPr>
                <w:rFonts w:ascii="Times New Roman" w:hAnsi="Times New Roman" w:cs="Times New Roman" w:eastAsiaTheme="minorEastAsia"/>
                <w:color w:val="auto"/>
                <w:sz w:val="30"/>
                <w:highlight w:val="none"/>
              </w:rPr>
            </w:pPr>
          </w:p>
        </w:tc>
        <w:tc>
          <w:tcPr>
            <w:tcW w:w="1513" w:type="dxa"/>
            <w:vAlign w:val="center"/>
          </w:tcPr>
          <w:p w14:paraId="798DEF3D">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59C27E0">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24C77700">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6698A94B">
            <w:pPr>
              <w:pStyle w:val="248"/>
              <w:jc w:val="center"/>
              <w:rPr>
                <w:rFonts w:ascii="Times New Roman" w:hAnsi="Times New Roman" w:cs="Times New Roman" w:eastAsiaTheme="minorEastAsia"/>
                <w:color w:val="auto"/>
                <w:sz w:val="30"/>
                <w:highlight w:val="none"/>
                <w:lang w:eastAsia="zh-CN"/>
              </w:rPr>
            </w:pPr>
          </w:p>
        </w:tc>
        <w:tc>
          <w:tcPr>
            <w:tcW w:w="1558" w:type="dxa"/>
            <w:vAlign w:val="center"/>
          </w:tcPr>
          <w:p w14:paraId="7B7C9BF2">
            <w:pPr>
              <w:pStyle w:val="248"/>
              <w:jc w:val="center"/>
              <w:rPr>
                <w:rFonts w:ascii="Times New Roman" w:hAnsi="Times New Roman" w:cs="Times New Roman" w:eastAsiaTheme="minorEastAsia"/>
                <w:color w:val="auto"/>
                <w:sz w:val="30"/>
                <w:highlight w:val="none"/>
                <w:lang w:eastAsia="zh-CN"/>
              </w:rPr>
            </w:pPr>
          </w:p>
        </w:tc>
        <w:tc>
          <w:tcPr>
            <w:tcW w:w="1498" w:type="dxa"/>
            <w:vAlign w:val="center"/>
          </w:tcPr>
          <w:p w14:paraId="35A6CED6">
            <w:pPr>
              <w:pStyle w:val="248"/>
              <w:jc w:val="center"/>
              <w:rPr>
                <w:rFonts w:ascii="Times New Roman" w:hAnsi="Times New Roman" w:cs="Times New Roman" w:eastAsiaTheme="minorEastAsia"/>
                <w:color w:val="auto"/>
                <w:sz w:val="30"/>
                <w:highlight w:val="none"/>
                <w:lang w:eastAsia="zh-CN"/>
              </w:rPr>
            </w:pPr>
          </w:p>
        </w:tc>
        <w:tc>
          <w:tcPr>
            <w:tcW w:w="1564" w:type="dxa"/>
            <w:vAlign w:val="center"/>
          </w:tcPr>
          <w:p w14:paraId="44004401">
            <w:pPr>
              <w:pStyle w:val="248"/>
              <w:jc w:val="center"/>
              <w:rPr>
                <w:rFonts w:ascii="Times New Roman" w:hAnsi="Times New Roman" w:cs="Times New Roman" w:eastAsiaTheme="minorEastAsia"/>
                <w:color w:val="auto"/>
                <w:sz w:val="30"/>
                <w:highlight w:val="none"/>
                <w:lang w:eastAsia="zh-CN"/>
              </w:rPr>
            </w:pPr>
          </w:p>
        </w:tc>
      </w:tr>
      <w:tr w14:paraId="04806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6B58B66">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5E3AF8E9">
            <w:pPr>
              <w:pStyle w:val="248"/>
              <w:jc w:val="center"/>
              <w:rPr>
                <w:rFonts w:ascii="Times New Roman" w:hAnsi="Times New Roman" w:cs="Times New Roman" w:eastAsiaTheme="minorEastAsia"/>
                <w:color w:val="auto"/>
                <w:sz w:val="30"/>
                <w:highlight w:val="none"/>
              </w:rPr>
            </w:pPr>
          </w:p>
        </w:tc>
        <w:tc>
          <w:tcPr>
            <w:tcW w:w="1513" w:type="dxa"/>
            <w:vAlign w:val="center"/>
          </w:tcPr>
          <w:p w14:paraId="2D3C2609">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45CB62A">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3271F44A">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0C5E10AA">
            <w:pPr>
              <w:pStyle w:val="248"/>
              <w:jc w:val="center"/>
              <w:rPr>
                <w:rFonts w:ascii="Times New Roman" w:hAnsi="Times New Roman" w:cs="Times New Roman" w:eastAsiaTheme="minorEastAsia"/>
                <w:color w:val="auto"/>
                <w:sz w:val="30"/>
                <w:highlight w:val="none"/>
                <w:lang w:eastAsia="zh-CN"/>
              </w:rPr>
            </w:pPr>
          </w:p>
        </w:tc>
        <w:tc>
          <w:tcPr>
            <w:tcW w:w="1558" w:type="dxa"/>
            <w:vAlign w:val="center"/>
          </w:tcPr>
          <w:p w14:paraId="6DA13C38">
            <w:pPr>
              <w:pStyle w:val="248"/>
              <w:jc w:val="center"/>
              <w:rPr>
                <w:rFonts w:ascii="Times New Roman" w:hAnsi="Times New Roman" w:cs="Times New Roman" w:eastAsiaTheme="minorEastAsia"/>
                <w:color w:val="auto"/>
                <w:sz w:val="30"/>
                <w:highlight w:val="none"/>
                <w:lang w:eastAsia="zh-CN"/>
              </w:rPr>
            </w:pPr>
          </w:p>
        </w:tc>
        <w:tc>
          <w:tcPr>
            <w:tcW w:w="1498" w:type="dxa"/>
            <w:vAlign w:val="center"/>
          </w:tcPr>
          <w:p w14:paraId="6E899129">
            <w:pPr>
              <w:pStyle w:val="248"/>
              <w:jc w:val="center"/>
              <w:rPr>
                <w:rFonts w:ascii="Times New Roman" w:hAnsi="Times New Roman" w:cs="Times New Roman" w:eastAsiaTheme="minorEastAsia"/>
                <w:color w:val="auto"/>
                <w:sz w:val="30"/>
                <w:highlight w:val="none"/>
                <w:lang w:eastAsia="zh-CN"/>
              </w:rPr>
            </w:pPr>
          </w:p>
        </w:tc>
        <w:tc>
          <w:tcPr>
            <w:tcW w:w="1564" w:type="dxa"/>
            <w:vAlign w:val="center"/>
          </w:tcPr>
          <w:p w14:paraId="1E29E237">
            <w:pPr>
              <w:pStyle w:val="248"/>
              <w:jc w:val="center"/>
              <w:rPr>
                <w:rFonts w:ascii="Times New Roman" w:hAnsi="Times New Roman" w:cs="Times New Roman" w:eastAsiaTheme="minorEastAsia"/>
                <w:color w:val="auto"/>
                <w:sz w:val="30"/>
                <w:highlight w:val="none"/>
                <w:lang w:eastAsia="zh-CN"/>
              </w:rPr>
            </w:pPr>
          </w:p>
        </w:tc>
      </w:tr>
      <w:tr w14:paraId="5DE53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B14A404">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6A78CE77">
            <w:pPr>
              <w:pStyle w:val="248"/>
              <w:jc w:val="center"/>
              <w:rPr>
                <w:rFonts w:ascii="Times New Roman" w:hAnsi="Times New Roman" w:cs="Times New Roman" w:eastAsiaTheme="minorEastAsia"/>
                <w:color w:val="auto"/>
                <w:sz w:val="30"/>
                <w:highlight w:val="none"/>
              </w:rPr>
            </w:pPr>
          </w:p>
        </w:tc>
        <w:tc>
          <w:tcPr>
            <w:tcW w:w="1513" w:type="dxa"/>
            <w:vAlign w:val="center"/>
          </w:tcPr>
          <w:p w14:paraId="5875A3C7">
            <w:pPr>
              <w:pStyle w:val="248"/>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1E8051DA">
            <w:pPr>
              <w:pStyle w:val="248"/>
              <w:jc w:val="center"/>
              <w:rPr>
                <w:rFonts w:ascii="Times New Roman" w:hAnsi="Times New Roman" w:cs="Times New Roman" w:eastAsiaTheme="minorEastAsia"/>
                <w:color w:val="auto"/>
                <w:sz w:val="30"/>
                <w:highlight w:val="none"/>
              </w:rPr>
            </w:pPr>
          </w:p>
        </w:tc>
        <w:tc>
          <w:tcPr>
            <w:tcW w:w="1558" w:type="dxa"/>
            <w:vAlign w:val="center"/>
          </w:tcPr>
          <w:p w14:paraId="7769D43E">
            <w:pPr>
              <w:pStyle w:val="248"/>
              <w:jc w:val="center"/>
              <w:rPr>
                <w:rFonts w:ascii="Times New Roman" w:hAnsi="Times New Roman" w:cs="Times New Roman" w:eastAsiaTheme="minorEastAsia"/>
                <w:color w:val="auto"/>
                <w:sz w:val="30"/>
                <w:highlight w:val="none"/>
              </w:rPr>
            </w:pPr>
          </w:p>
        </w:tc>
        <w:tc>
          <w:tcPr>
            <w:tcW w:w="1498" w:type="dxa"/>
            <w:vAlign w:val="center"/>
          </w:tcPr>
          <w:p w14:paraId="142FAA96">
            <w:pPr>
              <w:pStyle w:val="248"/>
              <w:jc w:val="center"/>
              <w:rPr>
                <w:rFonts w:ascii="Times New Roman" w:hAnsi="Times New Roman" w:cs="Times New Roman" w:eastAsiaTheme="minorEastAsia"/>
                <w:color w:val="auto"/>
                <w:sz w:val="30"/>
                <w:highlight w:val="none"/>
              </w:rPr>
            </w:pPr>
          </w:p>
        </w:tc>
        <w:tc>
          <w:tcPr>
            <w:tcW w:w="1564" w:type="dxa"/>
            <w:vAlign w:val="center"/>
          </w:tcPr>
          <w:p w14:paraId="5FBDB470">
            <w:pPr>
              <w:pStyle w:val="248"/>
              <w:jc w:val="center"/>
              <w:rPr>
                <w:rFonts w:ascii="Times New Roman" w:hAnsi="Times New Roman" w:cs="Times New Roman" w:eastAsiaTheme="minorEastAsia"/>
                <w:color w:val="auto"/>
                <w:sz w:val="30"/>
                <w:highlight w:val="none"/>
              </w:rPr>
            </w:pPr>
          </w:p>
        </w:tc>
      </w:tr>
      <w:tr w14:paraId="719C0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8840CF7">
            <w:pPr>
              <w:pStyle w:val="248"/>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66EC30CC">
            <w:pPr>
              <w:pStyle w:val="248"/>
              <w:jc w:val="center"/>
              <w:rPr>
                <w:rFonts w:ascii="Times New Roman" w:hAnsi="Times New Roman" w:cs="Times New Roman" w:eastAsiaTheme="minorEastAsia"/>
                <w:color w:val="auto"/>
                <w:sz w:val="30"/>
                <w:highlight w:val="none"/>
              </w:rPr>
            </w:pPr>
          </w:p>
        </w:tc>
        <w:tc>
          <w:tcPr>
            <w:tcW w:w="1564" w:type="dxa"/>
            <w:vAlign w:val="center"/>
          </w:tcPr>
          <w:p w14:paraId="6CA5B110">
            <w:pPr>
              <w:pStyle w:val="248"/>
              <w:jc w:val="center"/>
              <w:rPr>
                <w:rFonts w:ascii="Times New Roman" w:hAnsi="Times New Roman" w:cs="Times New Roman" w:eastAsiaTheme="minorEastAsia"/>
                <w:color w:val="auto"/>
                <w:sz w:val="30"/>
                <w:highlight w:val="none"/>
              </w:rPr>
            </w:pPr>
          </w:p>
        </w:tc>
      </w:tr>
    </w:tbl>
    <w:p w14:paraId="36D238EB">
      <w:pPr>
        <w:adjustRightInd w:val="0"/>
        <w:snapToGrid w:val="0"/>
        <w:spacing w:line="360" w:lineRule="auto"/>
        <w:ind w:firstLine="480" w:firstLineChars="200"/>
        <w:jc w:val="left"/>
        <w:rPr>
          <w:color w:val="auto"/>
          <w:sz w:val="24"/>
          <w:highlight w:val="none"/>
        </w:rPr>
      </w:pPr>
    </w:p>
    <w:p w14:paraId="357ED6AE">
      <w:pPr>
        <w:adjustRightInd w:val="0"/>
        <w:snapToGrid w:val="0"/>
        <w:spacing w:line="360" w:lineRule="auto"/>
        <w:jc w:val="left"/>
        <w:rPr>
          <w:color w:val="auto"/>
          <w:sz w:val="24"/>
          <w:highlight w:val="none"/>
        </w:rPr>
      </w:pPr>
      <w:r>
        <w:rPr>
          <w:color w:val="auto"/>
          <w:sz w:val="24"/>
          <w:highlight w:val="none"/>
        </w:rPr>
        <w:t xml:space="preserve">注： </w:t>
      </w:r>
    </w:p>
    <w:p w14:paraId="13CEA911">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553662CF">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6214E6DD">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901BF93">
      <w:pPr>
        <w:adjustRightInd w:val="0"/>
        <w:snapToGrid w:val="0"/>
        <w:spacing w:line="360" w:lineRule="auto"/>
        <w:jc w:val="left"/>
        <w:rPr>
          <w:color w:val="auto"/>
          <w:sz w:val="24"/>
          <w:highlight w:val="none"/>
        </w:rPr>
      </w:pPr>
    </w:p>
    <w:p w14:paraId="04EA9B3B">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FEE9B28">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38C700B9">
      <w:pPr>
        <w:widowControl/>
        <w:jc w:val="left"/>
        <w:rPr>
          <w:color w:val="auto"/>
          <w:sz w:val="24"/>
          <w:highlight w:val="none"/>
        </w:rPr>
      </w:pPr>
      <w:r>
        <w:rPr>
          <w:color w:val="auto"/>
          <w:sz w:val="24"/>
          <w:highlight w:val="none"/>
        </w:rPr>
        <w:br w:type="page"/>
      </w:r>
    </w:p>
    <w:p w14:paraId="4B5BDE5E">
      <w:pPr>
        <w:autoSpaceDE w:val="0"/>
        <w:autoSpaceDN w:val="0"/>
        <w:adjustRightInd w:val="0"/>
        <w:spacing w:line="360" w:lineRule="auto"/>
        <w:jc w:val="center"/>
        <w:rPr>
          <w:b/>
          <w:color w:val="auto"/>
          <w:sz w:val="36"/>
          <w:szCs w:val="36"/>
          <w:highlight w:val="none"/>
        </w:rPr>
      </w:pPr>
      <w:bookmarkStart w:id="964" w:name="_Hlk176956326"/>
      <w:r>
        <w:rPr>
          <w:b/>
          <w:color w:val="auto"/>
          <w:sz w:val="36"/>
          <w:szCs w:val="36"/>
          <w:highlight w:val="none"/>
        </w:rPr>
        <w:t>分包意向协议</w:t>
      </w:r>
    </w:p>
    <w:p w14:paraId="3B7C68D3">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6E53C45D">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02118898">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62ECB73D">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56C68CEF">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00ECD54C">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0E435F58">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7FF9F4F5">
      <w:pPr>
        <w:spacing w:line="360" w:lineRule="auto"/>
        <w:ind w:firstLine="471"/>
        <w:rPr>
          <w:b/>
          <w:color w:val="auto"/>
          <w:sz w:val="24"/>
          <w:highlight w:val="none"/>
        </w:rPr>
      </w:pPr>
    </w:p>
    <w:p w14:paraId="3E137C46">
      <w:pPr>
        <w:spacing w:line="360" w:lineRule="auto"/>
        <w:ind w:firstLine="471"/>
        <w:rPr>
          <w:b/>
          <w:color w:val="auto"/>
          <w:sz w:val="24"/>
          <w:highlight w:val="none"/>
        </w:rPr>
      </w:pPr>
      <w:r>
        <w:rPr>
          <w:color w:val="auto"/>
          <w:sz w:val="24"/>
          <w:highlight w:val="none"/>
        </w:rPr>
        <w:t>甲方（盖章）：_________                 乙方（盖章）：_________</w:t>
      </w:r>
    </w:p>
    <w:p w14:paraId="28DE17A0">
      <w:pPr>
        <w:spacing w:line="360" w:lineRule="auto"/>
        <w:ind w:left="480"/>
        <w:jc w:val="right"/>
        <w:rPr>
          <w:color w:val="auto"/>
          <w:sz w:val="24"/>
          <w:highlight w:val="none"/>
        </w:rPr>
      </w:pPr>
    </w:p>
    <w:p w14:paraId="5F6AE923">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6B6319A4">
      <w:pPr>
        <w:tabs>
          <w:tab w:val="left" w:pos="8280"/>
        </w:tabs>
        <w:spacing w:line="360" w:lineRule="auto"/>
        <w:ind w:firstLine="480"/>
        <w:rPr>
          <w:color w:val="auto"/>
          <w:sz w:val="24"/>
          <w:highlight w:val="none"/>
        </w:rPr>
      </w:pPr>
    </w:p>
    <w:p w14:paraId="3ED531B6">
      <w:pPr>
        <w:tabs>
          <w:tab w:val="left" w:pos="8280"/>
        </w:tabs>
        <w:spacing w:line="360" w:lineRule="auto"/>
        <w:rPr>
          <w:color w:val="auto"/>
          <w:sz w:val="24"/>
          <w:highlight w:val="none"/>
        </w:rPr>
      </w:pPr>
      <w:bookmarkStart w:id="965" w:name="_Hlk176956306"/>
      <w:r>
        <w:rPr>
          <w:color w:val="auto"/>
          <w:sz w:val="24"/>
          <w:highlight w:val="none"/>
        </w:rPr>
        <w:t>注：</w:t>
      </w:r>
    </w:p>
    <w:p w14:paraId="1EBD7322">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0C95FAFD">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61483AD6">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65"/>
    </w:p>
    <w:bookmarkEnd w:id="964"/>
    <w:p w14:paraId="5D0E6001">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7281D97A">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0C56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C093B56">
            <w:pPr>
              <w:rPr>
                <w:color w:val="auto"/>
                <w:sz w:val="24"/>
                <w:highlight w:val="none"/>
              </w:rPr>
            </w:pPr>
            <w:r>
              <w:rPr>
                <w:rFonts w:hint="eastAsia"/>
                <w:color w:val="auto"/>
                <w:sz w:val="24"/>
                <w:highlight w:val="none"/>
              </w:rPr>
              <w:t>供应商名称</w:t>
            </w:r>
          </w:p>
        </w:tc>
        <w:tc>
          <w:tcPr>
            <w:tcW w:w="1667" w:type="pct"/>
          </w:tcPr>
          <w:p w14:paraId="385ACCF4">
            <w:pPr>
              <w:rPr>
                <w:color w:val="auto"/>
                <w:sz w:val="24"/>
                <w:highlight w:val="none"/>
              </w:rPr>
            </w:pPr>
            <w:r>
              <w:rPr>
                <w:rFonts w:hint="eastAsia"/>
                <w:color w:val="auto"/>
                <w:sz w:val="24"/>
                <w:highlight w:val="none"/>
              </w:rPr>
              <w:t>供应商所属性别</w:t>
            </w:r>
          </w:p>
        </w:tc>
        <w:tc>
          <w:tcPr>
            <w:tcW w:w="1667" w:type="pct"/>
          </w:tcPr>
          <w:p w14:paraId="74E60D51">
            <w:pPr>
              <w:rPr>
                <w:color w:val="auto"/>
                <w:sz w:val="24"/>
                <w:highlight w:val="none"/>
              </w:rPr>
            </w:pPr>
            <w:r>
              <w:rPr>
                <w:rFonts w:hint="eastAsia"/>
                <w:color w:val="auto"/>
                <w:sz w:val="24"/>
                <w:highlight w:val="none"/>
              </w:rPr>
              <w:t>外商投资类型</w:t>
            </w:r>
          </w:p>
        </w:tc>
      </w:tr>
      <w:tr w14:paraId="2CA68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88F5747">
            <w:pPr>
              <w:rPr>
                <w:color w:val="auto"/>
                <w:sz w:val="24"/>
                <w:highlight w:val="none"/>
              </w:rPr>
            </w:pPr>
          </w:p>
        </w:tc>
        <w:tc>
          <w:tcPr>
            <w:tcW w:w="1667" w:type="pct"/>
          </w:tcPr>
          <w:p w14:paraId="6A01CDDE">
            <w:pPr>
              <w:rPr>
                <w:color w:val="auto"/>
                <w:sz w:val="24"/>
                <w:highlight w:val="none"/>
              </w:rPr>
            </w:pPr>
          </w:p>
        </w:tc>
        <w:tc>
          <w:tcPr>
            <w:tcW w:w="1667" w:type="pct"/>
          </w:tcPr>
          <w:p w14:paraId="6FCB98E3">
            <w:pPr>
              <w:rPr>
                <w:color w:val="auto"/>
                <w:sz w:val="24"/>
                <w:highlight w:val="none"/>
              </w:rPr>
            </w:pPr>
          </w:p>
        </w:tc>
      </w:tr>
      <w:tr w14:paraId="698E7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72CDBDC0">
            <w:pPr>
              <w:rPr>
                <w:color w:val="auto"/>
                <w:sz w:val="24"/>
                <w:highlight w:val="none"/>
              </w:rPr>
            </w:pPr>
          </w:p>
        </w:tc>
        <w:tc>
          <w:tcPr>
            <w:tcW w:w="1667" w:type="pct"/>
          </w:tcPr>
          <w:p w14:paraId="4E716C4B">
            <w:pPr>
              <w:rPr>
                <w:color w:val="auto"/>
                <w:sz w:val="24"/>
                <w:highlight w:val="none"/>
              </w:rPr>
            </w:pPr>
          </w:p>
        </w:tc>
        <w:tc>
          <w:tcPr>
            <w:tcW w:w="1667" w:type="pct"/>
          </w:tcPr>
          <w:p w14:paraId="46AD41BC">
            <w:pPr>
              <w:rPr>
                <w:color w:val="auto"/>
                <w:sz w:val="24"/>
                <w:highlight w:val="none"/>
              </w:rPr>
            </w:pPr>
          </w:p>
        </w:tc>
      </w:tr>
      <w:tr w14:paraId="4DA66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6DFCAC32">
            <w:pPr>
              <w:rPr>
                <w:color w:val="auto"/>
                <w:sz w:val="24"/>
                <w:highlight w:val="none"/>
              </w:rPr>
            </w:pPr>
          </w:p>
        </w:tc>
        <w:tc>
          <w:tcPr>
            <w:tcW w:w="1667" w:type="pct"/>
          </w:tcPr>
          <w:p w14:paraId="1CB46C62">
            <w:pPr>
              <w:rPr>
                <w:color w:val="auto"/>
                <w:sz w:val="24"/>
                <w:highlight w:val="none"/>
              </w:rPr>
            </w:pPr>
          </w:p>
        </w:tc>
        <w:tc>
          <w:tcPr>
            <w:tcW w:w="1667" w:type="pct"/>
          </w:tcPr>
          <w:p w14:paraId="6E31C1AB">
            <w:pPr>
              <w:rPr>
                <w:color w:val="auto"/>
                <w:sz w:val="24"/>
                <w:highlight w:val="none"/>
              </w:rPr>
            </w:pPr>
          </w:p>
        </w:tc>
      </w:tr>
      <w:tr w14:paraId="07242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64960FB">
            <w:pPr>
              <w:rPr>
                <w:color w:val="auto"/>
                <w:sz w:val="24"/>
                <w:highlight w:val="none"/>
              </w:rPr>
            </w:pPr>
          </w:p>
        </w:tc>
        <w:tc>
          <w:tcPr>
            <w:tcW w:w="1667" w:type="pct"/>
          </w:tcPr>
          <w:p w14:paraId="7D6651E3">
            <w:pPr>
              <w:rPr>
                <w:color w:val="auto"/>
                <w:sz w:val="24"/>
                <w:highlight w:val="none"/>
              </w:rPr>
            </w:pPr>
          </w:p>
        </w:tc>
        <w:tc>
          <w:tcPr>
            <w:tcW w:w="1667" w:type="pct"/>
          </w:tcPr>
          <w:p w14:paraId="57885D80">
            <w:pPr>
              <w:rPr>
                <w:color w:val="auto"/>
                <w:sz w:val="24"/>
                <w:highlight w:val="none"/>
              </w:rPr>
            </w:pPr>
          </w:p>
        </w:tc>
      </w:tr>
    </w:tbl>
    <w:p w14:paraId="6C1EDE40">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41B93748">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4E264967">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1CFC1885">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1" w:fontKey="{7AABF4EF-3331-4D29-B528-8A367DFDF014}"/>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2" w:fontKey="{B1CCE5C0-9ADC-40F0-83EE-29A373607D87}"/>
  </w:font>
  <w:font w:name="方正仿宋_GBK">
    <w:panose1 w:val="02000000000000000000"/>
    <w:charset w:val="86"/>
    <w:family w:val="auto"/>
    <w:pitch w:val="default"/>
    <w:sig w:usb0="A00002BF" w:usb1="38CF7CFA" w:usb2="00082016" w:usb3="00000000" w:csb0="00040001" w:csb1="00000000"/>
    <w:embedRegular r:id="rId3" w:fontKey="{D0AF99EE-7F20-4B93-9BFF-CCE16B66EC0A}"/>
  </w:font>
  <w:font w:name="Cambria">
    <w:panose1 w:val="02040503050406030204"/>
    <w:charset w:val="00"/>
    <w:family w:val="roman"/>
    <w:pitch w:val="default"/>
    <w:sig w:usb0="E00006FF" w:usb1="420024FF" w:usb2="02000000" w:usb3="00000000" w:csb0="2000019F" w:csb1="00000000"/>
    <w:embedRegular r:id="rId4" w:fontKey="{730C5010-0E51-4487-9540-22E5B1F55BFD}"/>
  </w:font>
  <w:font w:name="仿宋">
    <w:panose1 w:val="02010609060101010101"/>
    <w:charset w:val="86"/>
    <w:family w:val="modern"/>
    <w:pitch w:val="default"/>
    <w:sig w:usb0="800002BF" w:usb1="38CF7CFA" w:usb2="00000016" w:usb3="00000000" w:csb0="00040001" w:csb1="00000000"/>
    <w:embedRegular r:id="rId5" w:fontKey="{FB877C71-FD9B-4A96-8D55-09B6C99ACC52}"/>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2B6F3">
    <w:pPr>
      <w:pStyle w:val="28"/>
      <w:ind w:right="360"/>
      <w:rPr>
        <w:rStyle w:val="48"/>
      </w:rPr>
    </w:pPr>
  </w:p>
  <w:p w14:paraId="75251A2F">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B9F37">
    <w:pPr>
      <w:pStyle w:val="28"/>
      <w:framePr w:wrap="around" w:vAnchor="text" w:hAnchor="margin" w:xAlign="center" w:y="1"/>
      <w:rPr>
        <w:rStyle w:val="48"/>
      </w:rPr>
    </w:pPr>
    <w:r>
      <w:fldChar w:fldCharType="begin"/>
    </w:r>
    <w:r>
      <w:rPr>
        <w:rStyle w:val="48"/>
      </w:rPr>
      <w:instrText xml:space="preserve">PAGE  </w:instrText>
    </w:r>
    <w:r>
      <w:fldChar w:fldCharType="end"/>
    </w:r>
  </w:p>
  <w:p w14:paraId="17742478">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F05E8">
    <w:pPr>
      <w:pStyle w:val="28"/>
      <w:rPr>
        <w:rStyle w:val="48"/>
      </w:rPr>
    </w:pPr>
  </w:p>
  <w:p w14:paraId="42BB094E">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1A051">
    <w:pPr>
      <w:pStyle w:val="28"/>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B1569">
    <w:pPr>
      <w:pStyle w:val="28"/>
      <w:rPr>
        <w:rStyle w:val="48"/>
      </w:rPr>
    </w:pPr>
  </w:p>
  <w:p w14:paraId="0C816F72">
    <w:pPr>
      <w:pStyle w:val="28"/>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99BCD">
    <w:pPr>
      <w:pStyle w:val="2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479"/>
                          </w:sdtPr>
                          <w:sdtContent>
                            <w:p w14:paraId="41AB514F">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106</w:t>
                              </w:r>
                              <w:r>
                                <w:rPr>
                                  <w:rFonts w:ascii="Times New Roman"/>
                                </w:rPr>
                                <w:fldChar w:fldCharType="end"/>
                              </w:r>
                            </w:p>
                          </w:sdtContent>
                        </w:sdt>
                        <w:p w14:paraId="3B54B33F"/>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147451479"/>
                    </w:sdtPr>
                    <w:sdtContent>
                      <w:p w14:paraId="41AB514F">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106</w:t>
                        </w:r>
                        <w:r>
                          <w:rPr>
                            <w:rFonts w:ascii="Times New Roman"/>
                          </w:rPr>
                          <w:fldChar w:fldCharType="end"/>
                        </w:r>
                      </w:p>
                    </w:sdtContent>
                  </w:sdt>
                  <w:p w14:paraId="3B54B33F"/>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5C7B2">
    <w:pPr>
      <w:pStyle w:val="28"/>
      <w:rPr>
        <w:rStyle w:val="4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FA7E65">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FA7E65">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79D66EA8">
    <w:pPr>
      <w:pStyle w:val="28"/>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9C513">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F523930">
    <w:pPr>
      <w:pStyle w:val="2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17720">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03CDF">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2E158E23">
    <w:pPr>
      <w:pStyle w:val="28"/>
      <w:ind w:right="360"/>
    </w:pPr>
  </w:p>
  <w:p w14:paraId="6E9E5472"/>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BDE3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27C65">
    <w:pPr>
      <w:pStyle w:val="2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7BB5A">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AA7A">
    <w:pPr>
      <w:pStyle w:val="29"/>
      <w:pBdr>
        <w:bottom w:val="none" w:color="auto" w:sz="0"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AFED0">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DEB70">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CA1C">
    <w:pPr>
      <w:pStyle w:val="29"/>
    </w:pPr>
  </w:p>
  <w:p w14:paraId="23D2DDD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CF5D1">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A08A8"/>
    <w:multiLevelType w:val="singleLevel"/>
    <w:tmpl w:val="916A08A8"/>
    <w:lvl w:ilvl="0" w:tentative="0">
      <w:start w:val="2"/>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
  </w:num>
  <w:num w:numId="10">
    <w:abstractNumId w:val="15"/>
  </w:num>
  <w:num w:numId="11">
    <w:abstractNumId w:val="11"/>
  </w:num>
  <w:num w:numId="12">
    <w:abstractNumId w:val="19"/>
  </w:num>
  <w:num w:numId="13">
    <w:abstractNumId w:val="0"/>
  </w:num>
  <w:num w:numId="14">
    <w:abstractNumId w:val="18"/>
  </w:num>
  <w:num w:numId="15">
    <w:abstractNumId w:val="13"/>
  </w:num>
  <w:num w:numId="16">
    <w:abstractNumId w:val="16"/>
  </w:num>
  <w:num w:numId="17">
    <w:abstractNumId w:val="14"/>
  </w:num>
  <w:num w:numId="18">
    <w:abstractNumId w:val="12"/>
  </w:num>
  <w:num w:numId="19">
    <w:abstractNumId w:val="20"/>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WRiOGNkYmI3NjUzMjc2MTZkMWQxMDk1NGIxZjdmNG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904"/>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BB5"/>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1B"/>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A5C"/>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28"/>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11"/>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26B"/>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7D0"/>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DDB"/>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568"/>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3F"/>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914"/>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5E4"/>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15D"/>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A9E"/>
    <w:rsid w:val="00247ED7"/>
    <w:rsid w:val="00250042"/>
    <w:rsid w:val="00250065"/>
    <w:rsid w:val="00250104"/>
    <w:rsid w:val="00250150"/>
    <w:rsid w:val="00250499"/>
    <w:rsid w:val="002504BF"/>
    <w:rsid w:val="002505A1"/>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12"/>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5EBB"/>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A7"/>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37"/>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8D"/>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CA1"/>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1C25"/>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633"/>
    <w:rsid w:val="004958F4"/>
    <w:rsid w:val="00495930"/>
    <w:rsid w:val="00495A40"/>
    <w:rsid w:val="00495A52"/>
    <w:rsid w:val="00495B6C"/>
    <w:rsid w:val="00495DC4"/>
    <w:rsid w:val="00495FA6"/>
    <w:rsid w:val="0049656B"/>
    <w:rsid w:val="0049674B"/>
    <w:rsid w:val="00496B1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7A9"/>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0FC"/>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C1C"/>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4C5"/>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1D"/>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15C"/>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B4"/>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7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7A0"/>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CC3"/>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6"/>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8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25"/>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C00"/>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75"/>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6DC"/>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37C"/>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064"/>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466"/>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618"/>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52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392"/>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1"/>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7E5"/>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7E3"/>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C6B"/>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55"/>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55A"/>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C1B"/>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1AC"/>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9E0"/>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05"/>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210618"/>
    <w:rsid w:val="07EE52BF"/>
    <w:rsid w:val="0A161495"/>
    <w:rsid w:val="0B660C1A"/>
    <w:rsid w:val="0BB87010"/>
    <w:rsid w:val="108D4EB7"/>
    <w:rsid w:val="156644FC"/>
    <w:rsid w:val="163634D4"/>
    <w:rsid w:val="16BE6306"/>
    <w:rsid w:val="17F93E0B"/>
    <w:rsid w:val="1C455CA5"/>
    <w:rsid w:val="1D2C69D2"/>
    <w:rsid w:val="239E00B4"/>
    <w:rsid w:val="251E74A4"/>
    <w:rsid w:val="27720358"/>
    <w:rsid w:val="27843CE5"/>
    <w:rsid w:val="28823475"/>
    <w:rsid w:val="2D884A4B"/>
    <w:rsid w:val="2EAF4F85"/>
    <w:rsid w:val="306727B0"/>
    <w:rsid w:val="308455A5"/>
    <w:rsid w:val="32EB653A"/>
    <w:rsid w:val="3BCB6780"/>
    <w:rsid w:val="3E9B3E25"/>
    <w:rsid w:val="402319E5"/>
    <w:rsid w:val="410445E6"/>
    <w:rsid w:val="415B3C6B"/>
    <w:rsid w:val="42CD0A98"/>
    <w:rsid w:val="431A0C09"/>
    <w:rsid w:val="480E2158"/>
    <w:rsid w:val="4B65373A"/>
    <w:rsid w:val="4D00163A"/>
    <w:rsid w:val="4F0F5BE3"/>
    <w:rsid w:val="50067706"/>
    <w:rsid w:val="52422029"/>
    <w:rsid w:val="54C96075"/>
    <w:rsid w:val="55040901"/>
    <w:rsid w:val="56DF05DE"/>
    <w:rsid w:val="57CD0549"/>
    <w:rsid w:val="57FC6189"/>
    <w:rsid w:val="58281259"/>
    <w:rsid w:val="58531BB1"/>
    <w:rsid w:val="5A7A6338"/>
    <w:rsid w:val="5AAB1218"/>
    <w:rsid w:val="5DED036C"/>
    <w:rsid w:val="5E4E6BDA"/>
    <w:rsid w:val="5F073306"/>
    <w:rsid w:val="5F0F4CF1"/>
    <w:rsid w:val="5F2112B4"/>
    <w:rsid w:val="5F5F73B9"/>
    <w:rsid w:val="61B753C8"/>
    <w:rsid w:val="62D8279B"/>
    <w:rsid w:val="63184BBB"/>
    <w:rsid w:val="6838144E"/>
    <w:rsid w:val="68AA7398"/>
    <w:rsid w:val="6A141688"/>
    <w:rsid w:val="6DAC4984"/>
    <w:rsid w:val="742C597A"/>
    <w:rsid w:val="76E20E42"/>
    <w:rsid w:val="790E0298"/>
    <w:rsid w:val="7D0506A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Body Text 2"/>
    <w:basedOn w:val="1"/>
    <w:link w:val="253"/>
    <w:qFormat/>
    <w:uiPriority w:val="0"/>
    <w:pPr>
      <w:spacing w:after="120" w:line="480" w:lineRule="auto"/>
    </w:pPr>
  </w:style>
  <w:style w:type="paragraph" w:styleId="37">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8"/>
    <w:qFormat/>
    <w:uiPriority w:val="0"/>
    <w:pPr>
      <w:jc w:val="center"/>
      <w:outlineLvl w:val="0"/>
    </w:pPr>
    <w:rPr>
      <w:b/>
      <w:sz w:val="32"/>
      <w:szCs w:val="20"/>
    </w:rPr>
  </w:style>
  <w:style w:type="paragraph" w:styleId="41">
    <w:name w:val="annotation subject"/>
    <w:basedOn w:val="15"/>
    <w:next w:val="15"/>
    <w:link w:val="244"/>
    <w:qFormat/>
    <w:uiPriority w:val="0"/>
    <w:rPr>
      <w:b/>
      <w:bCs/>
    </w:r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标题 3 Char1"/>
    <w:link w:val="4"/>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Char1"/>
    <w:link w:val="5"/>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Char1"/>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Char1"/>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5"/>
    <w:qFormat/>
    <w:uiPriority w:val="99"/>
    <w:rPr>
      <w:kern w:val="2"/>
      <w:sz w:val="21"/>
      <w:szCs w:val="24"/>
    </w:rPr>
  </w:style>
  <w:style w:type="paragraph" w:customStyle="1" w:styleId="183">
    <w:name w:val="标题1-附件"/>
    <w:basedOn w:val="2"/>
    <w:qFormat/>
    <w:uiPriority w:val="0"/>
    <w:pPr>
      <w:jc w:val="left"/>
    </w:pPr>
    <w:rPr>
      <w:sz w:val="24"/>
      <w:szCs w:val="24"/>
    </w:rPr>
  </w:style>
  <w:style w:type="paragraph" w:customStyle="1" w:styleId="184">
    <w:name w:val="正文小标题"/>
    <w:basedOn w:val="1"/>
    <w:next w:val="5"/>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5"/>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40"/>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6"/>
    <w:link w:val="2"/>
    <w:qFormat/>
    <w:uiPriority w:val="0"/>
    <w:rPr>
      <w:rFonts w:ascii="宋体"/>
      <w:b/>
      <w:kern w:val="44"/>
      <w:sz w:val="32"/>
    </w:rPr>
  </w:style>
  <w:style w:type="character" w:customStyle="1" w:styleId="230">
    <w:name w:val="标题 4 Char"/>
    <w:basedOn w:val="46"/>
    <w:link w:val="6"/>
    <w:qFormat/>
    <w:uiPriority w:val="0"/>
    <w:rPr>
      <w:sz w:val="24"/>
    </w:rPr>
  </w:style>
  <w:style w:type="character" w:customStyle="1" w:styleId="231">
    <w:name w:val="标题 5 Char"/>
    <w:basedOn w:val="46"/>
    <w:link w:val="7"/>
    <w:qFormat/>
    <w:uiPriority w:val="0"/>
    <w:rPr>
      <w:b/>
      <w:sz w:val="28"/>
    </w:rPr>
  </w:style>
  <w:style w:type="character" w:customStyle="1" w:styleId="232">
    <w:name w:val="标题 6 Char"/>
    <w:basedOn w:val="46"/>
    <w:link w:val="8"/>
    <w:qFormat/>
    <w:uiPriority w:val="0"/>
    <w:rPr>
      <w:rFonts w:ascii="Arial" w:hAnsi="Arial" w:eastAsia="黑体"/>
      <w:b/>
      <w:sz w:val="24"/>
    </w:rPr>
  </w:style>
  <w:style w:type="character" w:customStyle="1" w:styleId="233">
    <w:name w:val="标题 7 Char"/>
    <w:basedOn w:val="46"/>
    <w:link w:val="9"/>
    <w:qFormat/>
    <w:uiPriority w:val="0"/>
    <w:rPr>
      <w:b/>
      <w:sz w:val="24"/>
    </w:rPr>
  </w:style>
  <w:style w:type="character" w:customStyle="1" w:styleId="234">
    <w:name w:val="标题 8 Char"/>
    <w:basedOn w:val="46"/>
    <w:link w:val="10"/>
    <w:qFormat/>
    <w:uiPriority w:val="0"/>
    <w:rPr>
      <w:rFonts w:ascii="Arial" w:hAnsi="Arial" w:eastAsia="黑体"/>
      <w:sz w:val="24"/>
    </w:rPr>
  </w:style>
  <w:style w:type="character" w:customStyle="1" w:styleId="235">
    <w:name w:val="标题 9 Char"/>
    <w:basedOn w:val="46"/>
    <w:link w:val="11"/>
    <w:qFormat/>
    <w:uiPriority w:val="0"/>
    <w:rPr>
      <w:rFonts w:ascii="Arial" w:hAnsi="Arial" w:eastAsia="黑体"/>
      <w:sz w:val="21"/>
    </w:rPr>
  </w:style>
  <w:style w:type="character" w:customStyle="1" w:styleId="236">
    <w:name w:val="文档结构图 Char"/>
    <w:basedOn w:val="46"/>
    <w:link w:val="14"/>
    <w:qFormat/>
    <w:uiPriority w:val="0"/>
    <w:rPr>
      <w:kern w:val="2"/>
      <w:sz w:val="21"/>
      <w:szCs w:val="24"/>
      <w:shd w:val="clear" w:color="auto" w:fill="000080"/>
    </w:rPr>
  </w:style>
  <w:style w:type="character" w:customStyle="1" w:styleId="237">
    <w:name w:val="正文文本 3 Char"/>
    <w:basedOn w:val="46"/>
    <w:link w:val="16"/>
    <w:qFormat/>
    <w:uiPriority w:val="0"/>
    <w:rPr>
      <w:kern w:val="2"/>
      <w:sz w:val="16"/>
      <w:szCs w:val="16"/>
    </w:rPr>
  </w:style>
  <w:style w:type="character" w:customStyle="1" w:styleId="238">
    <w:name w:val="正文文本 Char"/>
    <w:basedOn w:val="46"/>
    <w:link w:val="17"/>
    <w:qFormat/>
    <w:uiPriority w:val="0"/>
    <w:rPr>
      <w:rFonts w:ascii="宋体" w:hAnsi="宋体"/>
      <w:kern w:val="2"/>
      <w:sz w:val="24"/>
      <w:szCs w:val="24"/>
    </w:rPr>
  </w:style>
  <w:style w:type="character" w:customStyle="1" w:styleId="239">
    <w:name w:val="日期 Char"/>
    <w:basedOn w:val="46"/>
    <w:link w:val="25"/>
    <w:qFormat/>
    <w:uiPriority w:val="0"/>
    <w:rPr>
      <w:rFonts w:ascii="仿宋_GB2312" w:hAnsi="宋体" w:eastAsia="仿宋_GB2312"/>
      <w:color w:val="000000"/>
      <w:kern w:val="2"/>
      <w:sz w:val="24"/>
      <w:szCs w:val="24"/>
    </w:rPr>
  </w:style>
  <w:style w:type="character" w:customStyle="1" w:styleId="240">
    <w:name w:val="正文文本缩进 2 Char"/>
    <w:basedOn w:val="46"/>
    <w:link w:val="26"/>
    <w:qFormat/>
    <w:uiPriority w:val="0"/>
    <w:rPr>
      <w:rFonts w:ascii="仿宋_GB2312" w:eastAsia="仿宋_GB2312"/>
      <w:kern w:val="2"/>
      <w:sz w:val="24"/>
      <w:szCs w:val="24"/>
    </w:rPr>
  </w:style>
  <w:style w:type="character" w:customStyle="1" w:styleId="241">
    <w:name w:val="批注框文本 Char"/>
    <w:basedOn w:val="46"/>
    <w:link w:val="27"/>
    <w:qFormat/>
    <w:uiPriority w:val="0"/>
    <w:rPr>
      <w:kern w:val="2"/>
      <w:sz w:val="18"/>
      <w:szCs w:val="18"/>
    </w:rPr>
  </w:style>
  <w:style w:type="character" w:customStyle="1" w:styleId="242">
    <w:name w:val="正文文本缩进 3 Char"/>
    <w:basedOn w:val="46"/>
    <w:link w:val="33"/>
    <w:qFormat/>
    <w:uiPriority w:val="0"/>
    <w:rPr>
      <w:rFonts w:ascii="宋体"/>
      <w:sz w:val="24"/>
    </w:rPr>
  </w:style>
  <w:style w:type="character" w:customStyle="1" w:styleId="243">
    <w:name w:val="HTML 预设格式 Char"/>
    <w:basedOn w:val="46"/>
    <w:link w:val="37"/>
    <w:qFormat/>
    <w:uiPriority w:val="0"/>
    <w:rPr>
      <w:rFonts w:ascii="宋体" w:hAnsi="宋体" w:cs="宋体"/>
      <w:sz w:val="24"/>
      <w:szCs w:val="24"/>
    </w:rPr>
  </w:style>
  <w:style w:type="character" w:customStyle="1" w:styleId="244">
    <w:name w:val="批注主题 Char"/>
    <w:basedOn w:val="194"/>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character" w:customStyle="1" w:styleId="253">
    <w:name w:val="正文文本 2 Char"/>
    <w:basedOn w:val="46"/>
    <w:link w:val="36"/>
    <w:qFormat/>
    <w:uiPriority w:val="0"/>
    <w:rPr>
      <w:kern w:val="2"/>
      <w:sz w:val="21"/>
      <w:szCs w:val="24"/>
    </w:rPr>
  </w:style>
  <w:style w:type="table" w:customStyle="1" w:styleId="254">
    <w:name w:val="网格型1"/>
    <w:basedOn w:val="4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5">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361BC3-C3B4-4C55-AE77-2B1C0ABFDED7}">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109</Pages>
  <Words>5995</Words>
  <Characters>6449</Characters>
  <Lines>505</Lines>
  <Paragraphs>142</Paragraphs>
  <TotalTime>156</TotalTime>
  <ScaleCrop>false</ScaleCrop>
  <LinksUpToDate>false</LinksUpToDate>
  <CharactersWithSpaces>6536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2026-08-20T03:31:00Z</dcterms:created>
  <dc:creator>Yin Hao</dc:creator>
  <cp:lastModifiedBy>31242</cp:lastModifiedBy>
  <cp:lastPrinted>2020-04-02T03:13:00Z</cp:lastPrinted>
  <dcterms:modified xsi:type="dcterms:W3CDTF">2026-10-16T06:57:24Z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77613CFD19EE42B297BFF4D93CB95FFF_13</vt:lpwstr>
  </property>
  <property fmtid="{D5CDD505-2E9C-101B-9397-08002B2CF9AE}" pid="4" name="KSOTemplateDocerSaveRecord">
    <vt:lpwstr>eyJoZGlkIjoiN2MxNWJmNmM1MzY5Zjg3Y2EwNWU3OGZmZjVhZmJiNGQiLCJ1c2VySWQiOiI2NTY3MDU1NzEifQ==</vt:lpwstr>
  </property>
</Properties>
</file>