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373F0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</w:p>
    <w:p w14:paraId="308C642C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 w14:paraId="27A91654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3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020D69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66A4340B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58965966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23333EEA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1B06C497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 w14:paraId="2C2B15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047C0C97">
            <w:pPr>
              <w:jc w:val="center"/>
              <w:rPr>
                <w:rFonts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34DDDF66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稀有气体同位素分析系统</w:t>
            </w:r>
          </w:p>
        </w:tc>
        <w:tc>
          <w:tcPr>
            <w:tcW w:w="1329" w:type="dxa"/>
            <w:noWrap w:val="0"/>
            <w:vAlign w:val="center"/>
          </w:tcPr>
          <w:p w14:paraId="30367995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751ECC63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 w14:paraId="35AFFA04"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 w14:paraId="5054715B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03C0152F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2C1FD19A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472BB473"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Times New Roman" w:hAnsi="Times New Roman" w:eastAsia="宋体" w:cs="Times New Roman"/>
          <w:b/>
          <w:sz w:val="28"/>
        </w:rPr>
        <w:t>一、总</w:t>
      </w:r>
      <w:r>
        <w:rPr>
          <w:rFonts w:ascii="Times New Roman" w:hAnsi="Times New Roman" w:eastAsia="宋体" w:cs="Times New Roman"/>
          <w:b/>
          <w:sz w:val="28"/>
        </w:rPr>
        <w:t xml:space="preserve">  </w:t>
      </w:r>
      <w:r>
        <w:rPr>
          <w:rFonts w:hint="eastAsia" w:ascii="Times New Roman" w:hAnsi="Times New Roman" w:eastAsia="宋体" w:cs="Times New Roman"/>
          <w:b/>
          <w:sz w:val="28"/>
        </w:rPr>
        <w:t>则</w:t>
      </w:r>
    </w:p>
    <w:p w14:paraId="2AFDD47B">
      <w:pPr>
        <w:ind w:left="600" w:hanging="600"/>
        <w:rPr>
          <w:rFonts w:ascii="Times New Roman" w:hAnsi="Times New Roman" w:eastAsia="宋体" w:cs="Times New Roman"/>
          <w:sz w:val="18"/>
        </w:rPr>
      </w:pPr>
    </w:p>
    <w:p w14:paraId="5043556E">
      <w:pPr>
        <w:ind w:left="600" w:hanging="600"/>
        <w:rPr>
          <w:rFonts w:ascii="Times New Roman" w:hAnsi="Times New Roman" w:eastAsia="宋体" w:cs="Times New Roman"/>
          <w:sz w:val="18"/>
        </w:rPr>
      </w:pPr>
    </w:p>
    <w:p w14:paraId="7686DDEE"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Times New Roman" w:hAnsi="Times New Roman" w:eastAsia="宋体" w:cs="Times New Roman"/>
          <w:b/>
          <w:sz w:val="28"/>
        </w:rPr>
        <w:t>1</w:t>
      </w:r>
      <w:r>
        <w:rPr>
          <w:rFonts w:hint="eastAsia" w:ascii="Times New Roman" w:hAnsi="Times New Roman" w:eastAsia="宋体" w:cs="Times New Roman"/>
          <w:b/>
          <w:sz w:val="28"/>
        </w:rPr>
        <w:t>、投标要求</w:t>
      </w:r>
    </w:p>
    <w:p w14:paraId="14BD14B4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1.1 </w:t>
      </w:r>
      <w:r>
        <w:rPr>
          <w:rFonts w:hint="eastAsia" w:ascii="Times New Roman" w:hAnsi="Times New Roman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 w14:paraId="26DA019C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1.2  </w:t>
      </w:r>
      <w:r>
        <w:rPr>
          <w:rFonts w:hint="eastAsia" w:ascii="宋体" w:hAnsi="宋体" w:eastAsia="宋体" w:cs="Times New Roman"/>
          <w:sz w:val="24"/>
        </w:rPr>
        <w:t>*投标人应按照标文件要求提供货物的技术参数，并逐条标明满足与否。如与招标文件的技术参数或技术要求有偏差，应提供技术规格偏差的量值或说明（偏离表）。对未注明偏差的部分，买方有权认为其符合招标要求并要求投标人确认。如投标人有意隐瞒对规格要求的偏差或在开标后提出新的偏差，买方有权扣留其投标保证金或/并拒绝其投标。对带星号（“*”）的技术参数或技术要求必须在投标文件中提供技术支持资料，如：产品样本、产品说明书、图纸、公开发布的印刷资料、检测报告等，未提供的，评标时不予认可。</w:t>
      </w:r>
    </w:p>
    <w:p w14:paraId="795FE888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 w14:paraId="38435013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1.4  投标人应提供在设备保质期期满后的零配件供应清单和相应单价，以备采购人选择。</w:t>
      </w:r>
    </w:p>
    <w:p w14:paraId="4D0571ED">
      <w:pPr>
        <w:spacing w:line="360" w:lineRule="auto"/>
        <w:ind w:left="600" w:hanging="600"/>
        <w:rPr>
          <w:rFonts w:ascii="Times New Roman" w:hAnsi="Times New Roman" w:eastAsia="宋体" w:cs="Times New Roman"/>
        </w:rPr>
      </w:pPr>
    </w:p>
    <w:p w14:paraId="27EB286F">
      <w:pPr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2、评标标准</w:t>
      </w:r>
    </w:p>
    <w:p w14:paraId="1096B75B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</w:t>
      </w:r>
      <w:r>
        <w:rPr>
          <w:rFonts w:hint="eastAsia" w:ascii="Times New Roman" w:hAnsi="Times New Roman" w:eastAsia="宋体" w:cs="Times New Roman"/>
          <w:sz w:val="24"/>
        </w:rPr>
        <w:t>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406F2156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1D16A341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</w:t>
      </w:r>
      <w:r>
        <w:rPr>
          <w:rFonts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</w:rPr>
        <w:t>3</w:t>
      </w: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 xml:space="preserve"> 关于设备的安装调试，如果有必要的安装准备条件，卖方应在合同生效后二周内向买方提出详细的要求或计划。安装调试的费用应计入投标价中，并应单独列出，供评标使用。</w:t>
      </w:r>
    </w:p>
    <w:p w14:paraId="6E40FDE0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</w:t>
      </w:r>
      <w:r>
        <w:rPr>
          <w:rFonts w:hint="eastAsia" w:ascii="Times New Roman" w:hAnsi="Times New Roman" w:eastAsia="宋体" w:cs="Times New Roman"/>
          <w:sz w:val="24"/>
        </w:rPr>
        <w:t>4  对于需要人员培训的仪器、设备，招标文件中应注明。投标人提供的培训指的是涉及仪器设备的基本原理、操作使用和保养维修等有关内容的培训。培训费用需单独列出，供买方参考。</w:t>
      </w:r>
    </w:p>
    <w:p w14:paraId="08A36B3B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2.5  对于在用户所在地进行的培训，卖方培训人员的旅费、食宿费用等费用由卖方自理。</w:t>
      </w:r>
    </w:p>
    <w:p w14:paraId="692F9FDB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2.6  对于需到制造厂家所在地进行的培训，招标文件中将注明培训日程和时间要求。受训人员的旅费、食宿费、培训场地费及培训资料费等培训费用均应由卖方支付。</w:t>
      </w:r>
    </w:p>
    <w:p w14:paraId="450DE20F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</w:t>
      </w:r>
      <w:r>
        <w:rPr>
          <w:rFonts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</w:rPr>
        <w:t>5  在评标过程中，买方有权向投标人索取任何与评标有关的资料，投标人务必在接到此类要求后，在规定时间内予以答复。对于无答复的投标人，买方有权拒绝其投标。</w:t>
      </w:r>
    </w:p>
    <w:p w14:paraId="6B29E5A0">
      <w:pPr>
        <w:spacing w:line="360" w:lineRule="auto"/>
        <w:rPr>
          <w:rFonts w:ascii="Times New Roman" w:hAnsi="Times New Roman" w:eastAsia="宋体" w:cs="Times New Roman"/>
        </w:rPr>
      </w:pPr>
    </w:p>
    <w:p w14:paraId="3C69033F">
      <w:pPr>
        <w:rPr>
          <w:rFonts w:ascii="Times New Roman" w:hAnsi="Times New Roman" w:eastAsia="宋体" w:cs="Times New Roman"/>
          <w:b/>
          <w:sz w:val="28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3、工作条件</w:t>
      </w:r>
    </w:p>
    <w:p w14:paraId="74F574FA">
      <w:pPr>
        <w:ind w:left="551" w:leftChars="228" w:hanging="72" w:hangingChars="30"/>
        <w:rPr>
          <w:rFonts w:ascii="Times New Roman" w:hAnsi="Times New Roman" w:eastAsia="宋体" w:cs="Times New Roman"/>
          <w:sz w:val="24"/>
        </w:rPr>
      </w:pPr>
    </w:p>
    <w:p w14:paraId="1D645AF4">
      <w:pPr>
        <w:spacing w:line="360" w:lineRule="auto"/>
        <w:ind w:left="551" w:leftChars="228" w:hanging="72" w:hangingChars="3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除非在技术规格中另有说明，所有仪器、设备和系统都应符合下列要求：</w:t>
      </w:r>
      <w:r>
        <w:rPr>
          <w:rFonts w:ascii="Times New Roman" w:hAnsi="Times New Roman" w:eastAsia="宋体" w:cs="Times New Roman"/>
          <w:sz w:val="24"/>
        </w:rPr>
        <w:t xml:space="preserve"> </w:t>
      </w:r>
    </w:p>
    <w:p w14:paraId="5B163151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3.1  适于在气温为摄氏－4</w:t>
      </w:r>
      <w:r>
        <w:rPr>
          <w:rFonts w:ascii="Times New Roman" w:hAnsi="Times New Roman" w:eastAsia="宋体" w:cs="Times New Roman"/>
          <w:sz w:val="24"/>
        </w:rPr>
        <w:t>0</w:t>
      </w:r>
      <w:r>
        <w:rPr>
          <w:rFonts w:hint="eastAsia" w:ascii="Times New Roman" w:hAnsi="Times New Roman" w:eastAsia="宋体" w:cs="Times New Roman"/>
          <w:sz w:val="24"/>
        </w:rPr>
        <w:t>℃～＋</w:t>
      </w:r>
      <w:r>
        <w:rPr>
          <w:rFonts w:ascii="Times New Roman" w:hAnsi="Times New Roman" w:eastAsia="宋体" w:cs="Times New Roman"/>
          <w:sz w:val="24"/>
        </w:rPr>
        <w:t>50</w:t>
      </w:r>
      <w:r>
        <w:rPr>
          <w:rFonts w:hint="eastAsia" w:ascii="Times New Roman" w:hAnsi="Times New Roman" w:eastAsia="宋体" w:cs="Times New Roman"/>
          <w:sz w:val="24"/>
        </w:rPr>
        <w:t>℃和相对湿度为≤</w:t>
      </w:r>
      <w:r>
        <w:rPr>
          <w:rFonts w:ascii="Times New Roman" w:hAnsi="Times New Roman" w:eastAsia="宋体" w:cs="Times New Roman"/>
          <w:sz w:val="24"/>
        </w:rPr>
        <w:t>90</w:t>
      </w:r>
      <w:r>
        <w:rPr>
          <w:rFonts w:hint="eastAsia" w:ascii="Times New Roman" w:hAnsi="Times New Roman" w:eastAsia="宋体" w:cs="Times New Roman"/>
          <w:sz w:val="24"/>
        </w:rPr>
        <w:t>％的环境条件下运输和贮存。</w:t>
      </w:r>
    </w:p>
    <w:p w14:paraId="6257E308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3.2  适于在电源</w:t>
      </w:r>
      <w:r>
        <w:rPr>
          <w:rFonts w:ascii="Times New Roman" w:hAnsi="Times New Roman" w:eastAsia="宋体" w:cs="Times New Roman"/>
          <w:sz w:val="24"/>
        </w:rPr>
        <w:t>220V</w:t>
      </w:r>
      <w:r>
        <w:rPr>
          <w:rFonts w:hint="eastAsia" w:ascii="Times New Roman" w:hAnsi="Times New Roman" w:eastAsia="宋体" w:cs="Times New Roman"/>
          <w:sz w:val="24"/>
        </w:rPr>
        <w:t>（</w:t>
      </w:r>
      <w:r>
        <w:rPr>
          <w:rFonts w:ascii="Times New Roman" w:hAnsi="Times New Roman" w:eastAsia="宋体" w:cs="Times New Roman"/>
          <w:sz w:val="24"/>
        </w:rPr>
        <w:sym w:font="Symbol" w:char="F0B1"/>
      </w:r>
      <w:r>
        <w:rPr>
          <w:rFonts w:ascii="Times New Roman" w:hAnsi="Times New Roman" w:eastAsia="宋体" w:cs="Times New Roman"/>
          <w:sz w:val="24"/>
        </w:rPr>
        <w:t>10</w:t>
      </w:r>
      <w:r>
        <w:rPr>
          <w:rFonts w:hint="eastAsia" w:ascii="Times New Roman" w:hAnsi="Times New Roman" w:eastAsia="宋体" w:cs="Times New Roman"/>
          <w:sz w:val="24"/>
        </w:rPr>
        <w:t>％）</w:t>
      </w:r>
      <w:r>
        <w:rPr>
          <w:rFonts w:ascii="Times New Roman" w:hAnsi="Times New Roman" w:eastAsia="宋体" w:cs="Times New Roman"/>
          <w:sz w:val="24"/>
        </w:rPr>
        <w:t>/50Hz</w:t>
      </w:r>
      <w:r>
        <w:rPr>
          <w:rFonts w:hint="eastAsia" w:ascii="Times New Roman" w:hAnsi="Times New Roman" w:eastAsia="宋体" w:cs="Times New Roman"/>
          <w:sz w:val="24"/>
        </w:rPr>
        <w:t>、气温摄氏－5℃～＋4</w:t>
      </w:r>
      <w:r>
        <w:rPr>
          <w:rFonts w:ascii="Times New Roman" w:hAnsi="Times New Roman" w:eastAsia="宋体" w:cs="Times New Roman"/>
          <w:sz w:val="24"/>
        </w:rPr>
        <w:t>0</w:t>
      </w:r>
      <w:r>
        <w:rPr>
          <w:rFonts w:hint="eastAsia" w:ascii="Times New Roman" w:hAnsi="Times New Roman" w:eastAsia="宋体" w:cs="Times New Roman"/>
          <w:sz w:val="24"/>
        </w:rPr>
        <w:t>℃和相对湿度≤</w:t>
      </w:r>
      <w:r>
        <w:rPr>
          <w:rFonts w:ascii="Times New Roman" w:hAnsi="Times New Roman" w:eastAsia="宋体" w:cs="Times New Roman"/>
          <w:sz w:val="24"/>
        </w:rPr>
        <w:t>85</w:t>
      </w:r>
      <w:r>
        <w:rPr>
          <w:rFonts w:hint="eastAsia" w:ascii="Times New Roman" w:hAnsi="Times New Roman" w:eastAsia="宋体" w:cs="Times New Roman"/>
          <w:sz w:val="24"/>
        </w:rPr>
        <w:t>％的环境条件下运行。</w:t>
      </w:r>
      <w:r>
        <w:rPr>
          <w:rFonts w:ascii="Times New Roman" w:hAnsi="Times New Roman" w:eastAsia="宋体" w:cs="Times New Roman"/>
          <w:bCs/>
          <w:sz w:val="24"/>
        </w:rPr>
        <w:t>仪器可连续使用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 w14:paraId="0C2CA9C8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3.3  </w:t>
      </w:r>
      <w:r>
        <w:rPr>
          <w:rFonts w:ascii="Times New Roman" w:hAnsi="Times New Roman" w:eastAsia="宋体" w:cs="Times New Roman"/>
          <w:sz w:val="24"/>
        </w:rPr>
        <w:t>配置符合中国有关标准要求的插头，如果没有这样的插头，则需提供适当的转换插座。</w:t>
      </w:r>
    </w:p>
    <w:p w14:paraId="0AA74F8E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3.4  </w:t>
      </w:r>
      <w:r>
        <w:rPr>
          <w:rFonts w:ascii="Times New Roman" w:hAnsi="Times New Roman" w:eastAsia="宋体" w:cs="Times New Roman"/>
          <w:sz w:val="24"/>
        </w:rPr>
        <w:t>如产品达不到上述要求，投标人应注明其偏差。如仪器设备需要特殊工作条件（如水、电源、磁场强度、温度、湿度、动强度等）投标人应在投标书中加以说明。</w:t>
      </w:r>
    </w:p>
    <w:p w14:paraId="02C46744">
      <w:pPr>
        <w:rPr>
          <w:rFonts w:ascii="Times New Roman" w:hAnsi="Times New Roman" w:eastAsia="宋体" w:cs="Times New Roman"/>
          <w:b/>
          <w:sz w:val="28"/>
          <w:szCs w:val="21"/>
        </w:rPr>
      </w:pPr>
    </w:p>
    <w:p w14:paraId="3CC0E408">
      <w:pPr>
        <w:spacing w:line="360" w:lineRule="auto"/>
        <w:rPr>
          <w:rFonts w:ascii="Times New Roman" w:hAnsi="Times New Roman" w:eastAsia="宋体" w:cs="Times New Roman"/>
          <w:b/>
          <w:sz w:val="28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4、其它说明</w:t>
      </w:r>
    </w:p>
    <w:p w14:paraId="6BA485A0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4.1  技术规格如采用中英文文本，以中文内容为主，英文内容供参考。如有冲突，以中文版本为准。</w:t>
      </w:r>
    </w:p>
    <w:p w14:paraId="4666198F"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4.2  对于具体技术规格中与本总则中要求不一致的地方，以具体技术规格中的要求为准。</w:t>
      </w:r>
    </w:p>
    <w:p w14:paraId="4D8E529D"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Times New Roman" w:hAnsi="Times New Roman" w:eastAsia="宋体" w:cs="Times New Roman"/>
          <w:b/>
          <w:sz w:val="28"/>
        </w:rPr>
        <w:br w:type="page"/>
      </w:r>
      <w:r>
        <w:rPr>
          <w:rFonts w:ascii="Times New Roman" w:hAnsi="Times New Roman" w:eastAsia="宋体" w:cs="Times New Roman"/>
          <w:b/>
          <w:sz w:val="28"/>
        </w:rPr>
        <w:t>二、技术部分</w:t>
      </w:r>
    </w:p>
    <w:p w14:paraId="19202047">
      <w:pPr>
        <w:jc w:val="center"/>
        <w:rPr>
          <w:rFonts w:ascii="Times New Roman" w:hAnsi="Times New Roman" w:eastAsia="宋体" w:cs="Times New Roman"/>
          <w:b/>
          <w:bCs/>
          <w:sz w:val="24"/>
          <w:szCs w:val="28"/>
        </w:rPr>
      </w:pPr>
      <w:r>
        <w:rPr>
          <w:rFonts w:hint="eastAsia" w:ascii="Times New Roman" w:hAnsi="Times New Roman" w:eastAsia="宋体" w:cs="Times New Roman"/>
          <w:b/>
          <w:sz w:val="24"/>
        </w:rPr>
        <w:t>稀有气体同位素分析系统</w:t>
      </w:r>
      <w:r>
        <w:rPr>
          <w:rFonts w:ascii="Times New Roman" w:hAnsi="Times New Roman" w:eastAsia="宋体" w:cs="Times New Roman"/>
          <w:b/>
          <w:sz w:val="24"/>
        </w:rPr>
        <w:t>技术要求：</w:t>
      </w:r>
    </w:p>
    <w:p w14:paraId="5D8975D7"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工作条件：</w:t>
      </w:r>
    </w:p>
    <w:p w14:paraId="54D87728"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1.1 电源：市政电源</w:t>
      </w:r>
      <w:r>
        <w:rPr>
          <w:rFonts w:ascii="Times New Roman" w:hAnsi="Times New Roman" w:eastAsia="宋体" w:cs="Times New Roman"/>
          <w:sz w:val="24"/>
        </w:rPr>
        <w:t>/50Hz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 w14:paraId="362C62F9"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1.2 环境温度：室温；</w:t>
      </w:r>
    </w:p>
    <w:p w14:paraId="708E3880"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1.3 其它：同甘肃兰州。</w:t>
      </w:r>
    </w:p>
    <w:p w14:paraId="2E23698C">
      <w:pPr>
        <w:spacing w:line="360" w:lineRule="auto"/>
        <w:ind w:left="435" w:firstLine="240"/>
        <w:rPr>
          <w:rFonts w:ascii="Times New Roman" w:hAnsi="Times New Roman" w:eastAsia="宋体" w:cs="Times New Roman"/>
          <w:sz w:val="24"/>
        </w:rPr>
      </w:pPr>
    </w:p>
    <w:p w14:paraId="644039A9"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设备用途：</w:t>
      </w:r>
    </w:p>
    <w:p w14:paraId="28E91745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本包招标内容是中国科学院理化技术研究所</w:t>
      </w:r>
      <w:r>
        <w:rPr>
          <w:rFonts w:hint="eastAsia" w:ascii="Times New Roman" w:hAnsi="Times New Roman" w:eastAsia="宋体" w:cs="Times New Roman"/>
          <w:sz w:val="24"/>
        </w:rPr>
        <w:t>氦同位素测试分析子平台所需的稀有气体同位素分析系统</w:t>
      </w:r>
      <w:r>
        <w:rPr>
          <w:rFonts w:hint="eastAsia" w:ascii="Times New Roman" w:hAnsi="Times New Roman" w:eastAsia="宋体" w:cs="宋体"/>
          <w:sz w:val="24"/>
        </w:rPr>
        <w:t>。该系统主要由稀有气体同位素质谱仪主机和稀释-纯化前处理装置组成，主要用于实现超低丰度³He的高灵敏度识别与氦同位素比值的高精度测定。</w:t>
      </w:r>
    </w:p>
    <w:p w14:paraId="01471EBC"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技术规格：</w:t>
      </w:r>
    </w:p>
    <w:p w14:paraId="03894F09"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bCs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3.1</w:t>
      </w:r>
      <w:r>
        <w:rPr>
          <w:rFonts w:hint="eastAsia" w:ascii="Times New Roman" w:hAnsi="Times New Roman" w:eastAsia="宋体" w:cs="Times New Roman"/>
          <w:b/>
          <w:bCs/>
          <w:sz w:val="24"/>
        </w:rPr>
        <w:t>稀有气体同位素质谱仪</w:t>
      </w:r>
    </w:p>
    <w:p w14:paraId="4E8C479A">
      <w:pPr>
        <w:pStyle w:val="5"/>
        <w:adjustRightInd w:val="0"/>
        <w:snapToGrid w:val="0"/>
        <w:spacing w:line="30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*1）</w:t>
      </w:r>
      <w:r>
        <w:rPr>
          <w:rFonts w:hint="eastAsia" w:ascii="Times New Roman" w:hAnsi="Times New Roman" w:eastAsia="宋体" w:cs="宋体"/>
          <w:sz w:val="24"/>
        </w:rPr>
        <w:t>³He检出限：0.01ppm；</w:t>
      </w:r>
    </w:p>
    <w:p w14:paraId="5F3EFACE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2）质量范围：1-140 u</w:t>
      </w:r>
      <w:r>
        <w:rPr>
          <w:rFonts w:hint="eastAsia" w:ascii="宋体" w:hAnsi="宋体" w:eastAsia="宋体" w:cs="宋体"/>
          <w:sz w:val="24"/>
        </w:rPr>
        <w:t>（amu）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 w14:paraId="7DED0F7E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3）灵敏度</w:t>
      </w:r>
    </w:p>
    <w:p w14:paraId="1C536441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</w:rPr>
        <w:t>#a、Ar灵敏度：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≥ </w:t>
      </w:r>
      <w:r>
        <w:rPr>
          <w:rFonts w:hint="eastAsia" w:ascii="Times New Roman" w:hAnsi="Times New Roman" w:eastAsia="宋体" w:cs="Times New Roman"/>
          <w:sz w:val="24"/>
          <w:lang w:val="en-GB"/>
        </w:rPr>
        <w:t>7.5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6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A/Pa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 w14:paraId="1E08EA64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#b、He灵敏度：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≥ </w:t>
      </w:r>
      <w:r>
        <w:rPr>
          <w:rFonts w:hint="eastAsia" w:ascii="Times New Roman" w:hAnsi="Times New Roman" w:eastAsia="宋体" w:cs="Times New Roman"/>
          <w:sz w:val="24"/>
          <w:lang w:val="en-GB"/>
        </w:rPr>
        <w:t>1.5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6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A/Pa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 w14:paraId="570A5900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de-DE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4）m/z</w:t>
      </w:r>
      <w:r>
        <w:rPr>
          <w:rFonts w:ascii="Times New Roman" w:hAnsi="Times New Roman" w:eastAsia="宋体" w:cs="Times New Roman"/>
          <w:sz w:val="24"/>
          <w:lang w:val="en-GB"/>
        </w:rPr>
        <w:t>40</w:t>
      </w:r>
      <w:r>
        <w:rPr>
          <w:rFonts w:hint="eastAsia" w:ascii="Times New Roman" w:hAnsi="Times New Roman" w:eastAsia="宋体" w:cs="Times New Roman"/>
          <w:sz w:val="24"/>
          <w:lang w:val="en-GB"/>
        </w:rPr>
        <w:t>上升率：</w:t>
      </w:r>
      <w:r>
        <w:rPr>
          <w:rFonts w:ascii="Times New Roman" w:hAnsi="Times New Roman" w:eastAsia="宋体" w:cs="Times New Roman"/>
          <w:sz w:val="24"/>
          <w:lang w:val="de-DE"/>
        </w:rPr>
        <w:t xml:space="preserve">≤ </w:t>
      </w:r>
      <w:r>
        <w:rPr>
          <w:rFonts w:hint="eastAsia" w:ascii="Times New Roman" w:hAnsi="Times New Roman" w:eastAsia="宋体" w:cs="Times New Roman"/>
          <w:sz w:val="24"/>
          <w:lang w:val="de-DE"/>
        </w:rPr>
        <w:t>1</w:t>
      </w:r>
      <w:r>
        <w:rPr>
          <w:rFonts w:ascii="Times New Roman" w:hAnsi="Times New Roman" w:eastAsia="宋体" w:cs="Times New Roman"/>
          <w:sz w:val="24"/>
          <w:lang w:val="en-GB"/>
        </w:rPr>
        <w:t>×</w:t>
      </w:r>
      <w:r>
        <w:rPr>
          <w:rFonts w:ascii="Times New Roman" w:hAnsi="Times New Roman" w:eastAsia="宋体" w:cs="Times New Roman"/>
          <w:sz w:val="24"/>
          <w:lang w:val="de-DE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de-DE"/>
        </w:rPr>
        <w:t>-12</w:t>
      </w:r>
      <w:r>
        <w:rPr>
          <w:rFonts w:ascii="Times New Roman" w:hAnsi="Times New Roman" w:eastAsia="宋体" w:cs="Times New Roman"/>
          <w:sz w:val="24"/>
          <w:lang w:val="de-DE"/>
        </w:rPr>
        <w:t xml:space="preserve"> 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de-DE"/>
        </w:rPr>
        <w:t>3</w:t>
      </w:r>
      <w:r>
        <w:rPr>
          <w:rFonts w:ascii="Times New Roman" w:hAnsi="Times New Roman" w:eastAsia="宋体" w:cs="Times New Roman"/>
          <w:sz w:val="24"/>
          <w:lang w:val="de-DE"/>
        </w:rPr>
        <w:t>/min</w:t>
      </w:r>
      <w:r>
        <w:rPr>
          <w:rFonts w:hint="eastAsia" w:ascii="Times New Roman" w:hAnsi="Times New Roman" w:eastAsia="宋体" w:cs="Times New Roman"/>
          <w:sz w:val="24"/>
          <w:lang w:val="de-DE"/>
        </w:rPr>
        <w:t xml:space="preserve"> [</w:t>
      </w:r>
      <w:r>
        <w:rPr>
          <w:rFonts w:ascii="Times New Roman" w:hAnsi="Times New Roman" w:eastAsia="宋体" w:cs="Times New Roman"/>
          <w:sz w:val="24"/>
          <w:lang w:val="de-DE"/>
        </w:rPr>
        <w:t>标</w:t>
      </w:r>
      <w:r>
        <w:rPr>
          <w:rFonts w:hint="eastAsia" w:ascii="Times New Roman" w:hAnsi="Times New Roman" w:eastAsia="宋体" w:cs="Times New Roman"/>
          <w:sz w:val="24"/>
          <w:lang w:val="de-DE"/>
        </w:rPr>
        <w:t>准状</w:t>
      </w:r>
      <w:r>
        <w:rPr>
          <w:rFonts w:ascii="Times New Roman" w:hAnsi="Times New Roman" w:eastAsia="宋体" w:cs="Times New Roman"/>
          <w:sz w:val="24"/>
          <w:lang w:val="de-DE"/>
        </w:rPr>
        <w:t>况下，</w:t>
      </w:r>
      <w:r>
        <w:rPr>
          <w:rFonts w:hint="eastAsia" w:ascii="Times New Roman" w:hAnsi="Times New Roman" w:eastAsia="宋体" w:cs="Times New Roman"/>
          <w:sz w:val="24"/>
          <w:lang w:val="en-GB"/>
        </w:rPr>
        <w:t>30分钟内</w:t>
      </w:r>
      <w:r>
        <w:rPr>
          <w:rFonts w:hint="eastAsia" w:ascii="Times New Roman" w:hAnsi="Times New Roman" w:eastAsia="宋体" w:cs="Times New Roman"/>
          <w:sz w:val="24"/>
          <w:lang w:val="de-DE"/>
        </w:rPr>
        <w:t>]；</w:t>
      </w:r>
    </w:p>
    <w:p w14:paraId="07021A18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de-DE"/>
        </w:rPr>
        <w:t>5）体积：仪器内部体积小于1500 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de-DE"/>
        </w:rPr>
        <w:t>3</w:t>
      </w:r>
      <w:r>
        <w:rPr>
          <w:rFonts w:hint="eastAsia" w:ascii="Times New Roman" w:hAnsi="Times New Roman" w:eastAsia="宋体" w:cs="Times New Roman"/>
          <w:sz w:val="24"/>
          <w:lang w:val="de-DE"/>
        </w:rPr>
        <w:t>；</w:t>
      </w:r>
    </w:p>
    <w:p w14:paraId="1B5D248D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de-DE"/>
        </w:rPr>
        <w:t>#6）本底（</w:t>
      </w:r>
      <w:r>
        <w:rPr>
          <w:rFonts w:hint="eastAsia" w:ascii="Times New Roman" w:hAnsi="Times New Roman" w:eastAsia="宋体" w:cs="Times New Roman"/>
          <w:sz w:val="24"/>
          <w:lang w:val="en-GB"/>
        </w:rPr>
        <w:t>m/z</w:t>
      </w:r>
      <w:r>
        <w:rPr>
          <w:rFonts w:ascii="Times New Roman" w:hAnsi="Times New Roman" w:eastAsia="宋体" w:cs="Times New Roman"/>
          <w:sz w:val="24"/>
          <w:lang w:val="en-GB"/>
        </w:rPr>
        <w:t>36</w:t>
      </w:r>
      <w:r>
        <w:rPr>
          <w:rFonts w:hint="eastAsia" w:ascii="Times New Roman" w:hAnsi="Times New Roman" w:eastAsia="宋体" w:cs="Times New Roman"/>
          <w:sz w:val="24"/>
          <w:lang w:val="de-DE"/>
        </w:rPr>
        <w:t>）：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4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lang w:val="en-GB"/>
        </w:rPr>
        <w:t>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 xml:space="preserve">3 </w:t>
      </w:r>
      <w:r>
        <w:rPr>
          <w:rFonts w:hint="eastAsia" w:ascii="Times New Roman" w:hAnsi="Times New Roman" w:eastAsia="宋体" w:cs="Times New Roman"/>
          <w:sz w:val="24"/>
          <w:lang w:val="de-DE"/>
        </w:rPr>
        <w:t>[</w:t>
      </w:r>
      <w:r>
        <w:rPr>
          <w:rFonts w:ascii="Times New Roman" w:hAnsi="Times New Roman" w:eastAsia="宋体" w:cs="Times New Roman"/>
          <w:sz w:val="24"/>
          <w:lang w:val="de-DE"/>
        </w:rPr>
        <w:t>标</w:t>
      </w:r>
      <w:r>
        <w:rPr>
          <w:rFonts w:hint="eastAsia" w:ascii="Times New Roman" w:hAnsi="Times New Roman" w:eastAsia="宋体" w:cs="Times New Roman"/>
          <w:sz w:val="24"/>
          <w:lang w:val="de-DE"/>
        </w:rPr>
        <w:t>准状</w:t>
      </w:r>
      <w:r>
        <w:rPr>
          <w:rFonts w:ascii="Times New Roman" w:hAnsi="Times New Roman" w:eastAsia="宋体" w:cs="Times New Roman"/>
          <w:sz w:val="24"/>
          <w:lang w:val="de-DE"/>
        </w:rPr>
        <w:t>况下</w:t>
      </w:r>
      <w:r>
        <w:rPr>
          <w:rFonts w:hint="eastAsia" w:ascii="Times New Roman" w:hAnsi="Times New Roman" w:eastAsia="宋体" w:cs="Times New Roman"/>
          <w:sz w:val="24"/>
          <w:lang w:val="de-DE"/>
        </w:rPr>
        <w:t>]；</w:t>
      </w:r>
    </w:p>
    <w:p w14:paraId="7E4E58F2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7）系统稳定性：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m/z 40 </w:t>
      </w:r>
      <w:r>
        <w:rPr>
          <w:rFonts w:hint="eastAsia" w:ascii="Times New Roman" w:hAnsi="Times New Roman" w:eastAsia="宋体" w:cs="Times New Roman"/>
          <w:sz w:val="24"/>
          <w:lang w:val="en-GB"/>
        </w:rPr>
        <w:t>时30分钟质量稳定性在</w:t>
      </w:r>
      <w:r>
        <w:rPr>
          <w:rFonts w:ascii="Times New Roman" w:hAnsi="Times New Roman" w:eastAsia="宋体" w:cs="Times New Roman"/>
          <w:sz w:val="24"/>
          <w:lang w:val="en-GB"/>
        </w:rPr>
        <w:t xml:space="preserve">50 ppm </w:t>
      </w:r>
      <w:r>
        <w:rPr>
          <w:rFonts w:hint="eastAsia" w:ascii="Times New Roman" w:hAnsi="Times New Roman" w:eastAsia="宋体" w:cs="Times New Roman"/>
          <w:sz w:val="24"/>
          <w:lang w:val="en-GB"/>
        </w:rPr>
        <w:t>以内；</w:t>
      </w:r>
    </w:p>
    <w:p w14:paraId="02B403AA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8）分辨率</w:t>
      </w:r>
    </w:p>
    <w:p w14:paraId="37375047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a、法拉第杯：≥400（10%峰谷）；</w:t>
      </w:r>
    </w:p>
    <w:p w14:paraId="763FD3C2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</w:rPr>
        <w:t>#</w:t>
      </w:r>
      <w:r>
        <w:rPr>
          <w:rFonts w:hint="eastAsia" w:ascii="Times New Roman" w:hAnsi="Times New Roman" w:eastAsia="宋体" w:cs="Times New Roman"/>
          <w:sz w:val="24"/>
          <w:lang w:val="en-GB"/>
        </w:rPr>
        <w:t>b、电子倍增器：≥700（10%峰谷）；</w:t>
      </w:r>
    </w:p>
    <w:p w14:paraId="3018BC7D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9）放大器噪音</w:t>
      </w:r>
    </w:p>
    <w:p w14:paraId="28FEDA97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</w:t>
      </w:r>
      <w:r>
        <w:rPr>
          <w:rFonts w:ascii="Times New Roman" w:hAnsi="Times New Roman" w:eastAsia="宋体" w:cs="Times New Roman"/>
          <w:sz w:val="24"/>
          <w:lang w:val="en-GB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11</w:t>
      </w:r>
      <w:r>
        <w:rPr>
          <w:rFonts w:hint="eastAsia" w:ascii="Times New Roman" w:hAnsi="Times New Roman" w:eastAsia="宋体" w:cs="Times New Roman"/>
          <w:sz w:val="24"/>
          <w:lang w:val="en-GB"/>
        </w:rPr>
        <w:t>欧姆</w:t>
      </w:r>
      <w:r>
        <w:rPr>
          <w:rFonts w:ascii="Times New Roman" w:hAnsi="Times New Roman" w:eastAsia="宋体" w:cs="Times New Roman"/>
          <w:sz w:val="24"/>
          <w:lang w:val="en-GB"/>
        </w:rPr>
        <w:t xml:space="preserve">: 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8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7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 </w:t>
      </w:r>
      <w:r>
        <w:rPr>
          <w:rFonts w:hint="eastAsia" w:ascii="Times New Roman" w:hAnsi="Times New Roman" w:eastAsia="宋体" w:cs="Times New Roman"/>
          <w:sz w:val="24"/>
          <w:lang w:val="en-GB"/>
        </w:rPr>
        <w:t>峰-峰值；</w:t>
      </w:r>
    </w:p>
    <w:p w14:paraId="5BACBE0B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b、</w:t>
      </w:r>
      <w:r>
        <w:rPr>
          <w:rFonts w:ascii="Times New Roman" w:hAnsi="Times New Roman" w:eastAsia="宋体" w:cs="Times New Roman"/>
          <w:sz w:val="24"/>
          <w:lang w:val="en-GB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2</w:t>
      </w:r>
      <w:r>
        <w:rPr>
          <w:rFonts w:hint="eastAsia" w:ascii="Times New Roman" w:hAnsi="Times New Roman" w:eastAsia="宋体" w:cs="Times New Roman"/>
          <w:sz w:val="24"/>
          <w:lang w:val="en-GB"/>
        </w:rPr>
        <w:t>欧姆</w:t>
      </w:r>
      <w:r>
        <w:rPr>
          <w:rFonts w:ascii="Times New Roman" w:hAnsi="Times New Roman" w:eastAsia="宋体" w:cs="Times New Roman"/>
          <w:sz w:val="24"/>
          <w:lang w:val="en-GB"/>
        </w:rPr>
        <w:t xml:space="preserve">: 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4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7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</w:t>
      </w:r>
      <w:r>
        <w:rPr>
          <w:rFonts w:hint="eastAsia" w:ascii="Times New Roman" w:hAnsi="Times New Roman" w:eastAsia="宋体" w:cs="Times New Roman"/>
          <w:sz w:val="24"/>
          <w:lang w:val="en-GB"/>
        </w:rPr>
        <w:t>峰</w:t>
      </w:r>
      <w:r>
        <w:rPr>
          <w:rFonts w:ascii="Times New Roman" w:hAnsi="Times New Roman" w:eastAsia="宋体" w:cs="Times New Roman"/>
          <w:sz w:val="24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lang w:val="en-GB"/>
        </w:rPr>
        <w:t>峰值；</w:t>
      </w:r>
    </w:p>
    <w:p w14:paraId="6F3F2C35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10）离子计数器</w:t>
      </w:r>
    </w:p>
    <w:p w14:paraId="6A05BA26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a、暗噪音：≤10 计数/min；</w:t>
      </w:r>
    </w:p>
    <w:p w14:paraId="0A640EA1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b、离子计数率：≥70%；</w:t>
      </w:r>
    </w:p>
    <w:p w14:paraId="22C253A2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 xml:space="preserve">c、动态范围：1计数/s - </w:t>
      </w:r>
      <w:r>
        <w:rPr>
          <w:rFonts w:ascii="Times New Roman" w:hAnsi="Times New Roman" w:eastAsia="宋体" w:cs="Times New Roman"/>
          <w:sz w:val="24"/>
          <w:lang w:val="en-GB"/>
        </w:rPr>
        <w:t>1400000</w:t>
      </w:r>
      <w:r>
        <w:rPr>
          <w:rFonts w:hint="eastAsia" w:ascii="Times New Roman" w:hAnsi="Times New Roman" w:eastAsia="宋体" w:cs="Times New Roman"/>
          <w:sz w:val="24"/>
          <w:lang w:val="en-GB"/>
        </w:rPr>
        <w:t>计数</w:t>
      </w:r>
      <w:r>
        <w:rPr>
          <w:rFonts w:ascii="Times New Roman" w:hAnsi="Times New Roman" w:eastAsia="宋体" w:cs="Times New Roman"/>
          <w:sz w:val="24"/>
          <w:lang w:val="en-GB"/>
        </w:rPr>
        <w:t>/s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 w14:paraId="6A247D12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#11）峰顶平坦度（法拉第杯）：±100 ppm内</w:t>
      </w:r>
      <w:r>
        <w:rPr>
          <w:rFonts w:ascii="Times New Roman" w:hAnsi="Times New Roman" w:eastAsia="宋体" w:cs="Times New Roman"/>
          <w:sz w:val="24"/>
          <w:lang w:val="en-GB"/>
        </w:rPr>
        <w:t>≤ 0.001</w:t>
      </w:r>
      <w:r>
        <w:rPr>
          <w:rFonts w:hint="eastAsia" w:ascii="Times New Roman" w:hAnsi="Times New Roman" w:eastAsia="宋体" w:cs="Times New Roman"/>
          <w:sz w:val="24"/>
          <w:lang w:val="en-GB"/>
        </w:rPr>
        <w:t>（法拉第杯缝宽时的质量偏差）；</w:t>
      </w:r>
    </w:p>
    <w:p w14:paraId="14FC619A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12）丰度灵敏度：</w:t>
      </w:r>
      <w:r>
        <w:rPr>
          <w:rFonts w:ascii="Times New Roman" w:hAnsi="Times New Roman" w:eastAsia="宋体" w:cs="Times New Roman"/>
          <w:sz w:val="24"/>
          <w:lang w:val="en-GB"/>
        </w:rPr>
        <w:t>≤ 1 pp</w:t>
      </w:r>
      <w:r>
        <w:rPr>
          <w:rFonts w:hint="eastAsia" w:ascii="Times New Roman" w:hAnsi="Times New Roman" w:eastAsia="宋体" w:cs="Times New Roman"/>
          <w:sz w:val="24"/>
          <w:lang w:val="en-GB"/>
        </w:rPr>
        <w:t>b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(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4</w:t>
      </w:r>
      <w:r>
        <w:rPr>
          <w:rFonts w:hint="eastAsia" w:ascii="Times New Roman" w:hAnsi="Times New Roman" w:eastAsia="宋体" w:cs="Times New Roman"/>
          <w:sz w:val="24"/>
          <w:lang w:val="en-GB"/>
        </w:rPr>
        <w:t>He对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3</w:t>
      </w:r>
      <w:r>
        <w:rPr>
          <w:rFonts w:hint="eastAsia" w:ascii="Times New Roman" w:hAnsi="Times New Roman" w:eastAsia="宋体" w:cs="Times New Roman"/>
          <w:sz w:val="24"/>
          <w:lang w:val="en-GB"/>
        </w:rPr>
        <w:t>He的贡献</w:t>
      </w:r>
      <w:r>
        <w:rPr>
          <w:rFonts w:ascii="Times New Roman" w:hAnsi="Times New Roman" w:eastAsia="宋体" w:cs="Times New Roman"/>
          <w:sz w:val="24"/>
          <w:lang w:val="en-GB"/>
        </w:rPr>
        <w:t>)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 w14:paraId="29C78804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*13</w:t>
      </w:r>
      <w:r>
        <w:rPr>
          <w:rFonts w:ascii="Times New Roman" w:hAnsi="Times New Roman" w:eastAsia="宋体" w:cs="宋体"/>
          <w:sz w:val="24"/>
        </w:rPr>
        <w:t>）</w:t>
      </w:r>
      <w:r>
        <w:rPr>
          <w:rFonts w:hint="eastAsia" w:ascii="Times New Roman" w:hAnsi="Times New Roman" w:eastAsia="宋体" w:cs="宋体"/>
          <w:sz w:val="24"/>
        </w:rPr>
        <w:t>比值精度：³</w:t>
      </w:r>
      <w:r>
        <w:rPr>
          <w:rFonts w:ascii="Times New Roman" w:hAnsi="Times New Roman" w:eastAsia="宋体" w:cs="宋体"/>
          <w:sz w:val="24"/>
        </w:rPr>
        <w:t>He/</w:t>
      </w:r>
      <w:r>
        <w:rPr>
          <w:rFonts w:ascii="Times New Roman" w:hAnsi="Times New Roman" w:eastAsia="宋体" w:cs="Times New Roman"/>
          <w:sz w:val="24"/>
        </w:rPr>
        <w:t>⁴</w:t>
      </w:r>
      <w:r>
        <w:rPr>
          <w:rFonts w:hint="eastAsia" w:ascii="Times New Roman" w:hAnsi="Times New Roman" w:eastAsia="宋体" w:cs="宋体"/>
          <w:sz w:val="24"/>
        </w:rPr>
        <w:t>He不确定度≤±</w:t>
      </w:r>
      <w:r>
        <w:rPr>
          <w:rFonts w:ascii="Times New Roman" w:hAnsi="Times New Roman" w:eastAsia="宋体" w:cs="宋体"/>
          <w:sz w:val="24"/>
        </w:rPr>
        <w:t>5%</w:t>
      </w:r>
      <w:r>
        <w:rPr>
          <w:rFonts w:hint="eastAsia" w:ascii="Times New Roman" w:hAnsi="Times New Roman" w:eastAsia="宋体" w:cs="宋体"/>
          <w:sz w:val="24"/>
        </w:rPr>
        <w:t>；</w:t>
      </w:r>
    </w:p>
    <w:p w14:paraId="4D763551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14）</w:t>
      </w:r>
      <w:r>
        <w:rPr>
          <w:rFonts w:hint="eastAsia" w:eastAsia="宋体" w:cs="Times New Roman"/>
          <w:sz w:val="24"/>
        </w:rPr>
        <w:t>能够在静态模式下测量He同位素。</w:t>
      </w:r>
    </w:p>
    <w:p w14:paraId="7FD671EA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3.2离子源</w:t>
      </w:r>
    </w:p>
    <w:p w14:paraId="10195CCF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1）电子轰击型离子源，法兰装配，易于拆卸、更换灯丝及清洗；</w:t>
      </w:r>
    </w:p>
    <w:p w14:paraId="51949EFD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</w:t>
      </w:r>
      <w:r>
        <w:rPr>
          <w:rFonts w:hint="eastAsia" w:ascii="Times New Roman" w:hAnsi="Times New Roman" w:eastAsia="宋体" w:cs="Times New Roman"/>
          <w:sz w:val="24"/>
        </w:rPr>
        <w:t>离子源灯丝自动校准；</w:t>
      </w:r>
    </w:p>
    <w:p w14:paraId="0EE4BEE7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3）加速电压可调，最大可达4.5 kV。</w:t>
      </w:r>
    </w:p>
    <w:p w14:paraId="380AB3B3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3.3分析系统</w:t>
      </w:r>
    </w:p>
    <w:p w14:paraId="16868C55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1）系统包括扇形磁场分析器；</w:t>
      </w:r>
    </w:p>
    <w:p w14:paraId="37529BFE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2）质量范围：1-140 u</w:t>
      </w:r>
      <w:r>
        <w:rPr>
          <w:rFonts w:hint="eastAsia" w:ascii="宋体" w:hAnsi="宋体" w:eastAsia="宋体" w:cs="宋体"/>
          <w:sz w:val="24"/>
        </w:rPr>
        <w:t>（amu）</w:t>
      </w:r>
      <w:r>
        <w:rPr>
          <w:rFonts w:hint="eastAsia" w:ascii="Times New Roman" w:hAnsi="Times New Roman" w:eastAsia="宋体" w:cs="Times New Roman"/>
          <w:sz w:val="24"/>
        </w:rPr>
        <w:t>，足够分析所有的惰性气体；</w:t>
      </w:r>
    </w:p>
    <w:p w14:paraId="3A1931A8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3）分析器整个操作范围内都能进行质量扫描；</w:t>
      </w:r>
    </w:p>
    <w:p w14:paraId="00675419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4）具有温控式磁场探头，保证极高峰稳定性；</w:t>
      </w:r>
    </w:p>
    <w:p w14:paraId="176BC8B4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#5）峰边稳定性：30分钟内</w:t>
      </w:r>
      <w:r>
        <w:rPr>
          <w:rFonts w:ascii="Times New Roman" w:hAnsi="Times New Roman" w:eastAsia="宋体" w:cs="Times New Roman"/>
          <w:sz w:val="24"/>
        </w:rPr>
        <w:t>m/z</w:t>
      </w:r>
      <w:r>
        <w:rPr>
          <w:rFonts w:hint="eastAsia" w:ascii="Times New Roman" w:hAnsi="Times New Roman" w:eastAsia="宋体" w:cs="Times New Roman"/>
          <w:sz w:val="24"/>
        </w:rPr>
        <w:t>40质量漂移小于50 ppm；</w:t>
      </w:r>
    </w:p>
    <w:p w14:paraId="5295F8B4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6）软件控制不同质量间的快速跳峰，或者静态分析保证最大灵敏度；</w:t>
      </w:r>
    </w:p>
    <w:p w14:paraId="12431B3A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7）电磁铁为整体式设计</w:t>
      </w:r>
    </w:p>
    <w:p w14:paraId="7FB99271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a、无需调整磁极面；</w:t>
      </w:r>
    </w:p>
    <w:p w14:paraId="45E70FCE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b、易于安装和拆卸。</w:t>
      </w:r>
    </w:p>
    <w:p w14:paraId="587B1893"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3.4接收器系统</w:t>
      </w:r>
    </w:p>
    <w:p w14:paraId="2B7D3BC9">
      <w:pPr>
        <w:pStyle w:val="5"/>
        <w:adjustRightInd w:val="0"/>
        <w:snapToGrid w:val="0"/>
        <w:spacing w:line="300" w:lineRule="auto"/>
        <w:ind w:left="0" w:firstLine="354" w:firstLineChars="147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1）法拉第杯电阻的切换能通过软件实现</w:t>
      </w:r>
    </w:p>
    <w:p w14:paraId="2FFA9558">
      <w:pPr>
        <w:pStyle w:val="5"/>
        <w:adjustRightInd w:val="0"/>
        <w:snapToGrid w:val="0"/>
        <w:spacing w:line="300" w:lineRule="auto"/>
        <w:ind w:left="0" w:right="170" w:firstLine="354" w:firstLineChars="147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a、动态范围到50V；</w:t>
      </w:r>
    </w:p>
    <w:p w14:paraId="516F5D19">
      <w:pPr>
        <w:pStyle w:val="5"/>
        <w:adjustRightInd w:val="0"/>
        <w:snapToGrid w:val="0"/>
        <w:spacing w:line="300" w:lineRule="auto"/>
        <w:ind w:left="0" w:right="170" w:firstLine="352" w:firstLineChars="147"/>
        <w:rPr>
          <w:rFonts w:hint="eastAsia" w:ascii="Times New Roman" w:hAnsi="Times New Roman" w:eastAsia="宋体" w:cs="Times New Roman"/>
          <w:bCs/>
          <w:sz w:val="24"/>
        </w:rPr>
      </w:pPr>
      <w:r>
        <w:rPr>
          <w:rFonts w:hint="eastAsia" w:ascii="Times New Roman" w:hAnsi="Times New Roman" w:eastAsia="宋体" w:cs="Times New Roman"/>
          <w:bCs/>
          <w:sz w:val="24"/>
        </w:rPr>
        <w:t>b、噪音：≤ 8×10</w:t>
      </w:r>
      <w:r>
        <w:rPr>
          <w:rFonts w:hint="eastAsia" w:ascii="Times New Roman" w:hAnsi="Times New Roman" w:eastAsia="宋体" w:cs="Times New Roman"/>
          <w:bCs/>
          <w:sz w:val="24"/>
          <w:vertAlign w:val="superscript"/>
        </w:rPr>
        <w:t>-17</w:t>
      </w:r>
      <w:r>
        <w:rPr>
          <w:rFonts w:hint="eastAsia" w:ascii="Times New Roman" w:hAnsi="Times New Roman" w:eastAsia="宋体" w:cs="Times New Roman"/>
          <w:bCs/>
          <w:sz w:val="24"/>
        </w:rPr>
        <w:t xml:space="preserve"> A峰-峰值；</w:t>
      </w:r>
    </w:p>
    <w:p w14:paraId="44A73AF5"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</w:t>
      </w:r>
      <w:r>
        <w:rPr>
          <w:rFonts w:hint="eastAsia" w:ascii="Times New Roman" w:hAnsi="Times New Roman" w:eastAsia="宋体" w:cs="Times New Roman"/>
          <w:sz w:val="24"/>
        </w:rPr>
        <w:t>）离子计数器</w:t>
      </w:r>
    </w:p>
    <w:p w14:paraId="03D0F8DA"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a、离子计数率：&gt;70%；</w:t>
      </w:r>
    </w:p>
    <w:p w14:paraId="6E6D90C1"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b、暗噪音：&lt;10计数/min；</w:t>
      </w:r>
    </w:p>
    <w:p w14:paraId="7305E0C4"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c、动态范围：1</w:t>
      </w:r>
      <w:r>
        <w:rPr>
          <w:rFonts w:hint="eastAsia" w:ascii="Times New Roman" w:hAnsi="Times New Roman" w:eastAsia="宋体" w:cs="Times New Roman"/>
          <w:sz w:val="24"/>
        </w:rPr>
        <w:t>计数</w:t>
      </w:r>
      <w:r>
        <w:rPr>
          <w:rFonts w:ascii="Times New Roman" w:hAnsi="Times New Roman" w:eastAsia="宋体" w:cs="Times New Roman"/>
          <w:sz w:val="24"/>
        </w:rPr>
        <w:t>/s</w:t>
      </w:r>
      <w:r>
        <w:rPr>
          <w:rFonts w:hint="eastAsia" w:ascii="Times New Roman" w:hAnsi="Times New Roman" w:eastAsia="宋体" w:cs="Times New Roman"/>
          <w:sz w:val="24"/>
          <w:lang w:val="en-GB"/>
        </w:rPr>
        <w:t xml:space="preserve"> - </w:t>
      </w:r>
      <w:r>
        <w:rPr>
          <w:rFonts w:ascii="Times New Roman" w:hAnsi="Times New Roman" w:eastAsia="宋体" w:cs="Times New Roman"/>
          <w:sz w:val="24"/>
          <w:lang w:val="en-GB"/>
        </w:rPr>
        <w:t>1400000</w:t>
      </w:r>
      <w:r>
        <w:rPr>
          <w:rFonts w:hint="eastAsia" w:ascii="Times New Roman" w:hAnsi="Times New Roman" w:eastAsia="宋体" w:cs="Times New Roman"/>
          <w:sz w:val="24"/>
        </w:rPr>
        <w:t>计数</w:t>
      </w:r>
      <w:r>
        <w:rPr>
          <w:rFonts w:ascii="Times New Roman" w:hAnsi="Times New Roman" w:eastAsia="宋体" w:cs="Times New Roman"/>
          <w:sz w:val="24"/>
        </w:rPr>
        <w:t>/s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 w14:paraId="01A3B077"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  <w:lang w:val="en-GB"/>
        </w:rPr>
      </w:pPr>
      <w:bookmarkStart w:id="0" w:name="OLE_LINK25"/>
      <w:bookmarkStart w:id="1" w:name="OLE_LINK27"/>
      <w:r>
        <w:rPr>
          <w:rFonts w:hint="eastAsia" w:ascii="Times New Roman" w:hAnsi="Times New Roman" w:eastAsia="宋体" w:cs="Times New Roman"/>
          <w:sz w:val="24"/>
        </w:rPr>
        <w:t>3）接收器序列包括2个检测平台，能够在静态模式下测量He的两个同位素，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4</w:t>
      </w:r>
      <w:r>
        <w:rPr>
          <w:rFonts w:hint="eastAsia" w:ascii="Times New Roman" w:hAnsi="Times New Roman" w:eastAsia="宋体" w:cs="Times New Roman"/>
          <w:sz w:val="24"/>
        </w:rPr>
        <w:t>He用法拉第杯接收，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3</w:t>
      </w:r>
      <w:r>
        <w:rPr>
          <w:rFonts w:hint="eastAsia" w:ascii="Times New Roman" w:hAnsi="Times New Roman" w:eastAsia="宋体" w:cs="Times New Roman"/>
          <w:sz w:val="24"/>
        </w:rPr>
        <w:t>He用电子倍增器（SEM）检测。</w:t>
      </w:r>
    </w:p>
    <w:bookmarkEnd w:id="0"/>
    <w:bookmarkEnd w:id="1"/>
    <w:p w14:paraId="6619043D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3.5真空系统</w:t>
      </w:r>
    </w:p>
    <w:p w14:paraId="7869A808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1）真空系统必须能够提供真正的超高真空，包括：</w:t>
      </w:r>
    </w:p>
    <w:p w14:paraId="23202243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a、使用不锈钢或其他新型材料制成；</w:t>
      </w:r>
    </w:p>
    <w:p w14:paraId="3E302846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b、有限的离子源室和接收器室焊接点；</w:t>
      </w:r>
    </w:p>
    <w:p w14:paraId="14541631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2）超高真空系统由隔膜泵、涡轮分子泵和离子泵实现；</w:t>
      </w:r>
    </w:p>
    <w:p w14:paraId="0911DFC5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3）全自动超高真空隔离阀用来隔离离子泵和吸气泵；</w:t>
      </w:r>
    </w:p>
    <w:p w14:paraId="6838CB5B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4）连接质谱仪的进气阀是全自动超高真空隔离阀，与样品制备系统通过迷你法兰连接；</w:t>
      </w:r>
    </w:p>
    <w:p w14:paraId="6EA9D9A1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5）质谱仪离子源区配备去除氢气和其它活性气体的吸气泵；</w:t>
      </w:r>
    </w:p>
    <w:p w14:paraId="6745350E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6）非蒸发型吸气泵必须配备有水冷保护套，并且可以通过全金属阀与分析系统隔离。</w:t>
      </w:r>
    </w:p>
    <w:p w14:paraId="41830B5E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3.6烘烤装置</w:t>
      </w:r>
    </w:p>
    <w:p w14:paraId="75ED67CD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系统可烘烤至300℃，并可由计算机控制。</w:t>
      </w:r>
    </w:p>
    <w:p w14:paraId="3848DE5C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3.7计算机及软件系统</w:t>
      </w:r>
    </w:p>
    <w:p w14:paraId="64C7CCDF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1）配置专用的软件程序包，可用于测试方法的建立，仪器调试，数据采集以及数据处理；</w:t>
      </w:r>
    </w:p>
    <w:p w14:paraId="1579B5EC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2）配置Windows操作系统的计算机，嵌入式实时操作系统，以及相关的仪器控制软件；</w:t>
      </w:r>
    </w:p>
    <w:p w14:paraId="0099DCE9"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3）软件包括一系列必要的软件或模块便于用户对仪器进行操作。</w:t>
      </w:r>
    </w:p>
    <w:p w14:paraId="7B3C89C6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3.8样品导入系统</w:t>
      </w:r>
    </w:p>
    <w:p w14:paraId="7B9779BE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供应商提供用于所有样品以及参考气在进入质谱分析前的分离纯化。</w:t>
      </w:r>
    </w:p>
    <w:p w14:paraId="0A9B4995">
      <w:pPr>
        <w:spacing w:line="360" w:lineRule="auto"/>
        <w:ind w:firstLine="420"/>
        <w:rPr>
          <w:rFonts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1）前处理系统配备有：一个水冷吸气泵、独立控温、超小体积微型离子规、两个储气罐和分样管（分样管体积约0.1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）、液氮冷阱、隔膜泵、涡轮分子泵和离子泵，使样品气导入前能进行最终的纯化；</w:t>
      </w:r>
    </w:p>
    <w:p w14:paraId="7E6B0C86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2）两个备用接口，用CF16真空法兰盲板密封，可用于未来升级；</w:t>
      </w:r>
    </w:p>
    <w:p w14:paraId="2426CF9E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3）低温冷泵（含冷头）、压缩机、温控器、水冷机、抽真空系统等</w:t>
      </w:r>
      <w:bookmarkStart w:id="2" w:name="OLE_LINK4"/>
      <w:bookmarkStart w:id="3" w:name="OLE_LINK5"/>
      <w:r>
        <w:rPr>
          <w:rFonts w:hint="eastAsia" w:ascii="Times New Roman" w:hAnsi="Times New Roman" w:eastAsia="宋体" w:cs="宋体"/>
          <w:sz w:val="24"/>
        </w:rPr>
        <w:t>；</w:t>
      </w:r>
    </w:p>
    <w:bookmarkEnd w:id="2"/>
    <w:bookmarkEnd w:id="3"/>
    <w:p w14:paraId="473A4A79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4）该系统的电路系统与质谱进样接口通过输入、输出驱动连接，可以通过软件控制，实现无缝、自动化操作；</w:t>
      </w:r>
    </w:p>
    <w:p w14:paraId="125B5AE0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 xml:space="preserve">5）前处理系统采用超高真空全金属波纹管密封阀门，实现全自动化操作； </w:t>
      </w:r>
    </w:p>
    <w:p w14:paraId="4153F6E7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6）采用2台四极杆质谱仪，实现天然气组分含量测定并同时进行稀有气体含量监测；</w:t>
      </w:r>
    </w:p>
    <w:p w14:paraId="01DF4D95">
      <w:pPr>
        <w:snapToGrid w:val="0"/>
        <w:spacing w:line="360" w:lineRule="auto"/>
        <w:ind w:firstLine="360" w:firstLineChars="150"/>
        <w:jc w:val="left"/>
        <w:rPr>
          <w:rFonts w:ascii="宋体" w:hAnsi="宋体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</w:t>
      </w:r>
      <w:r>
        <w:rPr>
          <w:rFonts w:hint="eastAsia" w:ascii="宋体" w:hAnsi="宋体" w:eastAsia="宋体" w:cs="宋体"/>
          <w:sz w:val="24"/>
        </w:rPr>
        <w:t>水冷吸气泵</w:t>
      </w:r>
      <w:r>
        <w:rPr>
          <w:rFonts w:hint="eastAsia" w:ascii="Times New Roman" w:hAnsi="Times New Roman" w:eastAsia="宋体" w:cs="Times New Roman"/>
          <w:sz w:val="24"/>
        </w:rPr>
        <w:t>氢气吸附能力大于等于8.5</w:t>
      </w:r>
      <w:r>
        <w:rPr>
          <w:rFonts w:hint="eastAsia" w:ascii="宋体" w:hAnsi="宋体" w:eastAsia="宋体" w:cs="Times New Roman"/>
          <w:sz w:val="24"/>
        </w:rPr>
        <w:t>×</w:t>
      </w:r>
      <w:r>
        <w:rPr>
          <w:rFonts w:hint="eastAsia" w:ascii="Times New Roman" w:hAnsi="Times New Roman" w:eastAsia="宋体" w:cs="Times New Roman"/>
          <w:sz w:val="24"/>
        </w:rPr>
        <w:t>10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4 </w:t>
      </w:r>
      <w:r>
        <w:rPr>
          <w:rFonts w:hint="eastAsia" w:ascii="Times New Roman" w:hAnsi="Times New Roman" w:eastAsia="宋体" w:cs="Times New Roman"/>
          <w:sz w:val="24"/>
        </w:rPr>
        <w:t>Pa</w:t>
      </w:r>
      <w:r>
        <w:rPr>
          <w:rFonts w:hint="eastAsia" w:ascii="宋体" w:hAnsi="宋体" w:eastAsia="宋体" w:cs="Times New Roman"/>
          <w:sz w:val="24"/>
        </w:rPr>
        <w:t>·</w:t>
      </w:r>
      <w:r>
        <w:rPr>
          <w:rFonts w:hint="eastAsia" w:ascii="Times New Roman" w:hAnsi="Times New Roman" w:eastAsia="宋体" w:cs="Times New Roman"/>
          <w:sz w:val="24"/>
        </w:rPr>
        <w:t>L；</w:t>
      </w:r>
    </w:p>
    <w:p w14:paraId="17B2DB9C">
      <w:pPr>
        <w:spacing w:line="360" w:lineRule="auto"/>
        <w:ind w:firstLine="360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8）涡轮分子泵和离子泵组成的泵组抽速大于等于50 L/s;</w:t>
      </w:r>
    </w:p>
    <w:p w14:paraId="55B65806">
      <w:pPr>
        <w:spacing w:line="360" w:lineRule="auto"/>
        <w:ind w:firstLine="360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9）低温冷泵所能提供的（含冷头）温度环境覆盖8K-500K；维护时间间隔不低于20000小时；</w:t>
      </w:r>
    </w:p>
    <w:p w14:paraId="51347E90">
      <w:pPr>
        <w:snapToGrid w:val="0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10）前处理系统中关键纯化部分需采用超高真空全金属波纹管密封阀门，其真空漏率（千次使用后）优于5×10</w:t>
      </w:r>
      <w:r>
        <w:rPr>
          <w:rFonts w:hint="eastAsia" w:ascii="宋体" w:hAnsi="宋体" w:eastAsia="宋体" w:cs="宋体"/>
          <w:sz w:val="24"/>
          <w:vertAlign w:val="superscript"/>
        </w:rPr>
        <w:t>-8</w:t>
      </w:r>
      <w:r>
        <w:rPr>
          <w:rFonts w:hint="eastAsia" w:ascii="宋体" w:hAnsi="宋体" w:eastAsia="宋体" w:cs="宋体"/>
          <w:sz w:val="24"/>
        </w:rPr>
        <w:t>Pa·m</w:t>
      </w:r>
      <w:r>
        <w:rPr>
          <w:rFonts w:hint="eastAsia" w:ascii="宋体" w:hAnsi="宋体" w:eastAsia="宋体" w:cs="宋体"/>
          <w:sz w:val="24"/>
          <w:vertAlign w:val="superscript"/>
        </w:rPr>
        <w:t>3</w:t>
      </w:r>
      <w:r>
        <w:rPr>
          <w:rFonts w:hint="eastAsia" w:ascii="宋体" w:hAnsi="宋体" w:eastAsia="宋体" w:cs="宋体"/>
          <w:sz w:val="24"/>
        </w:rPr>
        <w:t>/s；</w:t>
      </w:r>
    </w:p>
    <w:p w14:paraId="4898079D">
      <w:pPr>
        <w:numPr>
          <w:ilvl w:val="0"/>
          <w:numId w:val="2"/>
        </w:numPr>
        <w:snapToGrid w:val="0"/>
        <w:spacing w:line="360" w:lineRule="auto"/>
        <w:ind w:left="720" w:hanging="480"/>
        <w:jc w:val="left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宋体"/>
          <w:sz w:val="24"/>
        </w:rPr>
        <w:t>对</w:t>
      </w:r>
      <w:r>
        <w:rPr>
          <w:rFonts w:hint="eastAsia" w:ascii="Times New Roman" w:hAnsi="Times New Roman" w:eastAsia="宋体" w:cs="Times New Roman"/>
          <w:sz w:val="24"/>
        </w:rPr>
        <w:t>嵌入主机的自动控制软件，可以实现全自动控制功能。</w:t>
      </w:r>
    </w:p>
    <w:p w14:paraId="60B2BA30">
      <w:pPr>
        <w:numPr>
          <w:ilvl w:val="0"/>
          <w:numId w:val="2"/>
        </w:numPr>
        <w:snapToGrid w:val="0"/>
        <w:spacing w:line="360" w:lineRule="auto"/>
        <w:ind w:left="720" w:hanging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可实现HD中He的定量分析；</w:t>
      </w:r>
    </w:p>
    <w:p w14:paraId="248A8212">
      <w:pPr>
        <w:snapToGrid w:val="0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13）四极杆质量过滤器能实现质量分辨率0.06u（amu）；</w:t>
      </w:r>
    </w:p>
    <w:p w14:paraId="1CA40DAE"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14）D</w:t>
      </w:r>
      <w:r>
        <w:rPr>
          <w:rFonts w:hint="eastAsia" w:ascii="宋体" w:hAnsi="宋体" w:eastAsia="宋体" w:cs="宋体"/>
          <w:sz w:val="24"/>
          <w:vertAlign w:val="subscript"/>
        </w:rPr>
        <w:t>2</w:t>
      </w:r>
      <w:r>
        <w:rPr>
          <w:rFonts w:hint="eastAsia" w:ascii="宋体" w:hAnsi="宋体" w:eastAsia="宋体" w:cs="宋体"/>
          <w:sz w:val="24"/>
        </w:rPr>
        <w:t>和氦的灵敏度不低于10ppm；</w:t>
      </w:r>
    </w:p>
    <w:p w14:paraId="7010D725">
      <w:pPr>
        <w:snapToGrid w:val="0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</w:p>
    <w:p w14:paraId="6391F984"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</w:p>
    <w:p w14:paraId="046CF07A"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3.9 样品前处理系统</w:t>
      </w:r>
    </w:p>
    <w:p w14:paraId="30FCF56D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自然产出的天然气样品，（1-2 mL含有CH</w:t>
      </w:r>
      <w:r>
        <w:rPr>
          <w:rFonts w:hint="eastAsia" w:ascii="Times New Roman" w:hAnsi="Times New Roman" w:eastAsia="宋体" w:cs="宋体"/>
          <w:sz w:val="24"/>
          <w:vertAlign w:val="subscript"/>
        </w:rPr>
        <w:t>4</w:t>
      </w:r>
      <w:r>
        <w:rPr>
          <w:rFonts w:hint="eastAsia" w:ascii="Times New Roman" w:hAnsi="Times New Roman" w:eastAsia="宋体" w:cs="宋体"/>
          <w:sz w:val="24"/>
        </w:rPr>
        <w:t>、C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H</w:t>
      </w:r>
      <w:r>
        <w:rPr>
          <w:rFonts w:hint="eastAsia" w:ascii="Times New Roman" w:hAnsi="Times New Roman" w:eastAsia="宋体" w:cs="宋体"/>
          <w:sz w:val="24"/>
          <w:vertAlign w:val="subscript"/>
        </w:rPr>
        <w:t>6</w:t>
      </w:r>
      <w:r>
        <w:rPr>
          <w:rFonts w:hint="eastAsia" w:ascii="Times New Roman" w:hAnsi="Times New Roman" w:eastAsia="宋体" w:cs="宋体"/>
          <w:sz w:val="24"/>
        </w:rPr>
        <w:t>、C</w:t>
      </w:r>
      <w:r>
        <w:rPr>
          <w:rFonts w:hint="eastAsia" w:ascii="Times New Roman" w:hAnsi="Times New Roman" w:eastAsia="宋体" w:cs="宋体"/>
          <w:sz w:val="24"/>
          <w:vertAlign w:val="subscript"/>
        </w:rPr>
        <w:t>3</w:t>
      </w:r>
      <w:r>
        <w:rPr>
          <w:rFonts w:hint="eastAsia" w:ascii="Times New Roman" w:hAnsi="Times New Roman" w:eastAsia="宋体" w:cs="宋体"/>
          <w:sz w:val="24"/>
        </w:rPr>
        <w:t>H</w:t>
      </w:r>
      <w:r>
        <w:rPr>
          <w:rFonts w:hint="eastAsia" w:ascii="Times New Roman" w:hAnsi="Times New Roman" w:eastAsia="宋体" w:cs="宋体"/>
          <w:sz w:val="24"/>
          <w:vertAlign w:val="subscript"/>
        </w:rPr>
        <w:t>8</w:t>
      </w:r>
      <w:r>
        <w:rPr>
          <w:rFonts w:hint="eastAsia" w:ascii="Times New Roman" w:hAnsi="Times New Roman" w:eastAsia="宋体" w:cs="宋体"/>
          <w:sz w:val="24"/>
        </w:rPr>
        <w:t>、CO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、N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S、H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O等）中的He、Ne、Ar、Kr、Xe的纯化富集，并逐个释放He、Ne、Ar、Kr、Xe扩散进入稀有气体同位素质谱仪，同时配备在线质谱仪，具备测定天然气中He含量的功能。</w:t>
      </w:r>
    </w:p>
    <w:p w14:paraId="244C698D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前处理系统技术要求</w:t>
      </w:r>
    </w:p>
    <w:p w14:paraId="59867B6C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*1）杂质去除率：&gt;99.9%；</w:t>
      </w:r>
    </w:p>
    <w:p w14:paraId="13169EDB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*2）稀释误差：≤±0.5%；</w:t>
      </w:r>
    </w:p>
    <w:p w14:paraId="6A91490F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3）系统的极限真空达到8×10</w:t>
      </w:r>
      <w:r>
        <w:rPr>
          <w:rFonts w:hint="eastAsia" w:ascii="Times New Roman" w:hAnsi="Times New Roman" w:eastAsia="宋体" w:cs="宋体"/>
          <w:sz w:val="24"/>
          <w:vertAlign w:val="superscript"/>
        </w:rPr>
        <w:t xml:space="preserve">-8 </w:t>
      </w:r>
      <w:r>
        <w:rPr>
          <w:rFonts w:hint="eastAsia" w:ascii="Times New Roman" w:hAnsi="Times New Roman" w:eastAsia="宋体" w:cs="宋体"/>
          <w:sz w:val="24"/>
        </w:rPr>
        <w:t>Pa；</w:t>
      </w:r>
    </w:p>
    <w:p w14:paraId="541EBBE2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4）系统纯化部份的体积不大于350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；</w:t>
      </w:r>
    </w:p>
    <w:p w14:paraId="47DD2D45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5）系统的He释气率不大于10</w:t>
      </w:r>
      <w:r>
        <w:rPr>
          <w:rFonts w:hint="eastAsia" w:ascii="Times New Roman" w:hAnsi="Times New Roman" w:eastAsia="宋体" w:cs="宋体"/>
          <w:sz w:val="24"/>
          <w:vertAlign w:val="superscript"/>
        </w:rPr>
        <w:t>-10</w:t>
      </w:r>
      <w:r>
        <w:rPr>
          <w:rFonts w:hint="eastAsia" w:ascii="Times New Roman" w:hAnsi="Times New Roman" w:eastAsia="宋体" w:cs="宋体"/>
          <w:sz w:val="24"/>
        </w:rPr>
        <w:t xml:space="preserve"> Pa·m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/s；</w:t>
      </w:r>
    </w:p>
    <w:p w14:paraId="304F4A5F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6）烘烤温度可达250摄氏度；</w:t>
      </w:r>
    </w:p>
    <w:p w14:paraId="69890FC4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7）高温炉温度1000摄氏度，可控可调；</w:t>
      </w:r>
    </w:p>
    <w:p w14:paraId="5B8B4689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8）能够富集和分离天然气中的所有稀有气体；</w:t>
      </w:r>
    </w:p>
    <w:p w14:paraId="38BA17DF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9）能够测定天然气中He含量。</w:t>
      </w:r>
    </w:p>
    <w:p w14:paraId="1F0C13C8">
      <w:pPr>
        <w:ind w:firstLine="360" w:firstLineChars="15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10)</w:t>
      </w:r>
      <w:r>
        <w:rPr>
          <w:rFonts w:hint="eastAsia" w:ascii="Times New Roman" w:hAnsi="Times New Roman" w:eastAsia="宋体" w:cs="Times New Roman"/>
          <w:sz w:val="24"/>
        </w:rPr>
        <w:t xml:space="preserve"> 提供前处理系统的设计方案。</w:t>
      </w:r>
    </w:p>
    <w:p w14:paraId="1BEC279A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</w:p>
    <w:p w14:paraId="599197E3"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3.10进样管路</w:t>
      </w:r>
    </w:p>
    <w:p w14:paraId="6502BCDB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1）一个水冷吸气泵；</w:t>
      </w:r>
    </w:p>
    <w:p w14:paraId="0F832FB7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2）每个吸气泵温度可通过软件单独控制；</w:t>
      </w:r>
    </w:p>
    <w:p w14:paraId="50CAB763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3）一个超小体积微型离子规；</w:t>
      </w:r>
    </w:p>
    <w:p w14:paraId="38B2D640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4）两个储气罐和分样管（分样管体积约0.1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）；</w:t>
      </w:r>
    </w:p>
    <w:p w14:paraId="272E8C61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5）一个液氮冷阱；</w:t>
      </w:r>
    </w:p>
    <w:p w14:paraId="47793A0D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6）一个离子泵；</w:t>
      </w:r>
    </w:p>
    <w:p w14:paraId="3153307F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7）一个液氦制冷系统；</w:t>
      </w:r>
    </w:p>
    <w:p w14:paraId="7FB116EA"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8）连接到隔膜泵和涡轮分子泵系统；</w:t>
      </w:r>
    </w:p>
    <w:p w14:paraId="11344C77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9）两个备用接口，用真空法兰</w:t>
      </w:r>
      <w:r>
        <w:rPr>
          <w:rFonts w:hint="eastAsia" w:ascii="Times New Roman" w:hAnsi="Times New Roman" w:eastAsia="宋体" w:cs="Times New Roman"/>
          <w:sz w:val="24"/>
          <w:lang w:val="en-GB"/>
        </w:rPr>
        <w:t>盲板</w:t>
      </w:r>
      <w:r>
        <w:rPr>
          <w:rFonts w:hint="eastAsia" w:ascii="Times New Roman" w:hAnsi="Times New Roman" w:eastAsia="宋体" w:cs="宋体"/>
          <w:sz w:val="24"/>
        </w:rPr>
        <w:t>密封，可用于未来升级；</w:t>
      </w:r>
    </w:p>
    <w:p w14:paraId="44837596">
      <w:pPr>
        <w:pStyle w:val="5"/>
        <w:spacing w:line="36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10）该系统的电路系统与质谱进样接口通过输入、输出驱动连接，可以通过软件控制，实现无缝、自动化操作。</w:t>
      </w:r>
    </w:p>
    <w:p w14:paraId="29264844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 成交供应商需要提供的服务及材料。</w:t>
      </w:r>
    </w:p>
    <w:p w14:paraId="52739B38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3.11.1 提供完整的稀有气体同位素分析系统1套，包括质谱仪与稀释-纯化系统。</w:t>
      </w:r>
    </w:p>
    <w:p w14:paraId="76209D6D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3.11.2 提供前处理设计图。</w:t>
      </w:r>
    </w:p>
    <w:p w14:paraId="757EC08E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3.11.3 负责设备运输、安装、调试及现场培训。</w:t>
      </w:r>
    </w:p>
    <w:p w14:paraId="6DCA3170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3.11.4 提供设备操作手册、维护手册、软件应用说明书、验收大纲等全套技术文档。</w:t>
      </w:r>
    </w:p>
    <w:p w14:paraId="5A11E5EE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3.11.5 厂家售后承诺函，提供设备质保期内的售后服务与技术支持。</w:t>
      </w:r>
    </w:p>
    <w:p w14:paraId="25C6D76B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3.11.6 提供标准气体样品用于系统标定与验收。</w:t>
      </w:r>
    </w:p>
    <w:p w14:paraId="19E75751"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系统配置，见下表：</w:t>
      </w:r>
    </w:p>
    <w:tbl>
      <w:tblPr>
        <w:tblStyle w:val="3"/>
        <w:tblW w:w="9103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1960"/>
        <w:gridCol w:w="2223"/>
        <w:gridCol w:w="1960"/>
        <w:gridCol w:w="1960"/>
      </w:tblGrid>
      <w:tr w14:paraId="05A9F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3FE7AF22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序号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 w14:paraId="05635DF6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名称</w:t>
            </w:r>
          </w:p>
        </w:tc>
        <w:tc>
          <w:tcPr>
            <w:tcW w:w="2223" w:type="dxa"/>
            <w:shd w:val="clear" w:color="000000" w:fill="DEEBF6"/>
            <w:noWrap/>
            <w:vAlign w:val="center"/>
          </w:tcPr>
          <w:p w14:paraId="01B85B90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功能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 w14:paraId="70951BBF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数量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 w14:paraId="57C70C2E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材质</w:t>
            </w:r>
          </w:p>
        </w:tc>
      </w:tr>
      <w:tr w14:paraId="2B367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61F8320D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1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4105CED0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稀有气体分析仪主机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66F7482F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能测量所有的稀有气体（氦、氖、氩、氪、氙）同位素。</w:t>
            </w:r>
          </w:p>
        </w:tc>
        <w:tc>
          <w:tcPr>
            <w:tcW w:w="1960" w:type="dxa"/>
            <w:noWrap/>
            <w:vAlign w:val="top"/>
          </w:tcPr>
          <w:p w14:paraId="7ACC49FE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1台</w:t>
            </w:r>
          </w:p>
        </w:tc>
        <w:tc>
          <w:tcPr>
            <w:tcW w:w="1960" w:type="dxa"/>
            <w:noWrap/>
            <w:vAlign w:val="top"/>
          </w:tcPr>
          <w:p w14:paraId="04EECBAD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主体不锈钢</w:t>
            </w:r>
          </w:p>
        </w:tc>
      </w:tr>
      <w:tr w14:paraId="05AA1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466C9428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2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05896920"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四极杆质谱仪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02F75DA9"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气体组分分析</w:t>
            </w:r>
          </w:p>
        </w:tc>
        <w:tc>
          <w:tcPr>
            <w:tcW w:w="1960" w:type="dxa"/>
            <w:noWrap/>
            <w:vAlign w:val="top"/>
          </w:tcPr>
          <w:p w14:paraId="71527A91"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2台</w:t>
            </w:r>
          </w:p>
        </w:tc>
        <w:tc>
          <w:tcPr>
            <w:tcW w:w="1960" w:type="dxa"/>
            <w:noWrap/>
            <w:vAlign w:val="top"/>
          </w:tcPr>
          <w:p w14:paraId="48E458B4"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1DB6E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3DF96269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3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210600F2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阀门控制器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0E66E9C1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多通道高真空电磁阀控制器</w:t>
            </w:r>
            <w:r>
              <w:rPr>
                <w:rFonts w:ascii="Times New Roman" w:hAnsi="Times New Roman" w:eastAsia="宋体" w:cs="宋体"/>
                <w:kern w:val="0"/>
                <w:sz w:val="24"/>
                <w:szCs w:val="22"/>
              </w:rPr>
              <w:t xml:space="preserve"> 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1066AFDF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3CBBCD03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28813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27B9BFB9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4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35C74B52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数据工作站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 w14:paraId="576E3BCF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图形工作站（例如：Intel i7/32GB RAM/2TB SSD）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3C8E1FA9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1906B478"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169AD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4EF0744E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5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1344F470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前处理系统（至少能够满足对天然气样品稀有气体的纯化、富集和分离）           1套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 w14:paraId="4D05B87E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集成两个Zr-Al吸气剂泵、液氮冷阱、活性炭冷阱、低温冷泵（8K-500K）、标样系统、真空系统、真空监测系统等，系统真空度优于10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-8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Pa，并能实现前处理系统的全自动化控制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73C01D19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3F8319E8"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主体不锈钢</w:t>
            </w:r>
          </w:p>
        </w:tc>
      </w:tr>
      <w:tr w14:paraId="3303A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4F16A4F8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6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447B8D9A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零配件包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 w14:paraId="169645CF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含密封圈、真空脂、工具等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3E1C378B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556810DC"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2E2DD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3AAD2A3D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7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42946BEC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维修工具箱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7A6BB790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专业维护工具套装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46117379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203AB658"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57468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7BF5F494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8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6CFE30AC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稀有气体同位素测试标样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2DFAA02A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含³He/⁴He、²⁰Ne/²²Ne、⁴⁰Ar/³⁶Ar等标准气体</w:t>
            </w:r>
          </w:p>
        </w:tc>
        <w:tc>
          <w:tcPr>
            <w:tcW w:w="1960" w:type="dxa"/>
            <w:noWrap/>
            <w:vAlign w:val="top"/>
          </w:tcPr>
          <w:p w14:paraId="081A9309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960" w:type="dxa"/>
            <w:noWrap/>
            <w:vAlign w:val="top"/>
          </w:tcPr>
          <w:p w14:paraId="22CEAA34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73995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65EB243C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9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3FD30AF2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自动控制软件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1A544A82"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稀有气体分析专用控制系统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6B68690B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7ED3C2F2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 w14:paraId="3ED9C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 w14:paraId="044C67C9"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10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79F8B4AC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数据采集与处理系统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 w14:paraId="5BA1BFAE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支持Modbus/TCP，输出标准报告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 w14:paraId="74B8E150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 w14:paraId="5E8F4123"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</w:tbl>
    <w:p w14:paraId="3BD0CCAF">
      <w:pPr>
        <w:pStyle w:val="5"/>
        <w:spacing w:line="360" w:lineRule="auto"/>
        <w:ind w:left="1080" w:firstLine="0"/>
        <w:rPr>
          <w:rFonts w:ascii="Times New Roman" w:hAnsi="Times New Roman" w:eastAsia="宋体" w:cs="Times New Roman"/>
          <w:b/>
          <w:sz w:val="24"/>
        </w:rPr>
      </w:pPr>
    </w:p>
    <w:p w14:paraId="01655C61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 产品配置要求</w:t>
      </w:r>
    </w:p>
    <w:p w14:paraId="6892BCEF">
      <w:pPr>
        <w:spacing w:line="360" w:lineRule="auto"/>
        <w:rPr>
          <w:rFonts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4.1提供完整的稀有气体同位素分析系统1套；</w:t>
      </w:r>
    </w:p>
    <w:p w14:paraId="0DAFD3A4">
      <w:pPr>
        <w:spacing w:line="360" w:lineRule="auto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4.2提供以下文件：</w:t>
      </w:r>
    </w:p>
    <w:p w14:paraId="2B699F65">
      <w:pPr>
        <w:spacing w:line="360" w:lineRule="auto"/>
        <w:ind w:firstLine="480" w:firstLineChars="20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出厂文件2套（使用说明书、验收报告、合格证等）。</w:t>
      </w:r>
    </w:p>
    <w:p w14:paraId="1428E030">
      <w:pPr>
        <w:spacing w:line="360" w:lineRule="auto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4.3成交供应商负责运输到采购人指定地，并协助采购人安装和调试；</w:t>
      </w:r>
    </w:p>
    <w:p w14:paraId="5B77B119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（二）质保及售后服务</w:t>
      </w:r>
    </w:p>
    <w:p w14:paraId="6E93DB00">
      <w:pPr>
        <w:spacing w:line="360" w:lineRule="auto"/>
        <w:ind w:firstLine="360" w:firstLineChars="150"/>
        <w:rPr>
          <w:rFonts w:hint="eastAsia" w:ascii="Times New Roman" w:hAnsi="Times New Roman" w:eastAsia="宋体" w:cs="宋体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宋体"/>
          <w:sz w:val="24"/>
        </w:rPr>
        <w:t>质保期2年，质保期内如果出现问题，成交供应商需要积极配合采购人解决，并承担所有费用（含人员、差旅、更换部件）。质保期后，成交供应商应按照成本价格提供10年该仪器部件的维修、更换服务。</w:t>
      </w:r>
    </w:p>
    <w:p w14:paraId="6D88F59D">
      <w:pPr>
        <w:spacing w:line="360" w:lineRule="auto"/>
        <w:rPr>
          <w:rFonts w:hint="eastAsia" w:ascii="Times New Roman" w:hAnsi="Times New Roman" w:eastAsia="宋体" w:cs="宋体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 xml:space="preserve">（三） </w:t>
      </w:r>
      <w:r>
        <w:rPr>
          <w:rFonts w:hint="eastAsia" w:ascii="Times New Roman" w:hAnsi="Times New Roman" w:eastAsia="宋体" w:cs="宋体"/>
          <w:b/>
          <w:sz w:val="24"/>
        </w:rPr>
        <w:t>验收条款</w:t>
      </w:r>
    </w:p>
    <w:p w14:paraId="79092592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对本项目验收分为常规检查、技术指标测试和文件资料审查3类（如下三张表所示）。</w:t>
      </w:r>
    </w:p>
    <w:p w14:paraId="06D111D7"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tbl>
      <w:tblPr>
        <w:tblStyle w:val="3"/>
        <w:tblpPr w:leftFromText="180" w:rightFromText="180" w:vertAnchor="text" w:horzAnchor="margin" w:tblpY="510"/>
        <w:tblW w:w="555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858"/>
        <w:gridCol w:w="3360"/>
        <w:gridCol w:w="1842"/>
        <w:gridCol w:w="710"/>
      </w:tblGrid>
      <w:tr w14:paraId="66156F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6B865127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1510" w:type="pct"/>
            <w:noWrap/>
            <w:vAlign w:val="center"/>
          </w:tcPr>
          <w:p w14:paraId="12968AF8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验收内容</w:t>
            </w:r>
          </w:p>
        </w:tc>
        <w:tc>
          <w:tcPr>
            <w:tcW w:w="1775" w:type="pct"/>
            <w:noWrap/>
            <w:vAlign w:val="center"/>
          </w:tcPr>
          <w:p w14:paraId="0A5BB5D5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验收指标</w:t>
            </w:r>
          </w:p>
        </w:tc>
        <w:tc>
          <w:tcPr>
            <w:tcW w:w="973" w:type="pct"/>
            <w:noWrap/>
            <w:vAlign w:val="center"/>
          </w:tcPr>
          <w:p w14:paraId="712C7979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</w:t>
            </w:r>
          </w:p>
          <w:p w14:paraId="67E10C3E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方法</w:t>
            </w:r>
          </w:p>
        </w:tc>
        <w:tc>
          <w:tcPr>
            <w:tcW w:w="375" w:type="pct"/>
            <w:noWrap/>
            <w:vAlign w:val="top"/>
          </w:tcPr>
          <w:p w14:paraId="35B789A1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是否</w:t>
            </w:r>
          </w:p>
          <w:p w14:paraId="2B663210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合格</w:t>
            </w:r>
          </w:p>
        </w:tc>
      </w:tr>
      <w:tr w14:paraId="6C22E8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045DCA1E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510" w:type="pct"/>
            <w:noWrap/>
            <w:vAlign w:val="center"/>
          </w:tcPr>
          <w:p w14:paraId="2447A7A0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前处理</w:t>
            </w:r>
          </w:p>
        </w:tc>
        <w:tc>
          <w:tcPr>
            <w:tcW w:w="1775" w:type="pct"/>
            <w:noWrap/>
            <w:vAlign w:val="top"/>
          </w:tcPr>
          <w:p w14:paraId="0715D775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完善，正常运转</w:t>
            </w:r>
          </w:p>
        </w:tc>
        <w:tc>
          <w:tcPr>
            <w:tcW w:w="973" w:type="pct"/>
            <w:noWrap/>
            <w:vAlign w:val="center"/>
          </w:tcPr>
          <w:p w14:paraId="3E57102C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现场检查</w:t>
            </w:r>
          </w:p>
        </w:tc>
        <w:tc>
          <w:tcPr>
            <w:tcW w:w="375" w:type="pct"/>
            <w:noWrap/>
            <w:vAlign w:val="top"/>
          </w:tcPr>
          <w:p w14:paraId="42B7C640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0FB30A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5A9D3921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1510" w:type="pct"/>
            <w:noWrap/>
            <w:vAlign w:val="center"/>
          </w:tcPr>
          <w:p w14:paraId="4C34F84D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质谱主机</w:t>
            </w:r>
          </w:p>
        </w:tc>
        <w:tc>
          <w:tcPr>
            <w:tcW w:w="1775" w:type="pct"/>
            <w:noWrap/>
            <w:vAlign w:val="top"/>
          </w:tcPr>
          <w:p w14:paraId="20EB10BE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正常运转</w:t>
            </w:r>
          </w:p>
        </w:tc>
        <w:tc>
          <w:tcPr>
            <w:tcW w:w="973" w:type="pct"/>
            <w:noWrap/>
            <w:vAlign w:val="center"/>
          </w:tcPr>
          <w:p w14:paraId="5A6B4E0A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现场检查</w:t>
            </w:r>
          </w:p>
        </w:tc>
        <w:tc>
          <w:tcPr>
            <w:tcW w:w="375" w:type="pct"/>
            <w:noWrap/>
            <w:vAlign w:val="top"/>
          </w:tcPr>
          <w:p w14:paraId="4D3CC2D1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69F01E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4406B768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1510" w:type="pct"/>
            <w:noWrap/>
            <w:vAlign w:val="center"/>
          </w:tcPr>
          <w:p w14:paraId="7684632F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系统稳定性</w:t>
            </w:r>
          </w:p>
        </w:tc>
        <w:tc>
          <w:tcPr>
            <w:tcW w:w="1775" w:type="pct"/>
            <w:noWrap/>
            <w:vAlign w:val="center"/>
          </w:tcPr>
          <w:p w14:paraId="19A1187D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分钟内</w:t>
            </w:r>
            <w:r>
              <w:rPr>
                <w:rFonts w:ascii="Times New Roman" w:hAnsi="Times New Roman" w:eastAsia="宋体" w:cs="Times New Roman"/>
                <w:sz w:val="24"/>
              </w:rPr>
              <w:t>m/z 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质量漂移小于</w:t>
            </w:r>
            <w:r>
              <w:rPr>
                <w:rFonts w:ascii="Times New Roman" w:hAnsi="Times New Roman" w:eastAsia="宋体" w:cs="Times New Roman"/>
                <w:sz w:val="24"/>
              </w:rPr>
              <w:t>50ppm</w:t>
            </w:r>
          </w:p>
        </w:tc>
        <w:tc>
          <w:tcPr>
            <w:tcW w:w="973" w:type="pct"/>
            <w:noWrap/>
            <w:vAlign w:val="center"/>
          </w:tcPr>
          <w:p w14:paraId="604D7A26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 w14:paraId="6ABDA495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3A631E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6EF6B84D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4</w:t>
            </w:r>
          </w:p>
        </w:tc>
        <w:tc>
          <w:tcPr>
            <w:tcW w:w="1510" w:type="pct"/>
            <w:noWrap/>
            <w:vAlign w:val="center"/>
          </w:tcPr>
          <w:p w14:paraId="0ACA7720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分辨率</w:t>
            </w:r>
          </w:p>
        </w:tc>
        <w:tc>
          <w:tcPr>
            <w:tcW w:w="1775" w:type="pct"/>
            <w:noWrap/>
            <w:vAlign w:val="center"/>
          </w:tcPr>
          <w:p w14:paraId="4D6B8B76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按投标文件响应值</w:t>
            </w:r>
          </w:p>
        </w:tc>
        <w:tc>
          <w:tcPr>
            <w:tcW w:w="973" w:type="pct"/>
            <w:noWrap/>
            <w:vAlign w:val="center"/>
          </w:tcPr>
          <w:p w14:paraId="11D5F60D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 w14:paraId="11B9FFD8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2F7E1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67E45778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5</w:t>
            </w:r>
          </w:p>
        </w:tc>
        <w:tc>
          <w:tcPr>
            <w:tcW w:w="1510" w:type="pct"/>
            <w:noWrap/>
            <w:vAlign w:val="center"/>
          </w:tcPr>
          <w:p w14:paraId="1549915E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峰顶平坦度（法拉第杯）</w:t>
            </w:r>
          </w:p>
        </w:tc>
        <w:tc>
          <w:tcPr>
            <w:tcW w:w="1775" w:type="pct"/>
            <w:noWrap/>
            <w:vAlign w:val="center"/>
          </w:tcPr>
          <w:p w14:paraId="1CD2A2F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±100ppm内≤ 0.001（法拉第杯缝宽时的质量偏差）。</w:t>
            </w:r>
          </w:p>
        </w:tc>
        <w:tc>
          <w:tcPr>
            <w:tcW w:w="973" w:type="pct"/>
            <w:noWrap/>
            <w:vAlign w:val="center"/>
          </w:tcPr>
          <w:p w14:paraId="0A6F723F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 w14:paraId="15F2A017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13DCBE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2D67434F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6</w:t>
            </w:r>
          </w:p>
        </w:tc>
        <w:tc>
          <w:tcPr>
            <w:tcW w:w="1510" w:type="pct"/>
            <w:noWrap/>
            <w:vAlign w:val="center"/>
          </w:tcPr>
          <w:p w14:paraId="25F2F9C1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He灵敏度</w:t>
            </w:r>
          </w:p>
        </w:tc>
        <w:tc>
          <w:tcPr>
            <w:tcW w:w="1775" w:type="pct"/>
            <w:noWrap/>
            <w:vAlign w:val="center"/>
          </w:tcPr>
          <w:p w14:paraId="28618001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≥ 1.5×10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-6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A/Pa</w:t>
            </w:r>
          </w:p>
        </w:tc>
        <w:tc>
          <w:tcPr>
            <w:tcW w:w="973" w:type="pct"/>
            <w:noWrap/>
            <w:vAlign w:val="center"/>
          </w:tcPr>
          <w:p w14:paraId="1AC5B6EB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 w14:paraId="014E201D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 w14:paraId="4FDA90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 w14:paraId="39D30888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7</w:t>
            </w:r>
          </w:p>
        </w:tc>
        <w:tc>
          <w:tcPr>
            <w:tcW w:w="1510" w:type="pct"/>
            <w:noWrap/>
            <w:vAlign w:val="center"/>
          </w:tcPr>
          <w:p w14:paraId="69F8AE80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丰度灵敏度</w:t>
            </w:r>
          </w:p>
        </w:tc>
        <w:tc>
          <w:tcPr>
            <w:tcW w:w="1775" w:type="pct"/>
            <w:noWrap/>
            <w:vAlign w:val="center"/>
          </w:tcPr>
          <w:p w14:paraId="6D48A6B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宋体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≤ 1 ppb </w:t>
            </w:r>
          </w:p>
        </w:tc>
        <w:tc>
          <w:tcPr>
            <w:tcW w:w="973" w:type="pct"/>
            <w:noWrap/>
            <w:vAlign w:val="center"/>
          </w:tcPr>
          <w:p w14:paraId="4899C352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 w14:paraId="6190F2DE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</w:tbl>
    <w:p w14:paraId="27B89F26"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1、</w:t>
      </w:r>
      <w:r>
        <w:rPr>
          <w:rFonts w:hint="eastAsia" w:ascii="Times New Roman" w:hAnsi="Times New Roman" w:eastAsia="宋体" w:cs="Times New Roman"/>
          <w:sz w:val="24"/>
        </w:rPr>
        <w:t>常规检查</w:t>
      </w:r>
    </w:p>
    <w:p w14:paraId="40063639">
      <w:pPr>
        <w:adjustRightInd w:val="0"/>
        <w:snapToGrid w:val="0"/>
        <w:rPr>
          <w:rFonts w:hint="eastAsia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18A9071"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p w14:paraId="0781C0DD"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2、</w:t>
      </w:r>
      <w:r>
        <w:rPr>
          <w:rFonts w:hint="eastAsia" w:ascii="Times New Roman" w:hAnsi="Times New Roman" w:eastAsia="宋体" w:cs="Times New Roman"/>
          <w:sz w:val="24"/>
        </w:rPr>
        <w:t>技术指标测试</w:t>
      </w:r>
    </w:p>
    <w:tbl>
      <w:tblPr>
        <w:tblStyle w:val="3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843"/>
        <w:gridCol w:w="4252"/>
        <w:gridCol w:w="1562"/>
        <w:gridCol w:w="1273"/>
        <w:gridCol w:w="995"/>
        <w:gridCol w:w="3433"/>
      </w:tblGrid>
      <w:tr w14:paraId="79C645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 w14:paraId="7B3E853A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650" w:type="pct"/>
            <w:noWrap/>
            <w:vAlign w:val="center"/>
          </w:tcPr>
          <w:p w14:paraId="492FF53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技术指标名称</w:t>
            </w:r>
          </w:p>
        </w:tc>
        <w:tc>
          <w:tcPr>
            <w:tcW w:w="1500" w:type="pct"/>
            <w:noWrap/>
            <w:vAlign w:val="center"/>
          </w:tcPr>
          <w:p w14:paraId="727CE1C7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技术指标值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 w14:paraId="3674066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检测方法</w:t>
            </w:r>
          </w:p>
        </w:tc>
        <w:tc>
          <w:tcPr>
            <w:tcW w:w="449" w:type="pct"/>
            <w:noWrap/>
            <w:vAlign w:val="center"/>
          </w:tcPr>
          <w:p w14:paraId="5A3B1E2A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实测值</w:t>
            </w: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 w14:paraId="4A66C782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是否</w:t>
            </w:r>
          </w:p>
          <w:p w14:paraId="1278EEE7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合格</w:t>
            </w: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 w14:paraId="2036D855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备注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（参考以下测试方案或测试方法，在投标书中细化）</w:t>
            </w:r>
          </w:p>
        </w:tc>
      </w:tr>
      <w:tr w14:paraId="50DDBA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 w14:paraId="65E59DDB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650" w:type="pct"/>
            <w:noWrap/>
            <w:vAlign w:val="center"/>
          </w:tcPr>
          <w:p w14:paraId="490C3AF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³He检出限</w:t>
            </w:r>
          </w:p>
        </w:tc>
        <w:tc>
          <w:tcPr>
            <w:tcW w:w="1500" w:type="pct"/>
            <w:noWrap/>
            <w:vAlign w:val="center"/>
          </w:tcPr>
          <w:p w14:paraId="54E12F86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0.01ppm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 w14:paraId="615B6E5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现场测试</w:t>
            </w:r>
          </w:p>
        </w:tc>
        <w:tc>
          <w:tcPr>
            <w:tcW w:w="449" w:type="pct"/>
            <w:noWrap/>
            <w:vAlign w:val="center"/>
          </w:tcPr>
          <w:p w14:paraId="71A15A05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 w14:paraId="58C66A85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 w14:paraId="4104EC9A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4" w:name="OLE_LINK65"/>
            <w:r>
              <w:rPr>
                <w:rFonts w:ascii="Times New Roman" w:hAnsi="Times New Roman" w:eastAsia="宋体" w:cs="Times New Roman"/>
                <w:sz w:val="24"/>
              </w:rPr>
              <w:t>进空气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0.5-1.5 mL</w:t>
            </w:r>
            <w:r>
              <w:rPr>
                <w:rFonts w:ascii="Times New Roman" w:hAnsi="Times New Roman" w:eastAsia="宋体" w:cs="Times New Roman"/>
                <w:sz w:val="24"/>
              </w:rPr>
              <w:t>，能测出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sz w:val="24"/>
              </w:rPr>
              <w:t>He的含量，即达标</w:t>
            </w:r>
            <w:bookmarkEnd w:id="4"/>
          </w:p>
        </w:tc>
      </w:tr>
      <w:tr w14:paraId="00DA8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 w14:paraId="6905367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650" w:type="pct"/>
            <w:noWrap/>
            <w:vAlign w:val="center"/>
          </w:tcPr>
          <w:p w14:paraId="64AB86FE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³</w:t>
            </w:r>
            <w:r>
              <w:rPr>
                <w:rFonts w:ascii="Times New Roman" w:hAnsi="Times New Roman" w:eastAsia="宋体" w:cs="Times New Roman"/>
                <w:sz w:val="24"/>
              </w:rPr>
              <w:t>He/⁴He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比值精度</w:t>
            </w:r>
          </w:p>
        </w:tc>
        <w:tc>
          <w:tcPr>
            <w:tcW w:w="1500" w:type="pct"/>
            <w:noWrap/>
            <w:vAlign w:val="center"/>
          </w:tcPr>
          <w:p w14:paraId="5AF46E80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不确定度≤±</w:t>
            </w:r>
            <w:r>
              <w:rPr>
                <w:rFonts w:ascii="Times New Roman" w:hAnsi="Times New Roman" w:eastAsia="宋体" w:cs="Times New Roman"/>
                <w:sz w:val="24"/>
              </w:rPr>
              <w:t>5%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；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 w14:paraId="090ECB57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现场测试</w:t>
            </w:r>
          </w:p>
        </w:tc>
        <w:tc>
          <w:tcPr>
            <w:tcW w:w="449" w:type="pct"/>
            <w:noWrap/>
            <w:vAlign w:val="center"/>
          </w:tcPr>
          <w:p w14:paraId="1CA24F54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 w14:paraId="2DB9A89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 w14:paraId="697EFF54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按不同比例稀释后，³</w:t>
            </w:r>
            <w:r>
              <w:rPr>
                <w:rFonts w:ascii="Times New Roman" w:hAnsi="Times New Roman" w:eastAsia="宋体" w:cs="Times New Roman"/>
              </w:rPr>
              <w:t>He/⁴He</w:t>
            </w:r>
            <w:r>
              <w:rPr>
                <w:rFonts w:hint="eastAsia" w:ascii="Times New Roman" w:hAnsi="Times New Roman" w:eastAsia="宋体" w:cs="Times New Roman"/>
              </w:rPr>
              <w:t>比值精度优于±0.5%</w:t>
            </w:r>
          </w:p>
        </w:tc>
      </w:tr>
      <w:tr w14:paraId="6705E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 w14:paraId="6E28F476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650" w:type="pct"/>
            <w:noWrap/>
            <w:vAlign w:val="center"/>
          </w:tcPr>
          <w:p w14:paraId="72E0DC4D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杂质去除率</w:t>
            </w:r>
          </w:p>
        </w:tc>
        <w:tc>
          <w:tcPr>
            <w:tcW w:w="1500" w:type="pct"/>
            <w:noWrap/>
            <w:vAlign w:val="center"/>
          </w:tcPr>
          <w:p w14:paraId="1A471D5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&gt;99.9%；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 w14:paraId="7B14CAD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现场验证</w:t>
            </w:r>
          </w:p>
        </w:tc>
        <w:tc>
          <w:tcPr>
            <w:tcW w:w="449" w:type="pct"/>
            <w:noWrap/>
            <w:vAlign w:val="center"/>
          </w:tcPr>
          <w:p w14:paraId="6CD2055C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 w14:paraId="4F7CDEAC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 w14:paraId="1B928201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5" w:name="OLE_LINK63"/>
            <w:bookmarkStart w:id="6" w:name="OLE_LINK64"/>
            <w:r>
              <w:rPr>
                <w:rFonts w:ascii="Times New Roman" w:hAnsi="Times New Roman" w:eastAsia="宋体" w:cs="Times New Roman"/>
                <w:sz w:val="24"/>
              </w:rPr>
              <w:t>进空气，</w:t>
            </w:r>
            <w:bookmarkEnd w:id="5"/>
            <w:bookmarkEnd w:id="6"/>
            <w:r>
              <w:rPr>
                <w:rFonts w:hint="eastAsia" w:ascii="Times New Roman" w:hAnsi="Times New Roman" w:eastAsia="宋体" w:cs="Times New Roman"/>
                <w:sz w:val="24"/>
              </w:rPr>
              <w:t>测出</w:t>
            </w:r>
            <w:bookmarkStart w:id="7" w:name="OLE_LINK50"/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Ar</w:t>
            </w:r>
            <w:bookmarkEnd w:id="7"/>
            <w:r>
              <w:rPr>
                <w:rFonts w:hint="eastAsia" w:ascii="Times New Roman" w:hAnsi="Times New Roman" w:eastAsia="宋体" w:cs="Times New Roman"/>
                <w:sz w:val="24"/>
              </w:rPr>
              <w:t>质谱峰为10V，纯化为氦同位素样品后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Ar质谱峰不高于0.01V，即达标</w:t>
            </w:r>
          </w:p>
        </w:tc>
      </w:tr>
      <w:tr w14:paraId="5DB288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 w14:paraId="22B76055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4</w:t>
            </w:r>
          </w:p>
        </w:tc>
        <w:tc>
          <w:tcPr>
            <w:tcW w:w="650" w:type="pct"/>
            <w:noWrap/>
            <w:vAlign w:val="center"/>
          </w:tcPr>
          <w:p w14:paraId="5639F48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稀释误差</w:t>
            </w:r>
          </w:p>
        </w:tc>
        <w:tc>
          <w:tcPr>
            <w:tcW w:w="1500" w:type="pct"/>
            <w:noWrap/>
            <w:vAlign w:val="center"/>
          </w:tcPr>
          <w:p w14:paraId="49DD5CE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≤±0.5%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 w14:paraId="4F9A2FF2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现场验证</w:t>
            </w:r>
          </w:p>
        </w:tc>
        <w:tc>
          <w:tcPr>
            <w:tcW w:w="449" w:type="pct"/>
            <w:noWrap/>
            <w:vAlign w:val="center"/>
          </w:tcPr>
          <w:p w14:paraId="1D6C4CEB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 w14:paraId="26ECD28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 w14:paraId="08338A2A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按不同比例稀释后</w:t>
            </w:r>
            <w:bookmarkStart w:id="8" w:name="OLE_LINK61"/>
            <w:bookmarkStart w:id="9" w:name="OLE_LINK62"/>
            <w:r>
              <w:rPr>
                <w:rFonts w:hint="eastAsia" w:ascii="Times New Roman" w:hAnsi="Times New Roman" w:eastAsia="宋体" w:cs="Times New Roman"/>
              </w:rPr>
              <w:t>，³</w:t>
            </w:r>
            <w:r>
              <w:rPr>
                <w:rFonts w:ascii="Times New Roman" w:hAnsi="Times New Roman" w:eastAsia="宋体" w:cs="Times New Roman"/>
              </w:rPr>
              <w:t>He/⁴He</w:t>
            </w:r>
            <w:bookmarkEnd w:id="8"/>
            <w:bookmarkEnd w:id="9"/>
            <w:r>
              <w:rPr>
                <w:rFonts w:hint="eastAsia" w:ascii="Times New Roman" w:hAnsi="Times New Roman" w:eastAsia="宋体" w:cs="Times New Roman"/>
              </w:rPr>
              <w:t>比值精度优于±0.5%</w:t>
            </w:r>
          </w:p>
        </w:tc>
      </w:tr>
    </w:tbl>
    <w:p w14:paraId="1DF4A384">
      <w:pPr>
        <w:adjustRightInd w:val="0"/>
        <w:snapToGrid w:val="0"/>
        <w:rPr>
          <w:rFonts w:hint="eastAsia"/>
          <w:sz w:val="24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19004F72"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p w14:paraId="24B421ED">
      <w:pPr>
        <w:adjustRightInd w:val="0"/>
        <w:snapToGrid w:val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3、文件资料审查</w:t>
      </w:r>
    </w:p>
    <w:tbl>
      <w:tblPr>
        <w:tblStyle w:val="3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3937"/>
        <w:gridCol w:w="1473"/>
        <w:gridCol w:w="1369"/>
        <w:gridCol w:w="1091"/>
      </w:tblGrid>
      <w:tr w14:paraId="1F2EE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 w14:paraId="712918D2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2310" w:type="pct"/>
            <w:noWrap/>
            <w:vAlign w:val="center"/>
          </w:tcPr>
          <w:p w14:paraId="13D17A64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审查内容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 w14:paraId="4E98963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</w:t>
            </w:r>
            <w:r>
              <w:rPr>
                <w:rFonts w:ascii="Times New Roman" w:hAnsi="Times New Roman" w:eastAsia="宋体" w:cs="Times New Roman"/>
                <w:sz w:val="24"/>
              </w:rPr>
              <w:t>依据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 w14:paraId="5E7A848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验收方法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 w14:paraId="635568DD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是否合格</w:t>
            </w:r>
          </w:p>
        </w:tc>
      </w:tr>
      <w:tr w14:paraId="723859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 w14:paraId="157AE3B0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2310" w:type="pct"/>
            <w:noWrap/>
            <w:vAlign w:val="center"/>
          </w:tcPr>
          <w:p w14:paraId="5A978E2C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文件完整性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 w14:paraId="1B0933C4"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 w14:paraId="1FD4B06B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 w14:paraId="37A3B0B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23413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 w14:paraId="7C4D4B1E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2310" w:type="pct"/>
            <w:noWrap/>
            <w:vAlign w:val="center"/>
          </w:tcPr>
          <w:p w14:paraId="15189953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过程文件（仪器说明书、测试报告等）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 w14:paraId="314F4A6B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 w14:paraId="4B01F10D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 w14:paraId="28A129C1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241000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 w14:paraId="55312908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2310" w:type="pct"/>
            <w:noWrap/>
            <w:vAlign w:val="center"/>
          </w:tcPr>
          <w:p w14:paraId="5AE4BD0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自验收文件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 w14:paraId="2726C41F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 w14:paraId="08C12E89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 w14:paraId="5575D2CF"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</w:tbl>
    <w:p w14:paraId="649EEBF3">
      <w:pPr>
        <w:pStyle w:val="5"/>
        <w:spacing w:line="360" w:lineRule="auto"/>
        <w:ind w:firstLine="480"/>
        <w:rPr>
          <w:rFonts w:hint="eastAsia" w:ascii="Times New Roman" w:hAnsi="Times New Roman" w:eastAsia="宋体" w:cs="宋体"/>
          <w:sz w:val="24"/>
        </w:rPr>
      </w:pPr>
    </w:p>
    <w:p w14:paraId="04FBDA1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</w:p>
    <w:p w14:paraId="4A319F86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</w:p>
    <w:p w14:paraId="10FB7FC9">
      <w:pPr>
        <w:spacing w:line="360" w:lineRule="auto"/>
        <w:rPr>
          <w:rFonts w:hint="eastAsia" w:ascii="Times New Roman" w:hAnsi="Times New Roman" w:eastAsia="宋体" w:cs="宋体"/>
          <w:b/>
          <w:sz w:val="24"/>
        </w:rPr>
      </w:pPr>
      <w:r>
        <w:rPr>
          <w:rFonts w:ascii="Times New Roman" w:hAnsi="Times New Roman" w:eastAsia="宋体" w:cs="宋体"/>
          <w:b/>
          <w:sz w:val="24"/>
        </w:rPr>
        <w:t>（四）订货数量：</w:t>
      </w:r>
    </w:p>
    <w:p w14:paraId="6168ED6F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稀有气体同位素分析系统1套。</w:t>
      </w:r>
    </w:p>
    <w:p w14:paraId="09EBCE48"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 w14:paraId="2A248C5E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（五）交货日期和交货地点（项目现场）：</w:t>
      </w:r>
    </w:p>
    <w:p w14:paraId="073D0181">
      <w:pPr>
        <w:pStyle w:val="2"/>
        <w:spacing w:line="360" w:lineRule="auto"/>
        <w:ind w:firstLine="482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  <w:b/>
        </w:rPr>
        <w:t>交货日期：</w:t>
      </w:r>
      <w:r>
        <w:rPr>
          <w:rFonts w:hint="eastAsia" w:ascii="Times New Roman" w:hAnsi="Times New Roman" w:eastAsia="宋体" w:cs="宋体"/>
          <w:szCs w:val="24"/>
        </w:rPr>
        <w:t>合同签订后12个月内。</w:t>
      </w:r>
    </w:p>
    <w:p w14:paraId="5FC47A21">
      <w:pPr>
        <w:spacing w:line="360" w:lineRule="auto"/>
        <w:ind w:firstLine="482" w:firstLineChars="200"/>
        <w:rPr>
          <w:rFonts w:ascii="Times New Roman" w:hAnsi="Times New Roman" w:eastAsia="宋体" w:cs="Times New Roman"/>
          <w:b/>
          <w:sz w:val="24"/>
        </w:rPr>
      </w:pPr>
    </w:p>
    <w:p w14:paraId="7C170332">
      <w:pPr>
        <w:spacing w:line="360" w:lineRule="auto"/>
        <w:ind w:firstLine="482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交货地点：</w:t>
      </w:r>
      <w:r>
        <w:rPr>
          <w:rFonts w:ascii="Times New Roman" w:hAnsi="Times New Roman" w:eastAsia="宋体" w:cs="Times New Roman"/>
          <w:sz w:val="24"/>
        </w:rPr>
        <w:t>中国科学院理化技术研究所指定的地点：甘肃兰州。</w:t>
      </w:r>
    </w:p>
    <w:p w14:paraId="5AD0BFE7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</w:p>
    <w:p w14:paraId="11EA8BBC">
      <w:pPr>
        <w:spacing w:line="360" w:lineRule="auto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 xml:space="preserve">（六）付款方式：     </w:t>
      </w:r>
    </w:p>
    <w:p w14:paraId="6AF3DC09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对于国产产品，</w:t>
      </w:r>
      <w:r>
        <w:rPr>
          <w:rFonts w:hint="eastAsia" w:ascii="Times New Roman" w:hAnsi="Times New Roman" w:eastAsia="宋体" w:cs="Times New Roman"/>
          <w:sz w:val="24"/>
        </w:rPr>
        <w:t>合同签订后支付80%；验收通过后支付15%；买方得到卖方发票后支付5%。</w:t>
      </w:r>
      <w:r>
        <w:rPr>
          <w:rFonts w:ascii="Times New Roman" w:hAnsi="Times New Roman" w:eastAsia="宋体" w:cs="Times New Roman"/>
          <w:sz w:val="24"/>
        </w:rPr>
        <w:t xml:space="preserve">                                         </w:t>
      </w:r>
    </w:p>
    <w:p w14:paraId="44A160E1"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 w14:paraId="329412F2"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（七）执行的相关标准</w:t>
      </w:r>
    </w:p>
    <w:p w14:paraId="1530E74E">
      <w:pPr>
        <w:tabs>
          <w:tab w:val="left" w:pos="540"/>
        </w:tabs>
        <w:spacing w:line="360" w:lineRule="auto"/>
        <w:rPr>
          <w:rFonts w:hint="eastAsia" w:ascii="Times New Roman" w:hAnsi="Times New Roman" w:eastAsia="宋体" w:cs="Times New Roman"/>
          <w:b/>
          <w:sz w:val="24"/>
          <w:szCs w:val="30"/>
        </w:rPr>
      </w:pPr>
      <w:r>
        <w:rPr>
          <w:rFonts w:hint="eastAsia" w:ascii="Times New Roman" w:hAnsi="Times New Roman" w:eastAsia="宋体" w:cs="Times New Roman"/>
          <w:b/>
          <w:sz w:val="24"/>
        </w:rPr>
        <w:t xml:space="preserve">   </w:t>
      </w:r>
      <w:r>
        <w:rPr>
          <w:rFonts w:hint="eastAsia" w:ascii="Times New Roman" w:hAnsi="Times New Roman" w:eastAsia="宋体" w:cs="Times New Roman"/>
          <w:bCs/>
          <w:sz w:val="24"/>
        </w:rPr>
        <w:t>无</w:t>
      </w:r>
    </w:p>
    <w:p w14:paraId="2670B8FF">
      <w:pPr>
        <w:spacing w:line="300" w:lineRule="auto"/>
        <w:ind w:firstLine="602" w:firstLineChars="200"/>
        <w:rPr>
          <w:rFonts w:hint="eastAsia" w:ascii="宋体" w:hAnsi="宋体" w:eastAsia="宋体" w:cs="Times New Roman"/>
          <w:b/>
          <w:sz w:val="30"/>
          <w:szCs w:val="30"/>
        </w:rPr>
      </w:pPr>
    </w:p>
    <w:p w14:paraId="75AA66A9">
      <w:bookmarkStart w:id="10" w:name="_GoBack"/>
      <w:bookmarkEnd w:id="1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9A1F30"/>
    <w:multiLevelType w:val="multilevel"/>
    <w:tmpl w:val="3C9A1F30"/>
    <w:lvl w:ilvl="0" w:tentative="0">
      <w:start w:val="11"/>
      <w:numFmt w:val="decimal"/>
      <w:lvlText w:val="%1）"/>
      <w:lvlJc w:val="left"/>
      <w:pPr>
        <w:ind w:left="720" w:hanging="480"/>
      </w:pPr>
      <w:rPr>
        <w:rFonts w:hint="default" w:ascii="宋体" w:hAnsi="宋体" w:cs="宋体"/>
      </w:rPr>
    </w:lvl>
    <w:lvl w:ilvl="1" w:tentative="0">
      <w:start w:val="1"/>
      <w:numFmt w:val="lowerLetter"/>
      <w:lvlText w:val="%2)"/>
      <w:lvlJc w:val="left"/>
      <w:pPr>
        <w:ind w:left="1080" w:hanging="420"/>
      </w:pPr>
    </w:lvl>
    <w:lvl w:ilvl="2" w:tentative="0">
      <w:start w:val="1"/>
      <w:numFmt w:val="lowerRoman"/>
      <w:lvlText w:val="%3."/>
      <w:lvlJc w:val="right"/>
      <w:pPr>
        <w:ind w:left="1500" w:hanging="420"/>
      </w:pPr>
    </w:lvl>
    <w:lvl w:ilvl="3" w:tentative="0">
      <w:start w:val="1"/>
      <w:numFmt w:val="decimal"/>
      <w:lvlText w:val="%4."/>
      <w:lvlJc w:val="left"/>
      <w:pPr>
        <w:ind w:left="1920" w:hanging="420"/>
      </w:pPr>
    </w:lvl>
    <w:lvl w:ilvl="4" w:tentative="0">
      <w:start w:val="1"/>
      <w:numFmt w:val="lowerLetter"/>
      <w:lvlText w:val="%5)"/>
      <w:lvlJc w:val="left"/>
      <w:pPr>
        <w:ind w:left="2340" w:hanging="420"/>
      </w:pPr>
    </w:lvl>
    <w:lvl w:ilvl="5" w:tentative="0">
      <w:start w:val="1"/>
      <w:numFmt w:val="lowerRoman"/>
      <w:lvlText w:val="%6."/>
      <w:lvlJc w:val="right"/>
      <w:pPr>
        <w:ind w:left="2760" w:hanging="420"/>
      </w:pPr>
    </w:lvl>
    <w:lvl w:ilvl="6" w:tentative="0">
      <w:start w:val="1"/>
      <w:numFmt w:val="decimal"/>
      <w:lvlText w:val="%7."/>
      <w:lvlJc w:val="left"/>
      <w:pPr>
        <w:ind w:left="3180" w:hanging="420"/>
      </w:pPr>
    </w:lvl>
    <w:lvl w:ilvl="7" w:tentative="0">
      <w:start w:val="1"/>
      <w:numFmt w:val="lowerLetter"/>
      <w:lvlText w:val="%8)"/>
      <w:lvlJc w:val="left"/>
      <w:pPr>
        <w:ind w:left="3600" w:hanging="420"/>
      </w:pPr>
    </w:lvl>
    <w:lvl w:ilvl="8" w:tentative="0">
      <w:start w:val="1"/>
      <w:numFmt w:val="lowerRoman"/>
      <w:lvlText w:val="%9."/>
      <w:lvlJc w:val="right"/>
      <w:pPr>
        <w:ind w:left="4020" w:hanging="420"/>
      </w:p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F248D"/>
    <w:rsid w:val="1ECF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  <w:lang w:val="en-US" w:eastAsia="zh-CN" w:bidi="ar-SA"/>
    </w:rPr>
  </w:style>
  <w:style w:type="paragraph" w:styleId="5">
    <w:name w:val="List Paragraph"/>
    <w:qFormat/>
    <w:uiPriority w:val="34"/>
    <w:pPr>
      <w:widowControl w:val="0"/>
      <w:ind w:left="205" w:right="169" w:firstLine="655"/>
      <w:jc w:val="both"/>
    </w:pPr>
    <w:rPr>
      <w:rFonts w:ascii="Cambria" w:hAnsi="Cambria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2025-12-01T09:05:00Z</dcterms:created>
  <dc:creator>顾嘉宁</dc:creator>
  <cp:lastModifiedBy>顾嘉宁</cp:lastModifiedBy>
  <dcterms:modified xsi:type="dcterms:W3CDTF">2025-12-01T09:05:18Z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3A7733EA73AE400D9E591820A35181D3_11</vt:lpwstr>
  </property>
  <property fmtid="{D5CDD505-2E9C-101B-9397-08002B2CF9AE}" pid="4" name="KSOTemplateDocerSaveRecord">
    <vt:lpwstr>eyJoZGlkIjoiZjUyMjZiYjQwOTljOWFlMTY1NjA4M2M4Nzk1M2ZiZTAiLCJ1c2VySWQiOiIxNjYzMDExNDYwIn0=</vt:lpwstr>
  </property>
</Properties>
</file>