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rPr>
          <w:rFonts w:hint="eastAsia"/>
          <w:color w:val="auto"/>
          <w:sz w:val="28"/>
          <w:szCs w:val="28"/>
        </w:rPr>
      </w:pPr>
      <w:bookmarkStart w:id="0" w:name="_Toc6587"/>
      <w:r>
        <w:rPr>
          <w:rFonts w:hint="eastAsia"/>
          <w:color w:val="auto"/>
          <w:sz w:val="28"/>
          <w:szCs w:val="28"/>
        </w:rPr>
        <w:t>第五章  采购项目技术、服务、采购合同内容条款及其他商务要求</w:t>
      </w:r>
      <w:bookmarkEnd w:id="0"/>
    </w:p>
    <w:p>
      <w:pPr>
        <w:snapToGrid/>
        <w:spacing w:line="360" w:lineRule="auto"/>
        <w:ind w:firstLine="482"/>
        <w:rPr>
          <w:rFonts w:hint="eastAsia" w:ascii="宋体" w:hAnsi="宋体" w:eastAsia="宋体" w:cs="宋体"/>
          <w:b/>
          <w:bCs w:val="0"/>
          <w:color w:val="auto"/>
          <w:kern w:val="2"/>
          <w:sz w:val="24"/>
          <w:szCs w:val="24"/>
          <w:lang w:val="en-US" w:eastAsia="zh-CN"/>
        </w:rPr>
      </w:pPr>
      <w:r>
        <w:rPr>
          <w:rFonts w:hint="eastAsia" w:ascii="宋体" w:hAnsi="宋体" w:eastAsia="宋体" w:cs="宋体"/>
          <w:b/>
          <w:bCs w:val="0"/>
          <w:color w:val="auto"/>
          <w:kern w:val="2"/>
          <w:sz w:val="24"/>
          <w:szCs w:val="24"/>
          <w:lang w:val="en-US"/>
        </w:rPr>
        <w:t>一、项目</w:t>
      </w:r>
      <w:r>
        <w:rPr>
          <w:rFonts w:hint="eastAsia" w:ascii="宋体" w:hAnsi="宋体" w:eastAsia="宋体" w:cs="宋体"/>
          <w:b/>
          <w:bCs w:val="0"/>
          <w:color w:val="auto"/>
          <w:kern w:val="2"/>
          <w:sz w:val="24"/>
          <w:szCs w:val="24"/>
          <w:lang w:val="en-US" w:eastAsia="zh-CN"/>
        </w:rPr>
        <w:t>背景</w:t>
      </w:r>
    </w:p>
    <w:p>
      <w:pPr>
        <w:spacing w:line="360" w:lineRule="auto"/>
        <w:ind w:firstLine="480"/>
        <w:rPr>
          <w:rFonts w:hint="eastAsia" w:ascii="宋体" w:hAnsi="宋体" w:eastAsia="宋体" w:cs="宋体"/>
          <w:b w:val="0"/>
          <w:color w:val="auto"/>
          <w:kern w:val="2"/>
          <w:sz w:val="24"/>
          <w:szCs w:val="24"/>
          <w:lang w:val="en-US"/>
        </w:rPr>
      </w:pPr>
      <w:r>
        <w:rPr>
          <w:rFonts w:hint="eastAsia" w:ascii="宋体" w:hAnsi="宋体" w:eastAsia="宋体" w:cs="宋体"/>
          <w:b w:val="0"/>
          <w:color w:val="auto"/>
          <w:kern w:val="2"/>
          <w:sz w:val="24"/>
          <w:szCs w:val="24"/>
          <w:lang w:val="en-US" w:eastAsia="zh-CN"/>
        </w:rPr>
        <w:t>依据四川省委办公厅、四川省人民政府办公厅印发的《四川省现代农业园区建设考评激励方案》（川委厅[2018]50号）、《中共四川省委农村工作领导小组办公室关于开展 2019 年实施乡村振兴战略和省星级现代农业园区等考评激励工作的通知》（川农领办〔2019〕37 号）、中共四川省委农村工作领导小组办公室关于印发《四川省现代农业园区认定评分标准（修订稿)&gt;《四川省现代种业园区考核评分标准》的通知(川农领办〔2020〕24 号)、《关于做好2021年度省星级现代农业园区考评推荐申报工作的通知》（川农函〔2021〕617号）等通知要求，编制系列规划。</w:t>
      </w:r>
    </w:p>
    <w:p>
      <w:pPr>
        <w:pStyle w:val="2"/>
        <w:keepNext/>
        <w:keepLines/>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color w:val="000000"/>
          <w:sz w:val="24"/>
          <w:szCs w:val="24"/>
        </w:rPr>
        <w:t>★</w:t>
      </w:r>
      <w:r>
        <w:rPr>
          <w:rFonts w:hint="eastAsia" w:ascii="宋体" w:hAnsi="宋体" w:eastAsia="宋体" w:cs="宋体"/>
          <w:b w:val="0"/>
          <w:bCs w:val="0"/>
          <w:color w:val="auto"/>
          <w:kern w:val="2"/>
          <w:sz w:val="24"/>
          <w:szCs w:val="24"/>
          <w:lang w:val="en-US" w:eastAsia="zh-CN" w:bidi="ar-SA"/>
        </w:rPr>
        <w:t>最高限价：29.6万元</w:t>
      </w:r>
    </w:p>
    <w:p>
      <w:pPr>
        <w:snapToGrid/>
        <w:spacing w:line="360" w:lineRule="auto"/>
        <w:ind w:firstLine="482"/>
        <w:rPr>
          <w:rFonts w:hint="eastAsia" w:ascii="宋体" w:hAnsi="宋体" w:eastAsia="宋体" w:cs="宋体"/>
          <w:b/>
          <w:bCs w:val="0"/>
          <w:color w:val="auto"/>
          <w:kern w:val="2"/>
          <w:sz w:val="24"/>
          <w:szCs w:val="24"/>
          <w:lang w:val="en-US"/>
        </w:rPr>
      </w:pPr>
      <w:r>
        <w:rPr>
          <w:rFonts w:hint="eastAsia" w:ascii="宋体" w:hAnsi="宋体" w:eastAsia="宋体" w:cs="宋体"/>
          <w:b/>
          <w:bCs w:val="0"/>
          <w:color w:val="auto"/>
          <w:kern w:val="2"/>
          <w:sz w:val="24"/>
          <w:szCs w:val="24"/>
          <w:lang w:val="en-US"/>
        </w:rPr>
        <w:t>二、服务</w:t>
      </w:r>
      <w:r>
        <w:rPr>
          <w:rFonts w:hint="eastAsia" w:ascii="宋体" w:hAnsi="宋体" w:eastAsia="宋体" w:cs="宋体"/>
          <w:b/>
          <w:bCs w:val="0"/>
          <w:color w:val="auto"/>
          <w:kern w:val="2"/>
          <w:sz w:val="24"/>
          <w:szCs w:val="24"/>
          <w:lang w:val="en-US" w:eastAsia="zh-CN"/>
        </w:rPr>
        <w:t>内容及</w:t>
      </w:r>
      <w:r>
        <w:rPr>
          <w:rFonts w:hint="eastAsia" w:ascii="宋体" w:hAnsi="宋体" w:eastAsia="宋体" w:cs="宋体"/>
          <w:b/>
          <w:bCs w:val="0"/>
          <w:color w:val="auto"/>
          <w:kern w:val="2"/>
          <w:sz w:val="24"/>
          <w:szCs w:val="24"/>
          <w:lang w:val="en-US"/>
        </w:rPr>
        <w:t>要求</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 w:val="0"/>
          <w:color w:val="auto"/>
          <w:sz w:val="24"/>
          <w:szCs w:val="24"/>
        </w:rPr>
      </w:pPr>
      <w:r>
        <w:rPr>
          <w:rFonts w:hint="eastAsia" w:ascii="宋体" w:hAnsi="宋体" w:eastAsia="宋体" w:cs="宋体"/>
          <w:b w:val="0"/>
          <w:color w:val="auto"/>
          <w:sz w:val="24"/>
          <w:szCs w:val="24"/>
          <w:lang w:val="en-US" w:eastAsia="zh-CN"/>
        </w:rPr>
        <w:t>1、</w:t>
      </w:r>
      <w:r>
        <w:rPr>
          <w:rFonts w:hint="eastAsia" w:ascii="宋体" w:hAnsi="宋体" w:eastAsia="宋体" w:cs="宋体"/>
          <w:b w:val="0"/>
          <w:color w:val="auto"/>
          <w:sz w:val="24"/>
          <w:szCs w:val="24"/>
        </w:rPr>
        <w:t>服务依据：符合国家、省、市等有关上位规划精神和要求，与会东县经济社会发展规划、相关专项规划等有机衔接，以国家、省、市园区发展规划编制体系为指导，按照现代农业园区规划编制要求及四川省现代农业园区分类创建认定评分标准，通过基地调研、座谈交流、资料研读、方案编制等流程，高标准高质量开展会东县种养循环现代农业园区建设规划编制工作。</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 w:val="0"/>
          <w:color w:val="auto"/>
          <w:sz w:val="24"/>
          <w:szCs w:val="24"/>
        </w:rPr>
      </w:pPr>
      <w:r>
        <w:rPr>
          <w:rFonts w:hint="eastAsia" w:ascii="宋体" w:hAnsi="宋体" w:eastAsia="宋体" w:cs="宋体"/>
          <w:b w:val="0"/>
          <w:color w:val="auto"/>
          <w:sz w:val="24"/>
          <w:szCs w:val="24"/>
          <w:lang w:val="en-US" w:eastAsia="zh-CN"/>
        </w:rPr>
        <w:t>2、</w:t>
      </w:r>
      <w:r>
        <w:rPr>
          <w:rFonts w:hint="eastAsia" w:ascii="宋体" w:hAnsi="宋体" w:eastAsia="宋体" w:cs="宋体"/>
          <w:b w:val="0"/>
          <w:color w:val="auto"/>
          <w:sz w:val="24"/>
          <w:szCs w:val="24"/>
        </w:rPr>
        <w:t>服务内容：组建优秀的规划团队，高质高效开展会东县种养循环现代农业园区建设规划编制工作，具体服务工作内容如下：</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 w:val="0"/>
          <w:color w:val="auto"/>
          <w:sz w:val="24"/>
          <w:szCs w:val="24"/>
        </w:rPr>
      </w:pPr>
      <w:r>
        <w:rPr>
          <w:rFonts w:hint="eastAsia" w:ascii="宋体" w:hAnsi="宋体" w:eastAsia="宋体" w:cs="宋体"/>
          <w:b w:val="0"/>
          <w:color w:val="auto"/>
          <w:sz w:val="24"/>
          <w:szCs w:val="24"/>
        </w:rPr>
        <w:t>（1）现场调研：深入本园区涉及区域及重大农业产业项目地进行实地调研，开展深度走访调查，对园区农业资源本底等基础条件和关键核心问题进行研判，明确园区农业产业未来发展方向。</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 w:val="0"/>
          <w:color w:val="auto"/>
          <w:sz w:val="24"/>
          <w:szCs w:val="24"/>
        </w:rPr>
      </w:pPr>
      <w:r>
        <w:rPr>
          <w:rFonts w:hint="eastAsia" w:ascii="宋体" w:hAnsi="宋体" w:eastAsia="宋体" w:cs="宋体"/>
          <w:b w:val="0"/>
          <w:color w:val="auto"/>
          <w:sz w:val="24"/>
          <w:szCs w:val="24"/>
        </w:rPr>
        <w:t>（2）座谈交流：开展专项座谈，与区委区政府相关领导、农业农村局相关负责人、重点镇村相关负责人、新型农业经营主体负责人等开展面对面的座谈交流，就园区面临的难点、亮点、重点等方面进行深入讨论。</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 w:val="0"/>
          <w:color w:val="auto"/>
          <w:sz w:val="24"/>
          <w:szCs w:val="24"/>
        </w:rPr>
      </w:pPr>
      <w:r>
        <w:rPr>
          <w:rFonts w:hint="eastAsia" w:ascii="宋体" w:hAnsi="宋体" w:eastAsia="宋体" w:cs="宋体"/>
          <w:b w:val="0"/>
          <w:color w:val="auto"/>
          <w:sz w:val="24"/>
          <w:szCs w:val="24"/>
        </w:rPr>
        <w:t>（3）资料研读：搜集国家省市区相关政策文件和规划，结合政府实地调研和座谈交流的数据，有逻辑、有重点的对资料进行梳理汇总及分析，为园区总体规划编制提供重要的依据。</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 w:val="0"/>
          <w:color w:val="auto"/>
          <w:sz w:val="24"/>
          <w:szCs w:val="24"/>
        </w:rPr>
      </w:pPr>
      <w:r>
        <w:rPr>
          <w:rFonts w:hint="eastAsia" w:ascii="宋体" w:hAnsi="宋体" w:eastAsia="宋体" w:cs="宋体"/>
          <w:b w:val="0"/>
          <w:color w:val="auto"/>
          <w:sz w:val="24"/>
          <w:szCs w:val="24"/>
        </w:rPr>
        <w:t>（4）方案编制：深入贯彻落实乡村振兴国家战略、加快农业农村现代化、省委“10+3”产业发展要求，扎实做好会东县种养循环现代农业园区建设规划编制。按照总体规划标准，方案内容包括但不限于：项目背景、基础研判、规划思路、空间布局、重点项目、运营管理、实施计划、投资估算、效益分析、保障措施等。</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 w:val="0"/>
          <w:color w:val="auto"/>
          <w:sz w:val="24"/>
          <w:szCs w:val="24"/>
        </w:rPr>
      </w:pPr>
      <w:r>
        <w:rPr>
          <w:rFonts w:hint="eastAsia" w:ascii="宋体" w:hAnsi="宋体" w:eastAsia="宋体" w:cs="宋体"/>
          <w:b w:val="0"/>
          <w:color w:val="auto"/>
          <w:sz w:val="24"/>
          <w:szCs w:val="24"/>
        </w:rPr>
        <w:t>（5）成果汇报：项目团队根据需要给</w:t>
      </w:r>
      <w:r>
        <w:rPr>
          <w:rFonts w:hint="eastAsia" w:ascii="宋体" w:hAnsi="宋体" w:eastAsia="宋体" w:cs="宋体"/>
          <w:b w:val="0"/>
          <w:color w:val="auto"/>
          <w:sz w:val="24"/>
          <w:szCs w:val="24"/>
          <w:lang w:val="en-US" w:eastAsia="zh-CN"/>
        </w:rPr>
        <w:t>采购人</w:t>
      </w:r>
      <w:r>
        <w:rPr>
          <w:rFonts w:hint="eastAsia" w:ascii="宋体" w:hAnsi="宋体" w:eastAsia="宋体" w:cs="宋体"/>
          <w:b w:val="0"/>
          <w:color w:val="auto"/>
          <w:sz w:val="24"/>
          <w:szCs w:val="24"/>
        </w:rPr>
        <w:t>进行汇报陈述，听取相关领导相关建议，并根据建议进行优化。</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 w:val="0"/>
          <w:color w:val="auto"/>
          <w:sz w:val="24"/>
          <w:szCs w:val="24"/>
        </w:rPr>
      </w:pPr>
      <w:r>
        <w:rPr>
          <w:rFonts w:hint="eastAsia" w:ascii="宋体" w:hAnsi="宋体" w:eastAsia="宋体" w:cs="宋体"/>
          <w:b w:val="0"/>
          <w:color w:val="auto"/>
          <w:sz w:val="24"/>
          <w:szCs w:val="24"/>
        </w:rPr>
        <w:t>（6）资源对接：根据产业发展需求，对接相关的高校院所和产业链合作企业资源，保障项目的有效落地。</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 w:val="0"/>
          <w:color w:val="auto"/>
          <w:sz w:val="24"/>
          <w:szCs w:val="24"/>
        </w:rPr>
      </w:pPr>
      <w:r>
        <w:rPr>
          <w:rFonts w:hint="eastAsia" w:ascii="宋体" w:hAnsi="宋体" w:eastAsia="宋体" w:cs="宋体"/>
          <w:b w:val="0"/>
          <w:color w:val="auto"/>
          <w:sz w:val="24"/>
          <w:szCs w:val="24"/>
          <w:lang w:val="en-US" w:eastAsia="zh-CN"/>
        </w:rPr>
        <w:t>3、</w:t>
      </w:r>
      <w:r>
        <w:rPr>
          <w:rFonts w:hint="eastAsia" w:ascii="宋体" w:hAnsi="宋体" w:eastAsia="宋体" w:cs="宋体"/>
          <w:b w:val="0"/>
          <w:color w:val="auto"/>
          <w:sz w:val="24"/>
          <w:szCs w:val="24"/>
        </w:rPr>
        <w:t>成果资料要求：会东县种养循环现代农业园区规划电子档一套、纸质版</w:t>
      </w:r>
      <w:r>
        <w:rPr>
          <w:rFonts w:hint="eastAsia" w:ascii="宋体" w:hAnsi="宋体" w:eastAsia="宋体" w:cs="宋体"/>
          <w:b w:val="0"/>
          <w:color w:val="auto"/>
          <w:sz w:val="24"/>
          <w:szCs w:val="24"/>
          <w:lang w:val="en-US" w:eastAsia="zh-CN"/>
        </w:rPr>
        <w:t>五</w:t>
      </w:r>
      <w:r>
        <w:rPr>
          <w:rFonts w:hint="eastAsia" w:ascii="宋体" w:hAnsi="宋体" w:eastAsia="宋体" w:cs="宋体"/>
          <w:b w:val="0"/>
          <w:color w:val="auto"/>
          <w:sz w:val="24"/>
          <w:szCs w:val="24"/>
        </w:rPr>
        <w:t>份。</w:t>
      </w:r>
    </w:p>
    <w:p>
      <w:pPr>
        <w:snapToGrid/>
        <w:spacing w:line="360" w:lineRule="auto"/>
        <w:ind w:firstLine="241" w:firstLineChars="100"/>
        <w:rPr>
          <w:rFonts w:hint="eastAsia" w:ascii="宋体" w:hAnsi="宋体" w:eastAsia="宋体" w:cs="宋体"/>
          <w:b/>
          <w:bCs/>
          <w:color w:val="auto"/>
          <w:kern w:val="2"/>
          <w:sz w:val="24"/>
          <w:szCs w:val="24"/>
          <w:lang w:val="en-US"/>
        </w:rPr>
      </w:pPr>
      <w:r>
        <w:rPr>
          <w:rFonts w:hint="eastAsia" w:ascii="宋体" w:hAnsi="宋体" w:eastAsia="宋体" w:cs="宋体"/>
          <w:b/>
          <w:bCs/>
          <w:color w:val="auto"/>
          <w:sz w:val="24"/>
          <w:szCs w:val="24"/>
        </w:rPr>
        <w:t>★</w:t>
      </w:r>
      <w:r>
        <w:rPr>
          <w:rFonts w:hint="eastAsia" w:ascii="宋体" w:hAnsi="宋体" w:eastAsia="宋体" w:cs="宋体"/>
          <w:b/>
          <w:bCs/>
          <w:color w:val="auto"/>
          <w:sz w:val="24"/>
          <w:szCs w:val="24"/>
          <w:lang w:val="en-US" w:eastAsia="zh-CN"/>
        </w:rPr>
        <w:t>三</w:t>
      </w:r>
      <w:r>
        <w:rPr>
          <w:rFonts w:hint="eastAsia" w:ascii="宋体" w:hAnsi="宋体" w:eastAsia="宋体" w:cs="宋体"/>
          <w:b/>
          <w:bCs/>
          <w:color w:val="auto"/>
          <w:kern w:val="2"/>
          <w:sz w:val="24"/>
          <w:szCs w:val="24"/>
          <w:lang w:val="en-US"/>
        </w:rPr>
        <w:t>、商务要求（实质性要求）</w:t>
      </w:r>
    </w:p>
    <w:p>
      <w:pPr>
        <w:snapToGrid w:val="0"/>
        <w:spacing w:line="360" w:lineRule="auto"/>
        <w:ind w:firstLine="480" w:firstLineChars="200"/>
        <w:textAlignment w:val="baseline"/>
        <w:rPr>
          <w:rFonts w:ascii="宋体" w:hAnsi="宋体" w:cs="宋体"/>
          <w:color w:val="000000"/>
          <w:sz w:val="24"/>
          <w:szCs w:val="24"/>
        </w:rPr>
      </w:pPr>
      <w:bookmarkStart w:id="1" w:name="_Toc23696"/>
      <w:bookmarkStart w:id="2" w:name="_Toc4475"/>
      <w:bookmarkStart w:id="3" w:name="_Toc27321"/>
      <w:r>
        <w:rPr>
          <w:rFonts w:hint="eastAsia" w:ascii="宋体" w:hAnsi="宋体" w:cs="宋体"/>
          <w:color w:val="000000"/>
          <w:sz w:val="24"/>
          <w:szCs w:val="24"/>
        </w:rPr>
        <w:t>1、</w:t>
      </w:r>
      <w:bookmarkEnd w:id="1"/>
      <w:bookmarkEnd w:id="2"/>
      <w:bookmarkEnd w:id="3"/>
      <w:r>
        <w:rPr>
          <w:rFonts w:hint="eastAsia" w:ascii="宋体" w:hAnsi="宋体" w:cs="宋体"/>
          <w:color w:val="000000"/>
          <w:sz w:val="24"/>
          <w:szCs w:val="24"/>
        </w:rPr>
        <w:t>服务期限：合同签订之日起60个工作日内完成；</w:t>
      </w:r>
    </w:p>
    <w:p>
      <w:pPr>
        <w:snapToGrid w:val="0"/>
        <w:spacing w:line="360" w:lineRule="auto"/>
        <w:ind w:firstLine="480" w:firstLineChars="200"/>
        <w:textAlignment w:val="baseline"/>
        <w:rPr>
          <w:rFonts w:ascii="宋体" w:hAnsi="宋体" w:cs="宋体"/>
          <w:color w:val="000000"/>
          <w:sz w:val="24"/>
          <w:szCs w:val="24"/>
        </w:rPr>
      </w:pPr>
      <w:r>
        <w:rPr>
          <w:rFonts w:hint="eastAsia" w:ascii="宋体" w:hAnsi="宋体" w:cs="宋体"/>
          <w:color w:val="000000"/>
          <w:sz w:val="24"/>
          <w:szCs w:val="24"/>
        </w:rPr>
        <w:t>2、服务地点：采购人指定地点；</w:t>
      </w:r>
    </w:p>
    <w:p>
      <w:pPr>
        <w:snapToGrid w:val="0"/>
        <w:spacing w:line="360" w:lineRule="auto"/>
        <w:ind w:firstLine="480" w:firstLineChars="200"/>
        <w:textAlignment w:val="baseline"/>
        <w:rPr>
          <w:rFonts w:ascii="宋体" w:hAnsi="宋体" w:cs="宋体"/>
          <w:color w:val="FF0000"/>
          <w:sz w:val="24"/>
          <w:szCs w:val="24"/>
        </w:rPr>
      </w:pPr>
      <w:r>
        <w:rPr>
          <w:rFonts w:hint="eastAsia" w:ascii="宋体" w:hAnsi="宋体" w:cs="宋体"/>
          <w:color w:val="000000"/>
          <w:sz w:val="24"/>
          <w:szCs w:val="24"/>
        </w:rPr>
        <w:t>3、付款方式：合同签订后7个工作日内，采购人向成交供应商支付合同总金额的30%；成交供应商向采购人提交规划初稿后7个工作日内，采购人向成交供应商支付合同总金额的40%</w:t>
      </w:r>
      <w:r>
        <w:rPr>
          <w:rFonts w:hint="eastAsia" w:ascii="宋体" w:hAnsi="宋体" w:cs="宋体"/>
          <w:sz w:val="24"/>
          <w:szCs w:val="24"/>
        </w:rPr>
        <w:t>；</w:t>
      </w:r>
      <w:r>
        <w:rPr>
          <w:rFonts w:hint="eastAsia" w:ascii="宋体" w:hAnsi="宋体" w:cs="宋体"/>
          <w:color w:val="000000"/>
          <w:sz w:val="24"/>
          <w:szCs w:val="24"/>
        </w:rPr>
        <w:t>成交供应商向采购人提交规划终稿后7个工作日内，采购人向成交供应商支付合同总金额的30%。</w:t>
      </w:r>
    </w:p>
    <w:p>
      <w:pPr>
        <w:snapToGrid w:val="0"/>
        <w:spacing w:line="360" w:lineRule="auto"/>
        <w:ind w:firstLine="480" w:firstLineChars="200"/>
        <w:textAlignment w:val="baseline"/>
      </w:pPr>
      <w:bookmarkStart w:id="4" w:name="_Toc13084"/>
      <w:bookmarkStart w:id="5" w:name="_Toc12143"/>
      <w:bookmarkStart w:id="6" w:name="_Toc15908"/>
      <w:r>
        <w:rPr>
          <w:rFonts w:hint="eastAsia" w:ascii="宋体" w:hAnsi="宋体" w:cs="宋体"/>
          <w:color w:val="000000"/>
          <w:sz w:val="24"/>
          <w:szCs w:val="24"/>
        </w:rPr>
        <w:t>4、验收标准：</w:t>
      </w:r>
      <w:bookmarkEnd w:id="4"/>
      <w:bookmarkEnd w:id="5"/>
      <w:bookmarkEnd w:id="6"/>
      <w:r>
        <w:rPr>
          <w:rFonts w:hint="eastAsia" w:ascii="宋体" w:hAnsi="宋体" w:cs="宋体"/>
          <w:color w:val="000000"/>
          <w:sz w:val="24"/>
          <w:szCs w:val="24"/>
        </w:rPr>
        <w:t>参照《财政部关于进一步加强政府采购需求和履约验收管理的指导意见》（财库〔2016〕205号）的要求进行验收。</w:t>
      </w:r>
      <w:bookmarkStart w:id="7" w:name="_GoBack"/>
      <w:bookmarkEnd w:id="7"/>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4"/>
    <w:family w:val="roman"/>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widowControl w:val="0"/>
      <w:pBdr>
        <w:top w:val="none" w:color="auto" w:sz="0" w:space="1"/>
        <w:left w:val="none" w:color="auto" w:sz="0" w:space="4"/>
        <w:bottom w:val="threeDEngrave" w:color="A4A4A4" w:sz="24" w:space="1"/>
        <w:right w:val="none" w:color="auto" w:sz="0" w:space="4"/>
        <w:between w:val="none" w:color="auto" w:sz="0" w:space="0"/>
      </w:pBdr>
      <w:snapToGrid w:val="0"/>
      <w:jc w:val="left"/>
    </w:pPr>
  </w:p>
  <w:p>
    <w:pPr>
      <w:pStyle w:val="3"/>
      <w:jc w:val="center"/>
      <w:rPr>
        <w:rFonts w:ascii="宋体" w:hAnsi="宋体"/>
        <w:sz w:val="28"/>
        <w:szCs w:val="28"/>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3"/>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HPF6w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MHmWha3e&#10;WR6hozzero4BciaVoyidEuhOPGD2Up/6PYnD/ec5RT3+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xzxesMQIAAGMEAAAOAAAAAAAAAAEAIAAAAB8BAABkcnMvZTJvRG9jLnhtbFBLBQYA&#10;AAAABgAGAFkBAADCBQAAAAA=&#10;">
              <v:path/>
              <v:fill on="f" focussize="0,0"/>
              <v:stroke on="f" weight="0.5pt"/>
              <v:imagedata o:title=""/>
              <o:lock v:ext="edit"/>
              <v:textbox inset="0mm,0mm,0mm,0mm" style="mso-fit-shape-to-text:t;">
                <w:txbxContent>
                  <w:p>
                    <w:pPr>
                      <w:pStyle w:val="3"/>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ZhYjc0NTMzOTg5MDExZmE0MDY5MGZkZTJhYmI3NWQifQ=="/>
  </w:docVars>
  <w:rsids>
    <w:rsidRoot w:val="7EC2226D"/>
    <w:rsid w:val="7EC222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3"/>
    <w:basedOn w:val="1"/>
    <w:next w:val="1"/>
    <w:qFormat/>
    <w:uiPriority w:val="0"/>
    <w:pPr>
      <w:keepNext/>
      <w:keepLines/>
      <w:spacing w:before="260" w:after="260" w:line="416" w:lineRule="auto"/>
      <w:outlineLvl w:val="2"/>
    </w:pPr>
    <w:rPr>
      <w:b/>
      <w:bCs/>
      <w:sz w:val="32"/>
      <w:szCs w:val="32"/>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qFormat/>
    <w:uiPriority w:val="99"/>
    <w:pPr>
      <w:tabs>
        <w:tab w:val="center" w:pos="4153"/>
        <w:tab w:val="right" w:pos="8306"/>
      </w:tabs>
      <w:snapToGrid w:val="0"/>
      <w:jc w:val="left"/>
    </w:pPr>
    <w:rPr>
      <w:sz w:val="18"/>
      <w:szCs w:val="20"/>
    </w:rPr>
  </w:style>
  <w:style w:type="paragraph" w:styleId="4">
    <w:name w:val="Title"/>
    <w:basedOn w:val="1"/>
    <w:next w:val="1"/>
    <w:qFormat/>
    <w:uiPriority w:val="0"/>
    <w:pPr>
      <w:spacing w:before="240" w:after="60"/>
      <w:jc w:val="center"/>
      <w:outlineLvl w:val="0"/>
    </w:pPr>
    <w:rPr>
      <w:rFonts w:ascii="等线 Light" w:hAnsi="等线 Light"/>
      <w:b/>
      <w:bCs/>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2022-07-22T07:57:00Z</dcterms:created>
  <dc:creator>　北栀</dc:creator>
  <cp:lastModifiedBy>　北栀</cp:lastModifiedBy>
  <dcterms:modified xsi:type="dcterms:W3CDTF">2022-07-22T07:58:08Z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4FC635EE158E480E89AA8DAFD47162FE</vt:lpwstr>
  </property>
</Properties>
</file>