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5"/>
        <w:shd w:val="clear"/>
        <w:tabs>
          <w:tab w:val="left" w:pos="1950"/>
        </w:tabs>
        <w:rPr>
          <w:rFonts w:hAnsi="宋体"/>
          <w:strike/>
          <w:color w:val="000000" w:themeColor="text1"/>
          <w:sz w:val="44"/>
          <w:highlight w:val="none"/>
          <w:vertAlign w:val="subscript"/>
          <w14:textFill>
            <w14:solidFill>
              <w14:schemeClr w14:val="tx1"/>
            </w14:solidFill>
          </w14:textFill>
        </w:rPr>
      </w:pPr>
    </w:p>
    <w:p>
      <w:pPr>
        <w:pStyle w:val="25"/>
        <w:shd w:val="clear"/>
        <w:spacing w:line="400" w:lineRule="atLeast"/>
        <w:rPr>
          <w:rFonts w:ascii="华文中宋" w:hAnsi="华文中宋" w:eastAsia="华文中宋"/>
          <w:bCs/>
          <w:color w:val="000000" w:themeColor="text1"/>
          <w:sz w:val="72"/>
          <w:szCs w:val="72"/>
          <w:highlight w:val="none"/>
          <w14:textFill>
            <w14:solidFill>
              <w14:schemeClr w14:val="tx1"/>
            </w14:solidFill>
          </w14:textFill>
        </w:rPr>
      </w:pPr>
    </w:p>
    <w:p>
      <w:pPr>
        <w:pStyle w:val="25"/>
        <w:shd w:val="clear"/>
        <w:spacing w:line="400" w:lineRule="atLeast"/>
        <w:jc w:val="center"/>
        <w:rPr>
          <w:rFonts w:ascii="华文中宋" w:hAnsi="华文中宋" w:eastAsia="华文中宋"/>
          <w:b/>
          <w:bCs/>
          <w:color w:val="000000" w:themeColor="text1"/>
          <w:sz w:val="72"/>
          <w:szCs w:val="72"/>
          <w:highlight w:val="none"/>
          <w14:textFill>
            <w14:solidFill>
              <w14:schemeClr w14:val="tx1"/>
            </w14:solidFill>
          </w14:textFill>
        </w:rPr>
      </w:pPr>
      <w:r>
        <w:rPr>
          <w:rFonts w:hint="eastAsia" w:ascii="华文中宋" w:hAnsi="华文中宋" w:eastAsia="华文中宋"/>
          <w:b/>
          <w:bCs/>
          <w:color w:val="000000" w:themeColor="text1"/>
          <w:sz w:val="72"/>
          <w:szCs w:val="72"/>
          <w:highlight w:val="none"/>
          <w14:textFill>
            <w14:solidFill>
              <w14:schemeClr w14:val="tx1"/>
            </w14:solidFill>
          </w14:textFill>
        </w:rPr>
        <w:t>公开招标</w:t>
      </w:r>
    </w:p>
    <w:p>
      <w:pPr>
        <w:pStyle w:val="25"/>
        <w:shd w:val="clear"/>
        <w:spacing w:line="400" w:lineRule="atLeast"/>
        <w:jc w:val="center"/>
        <w:rPr>
          <w:rFonts w:ascii="华文中宋" w:hAnsi="华文中宋" w:eastAsia="华文中宋"/>
          <w:b/>
          <w:bCs/>
          <w:color w:val="000000" w:themeColor="text1"/>
          <w:sz w:val="72"/>
          <w:szCs w:val="72"/>
          <w:highlight w:val="none"/>
          <w14:textFill>
            <w14:solidFill>
              <w14:schemeClr w14:val="tx1"/>
            </w14:solidFill>
          </w14:textFill>
        </w:rPr>
      </w:pPr>
      <w:r>
        <w:rPr>
          <w:rFonts w:hint="eastAsia" w:ascii="华文中宋" w:hAnsi="华文中宋" w:eastAsia="华文中宋"/>
          <w:b/>
          <w:bCs/>
          <w:color w:val="000000" w:themeColor="text1"/>
          <w:sz w:val="72"/>
          <w:szCs w:val="72"/>
          <w:highlight w:val="none"/>
          <w14:textFill>
            <w14:solidFill>
              <w14:schemeClr w14:val="tx1"/>
            </w14:solidFill>
          </w14:textFill>
        </w:rPr>
        <w:t>电子招标文件</w:t>
      </w:r>
    </w:p>
    <w:p>
      <w:pPr>
        <w:pStyle w:val="25"/>
        <w:shd w:val="clear"/>
        <w:adjustRightInd w:val="0"/>
        <w:snapToGrid w:val="0"/>
        <w:spacing w:line="360" w:lineRule="auto"/>
        <w:jc w:val="center"/>
        <w:rPr>
          <w:rFonts w:ascii="华文中宋" w:hAnsi="华文中宋" w:eastAsia="华文中宋"/>
          <w:bCs/>
          <w:color w:val="000000" w:themeColor="text1"/>
          <w:highlight w:val="none"/>
          <w14:textFill>
            <w14:solidFill>
              <w14:schemeClr w14:val="tx1"/>
            </w14:solidFill>
          </w14:textFill>
        </w:rPr>
      </w:pPr>
    </w:p>
    <w:p>
      <w:pPr>
        <w:shd w:val="clear"/>
        <w:ind w:firstLine="643" w:firstLineChars="200"/>
        <w:rPr>
          <w:rFonts w:hAnsi="宋体"/>
          <w:b/>
          <w:color w:val="000000" w:themeColor="text1"/>
          <w:sz w:val="32"/>
          <w:szCs w:val="32"/>
          <w:highlight w:val="none"/>
          <w14:textFill>
            <w14:solidFill>
              <w14:schemeClr w14:val="tx1"/>
            </w14:solidFill>
          </w14:textFill>
        </w:rPr>
      </w:pPr>
    </w:p>
    <w:p>
      <w:pPr>
        <w:shd w:val="clear"/>
        <w:rPr>
          <w:rFonts w:hAnsi="宋体"/>
          <w:b/>
          <w:color w:val="000000" w:themeColor="text1"/>
          <w:sz w:val="32"/>
          <w:szCs w:val="32"/>
          <w:highlight w:val="none"/>
          <w14:textFill>
            <w14:solidFill>
              <w14:schemeClr w14:val="tx1"/>
            </w14:solidFill>
          </w14:textFill>
        </w:rPr>
      </w:pPr>
    </w:p>
    <w:p>
      <w:pPr>
        <w:shd w:val="clear"/>
        <w:ind w:firstLine="643" w:firstLineChars="200"/>
        <w:rPr>
          <w:rFonts w:hint="eastAsia" w:hAnsi="宋体" w:eastAsia="宋体"/>
          <w:b/>
          <w:color w:val="000000" w:themeColor="text1"/>
          <w:sz w:val="32"/>
          <w:szCs w:val="32"/>
          <w:highlight w:val="none"/>
          <w:u w:val="single"/>
          <w:lang w:val="en-US" w:eastAsia="zh-CN"/>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采购项目名称：</w:t>
      </w:r>
      <w:r>
        <w:rPr>
          <w:rFonts w:hint="eastAsia" w:hAnsi="宋体"/>
          <w:b/>
          <w:color w:val="000000" w:themeColor="text1"/>
          <w:sz w:val="32"/>
          <w:szCs w:val="32"/>
          <w:highlight w:val="none"/>
          <w:lang w:eastAsia="zh-CN"/>
          <w14:textFill>
            <w14:solidFill>
              <w14:schemeClr w14:val="tx1"/>
            </w14:solidFill>
          </w14:textFill>
        </w:rPr>
        <w:t>岳阳市建筑固废资源化再利用项目机制砂设备采购</w:t>
      </w:r>
    </w:p>
    <w:p>
      <w:pPr>
        <w:shd w:val="clear"/>
        <w:ind w:firstLine="643" w:firstLineChars="200"/>
        <w:rPr>
          <w:rFonts w:hint="default" w:hAnsi="宋体" w:eastAsia="宋体"/>
          <w:b/>
          <w:color w:val="000000" w:themeColor="text1"/>
          <w:sz w:val="32"/>
          <w:szCs w:val="32"/>
          <w:highlight w:val="none"/>
          <w:lang w:val="en-US" w:eastAsia="zh-CN"/>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委托代理编号：</w:t>
      </w:r>
      <w:r>
        <w:rPr>
          <w:rFonts w:hint="eastAsia" w:ascii="宋体"/>
          <w:b/>
          <w:color w:val="000000" w:themeColor="text1"/>
          <w:sz w:val="32"/>
          <w:szCs w:val="21"/>
          <w:highlight w:val="none"/>
          <w:u w:val="single"/>
          <w:lang w:val="en-US" w:eastAsia="zh-CN"/>
          <w14:textFill>
            <w14:solidFill>
              <w14:schemeClr w14:val="tx1"/>
            </w14:solidFill>
          </w14:textFill>
        </w:rPr>
        <w:t>HNSTCG-2023-018</w:t>
      </w:r>
    </w:p>
    <w:p>
      <w:pPr>
        <w:shd w:val="clear"/>
        <w:ind w:firstLine="643" w:firstLineChars="200"/>
        <w:rPr>
          <w:rFonts w:hint="eastAsia" w:hAnsi="宋体" w:eastAsia="宋体"/>
          <w:b/>
          <w:color w:val="000000" w:themeColor="text1"/>
          <w:sz w:val="32"/>
          <w:szCs w:val="32"/>
          <w:highlight w:val="none"/>
          <w:u w:val="single"/>
          <w:lang w:eastAsia="zh-CN"/>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采   购   人：</w:t>
      </w:r>
      <w:r>
        <w:rPr>
          <w:rFonts w:hint="eastAsia" w:hAnsi="宋体"/>
          <w:b/>
          <w:color w:val="000000" w:themeColor="text1"/>
          <w:sz w:val="32"/>
          <w:szCs w:val="32"/>
          <w:highlight w:val="none"/>
          <w:u w:val="single"/>
          <w:lang w:eastAsia="zh-CN"/>
          <w14:textFill>
            <w14:solidFill>
              <w14:schemeClr w14:val="tx1"/>
            </w14:solidFill>
          </w14:textFill>
        </w:rPr>
        <w:t>湖南源生科技有限公司</w:t>
      </w:r>
    </w:p>
    <w:p>
      <w:pPr>
        <w:shd w:val="clear"/>
        <w:ind w:firstLine="643" w:firstLineChars="200"/>
        <w:rPr>
          <w:rFonts w:ascii="宋体"/>
          <w:b/>
          <w:color w:val="000000" w:themeColor="text1"/>
          <w:sz w:val="32"/>
          <w:szCs w:val="21"/>
          <w:highlight w:val="none"/>
          <w14:textFill>
            <w14:solidFill>
              <w14:schemeClr w14:val="tx1"/>
            </w14:solidFill>
          </w14:textFill>
        </w:rPr>
      </w:pPr>
      <w:r>
        <w:rPr>
          <w:rFonts w:hint="eastAsia" w:ascii="宋体"/>
          <w:b/>
          <w:color w:val="000000" w:themeColor="text1"/>
          <w:sz w:val="32"/>
          <w:szCs w:val="21"/>
          <w:highlight w:val="none"/>
          <w14:textFill>
            <w14:solidFill>
              <w14:schemeClr w14:val="tx1"/>
            </w14:solidFill>
          </w14:textFill>
        </w:rPr>
        <w:t>采购代理机构：</w:t>
      </w:r>
      <w:r>
        <w:rPr>
          <w:rFonts w:hint="eastAsia" w:ascii="宋体"/>
          <w:b/>
          <w:color w:val="000000" w:themeColor="text1"/>
          <w:sz w:val="32"/>
          <w:szCs w:val="21"/>
          <w:highlight w:val="none"/>
          <w:u w:val="single"/>
          <w:lang w:eastAsia="zh-CN"/>
          <w14:textFill>
            <w14:solidFill>
              <w14:schemeClr w14:val="tx1"/>
            </w14:solidFill>
          </w14:textFill>
        </w:rPr>
        <w:t>湖南顺天工程项目管理有限公司</w:t>
      </w:r>
      <w:r>
        <w:rPr>
          <w:rFonts w:hint="eastAsia" w:ascii="宋体"/>
          <w:b/>
          <w:color w:val="000000" w:themeColor="text1"/>
          <w:sz w:val="32"/>
          <w:szCs w:val="21"/>
          <w:highlight w:val="none"/>
          <w:u w:val="single"/>
          <w14:textFill>
            <w14:solidFill>
              <w14:schemeClr w14:val="tx1"/>
            </w14:solidFill>
          </w14:textFill>
        </w:rPr>
        <w:t xml:space="preserve">  </w:t>
      </w:r>
    </w:p>
    <w:p>
      <w:pPr>
        <w:pStyle w:val="25"/>
        <w:shd w:val="clear"/>
        <w:jc w:val="center"/>
        <w:rPr>
          <w:rFonts w:hAnsi="宋体"/>
          <w:bCs/>
          <w:color w:val="000000" w:themeColor="text1"/>
          <w:sz w:val="32"/>
          <w:szCs w:val="32"/>
          <w:highlight w:val="none"/>
          <w14:textFill>
            <w14:solidFill>
              <w14:schemeClr w14:val="tx1"/>
            </w14:solidFill>
          </w14:textFill>
        </w:rPr>
      </w:pPr>
    </w:p>
    <w:p>
      <w:pPr>
        <w:pStyle w:val="25"/>
        <w:shd w:val="clear"/>
        <w:adjustRightInd w:val="0"/>
        <w:snapToGrid w:val="0"/>
        <w:spacing w:before="312" w:beforeLines="100" w:line="340" w:lineRule="exact"/>
        <w:jc w:val="center"/>
        <w:rPr>
          <w:rFonts w:hAnsi="宋体"/>
          <w:b/>
          <w:color w:val="000000" w:themeColor="text1"/>
          <w:sz w:val="32"/>
          <w:highlight w:val="none"/>
          <w14:textFill>
            <w14:solidFill>
              <w14:schemeClr w14:val="tx1"/>
            </w14:solidFill>
          </w14:textFill>
        </w:rPr>
      </w:pPr>
      <w:r>
        <w:rPr>
          <w:rFonts w:hint="eastAsia" w:hAnsi="宋体"/>
          <w:b/>
          <w:color w:val="000000" w:themeColor="text1"/>
          <w:sz w:val="32"/>
          <w:highlight w:val="none"/>
          <w14:textFill>
            <w14:solidFill>
              <w14:schemeClr w14:val="tx1"/>
            </w14:solidFill>
          </w14:textFill>
        </w:rPr>
        <w:t>202</w:t>
      </w:r>
      <w:r>
        <w:rPr>
          <w:rFonts w:hint="eastAsia" w:hAnsi="宋体"/>
          <w:b/>
          <w:color w:val="000000" w:themeColor="text1"/>
          <w:sz w:val="32"/>
          <w:highlight w:val="none"/>
          <w:lang w:val="en-US" w:eastAsia="zh-CN"/>
          <w14:textFill>
            <w14:solidFill>
              <w14:schemeClr w14:val="tx1"/>
            </w14:solidFill>
          </w14:textFill>
        </w:rPr>
        <w:t>3</w:t>
      </w:r>
      <w:r>
        <w:rPr>
          <w:rFonts w:hint="eastAsia" w:hAnsi="宋体"/>
          <w:b/>
          <w:color w:val="000000" w:themeColor="text1"/>
          <w:sz w:val="32"/>
          <w:highlight w:val="none"/>
          <w14:textFill>
            <w14:solidFill>
              <w14:schemeClr w14:val="tx1"/>
            </w14:solidFill>
          </w14:textFill>
        </w:rPr>
        <w:t>年</w:t>
      </w:r>
      <w:r>
        <w:rPr>
          <w:rFonts w:hint="eastAsia" w:hAnsi="宋体"/>
          <w:b/>
          <w:color w:val="000000" w:themeColor="text1"/>
          <w:sz w:val="32"/>
          <w:highlight w:val="none"/>
          <w:lang w:val="en-US" w:eastAsia="zh-CN"/>
          <w14:textFill>
            <w14:solidFill>
              <w14:schemeClr w14:val="tx1"/>
            </w14:solidFill>
          </w14:textFill>
        </w:rPr>
        <w:t>5</w:t>
      </w:r>
      <w:r>
        <w:rPr>
          <w:rFonts w:hint="eastAsia" w:hAnsi="宋体"/>
          <w:b/>
          <w:color w:val="000000" w:themeColor="text1"/>
          <w:sz w:val="32"/>
          <w:highlight w:val="none"/>
          <w14:textFill>
            <w14:solidFill>
              <w14:schemeClr w14:val="tx1"/>
            </w14:solidFill>
          </w14:textFill>
        </w:rPr>
        <w:t>月</w:t>
      </w:r>
    </w:p>
    <w:p>
      <w:pPr>
        <w:pStyle w:val="143"/>
        <w:shd w:val="clear"/>
        <w:jc w:val="center"/>
        <w:rPr>
          <w:color w:val="000000" w:themeColor="text1"/>
          <w:sz w:val="44"/>
          <w:szCs w:val="44"/>
          <w:highlight w:val="none"/>
          <w:lang w:val="zh-CN"/>
          <w14:textFill>
            <w14:solidFill>
              <w14:schemeClr w14:val="tx1"/>
            </w14:solidFill>
          </w14:textFill>
        </w:rPr>
        <w:sectPr>
          <w:footerReference r:id="rId3" w:type="default"/>
          <w:footerReference r:id="rId4" w:type="even"/>
          <w:pgSz w:w="11906" w:h="16838"/>
          <w:pgMar w:top="1361" w:right="1474" w:bottom="1418" w:left="1361" w:header="851" w:footer="992" w:gutter="0"/>
          <w:pgNumType w:fmt="decimal" w:start="0"/>
          <w:cols w:space="720" w:num="1"/>
          <w:titlePg/>
          <w:docGrid w:type="lines" w:linePitch="312" w:charSpace="0"/>
        </w:sectPr>
      </w:pPr>
    </w:p>
    <w:p>
      <w:pPr>
        <w:pStyle w:val="143"/>
        <w:shd w:val="clear"/>
        <w:jc w:val="center"/>
        <w:rPr>
          <w:color w:val="000000" w:themeColor="text1"/>
          <w:sz w:val="44"/>
          <w:szCs w:val="44"/>
          <w:highlight w:val="none"/>
          <w14:textFill>
            <w14:solidFill>
              <w14:schemeClr w14:val="tx1"/>
            </w14:solidFill>
          </w14:textFill>
        </w:rPr>
      </w:pPr>
      <w:r>
        <w:rPr>
          <w:color w:val="000000" w:themeColor="text1"/>
          <w:sz w:val="44"/>
          <w:szCs w:val="44"/>
          <w:highlight w:val="none"/>
          <w:lang w:val="zh-CN"/>
          <w14:textFill>
            <w14:solidFill>
              <w14:schemeClr w14:val="tx1"/>
            </w14:solidFill>
          </w14:textFill>
        </w:rPr>
        <w:t>目</w:t>
      </w:r>
      <w:r>
        <w:rPr>
          <w:rFonts w:hint="eastAsia"/>
          <w:color w:val="000000" w:themeColor="text1"/>
          <w:sz w:val="44"/>
          <w:szCs w:val="44"/>
          <w:highlight w:val="none"/>
          <w:lang w:val="zh-CN"/>
          <w14:textFill>
            <w14:solidFill>
              <w14:schemeClr w14:val="tx1"/>
            </w14:solidFill>
          </w14:textFill>
        </w:rPr>
        <w:t xml:space="preserve">  </w:t>
      </w:r>
      <w:r>
        <w:rPr>
          <w:color w:val="000000" w:themeColor="text1"/>
          <w:sz w:val="44"/>
          <w:szCs w:val="44"/>
          <w:highlight w:val="none"/>
          <w:lang w:val="zh-CN"/>
          <w14:textFill>
            <w14:solidFill>
              <w14:schemeClr w14:val="tx1"/>
            </w14:solidFill>
          </w14:textFill>
        </w:rPr>
        <w:t>录</w:t>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TOC \o "1-3" \h \z \u </w:instrText>
      </w:r>
      <w:r>
        <w:rPr>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"_Toc78815069"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第一章 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_Toc78815069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"_Toc78815070"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第二章 投标须知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_Toc78815070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6</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"_Toc78815071"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第三章 资格审查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_Toc78815071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25</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"_Toc78815072"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第四章 评标方法及标准（综合评分法）</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_Toc78815072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28</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"_Toc78815073"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第五章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_Toc78815073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42</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pStyle w:val="33"/>
        <w:shd w:val="clear"/>
        <w:tabs>
          <w:tab w:val="right" w:leader="dot" w:pos="8834"/>
        </w:tabs>
        <w:rPr>
          <w:rFonts w:hint="eastAsia" w:ascii="Calibri" w:hAnsi="Calibri" w:eastAsia="宋体"/>
          <w:color w:val="000000" w:themeColor="text1"/>
          <w:sz w:val="28"/>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"_Toc78815074"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第六章 政府采购合同</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14:textFill>
            <w14:solidFill>
              <w14:schemeClr w14:val="tx1"/>
            </w14:solidFill>
          </w14:textFill>
        </w:rPr>
        <w:t>4</w:t>
      </w:r>
      <w:r>
        <w:rPr>
          <w:rFonts w:hint="eastAsia"/>
          <w:color w:val="000000" w:themeColor="text1"/>
          <w:sz w:val="28"/>
          <w:szCs w:val="28"/>
          <w:highlight w:val="none"/>
          <w14:textFill>
            <w14:solidFill>
              <w14:schemeClr w14:val="tx1"/>
            </w14:solidFill>
          </w14:textFill>
        </w:rPr>
        <w:fldChar w:fldCharType="end"/>
      </w:r>
      <w:r>
        <w:rPr>
          <w:rFonts w:hint="eastAsia"/>
          <w:color w:val="000000" w:themeColor="text1"/>
          <w:sz w:val="28"/>
          <w:szCs w:val="28"/>
          <w:highlight w:val="none"/>
          <w:lang w:val="en-US" w:eastAsia="zh-CN"/>
          <w14:textFill>
            <w14:solidFill>
              <w14:schemeClr w14:val="tx1"/>
            </w14:solidFill>
          </w14:textFill>
        </w:rPr>
        <w:t>7</w:t>
      </w:r>
    </w:p>
    <w:p>
      <w:pPr>
        <w:pStyle w:val="33"/>
        <w:shd w:val="clear"/>
        <w:tabs>
          <w:tab w:val="right" w:leader="dot" w:pos="8834"/>
        </w:tabs>
        <w:rPr>
          <w:rFonts w:ascii="Calibri" w:hAnsi="Calibr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"_Toc78815075" </w:instrText>
      </w:r>
      <w:r>
        <w:rPr>
          <w:color w:val="000000" w:themeColor="text1"/>
          <w:highlight w:val="none"/>
          <w14:textFill>
            <w14:solidFill>
              <w14:schemeClr w14:val="tx1"/>
            </w14:solidFill>
          </w14:textFill>
        </w:rPr>
        <w:fldChar w:fldCharType="separate"/>
      </w:r>
      <w:r>
        <w:rPr>
          <w:rStyle w:val="54"/>
          <w:rFonts w:hint="eastAsia" w:ascii="黑体" w:hAnsi="黑体" w:eastAsia="黑体"/>
          <w:color w:val="000000" w:themeColor="text1"/>
          <w:sz w:val="28"/>
          <w:szCs w:val="28"/>
          <w:highlight w:val="none"/>
          <w14:textFill>
            <w14:solidFill>
              <w14:schemeClr w14:val="tx1"/>
            </w14:solidFill>
          </w14:textFill>
        </w:rPr>
        <w:t>第七章 投标文件的组成</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_Toc78815075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61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pPr>
        <w:shd w:val="clear"/>
        <w:rPr>
          <w:color w:val="000000" w:themeColor="text1"/>
          <w:highlight w:val="none"/>
          <w14:textFill>
            <w14:solidFill>
              <w14:schemeClr w14:val="tx1"/>
            </w14:solidFill>
          </w14:textFill>
        </w:rPr>
      </w:pPr>
      <w:r>
        <w:rPr>
          <w:color w:val="000000" w:themeColor="text1"/>
          <w:sz w:val="28"/>
          <w:szCs w:val="28"/>
          <w:highlight w:val="none"/>
          <w14:textFill>
            <w14:solidFill>
              <w14:schemeClr w14:val="tx1"/>
            </w14:solidFill>
          </w14:textFill>
        </w:rPr>
        <w:fldChar w:fldCharType="end"/>
      </w:r>
    </w:p>
    <w:p>
      <w:pPr>
        <w:shd w:val="clear"/>
        <w:adjustRightInd w:val="0"/>
        <w:snapToGrid w:val="0"/>
        <w:spacing w:line="360" w:lineRule="auto"/>
        <w:ind w:firstLine="420" w:firstLineChars="200"/>
        <w:jc w:val="center"/>
        <w:rPr>
          <w:rFonts w:ascii="宋体" w:hAnsi="宋体"/>
          <w:bCs/>
          <w:color w:val="000000" w:themeColor="text1"/>
          <w:szCs w:val="21"/>
          <w:highlight w:val="none"/>
          <w14:textFill>
            <w14:solidFill>
              <w14:schemeClr w14:val="tx1"/>
            </w14:solidFill>
          </w14:textFill>
        </w:rPr>
      </w:pPr>
      <w:bookmarkStart w:id="0" w:name="_Toc20816073"/>
      <w:bookmarkStart w:id="1" w:name="_Toc35421027"/>
      <w:bookmarkStart w:id="2" w:name="_Toc20642243"/>
      <w:bookmarkStart w:id="3" w:name="_Toc53472201"/>
      <w:bookmarkStart w:id="4" w:name="_Toc21000471"/>
      <w:bookmarkStart w:id="5" w:name="_Toc20988241"/>
      <w:bookmarkStart w:id="6" w:name="_Toc21001314"/>
      <w:bookmarkStart w:id="7" w:name="_Toc34720698"/>
      <w:r>
        <w:rPr>
          <w:rFonts w:ascii="宋体" w:hAnsi="宋体"/>
          <w:bCs/>
          <w:color w:val="000000" w:themeColor="text1"/>
          <w:szCs w:val="21"/>
          <w:highlight w:val="none"/>
          <w14:textFill>
            <w14:solidFill>
              <w14:schemeClr w14:val="tx1"/>
            </w14:solidFill>
          </w14:textFill>
        </w:rPr>
        <w:br w:type="page"/>
      </w:r>
    </w:p>
    <w:p>
      <w:pPr>
        <w:pStyle w:val="7"/>
        <w:shd w:val="clear"/>
        <w:rPr>
          <w:rFonts w:hint="eastAsia" w:ascii="黑体" w:hAnsi="黑体" w:eastAsia="黑体"/>
          <w:color w:val="000000" w:themeColor="text1"/>
          <w:sz w:val="32"/>
          <w:szCs w:val="32"/>
          <w:highlight w:val="none"/>
          <w:lang w:val="en-US" w:eastAsia="zh-CN"/>
          <w14:textFill>
            <w14:solidFill>
              <w14:schemeClr w14:val="tx1"/>
            </w14:solidFill>
          </w14:textFill>
        </w:rPr>
      </w:pPr>
      <w:bookmarkStart w:id="8" w:name="_Toc78815069"/>
      <w:r>
        <w:rPr>
          <w:rFonts w:hint="eastAsia" w:ascii="黑体" w:hAnsi="黑体" w:eastAsia="黑体"/>
          <w:color w:val="000000" w:themeColor="text1"/>
          <w:sz w:val="32"/>
          <w:szCs w:val="32"/>
          <w:highlight w:val="none"/>
          <w14:textFill>
            <w14:solidFill>
              <w14:schemeClr w14:val="tx1"/>
            </w14:solidFill>
          </w14:textFill>
        </w:rPr>
        <w:t xml:space="preserve">第一章 </w:t>
      </w:r>
      <w:bookmarkEnd w:id="8"/>
      <w:r>
        <w:rPr>
          <w:rFonts w:hint="eastAsia" w:ascii="黑体" w:hAnsi="黑体" w:eastAsia="黑体"/>
          <w:color w:val="000000" w:themeColor="text1"/>
          <w:sz w:val="32"/>
          <w:szCs w:val="32"/>
          <w:highlight w:val="none"/>
          <w:lang w:eastAsia="zh-CN"/>
          <w14:textFill>
            <w14:solidFill>
              <w14:schemeClr w14:val="tx1"/>
            </w14:solidFill>
          </w14:textFill>
        </w:rPr>
        <w:t>招标公告</w:t>
      </w:r>
    </w:p>
    <w:p>
      <w:pPr>
        <w:widowControl/>
        <w:shd w:val="clear"/>
        <w:spacing w:line="440" w:lineRule="exact"/>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bidi="ar"/>
          <w14:textFill>
            <w14:solidFill>
              <w14:schemeClr w14:val="tx1"/>
            </w14:solidFill>
          </w14:textFill>
        </w:rPr>
        <w:t>湖南源生科技有限公司</w:t>
      </w:r>
      <w:r>
        <w:rPr>
          <w:rFonts w:hint="eastAsia" w:ascii="宋体" w:hAnsi="宋体" w:cs="宋体"/>
          <w:color w:val="000000" w:themeColor="text1"/>
          <w:kern w:val="0"/>
          <w:sz w:val="24"/>
          <w:highlight w:val="none"/>
          <w:lang w:bidi="ar"/>
          <w14:textFill>
            <w14:solidFill>
              <w14:schemeClr w14:val="tx1"/>
            </w14:solidFill>
          </w14:textFill>
        </w:rPr>
        <w:t>的</w:t>
      </w:r>
      <w:r>
        <w:rPr>
          <w:rFonts w:hint="eastAsia" w:ascii="宋体" w:hAnsi="宋体" w:cs="宋体"/>
          <w:color w:val="000000" w:themeColor="text1"/>
          <w:kern w:val="0"/>
          <w:sz w:val="24"/>
          <w:highlight w:val="none"/>
          <w:lang w:eastAsia="zh-CN" w:bidi="ar"/>
          <w14:textFill>
            <w14:solidFill>
              <w14:schemeClr w14:val="tx1"/>
            </w14:solidFill>
          </w14:textFill>
        </w:rPr>
        <w:t>岳阳市建筑固废资源化再利用项目机制砂设备采购</w:t>
      </w:r>
      <w:r>
        <w:rPr>
          <w:rFonts w:hint="eastAsia" w:ascii="宋体" w:hAnsi="宋体" w:cs="宋体"/>
          <w:color w:val="000000" w:themeColor="text1"/>
          <w:kern w:val="0"/>
          <w:sz w:val="24"/>
          <w:highlight w:val="none"/>
          <w:lang w:bidi="ar"/>
          <w14:textFill>
            <w14:solidFill>
              <w14:schemeClr w14:val="tx1"/>
            </w14:solidFill>
          </w14:textFill>
        </w:rPr>
        <w:t>进行公开招标采购，现邀请合格投标人参加投标。</w:t>
      </w:r>
    </w:p>
    <w:p>
      <w:pPr>
        <w:pStyle w:val="9"/>
        <w:keepNext w:val="0"/>
        <w:keepLines w:val="0"/>
        <w:widowControl/>
        <w:shd w:val="clear"/>
        <w:spacing w:before="0" w:after="0" w:line="440" w:lineRule="exact"/>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一、采购项目基本信息</w:t>
      </w:r>
    </w:p>
    <w:p>
      <w:pPr>
        <w:widowControl/>
        <w:shd w:val="clear"/>
        <w:spacing w:line="440" w:lineRule="exact"/>
        <w:ind w:firstLine="42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1、采购项目名称：</w:t>
      </w:r>
      <w:r>
        <w:rPr>
          <w:rFonts w:hint="eastAsia" w:ascii="宋体" w:hAnsi="宋体" w:cs="宋体"/>
          <w:color w:val="000000" w:themeColor="text1"/>
          <w:kern w:val="0"/>
          <w:sz w:val="24"/>
          <w:highlight w:val="none"/>
          <w:lang w:eastAsia="zh-CN" w:bidi="ar"/>
          <w14:textFill>
            <w14:solidFill>
              <w14:schemeClr w14:val="tx1"/>
            </w14:solidFill>
          </w14:textFill>
        </w:rPr>
        <w:t>岳阳市建筑固废资源化再利用项目机制砂设备采购</w:t>
      </w:r>
    </w:p>
    <w:p>
      <w:pPr>
        <w:widowControl/>
        <w:shd w:val="clear"/>
        <w:spacing w:line="440" w:lineRule="exact"/>
        <w:ind w:firstLine="42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2、委托代理编号：</w:t>
      </w:r>
      <w:r>
        <w:rPr>
          <w:rFonts w:hint="eastAsia" w:ascii="宋体" w:hAnsi="宋体" w:cs="宋体"/>
          <w:color w:val="000000" w:themeColor="text1"/>
          <w:kern w:val="0"/>
          <w:sz w:val="24"/>
          <w:highlight w:val="none"/>
          <w:lang w:eastAsia="zh-CN" w:bidi="ar"/>
          <w14:textFill>
            <w14:solidFill>
              <w14:schemeClr w14:val="tx1"/>
            </w14:solidFill>
          </w14:textFill>
        </w:rPr>
        <w:t>HNSTCG-2023-0</w:t>
      </w:r>
      <w:r>
        <w:rPr>
          <w:rFonts w:hint="eastAsia" w:ascii="宋体" w:hAnsi="宋体" w:cs="宋体"/>
          <w:color w:val="000000" w:themeColor="text1"/>
          <w:kern w:val="0"/>
          <w:sz w:val="24"/>
          <w:highlight w:val="none"/>
          <w:lang w:val="en-US" w:eastAsia="zh-CN" w:bidi="ar"/>
          <w14:textFill>
            <w14:solidFill>
              <w14:schemeClr w14:val="tx1"/>
            </w14:solidFill>
          </w14:textFill>
        </w:rPr>
        <w:t>1</w:t>
      </w:r>
      <w:r>
        <w:rPr>
          <w:rFonts w:hint="eastAsia" w:ascii="宋体" w:hAnsi="宋体" w:cs="宋体"/>
          <w:color w:val="000000" w:themeColor="text1"/>
          <w:kern w:val="0"/>
          <w:sz w:val="24"/>
          <w:highlight w:val="none"/>
          <w:lang w:eastAsia="zh-CN" w:bidi="ar"/>
          <w14:textFill>
            <w14:solidFill>
              <w14:schemeClr w14:val="tx1"/>
            </w14:solidFill>
          </w14:textFill>
        </w:rPr>
        <w:t>8</w:t>
      </w:r>
    </w:p>
    <w:p>
      <w:pPr>
        <w:widowControl/>
        <w:shd w:val="clear"/>
        <w:spacing w:line="440" w:lineRule="exact"/>
        <w:ind w:firstLine="420"/>
        <w:jc w:val="left"/>
        <w:rPr>
          <w:rFonts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3</w:t>
      </w:r>
      <w:r>
        <w:rPr>
          <w:rFonts w:hint="eastAsia" w:ascii="宋体" w:hAnsi="宋体" w:cs="宋体"/>
          <w:color w:val="000000" w:themeColor="text1"/>
          <w:kern w:val="0"/>
          <w:sz w:val="24"/>
          <w:highlight w:val="none"/>
          <w:lang w:bidi="ar"/>
          <w14:textFill>
            <w14:solidFill>
              <w14:schemeClr w14:val="tx1"/>
            </w14:solidFill>
          </w14:textFill>
        </w:rPr>
        <w:t>、采购项目预算：</w:t>
      </w:r>
      <w:r>
        <w:rPr>
          <w:rFonts w:hint="eastAsia" w:ascii="宋体" w:hAnsi="宋体" w:cs="宋体"/>
          <w:color w:val="000000" w:themeColor="text1"/>
          <w:kern w:val="0"/>
          <w:sz w:val="24"/>
          <w:highlight w:val="none"/>
          <w:lang w:val="en-US" w:eastAsia="zh-CN" w:bidi="ar"/>
          <w14:textFill>
            <w14:solidFill>
              <w14:schemeClr w14:val="tx1"/>
            </w14:solidFill>
          </w14:textFill>
        </w:rPr>
        <w:t>3650000.00</w:t>
      </w:r>
      <w:r>
        <w:rPr>
          <w:rFonts w:hint="eastAsia" w:ascii="宋体" w:hAnsi="宋体" w:cs="宋体"/>
          <w:color w:val="000000" w:themeColor="text1"/>
          <w:kern w:val="0"/>
          <w:sz w:val="24"/>
          <w:highlight w:val="none"/>
          <w:lang w:bidi="ar"/>
          <w14:textFill>
            <w14:solidFill>
              <w14:schemeClr w14:val="tx1"/>
            </w14:solidFill>
          </w14:textFill>
        </w:rPr>
        <w:t>元</w:t>
      </w:r>
    </w:p>
    <w:p>
      <w:pPr>
        <w:widowControl/>
        <w:shd w:val="clear"/>
        <w:spacing w:line="440" w:lineRule="exact"/>
        <w:ind w:firstLine="840"/>
        <w:jc w:val="lef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支持预付款，预付比例：</w:t>
      </w:r>
      <w:r>
        <w:rPr>
          <w:rFonts w:hint="eastAsia" w:ascii="宋体" w:hAnsi="宋体" w:cs="宋体"/>
          <w:color w:val="000000" w:themeColor="text1"/>
          <w:kern w:val="0"/>
          <w:sz w:val="24"/>
          <w:highlight w:val="none"/>
          <w:u w:val="single"/>
          <w:lang w:bidi="ar"/>
          <w14:textFill>
            <w14:solidFill>
              <w14:schemeClr w14:val="tx1"/>
            </w14:solidFill>
          </w14:textFill>
        </w:rPr>
        <w:t>%</w:t>
      </w:r>
    </w:p>
    <w:p>
      <w:pPr>
        <w:widowControl/>
        <w:shd w:val="clear"/>
        <w:spacing w:line="440" w:lineRule="exact"/>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4</w:t>
      </w:r>
      <w:r>
        <w:rPr>
          <w:rFonts w:hint="eastAsia" w:ascii="宋体" w:hAnsi="宋体" w:cs="宋体"/>
          <w:color w:val="000000" w:themeColor="text1"/>
          <w:kern w:val="0"/>
          <w:sz w:val="24"/>
          <w:highlight w:val="none"/>
          <w:lang w:bidi="ar"/>
          <w14:textFill>
            <w14:solidFill>
              <w14:schemeClr w14:val="tx1"/>
            </w14:solidFill>
          </w14:textFill>
        </w:rPr>
        <w:t>、本项目对应的中小企业划分标准所属行业：工业</w:t>
      </w:r>
    </w:p>
    <w:p>
      <w:pPr>
        <w:widowControl/>
        <w:shd w:val="clear"/>
        <w:spacing w:line="440" w:lineRule="exact"/>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5</w:t>
      </w:r>
      <w:r>
        <w:rPr>
          <w:rFonts w:hint="eastAsia" w:ascii="宋体" w:hAnsi="宋体" w:cs="宋体"/>
          <w:color w:val="000000" w:themeColor="text1"/>
          <w:kern w:val="0"/>
          <w:sz w:val="24"/>
          <w:highlight w:val="none"/>
          <w:lang w:bidi="ar"/>
          <w14:textFill>
            <w14:solidFill>
              <w14:schemeClr w14:val="tx1"/>
            </w14:solidFill>
          </w14:textFill>
        </w:rPr>
        <w:t>、评标方法： </w:t>
      </w:r>
      <w:bookmarkStart w:id="9" w:name="EBf1a0313d95c240dd977607fad007a2e2"/>
      <w:r>
        <w:rPr>
          <w:rFonts w:hint="eastAsia" w:ascii="宋体" w:hAnsi="宋体"/>
          <w:color w:val="000000" w:themeColor="text1"/>
          <w:szCs w:val="21"/>
          <w:highlight w:val="none"/>
          <w14:textFill>
            <w14:solidFill>
              <w14:schemeClr w14:val="tx1"/>
            </w14:solidFill>
          </w14:textFill>
        </w:rPr>
        <w:t>□</w:t>
      </w:r>
      <w:bookmarkEnd w:id="9"/>
      <w:r>
        <w:rPr>
          <w:rFonts w:hint="eastAsia" w:ascii="宋体" w:hAnsi="宋体" w:cs="宋体"/>
          <w:color w:val="000000" w:themeColor="text1"/>
          <w:kern w:val="0"/>
          <w:sz w:val="24"/>
          <w:highlight w:val="none"/>
          <w:lang w:bidi="ar"/>
          <w14:textFill>
            <w14:solidFill>
              <w14:schemeClr w14:val="tx1"/>
            </w14:solidFill>
          </w14:textFill>
        </w:rPr>
        <w:t>最低价法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 xml:space="preserve"> 综合评分法</w:t>
      </w:r>
    </w:p>
    <w:p>
      <w:pPr>
        <w:widowControl/>
        <w:shd w:val="clear"/>
        <w:spacing w:line="440" w:lineRule="exact"/>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6</w:t>
      </w:r>
      <w:r>
        <w:rPr>
          <w:rFonts w:hint="eastAsia" w:ascii="宋体" w:hAnsi="宋体" w:cs="宋体"/>
          <w:color w:val="000000" w:themeColor="text1"/>
          <w:kern w:val="0"/>
          <w:sz w:val="24"/>
          <w:highlight w:val="none"/>
          <w:lang w:bidi="ar"/>
          <w14:textFill>
            <w14:solidFill>
              <w14:schemeClr w14:val="tx1"/>
            </w14:solidFill>
          </w14:textFill>
        </w:rPr>
        <w:t>、合同定价方式：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 xml:space="preserve"> 固定总价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固定单价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成本补偿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绩效激励</w:t>
      </w:r>
    </w:p>
    <w:p>
      <w:pPr>
        <w:widowControl/>
        <w:shd w:val="clear"/>
        <w:spacing w:line="440" w:lineRule="exact"/>
        <w:ind w:firstLine="420"/>
        <w:jc w:val="left"/>
        <w:rPr>
          <w:rFonts w:ascii="宋体" w:hAnsi="宋体" w:cs="宋体"/>
          <w:color w:val="000000" w:themeColor="text1"/>
          <w:kern w:val="0"/>
          <w:sz w:val="24"/>
          <w:highlight w:val="none"/>
          <w:lang w:bidi="ar"/>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7</w:t>
      </w:r>
      <w:r>
        <w:rPr>
          <w:rFonts w:hint="eastAsia" w:ascii="宋体" w:hAnsi="宋体" w:cs="宋体"/>
          <w:color w:val="000000" w:themeColor="text1"/>
          <w:kern w:val="0"/>
          <w:sz w:val="24"/>
          <w:highlight w:val="none"/>
          <w:lang w:bidi="ar"/>
          <w14:textFill>
            <w14:solidFill>
              <w14:schemeClr w14:val="tx1"/>
            </w14:solidFill>
          </w14:textFill>
        </w:rPr>
        <w:t>、合同履行期限：合同签订后90日历天内供货安装完毕并验收合格</w:t>
      </w:r>
    </w:p>
    <w:p>
      <w:pPr>
        <w:widowControl/>
        <w:shd w:val="clear"/>
        <w:spacing w:line="440" w:lineRule="exact"/>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bidi="ar"/>
          <w14:textFill>
            <w14:solidFill>
              <w14:schemeClr w14:val="tx1"/>
            </w14:solidFill>
          </w14:textFill>
        </w:rPr>
        <w:t>8</w:t>
      </w:r>
      <w:r>
        <w:rPr>
          <w:rFonts w:hint="eastAsia" w:ascii="宋体" w:hAnsi="宋体" w:cs="宋体"/>
          <w:color w:val="000000" w:themeColor="text1"/>
          <w:kern w:val="0"/>
          <w:sz w:val="24"/>
          <w:highlight w:val="none"/>
          <w:lang w:bidi="ar"/>
          <w14:textFill>
            <w14:solidFill>
              <w14:schemeClr w14:val="tx1"/>
            </w14:solidFill>
          </w14:textFill>
        </w:rPr>
        <w:t>、本项目分阶段要求投标人提供以下保证：</w:t>
      </w:r>
    </w:p>
    <w:p>
      <w:pPr>
        <w:widowControl/>
        <w:shd w:val="clear"/>
        <w:spacing w:line="440" w:lineRule="exact"/>
        <w:ind w:firstLine="840"/>
        <w:jc w:val="left"/>
        <w:rPr>
          <w:rFonts w:ascii="宋体" w:hAnsi="宋体" w:cs="宋体"/>
          <w:color w:val="000000" w:themeColor="text1"/>
          <w:sz w:val="22"/>
          <w:szCs w:val="2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投标保证金：采购项目预算的</w:t>
      </w:r>
      <w:r>
        <w:rPr>
          <w:rFonts w:hint="eastAsia" w:ascii="宋体" w:hAnsi="宋体" w:cs="宋体"/>
          <w:color w:val="000000" w:themeColor="text1"/>
          <w:kern w:val="0"/>
          <w:sz w:val="24"/>
          <w:highlight w:val="none"/>
          <w:u w:val="single"/>
          <w:lang w:bidi="ar"/>
          <w14:textFill>
            <w14:solidFill>
              <w14:schemeClr w14:val="tx1"/>
            </w14:solidFill>
          </w14:textFill>
        </w:rPr>
        <w:t>  </w:t>
      </w:r>
      <w:r>
        <w:rPr>
          <w:rFonts w:hint="eastAsia" w:ascii="宋体" w:hAnsi="宋体" w:cs="宋体"/>
          <w:color w:val="000000" w:themeColor="text1"/>
          <w:kern w:val="0"/>
          <w:sz w:val="24"/>
          <w:highlight w:val="none"/>
          <w:lang w:bidi="ar"/>
          <w14:textFill>
            <w14:solidFill>
              <w14:schemeClr w14:val="tx1"/>
            </w14:solidFill>
          </w14:textFill>
        </w:rPr>
        <w:t>%；</w:t>
      </w:r>
    </w:p>
    <w:p>
      <w:pPr>
        <w:widowControl/>
        <w:shd w:val="clear"/>
        <w:spacing w:line="440" w:lineRule="exact"/>
        <w:ind w:firstLine="840"/>
        <w:jc w:val="lef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履约保证金：中标金额的</w:t>
      </w:r>
      <w:r>
        <w:rPr>
          <w:rFonts w:hint="eastAsia" w:ascii="宋体" w:hAnsi="宋体" w:cs="宋体"/>
          <w:color w:val="000000" w:themeColor="text1"/>
          <w:kern w:val="0"/>
          <w:sz w:val="24"/>
          <w:highlight w:val="none"/>
          <w:u w:val="single"/>
          <w:lang w:bidi="ar"/>
          <w14:textFill>
            <w14:solidFill>
              <w14:schemeClr w14:val="tx1"/>
            </w14:solidFill>
          </w14:textFill>
        </w:rPr>
        <w:t>5</w:t>
      </w:r>
      <w:r>
        <w:rPr>
          <w:rFonts w:hint="eastAsia" w:ascii="宋体" w:hAnsi="宋体" w:cs="宋体"/>
          <w:color w:val="000000" w:themeColor="text1"/>
          <w:kern w:val="0"/>
          <w:sz w:val="24"/>
          <w:highlight w:val="none"/>
          <w:lang w:bidi="ar"/>
          <w14:textFill>
            <w14:solidFill>
              <w14:schemeClr w14:val="tx1"/>
            </w14:solidFill>
          </w14:textFill>
        </w:rPr>
        <w:t>%；</w:t>
      </w:r>
    </w:p>
    <w:p>
      <w:pPr>
        <w:widowControl/>
        <w:shd w:val="clear"/>
        <w:spacing w:line="440" w:lineRule="exact"/>
        <w:ind w:firstLine="840"/>
        <w:jc w:val="lef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预付款保证金：预付款的</w:t>
      </w:r>
      <w:r>
        <w:rPr>
          <w:rFonts w:hint="eastAsia" w:ascii="宋体" w:hAnsi="宋体" w:cs="宋体"/>
          <w:color w:val="000000" w:themeColor="text1"/>
          <w:kern w:val="0"/>
          <w:sz w:val="24"/>
          <w:highlight w:val="none"/>
          <w:u w:val="single"/>
          <w:lang w:bidi="ar"/>
          <w14:textFill>
            <w14:solidFill>
              <w14:schemeClr w14:val="tx1"/>
            </w14:solidFill>
          </w14:textFill>
        </w:rPr>
        <w:t>  </w:t>
      </w:r>
      <w:r>
        <w:rPr>
          <w:rFonts w:hint="eastAsia" w:ascii="宋体" w:hAnsi="宋体" w:cs="宋体"/>
          <w:color w:val="000000" w:themeColor="text1"/>
          <w:kern w:val="0"/>
          <w:sz w:val="24"/>
          <w:highlight w:val="none"/>
          <w:lang w:bidi="ar"/>
          <w14:textFill>
            <w14:solidFill>
              <w14:schemeClr w14:val="tx1"/>
            </w14:solidFill>
          </w14:textFill>
        </w:rPr>
        <w:t>%；</w:t>
      </w:r>
    </w:p>
    <w:p>
      <w:pPr>
        <w:widowControl/>
        <w:shd w:val="clear"/>
        <w:spacing w:line="440" w:lineRule="exact"/>
        <w:ind w:firstLine="840"/>
        <w:jc w:val="lef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 w:val="24"/>
          <w:highlight w:val="none"/>
          <w:lang w:bidi="ar"/>
          <w14:textFill>
            <w14:solidFill>
              <w14:schemeClr w14:val="tx1"/>
            </w14:solidFill>
          </w14:textFill>
        </w:rPr>
        <w:t>质量保证金：合同金额的</w:t>
      </w:r>
      <w:r>
        <w:rPr>
          <w:rFonts w:hint="eastAsia" w:ascii="宋体" w:hAnsi="宋体" w:cs="宋体"/>
          <w:color w:val="000000" w:themeColor="text1"/>
          <w:kern w:val="0"/>
          <w:sz w:val="24"/>
          <w:highlight w:val="none"/>
          <w:u w:val="single"/>
          <w:lang w:bidi="ar"/>
          <w14:textFill>
            <w14:solidFill>
              <w14:schemeClr w14:val="tx1"/>
            </w14:solidFill>
          </w14:textFill>
        </w:rPr>
        <w:t>  </w:t>
      </w:r>
      <w:r>
        <w:rPr>
          <w:rFonts w:hint="eastAsia" w:ascii="宋体" w:hAnsi="宋体" w:cs="宋体"/>
          <w:color w:val="000000" w:themeColor="text1"/>
          <w:kern w:val="0"/>
          <w:sz w:val="24"/>
          <w:highlight w:val="none"/>
          <w:lang w:bidi="ar"/>
          <w14:textFill>
            <w14:solidFill>
              <w14:schemeClr w14:val="tx1"/>
            </w14:solidFill>
          </w14:textFill>
        </w:rPr>
        <w:t>%；</w:t>
      </w:r>
    </w:p>
    <w:p>
      <w:pPr>
        <w:pStyle w:val="9"/>
        <w:keepNext w:val="0"/>
        <w:keepLines w:val="0"/>
        <w:widowControl/>
        <w:numPr>
          <w:ilvl w:val="0"/>
          <w:numId w:val="1"/>
        </w:numPr>
        <w:shd w:val="clear"/>
        <w:spacing w:before="0" w:after="0" w:line="440" w:lineRule="exact"/>
        <w:ind w:firstLine="4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采购人的采购需求</w:t>
      </w:r>
    </w:p>
    <w:tbl>
      <w:tblPr>
        <w:tblStyle w:val="47"/>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2056"/>
        <w:gridCol w:w="1560"/>
        <w:gridCol w:w="567"/>
        <w:gridCol w:w="1275"/>
        <w:gridCol w:w="1276"/>
        <w:gridCol w:w="709"/>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945"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包名称</w:t>
            </w:r>
          </w:p>
        </w:tc>
        <w:tc>
          <w:tcPr>
            <w:tcW w:w="2056"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标的名称</w:t>
            </w:r>
          </w:p>
        </w:tc>
        <w:tc>
          <w:tcPr>
            <w:tcW w:w="1560"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简要技术要求</w:t>
            </w:r>
          </w:p>
        </w:tc>
        <w:tc>
          <w:tcPr>
            <w:tcW w:w="567"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数量</w:t>
            </w:r>
          </w:p>
        </w:tc>
        <w:tc>
          <w:tcPr>
            <w:tcW w:w="1275"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标的预算（元）</w:t>
            </w:r>
          </w:p>
        </w:tc>
        <w:tc>
          <w:tcPr>
            <w:tcW w:w="1276"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最高限价（元）</w:t>
            </w:r>
          </w:p>
        </w:tc>
        <w:tc>
          <w:tcPr>
            <w:tcW w:w="709"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节能产品</w:t>
            </w:r>
          </w:p>
        </w:tc>
        <w:tc>
          <w:tcPr>
            <w:tcW w:w="788"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b/>
                <w:bCs/>
                <w:color w:val="000000" w:themeColor="text1"/>
                <w:kern w:val="0"/>
                <w:szCs w:val="21"/>
                <w:highlight w:val="none"/>
                <w:lang w:bidi="ar"/>
                <w14:textFill>
                  <w14:solidFill>
                    <w14:schemeClr w14:val="tx1"/>
                  </w14:solidFill>
                </w14:textFill>
              </w:rPr>
              <w:t>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945"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color w:val="000000" w:themeColor="text1"/>
                <w:kern w:val="0"/>
                <w:szCs w:val="21"/>
                <w:highlight w:val="none"/>
                <w:lang w:bidi="ar"/>
                <w14:textFill>
                  <w14:solidFill>
                    <w14:schemeClr w14:val="tx1"/>
                  </w14:solidFill>
                </w14:textFill>
              </w:rPr>
              <w:t>包1</w:t>
            </w:r>
          </w:p>
        </w:tc>
        <w:tc>
          <w:tcPr>
            <w:tcW w:w="2056"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岳阳市建筑固废资源化再利用项目机制砂设备采购</w:t>
            </w:r>
          </w:p>
        </w:tc>
        <w:tc>
          <w:tcPr>
            <w:tcW w:w="1560" w:type="dxa"/>
            <w:vAlign w:val="center"/>
          </w:tcPr>
          <w:p>
            <w:pPr>
              <w:widowControl/>
              <w:shd w:val="clear"/>
              <w:spacing w:line="440"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color w:val="000000" w:themeColor="text1"/>
                <w:kern w:val="0"/>
                <w:szCs w:val="21"/>
                <w:highlight w:val="none"/>
                <w:lang w:bidi="ar"/>
                <w14:textFill>
                  <w14:solidFill>
                    <w14:schemeClr w14:val="tx1"/>
                  </w14:solidFill>
                </w14:textFill>
              </w:rPr>
              <w:t>详见招标文件</w:t>
            </w:r>
          </w:p>
        </w:tc>
        <w:tc>
          <w:tcPr>
            <w:tcW w:w="567"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ascii="宋体" w:hAnsi="宋体" w:cs="宋体"/>
                <w:color w:val="000000" w:themeColor="text1"/>
                <w:kern w:val="0"/>
                <w:szCs w:val="21"/>
                <w:highlight w:val="none"/>
                <w:lang w:bidi="ar"/>
                <w14:textFill>
                  <w14:solidFill>
                    <w14:schemeClr w14:val="tx1"/>
                  </w14:solidFill>
                </w14:textFill>
              </w:rPr>
              <w:t>1</w:t>
            </w:r>
          </w:p>
        </w:tc>
        <w:tc>
          <w:tcPr>
            <w:tcW w:w="1275" w:type="dxa"/>
            <w:vAlign w:val="center"/>
          </w:tcPr>
          <w:p>
            <w:pPr>
              <w:widowControl/>
              <w:shd w:val="clear"/>
              <w:spacing w:line="440" w:lineRule="exact"/>
              <w:jc w:val="center"/>
              <w:rPr>
                <w:rFonts w:hint="default"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3650000.00</w:t>
            </w:r>
          </w:p>
        </w:tc>
        <w:tc>
          <w:tcPr>
            <w:tcW w:w="1276"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3650000.00</w:t>
            </w:r>
          </w:p>
        </w:tc>
        <w:tc>
          <w:tcPr>
            <w:tcW w:w="709"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788" w:type="dxa"/>
            <w:vAlign w:val="center"/>
          </w:tcPr>
          <w:p>
            <w:pPr>
              <w:widowControl/>
              <w:shd w:val="clear"/>
              <w:spacing w:line="440"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bl>
    <w:p>
      <w:pPr>
        <w:widowControl/>
        <w:shd w:val="clear"/>
        <w:spacing w:line="440" w:lineRule="exact"/>
        <w:ind w:firstLine="420"/>
        <w:jc w:val="left"/>
        <w:rPr>
          <w:rFonts w:asciiTheme="minorEastAsia" w:hAnsiTheme="minorEastAsia" w:eastAsiaTheme="minorEastAsia" w:cstheme="minorEastAsia"/>
          <w:color w:val="000000" w:themeColor="text1"/>
          <w:kern w:val="0"/>
          <w:sz w:val="24"/>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说明：</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1.节能产品实行强制采购的，需提供国家认证机构出具的、处于有效期内的节能产品证书。</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2.同意购买进口产品的，不限制满足采购需求的国内产品参与投标。</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三、采购项目需落实的政府采购政策：</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1、优先采购：节能产品、环境标志产品、两型产品享受加分或价格折扣。</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2、支持中小企业：中小企业享受预留采购份额或价格折扣。</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四、投标人的资格要求：</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1、投标人的基本资格条件：投标人必须是在中华人民共和国境内注册登记的法人、其他组织或者自然人，且应当符合《政府采购法》第二十二条第一款的规定。</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2、落实政府采购政策需满足的资格要求：</w:t>
      </w:r>
    </w:p>
    <w:p>
      <w:pPr>
        <w:widowControl/>
        <w:shd w:val="clear"/>
        <w:spacing w:line="440" w:lineRule="exact"/>
        <w:ind w:firstLine="84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专门面向： </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中小企业 </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小微企业 </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监狱企业 </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福利性单位</w:t>
      </w:r>
    </w:p>
    <w:p>
      <w:pPr>
        <w:widowControl/>
        <w:shd w:val="clear"/>
        <w:spacing w:line="440" w:lineRule="exact"/>
        <w:ind w:firstLine="84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强制分包：大型企业应将采购份额的</w:t>
      </w:r>
      <w:r>
        <w:rPr>
          <w:rFonts w:hint="eastAsia" w:asciiTheme="minorEastAsia" w:hAnsiTheme="minorEastAsia" w:eastAsiaTheme="minorEastAsia" w:cstheme="minorEastAsia"/>
          <w:color w:val="000000" w:themeColor="text1"/>
          <w:kern w:val="0"/>
          <w:sz w:val="24"/>
          <w:highlight w:val="none"/>
          <w:u w:val="single"/>
          <w:lang w:bidi="ar"/>
          <w14:textFill>
            <w14:solidFill>
              <w14:schemeClr w14:val="tx1"/>
            </w14:solidFill>
          </w14:textFill>
        </w:rPr>
        <w:t>     </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%分包给中小企业。</w:t>
      </w:r>
    </w:p>
    <w:p>
      <w:pPr>
        <w:widowControl/>
        <w:numPr>
          <w:ilvl w:val="0"/>
          <w:numId w:val="2"/>
        </w:numPr>
        <w:shd w:val="clear"/>
        <w:spacing w:line="440" w:lineRule="exact"/>
        <w:ind w:firstLine="420"/>
        <w:jc w:val="left"/>
        <w:rPr>
          <w:rFonts w:asciiTheme="minorEastAsia" w:hAnsiTheme="minorEastAsia" w:eastAsiaTheme="minorEastAsia" w:cstheme="minorEastAsia"/>
          <w:color w:val="000000" w:themeColor="text1"/>
          <w:kern w:val="0"/>
          <w:sz w:val="24"/>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供应商特定资格条件：</w:t>
      </w:r>
      <w:r>
        <w:rPr>
          <w:rFonts w:hint="eastAsia" w:asciiTheme="minorEastAsia" w:hAnsiTheme="minorEastAsia" w:eastAsiaTheme="minorEastAsia" w:cstheme="minorEastAsia"/>
          <w:color w:val="000000" w:themeColor="text1"/>
          <w:kern w:val="0"/>
          <w:sz w:val="24"/>
          <w:highlight w:val="none"/>
          <w:lang w:eastAsia="zh-CN" w:bidi="ar"/>
          <w14:textFill>
            <w14:solidFill>
              <w14:schemeClr w14:val="tx1"/>
            </w14:solidFill>
          </w14:textFill>
        </w:rPr>
        <w:t>无</w:t>
      </w:r>
    </w:p>
    <w:p>
      <w:pPr>
        <w:widowControl/>
        <w:shd w:val="clear"/>
        <w:spacing w:line="440" w:lineRule="exact"/>
        <w:ind w:firstLine="420"/>
        <w:jc w:val="left"/>
        <w:rPr>
          <w:rFonts w:asciiTheme="minorEastAsia" w:hAnsiTheme="minorEastAsia" w:eastAsiaTheme="minorEastAsia" w:cstheme="minorEastAsia"/>
          <w:color w:val="000000" w:themeColor="text1"/>
          <w:kern w:val="0"/>
          <w:sz w:val="24"/>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投标人在信用中国网站（www.creditchina.gov.cn）、中国政府采购网（www.ccgp.gov.cn）、湖南信用网（https://credit.fgw.hunan.gov.cn/）和湖南省政府采购网（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"http://www.ccgp-hunan.gov.cn"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www.ccgp-hunan.gov.cn</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）的查询中无重大失信等被禁止投标记录；提供查询结果截图打印件并加盖公章。</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4、单位负责人为同一人或者存在直接控股、管理关系的不同投标人，不得参加同一合同项下的政府采购活动。</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5、为本采购项目提供整体设计、规范编制或者项目管理、监理、检测等服务的，不得再参加此项目的其他采购活动。</w:t>
      </w:r>
    </w:p>
    <w:p>
      <w:pPr>
        <w:widowControl/>
        <w:shd w:val="clear"/>
        <w:spacing w:line="440" w:lineRule="exact"/>
        <w:ind w:firstLine="420"/>
        <w:jc w:val="left"/>
        <w:rPr>
          <w:rFonts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6、列入失信被执行人、重大税收违法失信主体名单、政府采购严重违法失信行为记录名单的，拒绝其参与政府采购活动。</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7、联合体投标。本次招标</w:t>
      </w:r>
      <w:r>
        <w:rPr>
          <w:rFonts w:hint="eastAsia" w:asciiTheme="minorEastAsia" w:hAnsiTheme="minorEastAsia" w:eastAsiaTheme="minorEastAsia" w:cstheme="minorEastAsia"/>
          <w:color w:val="000000" w:themeColor="text1"/>
          <w:kern w:val="0"/>
          <w:sz w:val="24"/>
          <w:highlight w:val="none"/>
          <w:u w:val="single"/>
          <w:lang w:bidi="ar"/>
          <w14:textFill>
            <w14:solidFill>
              <w14:schemeClr w14:val="tx1"/>
            </w14:solidFill>
          </w14:textFill>
        </w:rPr>
        <w:t>不接受</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联合体投标。</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五、获取招标文件的时间、期限、地点及方式</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凡符合投标资格要求并有意参加投标者必须办理数字CA，登录《岳阳市公共资源交易网》（http://ggzy.yueyang.gov.cn/）下载招标文件。投标人在网上注册应对所提供的证件和证明材料的真实性承担法律责任。办理数字CA地址：湖南省数字认证服务中心有限公司（民兴路与狮子山南路交叉口）庙坡碧玉湾（南门）43号门面，电话：0730-8181828。</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2、本次招标只支持网上支付标书费报名并从系统中下载招标文件。联系电话：0730-2966692 岳阳市公共资源交易中心</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3、招标文件售价：人民币0元/本，只支持网银支付。</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4、报名及招标文件提供下载期限：从202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日起至</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20</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3年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止，每天9：00-17：00(北京时间)，双休日及节假日除外，各投标人自行在以上网站下载或查阅招标相关文件和资料等，恕不另行通知，如有遗漏采购人、采购代理机构概不负责。</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5、电子招标文件获取方式：投标截止时间前，供应商进入“岳阳市公共资源交易网” （http://ggzy.yueyang.gov.cn/）登录“岳阳市公共资源交易中心电子交易平台”（http://222.242.228.197:8083/TPBidder/memberLogin）进行格式化电子招标文件的下载。本项目实行网上开评标、全流程电子化，具体操作方式详见岳阳市公共资源交易网服务指南全流程电子化招投标操作手册。</w:t>
      </w:r>
    </w:p>
    <w:p>
      <w:pPr>
        <w:shd w:val="clear"/>
        <w:adjustRightInd w:val="0"/>
        <w:snapToGrid w:val="0"/>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bookmarkStart w:id="10" w:name="_Toc28359008"/>
      <w:bookmarkStart w:id="11" w:name="_Toc35393796"/>
      <w:bookmarkStart w:id="12" w:name="_Toc28359085"/>
      <w:bookmarkStart w:id="13" w:name="_Toc35393627"/>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六、投标文件的制作</w:t>
      </w:r>
    </w:p>
    <w:p>
      <w:pPr>
        <w:shd w:val="clear"/>
        <w:adjustRightInd w:val="0"/>
        <w:snapToGrid w:val="0"/>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本招标项目采用电子化招标采购，请投标人在“岳阳市公共资源交易网” （http://ggzy.yueyang.gov.cn/）服务指南中及时下载安装最新版本“新点投标文件制作软件（岳阳版）”。参与投标的投标人需使用电子标书编制软件制作YYGCZF格式投标文件。本项目电子投标文件最大容量为200MB，超过此容量的文件将被拒绝。制作电子投标文件时，投标人须编制投标文件的内容目录和详细页码，其制作软件的下载安装和电子投标文件的制件说明（含电子签章的操作流程）可详见“岳阳市公共资源交易网” （http://ggzy.yueyang.gov.cn/）的服务指南《全流程电子化招投标操作手册》。</w:t>
      </w:r>
    </w:p>
    <w:p>
      <w:pPr>
        <w:shd w:val="clear"/>
        <w:adjustRightInd w:val="0"/>
        <w:snapToGrid w:val="0"/>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七、投标文件的递交</w:t>
      </w:r>
    </w:p>
    <w:p>
      <w:pPr>
        <w:shd w:val="clear"/>
        <w:adjustRightInd w:val="0"/>
        <w:snapToGrid w:val="0"/>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投标文件递交截止时间（投标截止时间，下同）</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2023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9时30分（北京时间），投标人应在投标截止时间前通过岳阳市公共资源交易平台递交数据电文形式的电子投标文件并完成在线签到。其递交的电子投标文件具备法律效力，逾期递交的电子投标文件，电子交易平台将予以拒收。</w:t>
      </w:r>
    </w:p>
    <w:p>
      <w:pPr>
        <w:shd w:val="clear"/>
        <w:adjustRightInd w:val="0"/>
        <w:snapToGrid w:val="0"/>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八、投标文件的解密</w:t>
      </w:r>
    </w:p>
    <w:p>
      <w:pPr>
        <w:shd w:val="clear"/>
        <w:adjustRightInd w:val="0"/>
        <w:snapToGrid w:val="0"/>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电子投标文件的解密截止时间为</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2023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10时00分（北京时间）（系统设置为开标后30分钟内），投标人可在单位在线解密，如在开标现场解密的请自备解密电脑和网络。投标人安排专人在网上进行开标签到，并按要求完成电子投标文件的远程解密，逾期未解密的，视为放弃投标资格。</w:t>
      </w:r>
    </w:p>
    <w:p>
      <w:pPr>
        <w:shd w:val="clear"/>
        <w:adjustRightInd w:val="0"/>
        <w:snapToGrid w:val="0"/>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九、投标人澄清、补正和说明</w:t>
      </w:r>
    </w:p>
    <w:p>
      <w:pPr>
        <w:shd w:val="clear"/>
        <w:adjustRightInd w:val="0"/>
        <w:snapToGrid w:val="0"/>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评标过程中，如评委专家要求投标人进行必要的澄清、说明和补正的，投标人应在线保持关注，及时登录岳阳市公共资源交易中心电子交易平台（http://222.242.228.197:8083/TPBidder/memberLogin）进行网上回复，并上传提交相关资料，逾期未回复的，视为放弃澄清、说明和补正的权利。</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十、公告期限</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1、本招标公告在中国政府采购网（http://www.ccgp.gov.cn/）</w:t>
      </w:r>
      <w:r>
        <w:rPr>
          <w:rFonts w:hint="eastAsia" w:asciiTheme="minorEastAsia" w:hAnsiTheme="minorEastAsia" w:eastAsiaTheme="minorEastAsia" w:cstheme="minorEastAsia"/>
          <w:color w:val="000000" w:themeColor="text1"/>
          <w:kern w:val="0"/>
          <w:sz w:val="24"/>
          <w:highlight w:val="none"/>
          <w:lang w:eastAsia="zh-CN" w:bidi="ar"/>
          <w14:textFill>
            <w14:solidFill>
              <w14:schemeClr w14:val="tx1"/>
            </w14:solidFill>
          </w14:textFill>
        </w:rPr>
        <w:t>、岳阳市公共资源交易网（http://ggzy.yueyang.gov.cn/）</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发布。公告期限从本招标公告发布之日起5个工作日。</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2、在其他媒体发布的招标公告，公告内容以本招标公告指定媒体发布的公告为准；公告期限自本招标公告指定媒体最先发布公告之日起算。</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kern w:val="2"/>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十一、询问及质疑</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1、投标人对政府采购活动事项如有疑问的，可以向采购人、采购代理机构提出询问。采购人、采购代理机构将在3个工作日内作出答复。</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2、投标人对电子交易平台办理CA证书、操作等如有疑问，请咨询电子交易平台服务机构。</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pStyle w:val="9"/>
        <w:keepNext w:val="0"/>
        <w:keepLines w:val="0"/>
        <w:widowControl/>
        <w:shd w:val="clear"/>
        <w:spacing w:before="0" w:after="0" w:line="440" w:lineRule="exact"/>
        <w:ind w:firstLine="420"/>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十二、投标说明</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1、本公告选项：</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表示选择，</w:t>
      </w:r>
      <w:r>
        <w:rPr>
          <w:rFonts w:hint="eastAsia" w:ascii="宋体" w:hAnsi="宋体"/>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表示未选择。</w:t>
      </w:r>
    </w:p>
    <w:p>
      <w:pPr>
        <w:widowControl/>
        <w:shd w:val="clear"/>
        <w:spacing w:line="440" w:lineRule="exact"/>
        <w:ind w:firstLine="42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bidi="ar"/>
          <w14:textFill>
            <w14:solidFill>
              <w14:schemeClr w14:val="tx1"/>
            </w14:solidFill>
          </w14:textFill>
        </w:rPr>
        <w:t>2、投标人参与政府采购活动，无需向采购人、代理机构、交易平台缴纳任何费用。</w:t>
      </w:r>
    </w:p>
    <w:p>
      <w:pPr>
        <w:shd w:val="clear"/>
        <w:adjustRightInd w:val="0"/>
        <w:snapToGrid w:val="0"/>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十三、投标保证金</w:t>
      </w:r>
    </w:p>
    <w:p>
      <w:pPr>
        <w:shd w:val="clear"/>
        <w:adjustRightInd w:val="0"/>
        <w:snapToGrid w:val="0"/>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根据岳财函【2020】46号文规定，本项目不要求缴纳投标保证金。</w:t>
      </w:r>
    </w:p>
    <w:p>
      <w:pPr>
        <w:shd w:val="clear"/>
        <w:spacing w:line="440" w:lineRule="exact"/>
        <w:ind w:firstLine="482" w:firstLine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十四、</w:t>
      </w:r>
      <w:bookmarkEnd w:id="10"/>
      <w:bookmarkEnd w:id="11"/>
      <w:bookmarkEnd w:id="12"/>
      <w:bookmarkEnd w:id="13"/>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采购项目联系人姓名和电话：</w:t>
      </w:r>
    </w:p>
    <w:p>
      <w:pPr>
        <w:shd w:val="clear"/>
        <w:spacing w:line="440" w:lineRule="exact"/>
        <w:ind w:firstLine="480" w:firstLineChars="200"/>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湖南源生科技有限公司</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  址：岳阳市岳阳楼区科技信息大楼</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联系人：许峥</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联系电话：</w:t>
      </w:r>
      <w:r>
        <w:rPr>
          <w:rFonts w:asciiTheme="minorEastAsia" w:hAnsiTheme="minorEastAsia" w:eastAsiaTheme="minorEastAsia" w:cstheme="minorEastAsia"/>
          <w:color w:val="000000" w:themeColor="text1"/>
          <w:sz w:val="24"/>
          <w:highlight w:val="none"/>
          <w14:textFill>
            <w14:solidFill>
              <w14:schemeClr w14:val="tx1"/>
            </w14:solidFill>
          </w14:textFill>
        </w:rPr>
        <w:t>0730-8299370</w:t>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采购代理机构：</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湖南顺天工程项目管理有限公司</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p>
    <w:p>
      <w:pPr>
        <w:shd w:val="clear"/>
        <w:spacing w:line="440" w:lineRule="exact"/>
        <w:ind w:firstLine="480" w:firstLineChars="200"/>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地址：湖南省岳阳市岳阳楼区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南湖大道盘龙写字楼九楼</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904室</w:t>
      </w:r>
    </w:p>
    <w:p>
      <w:pPr>
        <w:shd w:val="clear"/>
        <w:spacing w:line="440" w:lineRule="exact"/>
        <w:ind w:firstLine="480" w:firstLineChars="200"/>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易颖慧</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ab/>
      </w:r>
    </w:p>
    <w:p>
      <w:pPr>
        <w:shd w:val="clear"/>
        <w:spacing w:line="440" w:lineRule="exact"/>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联系电话：</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18873040188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br w:type="page"/>
      </w:r>
    </w:p>
    <w:p>
      <w:pPr>
        <w:pStyle w:val="7"/>
        <w:shd w:val="clear"/>
        <w:rPr>
          <w:rFonts w:ascii="黑体" w:hAnsi="黑体" w:eastAsia="黑体"/>
          <w:color w:val="000000" w:themeColor="text1"/>
          <w:sz w:val="32"/>
          <w:szCs w:val="32"/>
          <w:highlight w:val="none"/>
          <w14:textFill>
            <w14:solidFill>
              <w14:schemeClr w14:val="tx1"/>
            </w14:solidFill>
          </w14:textFill>
        </w:rPr>
      </w:pPr>
      <w:bookmarkStart w:id="14" w:name="_Toc78815070"/>
      <w:r>
        <w:rPr>
          <w:rFonts w:hint="eastAsia" w:ascii="黑体" w:hAnsi="黑体" w:eastAsia="黑体"/>
          <w:color w:val="000000" w:themeColor="text1"/>
          <w:sz w:val="32"/>
          <w:szCs w:val="32"/>
          <w:highlight w:val="none"/>
          <w14:textFill>
            <w14:solidFill>
              <w14:schemeClr w14:val="tx1"/>
            </w14:solidFill>
          </w14:textFill>
        </w:rPr>
        <w:t>第二章 投标须知</w:t>
      </w:r>
      <w:bookmarkEnd w:id="0"/>
      <w:bookmarkEnd w:id="1"/>
      <w:bookmarkEnd w:id="2"/>
      <w:bookmarkEnd w:id="3"/>
      <w:bookmarkEnd w:id="4"/>
      <w:bookmarkEnd w:id="5"/>
      <w:bookmarkEnd w:id="6"/>
      <w:bookmarkEnd w:id="7"/>
      <w:bookmarkEnd w:id="14"/>
    </w:p>
    <w:p>
      <w:pPr>
        <w:pStyle w:val="92"/>
        <w:shd w:val="clear"/>
        <w:ind w:firstLine="482"/>
        <w:jc w:val="center"/>
        <w:rPr>
          <w:b/>
          <w:color w:val="000000" w:themeColor="text1"/>
          <w:spacing w:val="100"/>
          <w:highlight w:val="none"/>
          <w14:textFill>
            <w14:solidFill>
              <w14:schemeClr w14:val="tx1"/>
            </w14:solidFill>
          </w14:textFill>
        </w:rPr>
      </w:pPr>
      <w:r>
        <w:rPr>
          <w:rFonts w:hint="eastAsia"/>
          <w:b/>
          <w:color w:val="000000" w:themeColor="text1"/>
          <w:highlight w:val="none"/>
          <w14:textFill>
            <w14:solidFill>
              <w14:schemeClr w14:val="tx1"/>
            </w14:solidFill>
          </w14:textFill>
        </w:rPr>
        <w:t>投标须知前附表</w:t>
      </w:r>
    </w:p>
    <w:p>
      <w:pPr>
        <w:shd w:val="clear"/>
        <w:adjustRightInd w:val="0"/>
        <w:snapToGrid w:val="0"/>
        <w:spacing w:line="360" w:lineRule="auto"/>
        <w:ind w:right="31" w:rightChars="15"/>
        <w:rPr>
          <w:rFonts w:ascii="仿宋_GB2312" w:eastAsia="仿宋_GB2312"/>
          <w:color w:val="000000" w:themeColor="text1"/>
          <w:szCs w:val="21"/>
          <w:highlight w:val="none"/>
          <w14:textFill>
            <w14:solidFill>
              <w14:schemeClr w14:val="tx1"/>
            </w14:solidFill>
          </w14:textFill>
        </w:rPr>
      </w:pPr>
      <w:r>
        <w:rPr>
          <w:rFonts w:hint="eastAsia" w:ascii="仿宋_GB2312" w:hAnsi="宋体" w:eastAsia="仿宋_GB2312"/>
          <w:b/>
          <w:color w:val="000000" w:themeColor="text1"/>
          <w:szCs w:val="21"/>
          <w:highlight w:val="none"/>
          <w14:textFill>
            <w14:solidFill>
              <w14:schemeClr w14:val="tx1"/>
            </w14:solidFill>
          </w14:textFill>
        </w:rPr>
        <w:t>注：本项目启用的条款请在“编列内容规定”栏内以“■”标注。</w:t>
      </w:r>
    </w:p>
    <w:tbl>
      <w:tblPr>
        <w:tblStyle w:val="47"/>
        <w:tblW w:w="973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755"/>
        <w:gridCol w:w="670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条款名称</w:t>
            </w:r>
          </w:p>
        </w:tc>
        <w:tc>
          <w:tcPr>
            <w:tcW w:w="6702" w:type="dxa"/>
            <w:vAlign w:val="center"/>
          </w:tcPr>
          <w:p>
            <w:pPr>
              <w:shd w:val="clear"/>
              <w:adjustRightInd w:val="0"/>
              <w:snapToGrid w:val="0"/>
              <w:spacing w:line="360" w:lineRule="auto"/>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采购项目</w:t>
            </w:r>
          </w:p>
        </w:tc>
        <w:tc>
          <w:tcPr>
            <w:tcW w:w="6702" w:type="dxa"/>
            <w:vAlign w:val="center"/>
          </w:tcPr>
          <w:p>
            <w:pPr>
              <w:shd w:val="clear"/>
              <w:adjustRightInd w:val="0"/>
              <w:snapToGrid w:val="0"/>
              <w:spacing w:before="156" w:beforeLines="50"/>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岳阳市建筑固废资源化再利用项目机制砂设备采购</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采购人</w:t>
            </w:r>
          </w:p>
        </w:tc>
        <w:tc>
          <w:tcPr>
            <w:tcW w:w="6702" w:type="dxa"/>
            <w:vAlign w:val="center"/>
          </w:tcPr>
          <w:p>
            <w:pPr>
              <w:shd w:val="clear"/>
              <w:textAlignment w:val="baseline"/>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采购人：</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湖南源生科技有限公司</w:t>
            </w:r>
          </w:p>
          <w:p>
            <w:pPr>
              <w:shd w:val="clear"/>
              <w:textAlignment w:val="baseline"/>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  址：岳阳市岳阳楼区科技信息大楼</w:t>
            </w:r>
          </w:p>
          <w:p>
            <w:pPr>
              <w:shd w:val="clear"/>
              <w:textAlignment w:val="baseline"/>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联系人：许峥</w:t>
            </w:r>
          </w:p>
          <w:p>
            <w:pPr>
              <w:shd w:val="clear"/>
              <w:adjustRightInd w:val="0"/>
              <w:snapToGrid w:val="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联系电话：0730-8299370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采购代理机构</w:t>
            </w:r>
          </w:p>
        </w:tc>
        <w:tc>
          <w:tcPr>
            <w:tcW w:w="6702" w:type="dxa"/>
            <w:vAlign w:val="center"/>
          </w:tcPr>
          <w:p>
            <w:pPr>
              <w:shd w:val="clear"/>
              <w:adjustRightInd w:val="0"/>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采购代理机构：湖南顺天工程项目管理有限公司      </w:t>
            </w:r>
          </w:p>
          <w:p>
            <w:pPr>
              <w:shd w:val="clear"/>
              <w:adjustRightInd w:val="0"/>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地址：湖南省岳阳市岳阳楼区南湖大道盘龙写字楼九楼904室</w:t>
            </w:r>
          </w:p>
          <w:p>
            <w:pPr>
              <w:shd w:val="clear"/>
              <w:adjustRightInd w:val="0"/>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联系人：易颖慧</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b/>
            </w:r>
          </w:p>
          <w:p>
            <w:pPr>
              <w:shd w:val="clear"/>
              <w:adjustRightInd w:val="0"/>
              <w:snapToGrid w:val="0"/>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联系电话：18873040188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第2.6款</w:t>
            </w:r>
          </w:p>
        </w:tc>
        <w:tc>
          <w:tcPr>
            <w:tcW w:w="1755" w:type="dxa"/>
            <w:vAlign w:val="center"/>
          </w:tcPr>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采购进口产品</w:t>
            </w:r>
          </w:p>
        </w:tc>
        <w:tc>
          <w:tcPr>
            <w:tcW w:w="6702" w:type="dxa"/>
            <w:vAlign w:val="center"/>
          </w:tcPr>
          <w:p>
            <w:pPr>
              <w:shd w:val="clear"/>
              <w:adjustRightInd w:val="0"/>
              <w:snapToGrid w:val="0"/>
              <w:spacing w:before="156" w:beforeLines="50" w:after="156" w:afterLines="50" w:line="28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■本采购项目</w:t>
            </w: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拒绝进口产品参加投标</w:t>
            </w:r>
          </w:p>
          <w:p>
            <w:pPr>
              <w:shd w:val="clear"/>
              <w:adjustRightInd w:val="0"/>
              <w:snapToGrid w:val="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□本采购项目已经</w:t>
            </w: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财政部门审核同意购买进口产品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第3.1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资格条件</w:t>
            </w:r>
          </w:p>
        </w:tc>
        <w:tc>
          <w:tcPr>
            <w:tcW w:w="6702" w:type="dxa"/>
            <w:vAlign w:val="center"/>
          </w:tcPr>
          <w:p>
            <w:pPr>
              <w:shd w:val="clear"/>
              <w:adjustRightInd w:val="0"/>
              <w:snapToGrid w:val="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详见第一章【投标邀请】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第6.1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组织现场考察或者召开答疑会</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不组织</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组织，时间：地点： 联系人：，或者在招标文件提供期限截止后以书面形式通知所有获取招标文件的潜在投标人。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第6.2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投标人要求澄清招标文件的时间</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二、招标文件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第7.4</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招标文件公告期限</w:t>
            </w:r>
          </w:p>
        </w:tc>
        <w:tc>
          <w:tcPr>
            <w:tcW w:w="6702" w:type="dxa"/>
            <w:vAlign w:val="center"/>
          </w:tcPr>
          <w:p>
            <w:pPr>
              <w:shd w:val="clear"/>
              <w:adjustRightInd w:val="0"/>
              <w:snapToGrid w:val="0"/>
              <w:spacing w:line="360" w:lineRule="auto"/>
              <w:jc w:val="lef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从202</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 6</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日起至</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20</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3年</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日</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止，每天9：00-17：00(北京时间)，双休日及节假日除外</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第8.2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非实质性要求条款允许偏离的最多项数或范围</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非实质性要求条款允许偏离的最多项数≥ 10 项将导致投标无效。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7" w:hRule="atLeast"/>
        </w:trPr>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第10.1</w:t>
            </w:r>
            <w:r>
              <w:rPr>
                <w:rFonts w:hint="eastAsia" w:asciiTheme="minorEastAsia" w:hAnsiTheme="minorEastAsia" w:eastAsiaTheme="minorEastAsia" w:cstheme="minorEastAsia"/>
                <w:color w:val="000000" w:themeColor="text1"/>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指定的媒体</w:t>
            </w:r>
          </w:p>
        </w:tc>
        <w:tc>
          <w:tcPr>
            <w:tcW w:w="6702" w:type="dxa"/>
            <w:vAlign w:val="center"/>
          </w:tcPr>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中国</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政府采购网（http://www.ccgp.gov.cn/）</w:t>
            </w:r>
          </w:p>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岳阳市公共资源交易网（http://ggzy.yueyang.gov.cn/）</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三、投标文件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第14.1款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投标报价的规定</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投标人的投标报价不得超过采购预算，也不得超过最高限价(招标文件设定最高限价的)，否则其投标无效。</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第14.2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采购预算、最高限价（如果设）</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采购预算：</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3650000.00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元  最高限价：</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3650000.00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第16.4款</w:t>
            </w:r>
          </w:p>
        </w:tc>
        <w:tc>
          <w:tcPr>
            <w:tcW w:w="1755"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样品提供的规定</w:t>
            </w:r>
          </w:p>
        </w:tc>
        <w:tc>
          <w:tcPr>
            <w:tcW w:w="6702" w:type="dxa"/>
            <w:vAlign w:val="center"/>
          </w:tcPr>
          <w:p>
            <w:pPr>
              <w:shd w:val="clear"/>
              <w:adjustRightInd w:val="0"/>
              <w:snapToGrid w:val="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■不要求提供</w:t>
            </w:r>
          </w:p>
          <w:p>
            <w:pPr>
              <w:shd w:val="clear"/>
              <w:adjustRightInd w:val="0"/>
              <w:snapToGrid w:val="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sym w:font="Wingdings 2" w:char="00A3"/>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要求提供，提交的时间：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第17.1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投标有效期</w:t>
            </w:r>
          </w:p>
        </w:tc>
        <w:tc>
          <w:tcPr>
            <w:tcW w:w="6702" w:type="dxa"/>
            <w:vAlign w:val="center"/>
          </w:tcPr>
          <w:p>
            <w:pPr>
              <w:shd w:val="clear"/>
              <w:adjustRightInd w:val="0"/>
              <w:snapToGrid w:val="0"/>
              <w:spacing w:line="360" w:lineRule="auto"/>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90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第18.1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ind w:left="-533" w:leftChars="-254" w:firstLine="533" w:firstLineChars="254"/>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投标保证金</w:t>
            </w:r>
          </w:p>
        </w:tc>
        <w:tc>
          <w:tcPr>
            <w:tcW w:w="6702" w:type="dxa"/>
            <w:vAlign w:val="center"/>
          </w:tcPr>
          <w:p>
            <w:pPr>
              <w:shd w:val="clear"/>
              <w:adjustRightInd w:val="0"/>
              <w:snapToGrid w:val="0"/>
              <w:spacing w:before="156" w:beforeLines="50"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■本项目不要求提供</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第19.1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分包</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□允许分包。分包内容：分包金额和资质要求等。</w:t>
            </w:r>
          </w:p>
          <w:p>
            <w:pPr>
              <w:shd w:val="clear"/>
              <w:adjustRightInd w:val="0"/>
              <w:snapToGrid w:val="0"/>
              <w:spacing w:line="360" w:lineRule="auto"/>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不允许分包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第21.1款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电子投标文件</w:t>
            </w:r>
          </w:p>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制作要求</w:t>
            </w:r>
          </w:p>
        </w:tc>
        <w:tc>
          <w:tcPr>
            <w:tcW w:w="6702" w:type="dxa"/>
            <w:vAlign w:val="center"/>
          </w:tcPr>
          <w:p>
            <w:pPr>
              <w:shd w:val="clear"/>
              <w:spacing w:line="36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电子投标文件必须使用岳阳市公共资源交易网发布的“电子投标文件制作工具”编制生成。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第20款</w:t>
            </w:r>
          </w:p>
        </w:tc>
        <w:tc>
          <w:tcPr>
            <w:tcW w:w="1755" w:type="dxa"/>
            <w:vAlign w:val="center"/>
          </w:tcPr>
          <w:p>
            <w:pPr>
              <w:shd w:val="clear"/>
              <w:spacing w:line="288"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投标文件份数</w:t>
            </w:r>
          </w:p>
        </w:tc>
        <w:tc>
          <w:tcPr>
            <w:tcW w:w="6702" w:type="dxa"/>
            <w:vAlign w:val="center"/>
          </w:tcPr>
          <w:p>
            <w:pPr>
              <w:shd w:val="clear"/>
              <w:adjustRightInd w:val="0"/>
              <w:snapToGrid w:val="0"/>
              <w:spacing w:before="156" w:beforeLines="50"/>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应在投标截止时间前通过岳阳市公共资源交易平台递交电子投标文件，（中标单位在领取中标通知书之前，需要提供一正两副共三份完整的纸质投标文件用于备案，当提供的纸质文件资料与岳阳市公共资源交易网记录的电子文件资料不一致时，以电子文件资料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四、投标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投标文件的递交</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实行网上投标，投标人必须在采购文件规定的投标截止时间前用电子密钥登录</w:t>
            </w: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“岳阳市公共资源交易中心</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电子交易平台”</w:t>
            </w: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（http：//222.242.228.197：8083/TPBidder/memberLogin）</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完成文件递交。</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其递交的电子投标文件具备法律效力，逾期递交的电子投标文件，电子交易平台将予以拒收。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五、开标、资格审查和评标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9" w:hRule="atLeast"/>
        </w:trPr>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第26.1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需要宣布的其他内容</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第26.2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解密时长</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30  分钟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733" w:type="dxa"/>
            <w:gridSpan w:val="3"/>
            <w:vAlign w:val="center"/>
          </w:tcPr>
          <w:p>
            <w:pPr>
              <w:shd w:val="clear"/>
              <w:adjustRightInd w:val="0"/>
              <w:snapToGrid w:val="0"/>
              <w:spacing w:line="360" w:lineRule="auto"/>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六、中标信息公布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第31.2</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确定中标人的方式</w:t>
            </w:r>
          </w:p>
        </w:tc>
        <w:tc>
          <w:tcPr>
            <w:tcW w:w="6702" w:type="dxa"/>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得分相同的，按投标报价由低到高顺序排列。得分且投标报价相同的并列。投标文件满足招标文件全部实质性要求，且按照评审因素的量化指标评审得分最高的投标人为排名第一的中标候选人。</w:t>
            </w:r>
          </w:p>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随机抽取的方式。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733" w:type="dxa"/>
            <w:gridSpan w:val="3"/>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七、合同签订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第34.1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履约担保</w:t>
            </w:r>
          </w:p>
        </w:tc>
        <w:tc>
          <w:tcPr>
            <w:tcW w:w="6702" w:type="dxa"/>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□不要求提供</w:t>
            </w:r>
          </w:p>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■要求提供，履约担保的金额为：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_(现金或保函)。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733" w:type="dxa"/>
            <w:gridSpan w:val="3"/>
            <w:vAlign w:val="center"/>
          </w:tcPr>
          <w:p>
            <w:pPr>
              <w:shd w:val="clear"/>
              <w:adjustRightInd w:val="0"/>
              <w:snapToGrid w:val="0"/>
              <w:spacing w:before="156" w:beforeLines="50" w:line="400" w:lineRule="exac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八、其他规定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第38.1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招标代理服务费</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招标代理服务费：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按照招标代理服务费计价格(2002)1980号并下浮</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76"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第39.1</w:t>
            </w:r>
            <w:r>
              <w:rPr>
                <w:rFonts w:hint="eastAsia" w:asciiTheme="minorEastAsia" w:hAnsiTheme="minorEastAsia" w:eastAsiaTheme="minorEastAsia" w:cstheme="minorEastAsia"/>
                <w:color w:val="000000" w:themeColor="text1"/>
                <w:kern w:val="0"/>
                <w:szCs w:val="21"/>
                <w:highlight w:val="none"/>
                <w:lang w:val="zh-CN"/>
                <w14:textFill>
                  <w14:solidFill>
                    <w14:schemeClr w14:val="tx1"/>
                  </w14:solidFill>
                </w14:textFill>
              </w:rPr>
              <w:t>款</w:t>
            </w:r>
          </w:p>
        </w:tc>
        <w:tc>
          <w:tcPr>
            <w:tcW w:w="1755" w:type="dxa"/>
            <w:vAlign w:val="center"/>
          </w:tcPr>
          <w:p>
            <w:pPr>
              <w:shd w:val="clear"/>
              <w:adjustRightInd w:val="0"/>
              <w:snapToGrid w:val="0"/>
              <w:spacing w:line="360" w:lineRule="auto"/>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其他规定</w:t>
            </w:r>
          </w:p>
        </w:tc>
        <w:tc>
          <w:tcPr>
            <w:tcW w:w="6702" w:type="dxa"/>
            <w:vAlign w:val="center"/>
          </w:tcPr>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对列入失信被执行人、重大税收违法失信主体名单、政府采购严重违法失信行为记录名单及其他不符合《中华人民共和国政府采购法》第二十二条规定条件的供应商，应当拒绝其参与采购活动。</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两个以上的自然人、法人或者其他组织组成一个联合体，以一个供应商的身份共同参加采购活动的，应当对所有联合体成员进行信用记录查询，联合体成员存在不良信用记录的，视同联合体存在不良信用记录。</w:t>
            </w:r>
          </w:p>
          <w:p>
            <w:pPr>
              <w:shd w:val="clear"/>
              <w:adjustRightInd w:val="0"/>
              <w:snapToGrid w:val="0"/>
              <w:spacing w:line="360" w:lineRule="auto"/>
              <w:jc w:val="left"/>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1、信用信息查询的查询渠道：信用中国网站（www.creditchina.gov.cn）、中国政府采购网（www.ccgp.gov.cn）、湖南信用网（https://credit.fgw.hunan.gov.cn/）和湖南省政府采购网（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"http://www.ccgp-hunan.gov.cn"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www.ccgp-hunan.gov.cn</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2、信用信息查询的截止时点：至本项目投标截止时间止。</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3、信用信息查询记录的具体方式：由采购人或采购代理机构在规定的查询渠道进行查询。</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4、信用信息查询记录证据留存的具体方式：查询记录的网上打印件。</w:t>
            </w:r>
          </w:p>
          <w:p>
            <w:pPr>
              <w:shd w:val="clear"/>
              <w:adjustRightInd w:val="0"/>
              <w:snapToGrid w:val="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5、信用信息的使用规则：留存备查。</w:t>
            </w:r>
          </w:p>
        </w:tc>
      </w:tr>
    </w:tbl>
    <w:p>
      <w:pPr>
        <w:shd w:val="clear"/>
        <w:adjustRightInd w:val="0"/>
        <w:snapToGrid w:val="0"/>
        <w:spacing w:line="360" w:lineRule="auto"/>
        <w:rPr>
          <w:rFonts w:ascii="黑体" w:hAnsi="宋体" w:eastAsia="黑体" w:cs="宋体"/>
          <w:color w:val="000000" w:themeColor="text1"/>
          <w:kern w:val="0"/>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r>
      <w:r>
        <w:rPr>
          <w:rFonts w:hint="eastAsia" w:ascii="黑体" w:hAnsi="宋体" w:eastAsia="黑体" w:cs="宋体"/>
          <w:color w:val="000000" w:themeColor="text1"/>
          <w:kern w:val="0"/>
          <w:szCs w:val="21"/>
          <w:highlight w:val="none"/>
          <w14:textFill>
            <w14:solidFill>
              <w14:schemeClr w14:val="tx1"/>
            </w14:solidFill>
          </w14:textFill>
        </w:rPr>
        <w:t>附页2-1</w:t>
      </w:r>
    </w:p>
    <w:p>
      <w:pPr>
        <w:shd w:val="clear"/>
        <w:spacing w:line="360" w:lineRule="exact"/>
        <w:ind w:right="-58"/>
        <w:jc w:val="center"/>
        <w:rPr>
          <w:rFonts w:ascii="宋体" w:hAnsi="宋体" w:cs="仿宋_GB2312"/>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岳阳市公共资源交易事前信用承诺书</w:t>
      </w:r>
    </w:p>
    <w:p>
      <w:pPr>
        <w:shd w:val="clear"/>
        <w:spacing w:line="560" w:lineRule="exact"/>
        <w:ind w:right="-58" w:firstLine="843" w:firstLineChars="300"/>
        <w:rPr>
          <w:rFonts w:ascii="宋体" w:hAnsi="宋体" w:cs="仿宋_GB2312"/>
          <w:color w:val="000000" w:themeColor="text1"/>
          <w:kern w:val="0"/>
          <w:sz w:val="32"/>
          <w:szCs w:val="32"/>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（投标人、供应商、竞买人、受让人等交易主体适用范本）</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为推进社会信用体系建设，营造诚实守信的公共资源交易环境，树立诚信守法、公平竞争的交易形象，本人作为（单位名称）的法定代表人代表本单位作出以下诚信承诺：</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（一）本单位填报或提交的单位基本信息、单位负责人、项目负责人、技术负责人、从业资质和资格、业绩、财务状况、信誉等所有资料和信息，均合法、真实、准确、有效，无任何伪造、篡改、虚假成份。</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（二）严格依照国家、湖南省和岳阳市关于公共资源交易的法律、法规、规章、规范性文件，参加公共资源交易活动；积极履行社会责任，促进廉政建设。</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（三）严格遵守岳阳市公共资源交易市场主体信息公示规定，及时维护和更新公共资源交易市场主体信息库中信息。</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参与公共资源交易活动系本单位自愿行为。保证无组织或参与围标、串标、出卖（借）、转让资质证书或接受他人挂靠投标、以他人名义参与竞争或以其他方式弄虚作假骗取中标（成交）、恶意报价、恶意投诉等违法违规行为。</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（五）守合同、重信用，加强单位诚信建设。保证无恶意提高造价、违约毁约等行为。自觉维护公共资源交易良好秩序，自觉接受行政监督部门、纪检监察机关、行业组织、社会公众、新闻舆论的监督。</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本单位自愿接受公共资源交易监督管理机构和有关行政监督部门的依法检查。如发生违法违规或不良行为，自愿接受有关行政监督部门依法给予的行政处罚（处理），执行诚信不良行为记录联合惩戒措施，触犯法律的，依法承担法律责任。</w:t>
      </w:r>
    </w:p>
    <w:p>
      <w:pPr>
        <w:widowControl/>
        <w:shd w:val="clear"/>
        <w:spacing w:line="56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（七）本人郑重作出上述承诺。本人和单位员工均已熟悉诚信承诺内容并认真践行承诺。</w:t>
      </w:r>
    </w:p>
    <w:p>
      <w:pPr>
        <w:widowControl/>
        <w:shd w:val="clear"/>
        <w:spacing w:line="560" w:lineRule="exact"/>
        <w:ind w:right="-57" w:firstLine="6090" w:firstLineChars="29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法定代表人签名：                                                </w:t>
      </w:r>
    </w:p>
    <w:p>
      <w:pPr>
        <w:widowControl/>
        <w:shd w:val="clear"/>
        <w:spacing w:line="560" w:lineRule="exact"/>
        <w:ind w:right="-57" w:firstLine="6090" w:firstLineChars="29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单位名称（盖章）：</w:t>
      </w:r>
    </w:p>
    <w:p>
      <w:pPr>
        <w:shd w:val="clear"/>
        <w:adjustRightInd w:val="0"/>
        <w:snapToGrid w:val="0"/>
        <w:spacing w:line="360" w:lineRule="auto"/>
        <w:jc w:val="left"/>
        <w:rPr>
          <w:b/>
          <w:color w:val="000000" w:themeColor="text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                                                               年    月    日</w:t>
      </w:r>
    </w:p>
    <w:p>
      <w:pPr>
        <w:shd w:val="clear"/>
        <w:adjustRightInd w:val="0"/>
        <w:snapToGrid w:val="0"/>
        <w:spacing w:line="360" w:lineRule="auto"/>
        <w:jc w:val="center"/>
        <w:rPr>
          <w:rFonts w:ascii="黑体" w:hAnsi="宋体" w:eastAsia="黑体"/>
          <w:bCs/>
          <w:color w:val="000000" w:themeColor="text1"/>
          <w:szCs w:val="21"/>
          <w:highlight w:val="none"/>
          <w14:textFill>
            <w14:solidFill>
              <w14:schemeClr w14:val="tx1"/>
            </w14:solidFill>
          </w14:textFill>
        </w:rPr>
      </w:pPr>
      <w:r>
        <w:rPr>
          <w:rFonts w:hint="eastAsia" w:ascii="黑体" w:hAnsi="宋体" w:eastAsia="黑体"/>
          <w:bCs/>
          <w:color w:val="000000" w:themeColor="text1"/>
          <w:szCs w:val="21"/>
          <w:highlight w:val="none"/>
          <w14:textFill>
            <w14:solidFill>
              <w14:schemeClr w14:val="tx1"/>
            </w14:solidFill>
          </w14:textFill>
        </w:rPr>
        <w:br w:type="page"/>
      </w:r>
    </w:p>
    <w:p>
      <w:pPr>
        <w:shd w:val="clear"/>
        <w:adjustRightInd w:val="0"/>
        <w:snapToGrid w:val="0"/>
        <w:spacing w:line="360" w:lineRule="auto"/>
        <w:rPr>
          <w:rFonts w:ascii="黑体" w:hAnsi="宋体" w:eastAsia="黑体"/>
          <w:bCs/>
          <w:color w:val="000000" w:themeColor="text1"/>
          <w:szCs w:val="21"/>
          <w:highlight w:val="none"/>
          <w14:textFill>
            <w14:solidFill>
              <w14:schemeClr w14:val="tx1"/>
            </w14:solidFill>
          </w14:textFill>
        </w:rPr>
      </w:pPr>
      <w:r>
        <w:rPr>
          <w:rFonts w:hint="eastAsia" w:ascii="黑体" w:hAnsi="宋体" w:eastAsia="黑体"/>
          <w:bCs/>
          <w:color w:val="000000" w:themeColor="text1"/>
          <w:szCs w:val="21"/>
          <w:highlight w:val="none"/>
          <w14:textFill>
            <w14:solidFill>
              <w14:schemeClr w14:val="tx1"/>
            </w14:solidFill>
          </w14:textFill>
        </w:rPr>
        <w:t>附页2-2</w:t>
      </w:r>
    </w:p>
    <w:p>
      <w:pPr>
        <w:shd w:val="clea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湖南省政府采购支持中小企业融资合作银行及联系人名单</w:t>
      </w:r>
    </w:p>
    <w:tbl>
      <w:tblPr>
        <w:tblStyle w:val="47"/>
        <w:tblW w:w="0" w:type="auto"/>
        <w:tblInd w:w="24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902"/>
        <w:gridCol w:w="1466"/>
        <w:gridCol w:w="3267"/>
        <w:gridCol w:w="181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9" w:hRule="atLeast"/>
        </w:trPr>
        <w:tc>
          <w:tcPr>
            <w:tcW w:w="2902"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银行名称</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联系人</w:t>
            </w:r>
          </w:p>
        </w:tc>
        <w:tc>
          <w:tcPr>
            <w:tcW w:w="3267"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职 务</w:t>
            </w:r>
          </w:p>
        </w:tc>
        <w:tc>
          <w:tcPr>
            <w:tcW w:w="1815"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1"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交通银行湖南省分行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刘 波</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名城支行客户经理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13874998873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9"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交通银行湖南省分行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肖勇光</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分行高级经理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13755192647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7"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中国民生银行长沙分行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黄飞燕</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营业部总经理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13308463468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7"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中国民生银行长沙分行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蒋寒奇</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营业部中小企业客户经理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13548982975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2"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兴业银行长沙分行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刘栅延</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支行行长</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13337316405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8"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兴业银行长沙分行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蒋修远</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支行客户经理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18607310422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中国光大银行长沙分行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邓永胜</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岳麓支行副行长</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13617319650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1"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中信银行长沙分行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蔡学军</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公司银行部负责人</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13055167195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5" w:hRule="atLeast"/>
        </w:trPr>
        <w:tc>
          <w:tcPr>
            <w:tcW w:w="2902"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中信银行长沙分行</w:t>
            </w:r>
          </w:p>
        </w:tc>
        <w:tc>
          <w:tcPr>
            <w:tcW w:w="146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宋学农</w:t>
            </w:r>
          </w:p>
        </w:tc>
        <w:tc>
          <w:tcPr>
            <w:tcW w:w="3267"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银行部综合管理部副总经理</w:t>
            </w:r>
          </w:p>
        </w:tc>
        <w:tc>
          <w:tcPr>
            <w:tcW w:w="181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0731-845822141</w:t>
            </w:r>
          </w:p>
        </w:tc>
      </w:tr>
    </w:tbl>
    <w:p>
      <w:pPr>
        <w:shd w:val="clea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岳阳市政府采购支持中小企业融资合作银行及联系人名单</w:t>
      </w:r>
    </w:p>
    <w:tbl>
      <w:tblPr>
        <w:tblStyle w:val="47"/>
        <w:tblW w:w="0" w:type="auto"/>
        <w:tblInd w:w="25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84"/>
        <w:gridCol w:w="1086"/>
        <w:gridCol w:w="3670"/>
        <w:gridCol w:w="229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3" w:hRule="atLeast"/>
        </w:trPr>
        <w:tc>
          <w:tcPr>
            <w:tcW w:w="2384"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银行名称</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联系人</w:t>
            </w:r>
          </w:p>
        </w:tc>
        <w:tc>
          <w:tcPr>
            <w:tcW w:w="3670"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职 务</w:t>
            </w:r>
          </w:p>
        </w:tc>
        <w:tc>
          <w:tcPr>
            <w:tcW w:w="2295"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s="宋体"/>
                <w:bCs/>
                <w:color w:val="000000" w:themeColor="text1"/>
                <w:kern w:val="0"/>
                <w:sz w:val="18"/>
                <w:szCs w:val="18"/>
                <w:highlight w:val="none"/>
                <w14:textFill>
                  <w14:solidFill>
                    <w14:schemeClr w14:val="tx1"/>
                  </w14:solidFill>
                </w14:textFill>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交通银行岳阳分行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黄颖</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普惠金融部负责人</w:t>
            </w: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18873011060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光大银行岳阳分行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黄睿</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13907303977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建设银行岳阳市分行</w:t>
            </w:r>
          </w:p>
        </w:tc>
        <w:tc>
          <w:tcPr>
            <w:tcW w:w="1086" w:type="dxa"/>
            <w:vAlign w:val="center"/>
          </w:tcPr>
          <w:p>
            <w:pPr>
              <w:widowControl/>
              <w:shd w:val="clear"/>
              <w:ind w:firstLine="180" w:firstLineChars="100"/>
              <w:jc w:val="left"/>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艾慧平</w:t>
            </w:r>
          </w:p>
        </w:tc>
        <w:tc>
          <w:tcPr>
            <w:tcW w:w="3670" w:type="dxa"/>
            <w:vAlign w:val="center"/>
          </w:tcPr>
          <w:p>
            <w:pPr>
              <w:widowControl/>
              <w:shd w:val="clear"/>
              <w:jc w:val="left"/>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建湘北路支行副行长</w:t>
            </w:r>
          </w:p>
        </w:tc>
        <w:tc>
          <w:tcPr>
            <w:tcW w:w="2295" w:type="dxa"/>
            <w:vAlign w:val="center"/>
          </w:tcPr>
          <w:p>
            <w:pPr>
              <w:widowControl/>
              <w:shd w:val="clear"/>
              <w:jc w:val="left"/>
              <w:rPr>
                <w:rFonts w:ascii="宋体" w:hAnsi="宋体" w:cs="宋体"/>
                <w:color w:val="000000" w:themeColor="text1"/>
                <w:kern w:val="0"/>
                <w:sz w:val="18"/>
                <w:szCs w:val="18"/>
                <w:highlight w:val="none"/>
                <w14:textFill>
                  <w14:solidFill>
                    <w14:schemeClr w14:val="tx1"/>
                  </w14:solidFill>
                </w14:textFill>
              </w:rPr>
            </w:pPr>
            <w:r>
              <w:rPr>
                <w:rFonts w:ascii="宋体" w:hAnsi="宋体" w:cs="宋体"/>
                <w:color w:val="000000" w:themeColor="text1"/>
                <w:kern w:val="0"/>
                <w:sz w:val="18"/>
                <w:szCs w:val="18"/>
                <w:highlight w:val="none"/>
                <w14:textFill>
                  <w14:solidFill>
                    <w14:schemeClr w14:val="tx1"/>
                  </w14:solidFill>
                </w14:textFill>
              </w:rPr>
              <w:t>13907309202</w:t>
            </w:r>
            <w:r>
              <w:rPr>
                <w:rFonts w:hint="eastAsia" w:ascii="宋体" w:hAnsi="宋体" w:cs="宋体"/>
                <w:color w:val="000000" w:themeColor="text1"/>
                <w:kern w:val="0"/>
                <w:sz w:val="18"/>
                <w:szCs w:val="18"/>
                <w:highlight w:val="none"/>
                <w14:textFill>
                  <w14:solidFill>
                    <w14:schemeClr w14:val="tx1"/>
                  </w14:solidFill>
                </w14:textFill>
              </w:rPr>
              <w:t>；</w:t>
            </w:r>
            <w:r>
              <w:rPr>
                <w:rFonts w:ascii="宋体" w:hAnsi="宋体" w:cs="宋体"/>
                <w:color w:val="000000" w:themeColor="text1"/>
                <w:kern w:val="0"/>
                <w:sz w:val="18"/>
                <w:szCs w:val="18"/>
                <w:highlight w:val="none"/>
                <w14:textFill>
                  <w14:solidFill>
                    <w14:schemeClr w14:val="tx1"/>
                  </w14:solidFill>
                </w14:textFill>
              </w:rPr>
              <w:t xml:space="preserve"> 3069560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农业银行岳阳市分行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ascii="宋体" w:hAnsi="宋体" w:cs="Arial"/>
                <w:color w:val="000000" w:themeColor="text1"/>
                <w:sz w:val="18"/>
                <w:szCs w:val="18"/>
                <w:highlight w:val="none"/>
                <w:shd w:val="clear" w:color="auto" w:fill="FFFFFF"/>
                <w14:textFill>
                  <w14:solidFill>
                    <w14:schemeClr w14:val="tx1"/>
                  </w14:solidFill>
                </w14:textFill>
              </w:rPr>
              <w:t xml:space="preserve">黄立军 </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s="Arial"/>
                <w:color w:val="000000" w:themeColor="text1"/>
                <w:sz w:val="18"/>
                <w:szCs w:val="18"/>
                <w:highlight w:val="none"/>
                <w:shd w:val="clear" w:color="auto" w:fill="FFFFFF"/>
                <w14:textFill>
                  <w14:solidFill>
                    <w14:schemeClr w14:val="tx1"/>
                  </w14:solidFill>
                </w14:textFill>
              </w:rPr>
              <w:t>公司业务部  </w:t>
            </w: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s="Arial"/>
                <w:color w:val="000000" w:themeColor="text1"/>
                <w:sz w:val="18"/>
                <w:szCs w:val="18"/>
                <w:highlight w:val="none"/>
                <w:shd w:val="clear" w:color="auto" w:fill="FFFFFF"/>
                <w14:textFill>
                  <w14:solidFill>
                    <w14:schemeClr w14:val="tx1"/>
                  </w14:solidFill>
                </w14:textFill>
              </w:rPr>
              <w:t>18973061212</w:t>
            </w:r>
            <w:r>
              <w:rPr>
                <w:rFonts w:ascii="宋体" w:hAnsi="宋体"/>
                <w:color w:val="000000" w:themeColor="text1"/>
                <w:sz w:val="18"/>
                <w:szCs w:val="18"/>
                <w:highlight w:val="none"/>
                <w:shd w:val="clear" w:color="auto" w:fill="FFFFFF"/>
                <w14:textFill>
                  <w14:solidFill>
                    <w14:schemeClr w14:val="tx1"/>
                  </w14:solidFill>
                </w14:textFill>
              </w:rPr>
              <w:t>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华融湘江银行岳阳分行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谢平  </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财源支行副行长</w:t>
            </w: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shd w:val="clear" w:color="auto" w:fill="FFFFFF"/>
                <w14:textFill>
                  <w14:solidFill>
                    <w14:schemeClr w14:val="tx1"/>
                  </w14:solidFill>
                </w14:textFill>
              </w:rPr>
              <w:t>13007306404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工商银行岳阳分行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张奎</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13786098001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浦发银行岳阳分行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王勇拓</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18673070127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384"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邮储银行岳阳市分行</w:t>
            </w:r>
          </w:p>
        </w:tc>
        <w:tc>
          <w:tcPr>
            <w:tcW w:w="1086" w:type="dxa"/>
            <w:vAlign w:val="center"/>
          </w:tcPr>
          <w:p>
            <w:pPr>
              <w:shd w:val="clear"/>
              <w:adjustRightInd w:val="0"/>
              <w:snapToGrid w:val="0"/>
              <w:spacing w:before="156" w:beforeLines="50"/>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孙向红</w:t>
            </w:r>
          </w:p>
        </w:tc>
        <w:tc>
          <w:tcPr>
            <w:tcW w:w="3670"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p>
        </w:tc>
        <w:tc>
          <w:tcPr>
            <w:tcW w:w="2295" w:type="dxa"/>
            <w:vAlign w:val="center"/>
          </w:tcPr>
          <w:p>
            <w:pPr>
              <w:shd w:val="clear"/>
              <w:adjustRightInd w:val="0"/>
              <w:snapToGrid w:val="0"/>
              <w:spacing w:before="156" w:beforeLines="50"/>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13707307130</w:t>
            </w:r>
          </w:p>
        </w:tc>
      </w:tr>
    </w:tbl>
    <w:p>
      <w:pPr>
        <w:shd w:val="clear"/>
        <w:adjustRightInd w:val="0"/>
        <w:snapToGrid w:val="0"/>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湖南省政府采购信用担保试点工作的</w:t>
      </w:r>
      <w:r>
        <w:rPr>
          <w:rFonts w:hint="eastAsia" w:ascii="宋体" w:hAnsi="宋体"/>
          <w:b/>
          <w:color w:val="000000" w:themeColor="text1"/>
          <w:sz w:val="28"/>
          <w:szCs w:val="28"/>
          <w:highlight w:val="none"/>
          <w14:textFill>
            <w14:solidFill>
              <w14:schemeClr w14:val="tx1"/>
            </w14:solidFill>
          </w14:textFill>
        </w:rPr>
        <w:t>信用担保机构名单</w:t>
      </w:r>
    </w:p>
    <w:tbl>
      <w:tblPr>
        <w:tblStyle w:val="47"/>
        <w:tblW w:w="0" w:type="auto"/>
        <w:tblInd w:w="28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42"/>
        <w:gridCol w:w="1570"/>
        <w:gridCol w:w="31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4742" w:type="dxa"/>
            <w:vAlign w:val="center"/>
          </w:tcPr>
          <w:p>
            <w:pPr>
              <w:shd w:val="clear"/>
              <w:adjustRightInd w:val="0"/>
              <w:snapToGrid w:val="0"/>
              <w:spacing w:before="156" w:beforeLines="5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信用担保机构</w:t>
            </w:r>
          </w:p>
        </w:tc>
        <w:tc>
          <w:tcPr>
            <w:tcW w:w="1570" w:type="dxa"/>
            <w:vAlign w:val="center"/>
          </w:tcPr>
          <w:p>
            <w:pPr>
              <w:shd w:val="clear"/>
              <w:adjustRightInd w:val="0"/>
              <w:snapToGrid w:val="0"/>
              <w:spacing w:before="156" w:beforeLines="5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联系人</w:t>
            </w:r>
          </w:p>
        </w:tc>
        <w:tc>
          <w:tcPr>
            <w:tcW w:w="3108" w:type="dxa"/>
            <w:vAlign w:val="center"/>
          </w:tcPr>
          <w:p>
            <w:pPr>
              <w:shd w:val="clear"/>
              <w:adjustRightInd w:val="0"/>
              <w:snapToGrid w:val="0"/>
              <w:spacing w:before="156" w:beforeLines="5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4742" w:type="dxa"/>
            <w:vAlign w:val="center"/>
          </w:tcPr>
          <w:p>
            <w:pPr>
              <w:shd w:val="clear"/>
              <w:adjustRightInd w:val="0"/>
              <w:snapToGrid w:val="0"/>
              <w:spacing w:before="156" w:beforeLines="50"/>
              <w:jc w:val="left"/>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中国投资担保公司</w:t>
            </w:r>
          </w:p>
        </w:tc>
        <w:tc>
          <w:tcPr>
            <w:tcW w:w="1570" w:type="dxa"/>
            <w:vAlign w:val="center"/>
          </w:tcPr>
          <w:p>
            <w:pPr>
              <w:shd w:val="clear"/>
              <w:adjustRightInd w:val="0"/>
              <w:snapToGrid w:val="0"/>
              <w:spacing w:before="156" w:beforeLines="5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何嘉</w:t>
            </w:r>
          </w:p>
        </w:tc>
        <w:tc>
          <w:tcPr>
            <w:tcW w:w="3108" w:type="dxa"/>
            <w:vAlign w:val="center"/>
          </w:tcPr>
          <w:p>
            <w:pPr>
              <w:shd w:val="clear"/>
              <w:adjustRightInd w:val="0"/>
              <w:snapToGrid w:val="0"/>
              <w:spacing w:before="156" w:beforeLines="50"/>
              <w:jc w:val="left"/>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010-88822659/13718642233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742" w:type="dxa"/>
            <w:vAlign w:val="center"/>
          </w:tcPr>
          <w:p>
            <w:pPr>
              <w:shd w:val="clear"/>
              <w:adjustRightInd w:val="0"/>
              <w:snapToGrid w:val="0"/>
              <w:spacing w:before="156" w:beforeLines="50"/>
              <w:jc w:val="left"/>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湖南省中小企业信用担保有限责任公司</w:t>
            </w:r>
          </w:p>
        </w:tc>
        <w:tc>
          <w:tcPr>
            <w:tcW w:w="1570" w:type="dxa"/>
            <w:vAlign w:val="center"/>
          </w:tcPr>
          <w:p>
            <w:pPr>
              <w:shd w:val="clear"/>
              <w:adjustRightInd w:val="0"/>
              <w:snapToGrid w:val="0"/>
              <w:spacing w:before="156" w:beforeLines="5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蔡建雄</w:t>
            </w:r>
          </w:p>
        </w:tc>
        <w:tc>
          <w:tcPr>
            <w:tcW w:w="3108" w:type="dxa"/>
            <w:vAlign w:val="center"/>
          </w:tcPr>
          <w:p>
            <w:pPr>
              <w:shd w:val="clear"/>
              <w:adjustRightInd w:val="0"/>
              <w:snapToGrid w:val="0"/>
              <w:spacing w:before="156" w:beforeLines="50"/>
              <w:jc w:val="left"/>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0731-84172390-201/15573193555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2" w:hRule="atLeast"/>
        </w:trPr>
        <w:tc>
          <w:tcPr>
            <w:tcW w:w="4742" w:type="dxa"/>
            <w:vAlign w:val="center"/>
          </w:tcPr>
          <w:p>
            <w:pPr>
              <w:shd w:val="clear"/>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湖南农业信用担保有限公司</w:t>
            </w:r>
          </w:p>
        </w:tc>
        <w:tc>
          <w:tcPr>
            <w:tcW w:w="1570" w:type="dxa"/>
            <w:vAlign w:val="center"/>
          </w:tcPr>
          <w:p>
            <w:pPr>
              <w:shd w:val="clear"/>
              <w:adjustRightInd w:val="0"/>
              <w:snapToGrid w:val="0"/>
              <w:jc w:val="center"/>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彭球、邓霞英</w:t>
            </w:r>
          </w:p>
        </w:tc>
        <w:tc>
          <w:tcPr>
            <w:tcW w:w="3108" w:type="dxa"/>
            <w:vAlign w:val="center"/>
          </w:tcPr>
          <w:p>
            <w:pPr>
              <w:shd w:val="clear"/>
              <w:adjustRightInd w:val="0"/>
              <w:snapToGrid w:val="0"/>
              <w:spacing w:before="156" w:beforeLines="50"/>
              <w:jc w:val="left"/>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0731-89761702/13875980906</w:t>
            </w:r>
          </w:p>
          <w:p>
            <w:pPr>
              <w:shd w:val="clear"/>
              <w:adjustRightInd w:val="0"/>
              <w:snapToGrid w:val="0"/>
              <w:spacing w:before="156" w:beforeLines="50"/>
              <w:jc w:val="left"/>
              <w:rPr>
                <w:rFonts w:ascii="宋体" w:hAnsi="宋体" w:cs="宋体"/>
                <w:bCs/>
                <w:color w:val="000000" w:themeColor="text1"/>
                <w:kern w:val="0"/>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0731-89761706/13574125851</w:t>
            </w:r>
          </w:p>
        </w:tc>
      </w:tr>
    </w:tbl>
    <w:p>
      <w:pPr>
        <w:widowControl/>
        <w:shd w:val="clear"/>
        <w:jc w:val="center"/>
        <w:rPr>
          <w:rFonts w:ascii="黑体" w:hAnsi="华文中宋" w:eastAsia="黑体"/>
          <w:b/>
          <w:color w:val="000000" w:themeColor="text1"/>
          <w:sz w:val="28"/>
          <w:szCs w:val="28"/>
          <w:highlight w:val="none"/>
          <w14:textFill>
            <w14:solidFill>
              <w14:schemeClr w14:val="tx1"/>
            </w14:solidFill>
          </w14:textFill>
        </w:rPr>
      </w:pPr>
      <w:r>
        <w:rPr>
          <w:rFonts w:ascii="黑体" w:hAnsi="华文中宋" w:eastAsia="黑体"/>
          <w:b/>
          <w:color w:val="000000" w:themeColor="text1"/>
          <w:sz w:val="28"/>
          <w:szCs w:val="28"/>
          <w:highlight w:val="none"/>
          <w14:textFill>
            <w14:solidFill>
              <w14:schemeClr w14:val="tx1"/>
            </w14:solidFill>
          </w14:textFill>
        </w:rPr>
        <w:br w:type="page"/>
      </w:r>
      <w:r>
        <w:rPr>
          <w:rFonts w:hint="eastAsia" w:ascii="黑体" w:hAnsi="华文中宋" w:eastAsia="黑体"/>
          <w:b/>
          <w:color w:val="000000" w:themeColor="text1"/>
          <w:sz w:val="28"/>
          <w:szCs w:val="28"/>
          <w:highlight w:val="none"/>
          <w14:textFill>
            <w14:solidFill>
              <w14:schemeClr w14:val="tx1"/>
            </w14:solidFill>
          </w14:textFill>
        </w:rPr>
        <w:t>正文</w:t>
      </w:r>
    </w:p>
    <w:p>
      <w:pPr>
        <w:pStyle w:val="92"/>
        <w:shd w:val="clear"/>
        <w:ind w:firstLine="0" w:firstLineChars="0"/>
        <w:jc w:val="lef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一、总则</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1.适用范围</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1.1本招标文件仅适用于本章“投标须知前附表”（以下简称</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）中所叙述的采购项目。</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规定采购项目专门面向中小企业采购的，如投标人为非中小企业，其</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2.定义</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2.1采购人名称、地址、电话、联系人见</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2.2采购代理机构名称、地址、电话、联系人见</w:t>
      </w:r>
      <w:r>
        <w:rPr>
          <w:rFonts w:hint="eastAsia" w:ascii="宋体" w:hAnsi="宋体"/>
          <w:b/>
          <w:color w:val="000000" w:themeColor="text1"/>
          <w:szCs w:val="21"/>
          <w:highlight w:val="none"/>
          <w14:textFill>
            <w14:solidFill>
              <w14:schemeClr w14:val="tx1"/>
            </w14:solidFill>
          </w14:textFill>
        </w:rPr>
        <w:t>【投标须知前附表】。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2.3投标人系指响应招标、参加投标竞争的法人、其他组织或自然人。</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2.4货物是指各种形态和种类的物品，包括原材料、燃料、设备、产品等，详见《政府采购品目分类目录》（财库[2013]189号）。</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2.5服务是政府自身需要的服务和政府向社会公众提供的服务，详见《政府采购品目分类目录》（财库[2013]189号）。</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w:t>
      </w:r>
      <w:r>
        <w:rPr>
          <w:rFonts w:hint="eastAsia" w:ascii="宋体" w:hAnsi="宋体" w:cs="宋体"/>
          <w:color w:val="000000" w:themeColor="text1"/>
          <w:kern w:val="0"/>
          <w:szCs w:val="21"/>
          <w:highlight w:val="none"/>
          <w14:textFill>
            <w14:solidFill>
              <w14:schemeClr w14:val="tx1"/>
            </w14:solidFill>
          </w14:textFill>
        </w:rPr>
        <w:t>进口产品是指通过中国海关报关验放进入中国境内且产自关境外的产品，详见《关于政府采购进口产品管理有关问题的通知》（财库[2007]119号）。除</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s="宋体"/>
          <w:color w:val="000000" w:themeColor="text1"/>
          <w:kern w:val="0"/>
          <w:szCs w:val="21"/>
          <w:highlight w:val="none"/>
          <w14:textFill>
            <w14:solidFill>
              <w14:schemeClr w14:val="tx1"/>
            </w14:solidFill>
          </w14:textFill>
        </w:rPr>
        <w:t>另有规定外，采购项目拒绝进口产品参加投标。本款规定同意购买进口产品的，不限制满足招标文件要求的国内产品参与投标竞争。</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3.投标人的资格要求</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3.1投标人应当符合</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规定的投标人资格条件。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 xml:space="preserve">规定接受联合体形式投标的，投标人除应符合本章第3.1款规定外，还应遵守以下规定： </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（l）联合体中有同类资质的供应商按照联合体分工承担相同工作的，应当按照资质等级较低的供应商确定资质等级。</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（2）联合体各方应按招标文件提供的格式签订联合体协议书，明确联合体牵头人和各方的权利义务、合同工作量比例；</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（3）联合体各方签订联合体协议书后，不得再单独参加或者与其他投标人组成新的联合体参加同一合同项下的采购活动。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3.3投标人不得存在下列情形之一：</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（l）与采购人、采购代理机构存在</w:t>
      </w:r>
      <w:r>
        <w:rPr>
          <w:rFonts w:hint="eastAsia" w:ascii="宋体" w:hAnsi="宋体"/>
          <w:bCs/>
          <w:color w:val="000000" w:themeColor="text1"/>
          <w:szCs w:val="21"/>
          <w:highlight w:val="none"/>
          <w14:textFill>
            <w14:solidFill>
              <w14:schemeClr w14:val="tx1"/>
            </w14:solidFill>
          </w14:textFill>
        </w:rPr>
        <w:t>隶属关系或者其他利害关系</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（2）单位负责人为同一人或者存在直接控股、管理关系的不同投标人，不得参加同一合同项下的采购活动。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（3）为采购项目提供整体设计、规范编制或者项目管理、监理、检测等服务的投标人，不得再参加该采购项目的其他采购活动。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列入失信被执行人、重大税收违法失信主体名单、政府采购严重违法失信行为记录名单及其他不符合《中华人民共和国政府采购法》第二十二条规定条件（联合体形式投标的，联合体成员存在不良信用记录，视同联合体存在不良信用记录）。</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4.投标费用 </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4.1投标人应自行承担所有参与投标的相关费用，不论投标的结果如何，采购人或者采购代理机构均无义务和责任承担这些费用。</w:t>
      </w:r>
    </w:p>
    <w:p>
      <w:pPr>
        <w:shd w:val="clear"/>
        <w:adjustRightInd w:val="0"/>
        <w:snapToGrid w:val="0"/>
        <w:spacing w:line="360" w:lineRule="auto"/>
        <w:jc w:val="left"/>
        <w:rPr>
          <w:rFonts w:ascii="宋体" w:hAnsi="宋体"/>
          <w:b/>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5.</w:t>
      </w:r>
      <w:r>
        <w:rPr>
          <w:rFonts w:hint="eastAsia" w:ascii="宋体" w:hAnsi="宋体"/>
          <w:b/>
          <w:color w:val="000000" w:themeColor="text1"/>
          <w:highlight w:val="none"/>
          <w14:textFill>
            <w14:solidFill>
              <w14:schemeClr w14:val="tx1"/>
            </w14:solidFill>
          </w14:textFill>
        </w:rPr>
        <w:t>保密</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5.1参与招标投标活动的各方应对招标文件和投标文件中的商业和技术等秘密保密，违者应对由此造成的后果承担法律责任。</w:t>
      </w:r>
    </w:p>
    <w:p>
      <w:pPr>
        <w:shd w:val="clear"/>
        <w:adjustRightInd w:val="0"/>
        <w:snapToGrid w:val="0"/>
        <w:spacing w:line="360" w:lineRule="auto"/>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6．组织现场考察或者召开答疑会</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1采购人或者采购代理机构组织现场考察或者召开开标前答疑会的，获取招标文件的潜在投标人应按【投标须知前附表】规定参加现场考察或者答疑会；如不参加，其风险由其自行承担。</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6.2采购人或者采购代理机构召开开标前答疑会的，获取招标文件的潜在投标人应按</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规定的时间，以书面形式将提出的问题送达采购代理机构，以便采购人或者采购代理机构在会议期间澄清。答疑会后，对投标人所提问题的澄清，采购代理机构将按本章第10.1款或第10.2款相应规定办理。</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6.3潜在投标人现场考察或者参加答疑会的费用由自己承担，现场考察期间所发生的人身伤害及财产损失由自己负责。</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6.4采购人或者采购代理机构不对投标人据此而做出的推论、理解和结论负责。投标人一旦中标，不得以任何借口，提出额外补偿，或延长合同期限的要求。</w:t>
      </w:r>
    </w:p>
    <w:p>
      <w:pPr>
        <w:shd w:val="clear"/>
        <w:adjustRightInd w:val="0"/>
        <w:snapToGrid w:val="0"/>
        <w:spacing w:line="360" w:lineRule="auto"/>
        <w:jc w:val="left"/>
        <w:rPr>
          <w:rFonts w:ascii="宋体" w:hAnsi="宋体"/>
          <w:color w:val="000000" w:themeColor="text1"/>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二、招标文件</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7.招标文件的构成</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招标文件共七章，各章内容如下：</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第一章 投标邀请</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 投标须知</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第三章 资格审查</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第四章 评标方法及标准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 采购需求</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第六章 政府采购合同</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第七章 投标文件的组成</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7.2采购人、采购代理机构在提交投标文件截止时间前</w:t>
      </w:r>
      <w:r>
        <w:rPr>
          <w:rFonts w:hint="eastAsia" w:ascii="宋体" w:hAnsi="宋体" w:cs="宋体"/>
          <w:color w:val="000000" w:themeColor="text1"/>
          <w:szCs w:val="21"/>
          <w:highlight w:val="none"/>
          <w14:textFill>
            <w14:solidFill>
              <w14:schemeClr w14:val="tx1"/>
            </w14:solidFill>
          </w14:textFill>
        </w:rPr>
        <w:t>对招标文件所作的澄清或者修改，构成招标文件的组成部分。</w:t>
      </w:r>
    </w:p>
    <w:p>
      <w:pPr>
        <w:shd w:val="clear"/>
        <w:adjustRightInd w:val="0"/>
        <w:snapToGrid w:val="0"/>
        <w:spacing w:line="360" w:lineRule="auto"/>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8．偏离与实质性响应</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8.1投标人应当按照招标文件的要求编制投标文件。投标文件应当对招标文件提出的要求和条件作出明确响应。</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8.2偏离是指投标文件不响应或者不满足招标文件提出的要求和条件，分为实质性偏离和非实质性偏离。</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8.3除法律、法规和招标文件规定的其他投标无效情形外，招标文件中用“★”符号标明的条款为实质性要求和条件，对其中任何一条的偏离，为实质性偏离，其投标无效。</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8.4投标文件偏离招标文件的非实质性要求和条件，为非实质性偏离。非实质性偏离的范围和幅度应当符合【投标须知前附表】的规定，否则投标无效。</w:t>
      </w:r>
    </w:p>
    <w:p>
      <w:pPr>
        <w:shd w:val="clear"/>
        <w:adjustRightInd w:val="0"/>
        <w:snapToGrid w:val="0"/>
        <w:spacing w:line="360" w:lineRule="auto"/>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9.询问</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9.1潜在投标人应仔细阅读和检查招标文件的全部内容。如有疑问，可以向采购人或者采购代理机构提出询问。</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10.招标文件的澄清或者修改</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10.1采购人、采购代理机构对已发出的招标文件进行必要澄清或者修改的，将在</w:t>
      </w:r>
      <w:r>
        <w:rPr>
          <w:rFonts w:hint="eastAsia" w:ascii="宋体" w:hAnsi="宋体"/>
          <w:b/>
          <w:color w:val="000000" w:themeColor="text1"/>
          <w:highlight w:val="none"/>
          <w14:textFill>
            <w14:solidFill>
              <w14:schemeClr w14:val="tx1"/>
            </w14:solidFill>
          </w14:textFill>
        </w:rPr>
        <w:t>【投标须知前附表】</w:t>
      </w:r>
      <w:r>
        <w:rPr>
          <w:rFonts w:hint="eastAsia" w:ascii="宋体" w:hAnsi="宋体"/>
          <w:color w:val="000000" w:themeColor="text1"/>
          <w:highlight w:val="none"/>
          <w14:textFill>
            <w14:solidFill>
              <w14:schemeClr w14:val="tx1"/>
            </w14:solidFill>
          </w14:textFill>
        </w:rPr>
        <w:t>规定的招标公告指定媒体上发布澄清或者修改公告。</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10.2澄清或者修改的内容可能影响投标文件编制的，采购人、采购代理机构将在提交投标文件截止时间15日前，以书面形式通知所有获取招标文件的潜在投标人；不足15日的，将相应延长提交投标文件的截止时间。</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10.3招标文件的提供期限届满后，获取招标文件的潜在投标人不足3家的，可以顺延提供期限，并在指定媒体上发布修改公告。</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10.4 通过电子招标投标交易平台下载招标文件的，请获取招标文件的潜在投标人及时关注招标公告指定媒体发布的澄清或者修改公告，采购人、采购代理机构不再书面通知。</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三、投标文件</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11.投标语言</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11.1除专用术语外，投标人提交的投标文件及投标人与采购代理机构就有关投标的所有来往函电均使用中文。投标人可以提交其它语言的资料，但应附有中文注释，有差异时以中文为准。</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12.</w:t>
      </w:r>
      <w:r>
        <w:rPr>
          <w:rFonts w:hint="eastAsia" w:ascii="宋体" w:hAnsi="宋体"/>
          <w:b/>
          <w:color w:val="000000" w:themeColor="text1"/>
          <w:szCs w:val="21"/>
          <w:highlight w:val="none"/>
          <w14:textFill>
            <w14:solidFill>
              <w14:schemeClr w14:val="tx1"/>
            </w14:solidFill>
          </w14:textFill>
        </w:rPr>
        <w:t xml:space="preserve"> 计量单位</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12.1所有计量均采用中华人民共和国法定计量单位。</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13.</w:t>
      </w:r>
      <w:r>
        <w:rPr>
          <w:rFonts w:hint="eastAsia" w:ascii="宋体" w:hAnsi="宋体"/>
          <w:b/>
          <w:bCs/>
          <w:color w:val="000000" w:themeColor="text1"/>
          <w:szCs w:val="21"/>
          <w:highlight w:val="none"/>
          <w14:textFill>
            <w14:solidFill>
              <w14:schemeClr w14:val="tx1"/>
            </w14:solidFill>
          </w14:textFill>
        </w:rPr>
        <w:t xml:space="preserve"> 投标文件的组成</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13.1投标文件由如下内容组成：</w:t>
      </w:r>
    </w:p>
    <w:p>
      <w:pPr>
        <w:shd w:val="clear"/>
        <w:adjustRightInd w:val="0"/>
        <w:snapToGrid w:val="0"/>
        <w:spacing w:before="156" w:beforeLines="50" w:line="360" w:lineRule="auto"/>
        <w:ind w:firstLine="422"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第一部分 资格证明文件</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（1）开标一览表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（2）投标保</w:t>
      </w:r>
      <w:r>
        <w:rPr>
          <w:rFonts w:hint="eastAsia" w:ascii="宋体" w:hAnsi="宋体"/>
          <w:bCs/>
          <w:color w:val="000000" w:themeColor="text1"/>
          <w:szCs w:val="21"/>
          <w:highlight w:val="none"/>
          <w14:textFill>
            <w14:solidFill>
              <w14:schemeClr w14:val="tx1"/>
            </w14:solidFill>
          </w14:textFill>
        </w:rPr>
        <w:t>证金</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（3）法定代表人（单位负责人）身份证明或授权委托书</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（4）投标人提供的资格证明文件</w:t>
      </w:r>
    </w:p>
    <w:p>
      <w:pPr>
        <w:shd w:val="clear"/>
        <w:adjustRightInd w:val="0"/>
        <w:snapToGrid w:val="0"/>
        <w:spacing w:before="156" w:beforeLines="50" w:line="360" w:lineRule="auto"/>
        <w:ind w:firstLine="422"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第二部分 商务和技术文件</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（5）投标函</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（6）分项报价</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（7）采购需求响应</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（8）合同条款偏离表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（9）采购需求偏离表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（10）享受政府采购政策优惠的证明资料</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（11）投标货物符合招标文件规定的证明文件</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（12）投标人认为需提供的其他资料</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13.2投标人可以编制资格审查索引表、符合性审查索引表、评审索引表，以方便采购人、采购代理机构、评标委员会在资格审查及评审时查阅。</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13.3根据《政府采购法》第四十二条的规定，投标人无论中标与否，其投标文件不予退还。</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14. 投标报价</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2投标人的投标报价不得超过采购预算，也不得超过最高限价(如果设定)，否则其</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。采购项目预算、最高限价见</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14.3 投标人应在分项报价明细表中对每项内容给予详细分项</w:t>
      </w:r>
      <w:r>
        <w:rPr>
          <w:rFonts w:hint="eastAsia" w:ascii="宋体" w:hAnsi="宋体"/>
          <w:color w:val="000000" w:themeColor="text1"/>
          <w:highlight w:val="none"/>
          <w14:textFill>
            <w14:solidFill>
              <w14:schemeClr w14:val="tx1"/>
            </w14:solidFill>
          </w14:textFill>
        </w:rPr>
        <w:t>报价。</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14.4投标人对采购项目内容只允许有一个投标报价，否则其</w:t>
      </w:r>
      <w:r>
        <w:rPr>
          <w:rFonts w:hint="eastAsia" w:ascii="宋体" w:hAnsi="宋体"/>
          <w:b/>
          <w:color w:val="000000" w:themeColor="text1"/>
          <w:highlight w:val="none"/>
          <w14:textFill>
            <w14:solidFill>
              <w14:schemeClr w14:val="tx1"/>
            </w14:solidFill>
          </w14:textFill>
        </w:rPr>
        <w:t>投标无效</w:t>
      </w:r>
      <w:r>
        <w:rPr>
          <w:rFonts w:hint="eastAsia" w:ascii="宋体" w:hAnsi="宋体"/>
          <w:color w:val="000000" w:themeColor="text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14.5采购人不接受投标人给予的赠品、回扣或者与采购无关的其他商品、服务。如有赠与行为，其</w:t>
      </w:r>
      <w:r>
        <w:rPr>
          <w:rFonts w:hint="eastAsia" w:ascii="宋体" w:hAnsi="宋体"/>
          <w:b/>
          <w:color w:val="000000" w:themeColor="text1"/>
          <w:highlight w:val="none"/>
          <w14:textFill>
            <w14:solidFill>
              <w14:schemeClr w14:val="tx1"/>
            </w14:solidFill>
          </w14:textFill>
        </w:rPr>
        <w:t>投标无效</w:t>
      </w:r>
      <w:r>
        <w:rPr>
          <w:rFonts w:hint="eastAsia" w:ascii="宋体" w:hAnsi="宋体"/>
          <w:color w:val="000000" w:themeColor="text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14.6</w:t>
      </w:r>
      <w:r>
        <w:rPr>
          <w:rFonts w:hint="eastAsia" w:ascii="宋体" w:hAnsi="宋体"/>
          <w:color w:val="000000" w:themeColor="text1"/>
          <w:highlight w:val="none"/>
          <w14:textFill>
            <w14:solidFill>
              <w14:schemeClr w14:val="tx1"/>
            </w14:solidFill>
          </w14:textFill>
        </w:rPr>
        <w:t>投标文件中标明的价格在合同执行过程中是固定不变的，不得以任何理由予以变更。任何包含价格调整要求和条件的投标，其</w:t>
      </w:r>
      <w:r>
        <w:rPr>
          <w:rFonts w:hint="eastAsia" w:ascii="宋体" w:hAnsi="宋体"/>
          <w:b/>
          <w:color w:val="000000" w:themeColor="text1"/>
          <w:highlight w:val="none"/>
          <w14:textFill>
            <w14:solidFill>
              <w14:schemeClr w14:val="tx1"/>
            </w14:solidFill>
          </w14:textFill>
        </w:rPr>
        <w:t>投标无效</w:t>
      </w:r>
      <w:r>
        <w:rPr>
          <w:rFonts w:hint="eastAsia" w:ascii="宋体" w:hAnsi="宋体"/>
          <w:color w:val="000000" w:themeColor="text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14.8投标报价的其他要求见</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highlight w:val="none"/>
          <w14:textFill>
            <w14:solidFill>
              <w14:schemeClr w14:val="tx1"/>
            </w14:solidFill>
          </w14:textFill>
        </w:rPr>
        <w:t>。</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15. </w:t>
      </w:r>
      <w:r>
        <w:rPr>
          <w:rFonts w:hint="eastAsia" w:ascii="宋体" w:hAnsi="宋体"/>
          <w:b/>
          <w:bCs/>
          <w:color w:val="000000" w:themeColor="text1"/>
          <w:szCs w:val="21"/>
          <w:highlight w:val="none"/>
          <w14:textFill>
            <w14:solidFill>
              <w14:schemeClr w14:val="tx1"/>
            </w14:solidFill>
          </w14:textFill>
        </w:rPr>
        <w:t>投标人的资格证明文件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15.1除【投标须知前附表】另有规定外，投标人应按下列规定提供资格证明文件。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hint="eastAsia" w:ascii="黑体" w:hAnsi="仿宋" w:cs="宋体"/>
          <w:color w:val="000000" w:themeColor="text1"/>
          <w:szCs w:val="21"/>
          <w:highlight w:val="none"/>
          <w14:textFill>
            <w14:solidFill>
              <w14:schemeClr w14:val="tx1"/>
            </w14:solidFill>
          </w14:textFill>
        </w:rPr>
        <w:t>湖南省政府采购供应商资格承诺函(格式)</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（3）符合特定资格条件证明材料复印件或者情况说明原件。具体要求见【投标须知前附表】。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15.2投标人以联合体形式投标的，除应提交联合协议(格式)外，参加联合体的各方均应提交上款资格证明材料。</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15.3投标人的资格证明文件均应为有效文件并加盖投标人单位章，并按招标文件规定签署。</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16. 投标货物符合招标文件规定的证明文件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16.1 投标人应当提交其拟供的合同项下货物及其服务符合招标文件规定的证明文件,该证明文件作为投标文件的一部分。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16.2 投标人在货物说明一览表中应当说明货物的品牌型号、规格参数、制造商及原产地等，交货时应出具原产地证明及出厂合格证明。</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16.3 上述证明文件可以是文字资料、图纸和数据，并须提供：</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（1）货物主要性能和参数的详细说明； </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（2）对照招标文件技术规格，逐条说明所提供货物和服务对招标文件的技术规格条文的响应与偏离。对有具体参数要求的指标，投标人应提供具体参数值。</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16.4 采购人、采购代理机构一般不得要求投标人提供样品，仅凭书面方式不能准确描述采购需求或者需要对样品进行主观判断以确认是否满足采购需求等特殊情况除外。</w:t>
      </w:r>
    </w:p>
    <w:p>
      <w:pPr>
        <w:shd w:val="clear"/>
        <w:adjustRightInd w:val="0"/>
        <w:snapToGrid w:val="0"/>
        <w:spacing w:before="156" w:beforeLines="50" w:line="360" w:lineRule="auto"/>
        <w:ind w:firstLine="42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规定投标人在投标时提供样品的，投标人</w:t>
      </w:r>
      <w:r>
        <w:rPr>
          <w:color w:val="000000" w:themeColor="text1"/>
          <w:szCs w:val="21"/>
          <w:highlight w:val="none"/>
          <w14:textFill>
            <w14:solidFill>
              <w14:schemeClr w14:val="tx1"/>
            </w14:solidFill>
          </w14:textFill>
        </w:rPr>
        <w:t>有以下情形之一的</w:t>
      </w:r>
      <w:r>
        <w:rPr>
          <w:rFonts w:hint="eastAsia"/>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在评标时将其视为无效投标。</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（1）未在投标须知前附表规定的提交时间、地点提交</w:t>
      </w:r>
      <w:r>
        <w:rPr>
          <w:rFonts w:ascii="宋体" w:hAnsi="宋体"/>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（2）投标人提供的样品与投标文件提供样品的规格、型号不一致</w:t>
      </w:r>
      <w:r>
        <w:rPr>
          <w:rFonts w:ascii="宋体" w:hAnsi="宋体"/>
          <w:color w:val="000000" w:themeColor="text1"/>
          <w:szCs w:val="21"/>
          <w:highlight w:val="none"/>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17. 投标有效期</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17.1投标有效期从提交投标文件的截止之日起算。投标文件中承诺的投标有效期应当不少于</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中载明的投标有效期。投标有效期不满足要求的，其</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17.2投标有效期内投标人撤销投标文件的，投标人应承担招标文件和法律规定的责任。</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18. 投标保证金（本项目不缴纳投标保证金）</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18.1招标文件要求投标人提交投标保证金的，</w:t>
      </w:r>
      <w:r>
        <w:rPr>
          <w:rFonts w:hint="eastAsia" w:ascii="宋体" w:hAnsi="宋体"/>
          <w:bCs/>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应按</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w:t>
      </w:r>
      <w:r>
        <w:rPr>
          <w:rFonts w:hint="eastAsia" w:ascii="宋体" w:hAnsi="宋体"/>
          <w:bCs/>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14:textFill>
            <w14:solidFill>
              <w14:schemeClr w14:val="tx1"/>
            </w14:solidFill>
          </w14:textFill>
        </w:rPr>
        <w:t>提交投标文件的截止时间</w:t>
      </w:r>
      <w:r>
        <w:rPr>
          <w:rFonts w:hint="eastAsia" w:ascii="宋体" w:hAnsi="宋体"/>
          <w:bCs/>
          <w:color w:val="000000" w:themeColor="text1"/>
          <w:szCs w:val="21"/>
          <w:highlight w:val="none"/>
          <w14:textFill>
            <w14:solidFill>
              <w14:schemeClr w14:val="tx1"/>
            </w14:solidFill>
          </w14:textFill>
        </w:rPr>
        <w:t>前提交投标保证金</w:t>
      </w:r>
      <w:r>
        <w:rPr>
          <w:rFonts w:hint="eastAsia" w:ascii="宋体" w:hAnsi="宋体"/>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投标人可以保函、电子增信替代投标保证金。</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18.2联合体投标的，可以由联合体中的一方或者共同提交投标保证金。以一方名义提交投标保证金的，对联合体各方均具有约束力。</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18.3投标保证金的退还按以下规定办理：</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（1）中标投标人的投标保证金，将在政府采购合同签订后5个工作日内退还。</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（2）未中标的投标人的投标保证金，将在中标通知书发出后5个工作日内退还。</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（3）终止招标的。对于已递交投标保证金的，采购人、采购代理机构在终止招标公告发布后5个工作日内退还。</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（4）在投标截止日前撤回投标的，对于已递交投标保证金的，采购人、采购代理机构在收到投标人书面撤回投标通知之日起5个工作日内退还。</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18.4有以下情形之一的，投标保证金将不予退还，上缴国库： </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（1）投标人在招标文件中规定的投标有效期内撤销其投标；</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（2）中标人无正当理由不与采购人订立合同，在签订合同时向采购人提出附加条件，或者不按照招标文件要求提交履约保证金。</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19.分包</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19.1</w:t>
      </w:r>
      <w:r>
        <w:rPr>
          <w:rFonts w:hint="eastAsia" w:ascii="宋体" w:hAnsi="宋体"/>
          <w:b/>
          <w:color w:val="000000" w:themeColor="text1"/>
          <w:highlight w:val="none"/>
          <w14:textFill>
            <w14:solidFill>
              <w14:schemeClr w14:val="tx1"/>
            </w14:solidFill>
          </w14:textFill>
        </w:rPr>
        <w:t>【投标须知前附表】</w:t>
      </w:r>
      <w:r>
        <w:rPr>
          <w:rFonts w:hint="eastAsia" w:ascii="宋体" w:hAnsi="宋体"/>
          <w:color w:val="000000" w:themeColor="text1"/>
          <w:highlight w:val="none"/>
          <w14:textFill>
            <w14:solidFill>
              <w14:schemeClr w14:val="tx1"/>
            </w14:solidFill>
          </w14:textFill>
        </w:rPr>
        <w:t>规定投标人分包的，投标人分包承诺不符合招标文件中有关分包规定的，其</w:t>
      </w:r>
      <w:r>
        <w:rPr>
          <w:rFonts w:hint="eastAsia" w:ascii="宋体" w:hAnsi="宋体"/>
          <w:b/>
          <w:color w:val="000000" w:themeColor="text1"/>
          <w:highlight w:val="none"/>
          <w14:textFill>
            <w14:solidFill>
              <w14:schemeClr w14:val="tx1"/>
            </w14:solidFill>
          </w14:textFill>
        </w:rPr>
        <w:t>投标无效</w:t>
      </w:r>
      <w:r>
        <w:rPr>
          <w:rFonts w:hint="eastAsia" w:ascii="宋体" w:hAnsi="宋体"/>
          <w:color w:val="000000" w:themeColor="text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19.2投标人应在签订政府采购合同前向采购人提供分包合同，否则，采购人有权拒绝签订采购合同。</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19.3享受中小企业扶持政策获得政府采购合同的，小微企业不得将合同分包给大中型企业，中型企业不得将合同分包给大型企业。</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19.4分包供应商不得再次分包。</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20. 投标文件的签署</w:t>
      </w:r>
    </w:p>
    <w:p>
      <w:pPr>
        <w:shd w:val="clear"/>
        <w:spacing w:line="400" w:lineRule="atLeas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20.1电子投标文件：投标人应按照电子招标文件要求制作投标文件，并进行电子签名和盖章。</w:t>
      </w:r>
    </w:p>
    <w:p>
      <w:pPr>
        <w:shd w:val="clear"/>
        <w:spacing w:line="400" w:lineRule="exact"/>
        <w:ind w:right="31"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20.2投标人确认投标后，应从交易平台上下载“政府采购电子招标文件制作工具”，并使用此工具编制电子投标文件，否则将可能影响电子投标文件的上传而导致投标无效。</w:t>
      </w:r>
    </w:p>
    <w:p>
      <w:pPr>
        <w:shd w:val="clear"/>
        <w:spacing w:line="400" w:lineRule="exact"/>
        <w:ind w:right="31"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20.3投标人因自身原因导致电子投标文件无法导入电子评标系统的，该投标文件视为无效投标文件。</w:t>
      </w:r>
    </w:p>
    <w:p>
      <w:pPr>
        <w:shd w:val="clear"/>
        <w:spacing w:line="400" w:lineRule="exact"/>
        <w:ind w:right="31"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20.4电子招投标文件具有法律效力，若投标文件与招标文件要求不一致，其内容影响中标结果时，责任由投标人自行承担。</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四、投标</w:t>
      </w:r>
    </w:p>
    <w:p>
      <w:pPr>
        <w:shd w:val="clear"/>
        <w:spacing w:line="360" w:lineRule="atLeast"/>
        <w:ind w:firstLine="315" w:firstLineChars="15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21．投标人应准备所投项目的电子投标文件一份，此投标文件须根据招标人提供的后缀名为YYZY</w:t>
      </w:r>
      <w:r>
        <w:rPr>
          <w:rFonts w:hint="eastAsia" w:ascii="宋体" w:hAnsi="宋体"/>
          <w:color w:val="000000" w:themeColor="text1"/>
          <w:szCs w:val="21"/>
          <w:highlight w:val="none"/>
          <w14:textFill>
            <w14:solidFill>
              <w14:schemeClr w14:val="tx1"/>
            </w14:solidFill>
          </w14:textFill>
        </w:rPr>
        <w:t>格式</w:t>
      </w:r>
      <w:r>
        <w:rPr>
          <w:rFonts w:hint="eastAsia" w:ascii="宋体" w:hAnsi="宋体"/>
          <w:color w:val="000000" w:themeColor="text1"/>
          <w:highlight w:val="none"/>
          <w14:textFill>
            <w14:solidFill>
              <w14:schemeClr w14:val="tx1"/>
            </w14:solidFill>
          </w14:textFill>
        </w:rPr>
        <w:t>的电子招标文件进行制作，电子投标文件制作工具可登录</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岳阳市公共资源交易</w:t>
      </w:r>
      <w:r>
        <w:rPr>
          <w:rFonts w:hint="eastAsia" w:ascii="宋体" w:hAnsi="宋体" w:cs="宋体"/>
          <w:color w:val="000000" w:themeColor="text1"/>
          <w:szCs w:val="21"/>
          <w:highlight w:val="none"/>
          <w14:textFill>
            <w14:solidFill>
              <w14:schemeClr w14:val="tx1"/>
            </w14:solidFill>
          </w14:textFill>
        </w:rPr>
        <w:t>网</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http</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//ggzy.yueyang.gov.cn/）</w:t>
      </w:r>
      <w:r>
        <w:rPr>
          <w:rFonts w:hint="eastAsia" w:hAnsi="宋体"/>
          <w:color w:val="000000" w:themeColor="text1"/>
          <w:highlight w:val="none"/>
          <w14:textFill>
            <w14:solidFill>
              <w14:schemeClr w14:val="tx1"/>
            </w14:solidFill>
          </w14:textFill>
        </w:rPr>
        <w:t>服务指南中及时下载安装最新版本“新点投标文件制作软件（岳阳版）”。</w:t>
      </w:r>
      <w:r>
        <w:rPr>
          <w:rFonts w:hint="eastAsia" w:ascii="宋体" w:hAnsi="宋体"/>
          <w:color w:val="000000" w:themeColor="text1"/>
          <w:highlight w:val="none"/>
          <w14:textFill>
            <w14:solidFill>
              <w14:schemeClr w14:val="tx1"/>
            </w14:solidFill>
          </w14:textFill>
        </w:rPr>
        <w:t>在安装此软件之前，须先安装office2010及以上版本。）</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22．投标文件的编制</w:t>
      </w:r>
    </w:p>
    <w:p>
      <w:pPr>
        <w:shd w:val="clear"/>
        <w:adjustRightInd w:val="0"/>
        <w:snapToGrid w:val="0"/>
        <w:spacing w:line="360" w:lineRule="auto"/>
        <w:ind w:firstLine="422" w:firstLineChars="200"/>
        <w:jc w:val="left"/>
        <w:rPr>
          <w:rFonts w:ascii="宋体" w:hAnsi="宋体"/>
          <w:b/>
          <w:color w:val="000000" w:themeColor="text1"/>
          <w:szCs w:val="21"/>
          <w:highlight w:val="none"/>
          <w14:textFill>
            <w14:solidFill>
              <w14:schemeClr w14:val="tx1"/>
            </w14:solidFill>
          </w14:textFill>
        </w:rPr>
      </w:pPr>
      <w:bookmarkStart w:id="15" w:name="_Hlt226715444"/>
      <w:bookmarkEnd w:id="15"/>
      <w:bookmarkStart w:id="16" w:name="_Hlt193622730"/>
      <w:bookmarkEnd w:id="16"/>
      <w:bookmarkStart w:id="17" w:name="_Hlk499715941"/>
      <w:r>
        <w:rPr>
          <w:rFonts w:hint="eastAsia" w:ascii="宋体" w:hAnsi="宋体"/>
          <w:b/>
          <w:color w:val="000000" w:themeColor="text1"/>
          <w:szCs w:val="21"/>
          <w:highlight w:val="none"/>
          <w14:textFill>
            <w14:solidFill>
              <w14:schemeClr w14:val="tx1"/>
            </w14:solidFill>
          </w14:textFill>
        </w:rPr>
        <w:t>22.1 电子投标文件的编制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22.1．1投标人应当使用岳阳市公共资源交易中心电子交易平台认可的“新点投标文件制作软件（岳阳版）”制作投标文件（ 含澄清、说明文件）并进行固化、加密；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22.1．2“电子标书软件加密锁” 具有唯一性，仅限于本单位在电子化招标投标活动中使用，不得转让和出借；</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22.1.3投标人在编制电子投标文件时应当建立分级目录，并按照标签提示导入相关内容，请投标人注意压缩文件；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w:t>
      </w: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电子投标文件盖章及签字</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投标文件的指定盖章处应采用电子平台认可的CA数字证书（含电子印章）</w:t>
      </w:r>
    </w:p>
    <w:bookmarkEnd w:id="17"/>
    <w:p>
      <w:pPr>
        <w:shd w:val="clear"/>
        <w:spacing w:line="360" w:lineRule="exact"/>
        <w:ind w:firstLine="411" w:firstLineChars="196"/>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22.1.</w:t>
      </w:r>
      <w:r>
        <w:rPr>
          <w:rFonts w:ascii="宋体" w:hAnsi="宋体"/>
          <w:color w:val="000000" w:themeColor="text1"/>
          <w:highlight w:val="none"/>
          <w14:textFill>
            <w14:solidFill>
              <w14:schemeClr w14:val="tx1"/>
            </w14:solidFill>
          </w14:textFill>
        </w:rPr>
        <w:t>5</w:t>
      </w:r>
      <w:r>
        <w:rPr>
          <w:rFonts w:hint="eastAsia" w:ascii="宋体" w:hAnsi="宋体"/>
          <w:color w:val="000000" w:themeColor="text1"/>
          <w:highlight w:val="none"/>
          <w14:textFill>
            <w14:solidFill>
              <w14:schemeClr w14:val="tx1"/>
            </w14:solidFill>
          </w14:textFill>
        </w:rPr>
        <w:t>投标人在编辑投标文件时，</w:t>
      </w:r>
      <w:r>
        <w:rPr>
          <w:rFonts w:hint="eastAsia" w:ascii="宋体" w:hAnsi="宋体"/>
          <w:b/>
          <w:color w:val="000000" w:themeColor="text1"/>
          <w:highlight w:val="none"/>
          <w14:textFill>
            <w14:solidFill>
              <w14:schemeClr w14:val="tx1"/>
            </w14:solidFill>
          </w14:textFill>
        </w:rPr>
        <w:t>在投标文件目录中属于本节点内容的必须上传或填写在本节点的对应位置，未按要求填写或上传的，相应责任由投标人自行承担。</w:t>
      </w:r>
    </w:p>
    <w:p>
      <w:pPr>
        <w:shd w:val="clear"/>
        <w:spacing w:line="360" w:lineRule="exact"/>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22.1.</w:t>
      </w:r>
      <w:r>
        <w:rPr>
          <w:rFonts w:ascii="宋体" w:hAnsi="宋体"/>
          <w:color w:val="000000" w:themeColor="text1"/>
          <w:highlight w:val="none"/>
          <w14:textFill>
            <w14:solidFill>
              <w14:schemeClr w14:val="tx1"/>
            </w14:solidFill>
          </w14:textFill>
        </w:rPr>
        <w:t>6</w:t>
      </w:r>
      <w:r>
        <w:rPr>
          <w:rFonts w:hint="eastAsia" w:ascii="宋体" w:hAnsi="宋体"/>
          <w:color w:val="000000" w:themeColor="text1"/>
          <w:highlight w:val="none"/>
          <w14:textFill>
            <w14:solidFill>
              <w14:schemeClr w14:val="tx1"/>
            </w14:solidFill>
          </w14:textFill>
        </w:rPr>
        <w:t>投标书编写完成后，</w:t>
      </w:r>
      <w:r>
        <w:rPr>
          <w:rFonts w:hint="eastAsia" w:ascii="宋体" w:hAnsi="宋体"/>
          <w:b/>
          <w:color w:val="000000" w:themeColor="text1"/>
          <w:highlight w:val="none"/>
          <w14:textFill>
            <w14:solidFill>
              <w14:schemeClr w14:val="tx1"/>
            </w14:solidFill>
          </w14:textFill>
        </w:rPr>
        <w:t>必须用本系统自带的电子密钥进行加密，如果误选了非本项目的规则文件导致不能在开标时解密投标文件，该投标文件将被电子开标系统拒绝，将导致投标文件无效。</w:t>
      </w:r>
    </w:p>
    <w:p>
      <w:pPr>
        <w:shd w:val="clear"/>
        <w:spacing w:line="360" w:lineRule="exact"/>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22.1.</w:t>
      </w:r>
      <w:r>
        <w:rPr>
          <w:rFonts w:ascii="宋体" w:hAnsi="宋体"/>
          <w:color w:val="000000" w:themeColor="text1"/>
          <w:highlight w:val="none"/>
          <w14:textFill>
            <w14:solidFill>
              <w14:schemeClr w14:val="tx1"/>
            </w14:solidFill>
          </w14:textFill>
        </w:rPr>
        <w:t>7岳阳市</w:t>
      </w:r>
      <w:r>
        <w:rPr>
          <w:rFonts w:hint="eastAsia" w:ascii="宋体" w:hAnsi="宋体"/>
          <w:color w:val="000000" w:themeColor="text1"/>
          <w:highlight w:val="none"/>
          <w14:textFill>
            <w14:solidFill>
              <w14:schemeClr w14:val="tx1"/>
            </w14:solidFill>
          </w14:textFill>
        </w:rPr>
        <w:t>公共资源交易中心不接受投标截止时间后递交的纸质、电子、传真等所有形式的投标文件。由于对网上招投标操作不熟悉或自身电脑、个人网络等原因导致不能在投标截止时间之前上传投标文件的，相</w:t>
      </w:r>
      <w:r>
        <w:rPr>
          <w:rFonts w:hint="eastAsia" w:ascii="宋体" w:hAnsi="宋体"/>
          <w:b/>
          <w:color w:val="000000" w:themeColor="text1"/>
          <w:highlight w:val="none"/>
          <w14:textFill>
            <w14:solidFill>
              <w14:schemeClr w14:val="tx1"/>
            </w14:solidFill>
          </w14:textFill>
        </w:rPr>
        <w:t>应责任由投标人自行承担</w:t>
      </w:r>
      <w:r>
        <w:rPr>
          <w:rFonts w:hint="eastAsia" w:ascii="宋体" w:hAnsi="宋体"/>
          <w:color w:val="000000" w:themeColor="text1"/>
          <w:highlight w:val="none"/>
          <w14:textFill>
            <w14:solidFill>
              <w14:schemeClr w14:val="tx1"/>
            </w14:solidFill>
          </w14:textFill>
        </w:rPr>
        <w:t>。建议于开标前一个工作日完成投标文件的制作与上传，如果上传有困难，请及时咨询。</w:t>
      </w:r>
    </w:p>
    <w:p>
      <w:pPr>
        <w:shd w:val="clear"/>
        <w:spacing w:line="360" w:lineRule="exact"/>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22.1.</w:t>
      </w:r>
      <w:r>
        <w:rPr>
          <w:rFonts w:ascii="宋体" w:hAnsi="宋体"/>
          <w:color w:val="000000" w:themeColor="text1"/>
          <w:highlight w:val="none"/>
          <w14:textFill>
            <w14:solidFill>
              <w14:schemeClr w14:val="tx1"/>
            </w14:solidFill>
          </w14:textFill>
        </w:rPr>
        <w:t>8</w:t>
      </w:r>
      <w:r>
        <w:rPr>
          <w:rFonts w:hint="eastAsia" w:ascii="宋体" w:hAnsi="宋体"/>
          <w:color w:val="000000" w:themeColor="text1"/>
          <w:highlight w:val="none"/>
          <w14:textFill>
            <w14:solidFill>
              <w14:schemeClr w14:val="tx1"/>
            </w14:solidFill>
          </w14:textFill>
        </w:rPr>
        <w:t>如果开标时出现网络故障、技术故障，影响了招投标活动，采购人可采取措施如延期、延长上传的投标书和解密时间等，以保障招投标活动的公开、公平和公正，投标人不得对此持有异议。</w:t>
      </w:r>
    </w:p>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23. 投标文件的递交</w:t>
      </w:r>
    </w:p>
    <w:p>
      <w:pPr>
        <w:shd w:val="clear"/>
        <w:spacing w:line="360" w:lineRule="exact"/>
        <w:ind w:firstLine="411" w:firstLineChars="196"/>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23</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1电子标实行网上投标，</w:t>
      </w:r>
      <w:r>
        <w:rPr>
          <w:rFonts w:ascii="宋体" w:hAnsi="宋体"/>
          <w:color w:val="000000" w:themeColor="text1"/>
          <w:highlight w:val="none"/>
          <w14:textFill>
            <w14:solidFill>
              <w14:schemeClr w14:val="tx1"/>
            </w14:solidFill>
          </w14:textFill>
        </w:rPr>
        <w:t>投标人必须</w:t>
      </w:r>
      <w:r>
        <w:rPr>
          <w:rFonts w:hint="eastAsia" w:ascii="宋体" w:hAnsi="宋体"/>
          <w:color w:val="000000" w:themeColor="text1"/>
          <w:highlight w:val="none"/>
          <w14:textFill>
            <w14:solidFill>
              <w14:schemeClr w14:val="tx1"/>
            </w14:solidFill>
          </w14:textFill>
        </w:rPr>
        <w:t>在</w:t>
      </w:r>
      <w:r>
        <w:rPr>
          <w:rFonts w:ascii="宋体" w:hAnsi="宋体"/>
          <w:color w:val="000000" w:themeColor="text1"/>
          <w:highlight w:val="none"/>
          <w14:textFill>
            <w14:solidFill>
              <w14:schemeClr w14:val="tx1"/>
            </w14:solidFill>
          </w14:textFill>
        </w:rPr>
        <w:t>采购文件规定的投标截止时间前</w:t>
      </w:r>
      <w:r>
        <w:rPr>
          <w:rFonts w:hint="eastAsia" w:ascii="宋体" w:hAnsi="宋体"/>
          <w:color w:val="000000" w:themeColor="text1"/>
          <w:highlight w:val="none"/>
          <w14:textFill>
            <w14:solidFill>
              <w14:schemeClr w14:val="tx1"/>
            </w14:solidFill>
          </w14:textFill>
        </w:rPr>
        <w:t>用电子密钥在“岳阳市公共资源交易网</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r>
        <w:rPr>
          <w:color w:val="000000" w:themeColor="text1"/>
          <w:szCs w:val="21"/>
          <w:highlight w:val="none"/>
          <w14:textFill>
            <w14:solidFill>
              <w14:schemeClr w14:val="tx1"/>
            </w14:solidFill>
          </w14:textFill>
        </w:rPr>
        <w:t>http</w:t>
      </w: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//ggzy.yueyang.gov.cn/</w:t>
      </w:r>
      <w:r>
        <w:rPr>
          <w:rFonts w:hint="eastAsia"/>
          <w:color w:val="000000" w:themeColor="text1"/>
          <w:highlight w:val="none"/>
          <w14:textFill>
            <w14:solidFill>
              <w14:schemeClr w14:val="tx1"/>
            </w14:solidFill>
          </w14:textFill>
        </w:rPr>
        <w:t>）中</w:t>
      </w:r>
      <w:r>
        <w:rPr>
          <w:rFonts w:hint="eastAsia" w:ascii="宋体" w:hAnsi="宋体" w:cs="宋体"/>
          <w:color w:val="000000" w:themeColor="text1"/>
          <w:kern w:val="0"/>
          <w:szCs w:val="21"/>
          <w:highlight w:val="none"/>
          <w14:textFill>
            <w14:solidFill>
              <w14:schemeClr w14:val="tx1"/>
            </w14:solidFill>
          </w14:textFill>
        </w:rPr>
        <w:t>登录“岳阳市公共资源交易中心</w:t>
      </w:r>
      <w:r>
        <w:rPr>
          <w:rFonts w:hint="eastAsia" w:ascii="宋体" w:hAnsi="宋体"/>
          <w:color w:val="000000" w:themeColor="text1"/>
          <w:szCs w:val="21"/>
          <w:highlight w:val="none"/>
          <w14:textFill>
            <w14:solidFill>
              <w14:schemeClr w14:val="tx1"/>
            </w14:solidFill>
          </w14:textFill>
        </w:rPr>
        <w:t>电子交易平台</w:t>
      </w:r>
      <w:r>
        <w:rPr>
          <w:rFonts w:hint="eastAsia" w:ascii="宋体" w:hAnsi="宋体" w:cs="宋体"/>
          <w:color w:val="000000" w:themeColor="text1"/>
          <w:kern w:val="0"/>
          <w:szCs w:val="21"/>
          <w:highlight w:val="none"/>
          <w14:textFill>
            <w14:solidFill>
              <w14:schemeClr w14:val="tx1"/>
            </w14:solidFill>
          </w14:textFill>
        </w:rPr>
        <w:t>”上传投标文件</w:t>
      </w:r>
      <w:r>
        <w:rPr>
          <w:rFonts w:hint="eastAsia" w:ascii="宋体" w:hAnsi="宋体"/>
          <w:color w:val="000000" w:themeColor="text1"/>
          <w:highlight w:val="none"/>
          <w14:textFill>
            <w14:solidFill>
              <w14:schemeClr w14:val="tx1"/>
            </w14:solidFill>
          </w14:textFill>
        </w:rPr>
        <w:t>。本项目电子投标文件最大容量为200MB，超过此容量的文件将被拒绝。如果多次上传均告失败，请拨打咨询电话（</w:t>
      </w:r>
      <w:r>
        <w:rPr>
          <w:rFonts w:hint="eastAsia" w:ascii="宋体" w:hAnsi="宋体"/>
          <w:color w:val="000000" w:themeColor="text1"/>
          <w:highlight w:val="none"/>
          <w:u w:val="single"/>
          <w14:textFill>
            <w14:solidFill>
              <w14:schemeClr w14:val="tx1"/>
            </w14:solidFill>
          </w14:textFill>
        </w:rPr>
        <w:t>0730-2966692 信息技术科</w:t>
      </w:r>
      <w:r>
        <w:rPr>
          <w:rFonts w:hint="eastAsia" w:ascii="宋体" w:hAnsi="宋体"/>
          <w:color w:val="000000" w:themeColor="text1"/>
          <w:highlight w:val="none"/>
          <w14:textFill>
            <w14:solidFill>
              <w14:schemeClr w14:val="tx1"/>
            </w14:solidFill>
          </w14:textFill>
        </w:rPr>
        <w:t>）。</w:t>
      </w:r>
    </w:p>
    <w:p>
      <w:pPr>
        <w:shd w:val="clear"/>
        <w:spacing w:line="360" w:lineRule="exact"/>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23.1.1按本通用条款第10条规定，招标文件发生实质性修改后，投标人须撤回原电子投标文件，根据最新招标文件重新制作投标文件并再次上传。</w:t>
      </w:r>
    </w:p>
    <w:p>
      <w:pPr>
        <w:shd w:val="clear"/>
        <w:spacing w:line="360" w:lineRule="exact"/>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23</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1.2投标截止时间到达以后不再接收投标文件。</w:t>
      </w:r>
    </w:p>
    <w:p>
      <w:pPr>
        <w:shd w:val="clear"/>
        <w:tabs>
          <w:tab w:val="left" w:pos="6195"/>
        </w:tabs>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24. 投标文件的修改和撤回</w:t>
      </w:r>
      <w:r>
        <w:rPr>
          <w:rFonts w:ascii="宋体" w:hAnsi="宋体"/>
          <w:b/>
          <w:bCs/>
          <w:color w:val="000000" w:themeColor="text1"/>
          <w:szCs w:val="21"/>
          <w:highlight w:val="none"/>
          <w14:textFill>
            <w14:solidFill>
              <w14:schemeClr w14:val="tx1"/>
            </w14:solidFill>
          </w14:textFill>
        </w:rPr>
        <w:tab/>
      </w:r>
    </w:p>
    <w:p>
      <w:pPr>
        <w:shd w:val="clear"/>
        <w:spacing w:line="360" w:lineRule="auto"/>
        <w:ind w:firstLine="411" w:firstLineChars="196"/>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24.1</w:t>
      </w:r>
      <w:r>
        <w:rPr>
          <w:rFonts w:ascii="宋体" w:hAnsi="宋体"/>
          <w:color w:val="000000" w:themeColor="text1"/>
          <w:highlight w:val="none"/>
          <w14:textFill>
            <w14:solidFill>
              <w14:schemeClr w14:val="tx1"/>
            </w14:solidFill>
          </w14:textFill>
        </w:rPr>
        <w:t>投标方在提交</w:t>
      </w:r>
      <w:r>
        <w:rPr>
          <w:rFonts w:hint="eastAsia" w:ascii="宋体" w:hAnsi="宋体"/>
          <w:color w:val="000000" w:themeColor="text1"/>
          <w:szCs w:val="21"/>
          <w:highlight w:val="none"/>
          <w14:textFill>
            <w14:solidFill>
              <w14:schemeClr w14:val="tx1"/>
            </w14:solidFill>
          </w14:textFill>
        </w:rPr>
        <w:t>电子</w:t>
      </w:r>
      <w:r>
        <w:rPr>
          <w:rFonts w:ascii="宋体" w:hAnsi="宋体"/>
          <w:color w:val="000000" w:themeColor="text1"/>
          <w:highlight w:val="none"/>
          <w14:textFill>
            <w14:solidFill>
              <w14:schemeClr w14:val="tx1"/>
            </w14:solidFill>
          </w14:textFill>
        </w:rPr>
        <w:t>投标文件后可对其投标文件进行修改</w:t>
      </w:r>
      <w:r>
        <w:rPr>
          <w:rFonts w:hint="eastAsia" w:ascii="宋体" w:hAnsi="宋体"/>
          <w:color w:val="000000" w:themeColor="text1"/>
          <w:highlight w:val="none"/>
          <w14:textFill>
            <w14:solidFill>
              <w14:schemeClr w14:val="tx1"/>
            </w14:solidFill>
          </w14:textFill>
        </w:rPr>
        <w:t>并重新上传投标文件</w:t>
      </w:r>
      <w:r>
        <w:rPr>
          <w:rFonts w:ascii="宋体" w:hAnsi="宋体"/>
          <w:color w:val="000000" w:themeColor="text1"/>
          <w:highlight w:val="none"/>
          <w14:textFill>
            <w14:solidFill>
              <w14:schemeClr w14:val="tx1"/>
            </w14:solidFill>
          </w14:textFill>
        </w:rPr>
        <w:t>或</w:t>
      </w:r>
      <w:r>
        <w:rPr>
          <w:rFonts w:hint="eastAsia" w:ascii="宋体" w:hAnsi="宋体"/>
          <w:color w:val="000000" w:themeColor="text1"/>
          <w:highlight w:val="none"/>
          <w14:textFill>
            <w14:solidFill>
              <w14:schemeClr w14:val="tx1"/>
            </w14:solidFill>
          </w14:textFill>
        </w:rPr>
        <w:t>在网上进行</w:t>
      </w:r>
      <w:r>
        <w:rPr>
          <w:rFonts w:ascii="宋体" w:hAnsi="宋体"/>
          <w:color w:val="000000" w:themeColor="text1"/>
          <w:highlight w:val="none"/>
          <w14:textFill>
            <w14:solidFill>
              <w14:schemeClr w14:val="tx1"/>
            </w14:solidFill>
          </w14:textFill>
        </w:rPr>
        <w:t>撤销</w:t>
      </w:r>
      <w:r>
        <w:rPr>
          <w:rFonts w:hint="eastAsia" w:ascii="宋体" w:hAnsi="宋体"/>
          <w:color w:val="000000" w:themeColor="text1"/>
          <w:highlight w:val="none"/>
          <w14:textFill>
            <w14:solidFill>
              <w14:schemeClr w14:val="tx1"/>
            </w14:solidFill>
          </w14:textFill>
        </w:rPr>
        <w:t>投标的操作</w:t>
      </w:r>
      <w:r>
        <w:rPr>
          <w:rFonts w:ascii="宋体" w:hAnsi="宋体"/>
          <w:color w:val="000000" w:themeColor="text1"/>
          <w:highlight w:val="none"/>
          <w14:textFill>
            <w14:solidFill>
              <w14:schemeClr w14:val="tx1"/>
            </w14:solidFill>
          </w14:textFill>
        </w:rPr>
        <w:t>。</w:t>
      </w:r>
    </w:p>
    <w:p>
      <w:pPr>
        <w:shd w:val="clear"/>
        <w:spacing w:line="360" w:lineRule="auto"/>
        <w:ind w:firstLine="411" w:firstLineChars="196"/>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14:textFill>
            <w14:solidFill>
              <w14:schemeClr w14:val="tx1"/>
            </w14:solidFill>
          </w14:textFill>
        </w:rPr>
        <w:t>4</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2</w:t>
      </w:r>
      <w:r>
        <w:rPr>
          <w:rFonts w:ascii="宋体" w:hAnsi="宋体"/>
          <w:color w:val="000000" w:themeColor="text1"/>
          <w:highlight w:val="none"/>
          <w14:textFill>
            <w14:solidFill>
              <w14:schemeClr w14:val="tx1"/>
            </w14:solidFill>
          </w14:textFill>
        </w:rPr>
        <w:t>投标截止时间以后不得修改投标文件。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24.3投标人在提交投标文件的截止时间前撤回已提交的投标文件的，采购代理机构应当自收到投标人撤回通知之日起５个工作日内，退还已收取的投标保证金，但因投标人自身原因导致无法及时退还的除外。</w:t>
      </w:r>
    </w:p>
    <w:p>
      <w:pPr>
        <w:shd w:val="clear"/>
        <w:adjustRightInd w:val="0"/>
        <w:snapToGrid w:val="0"/>
        <w:spacing w:line="360" w:lineRule="auto"/>
        <w:jc w:val="left"/>
        <w:rPr>
          <w:rFonts w:ascii="宋体" w:hAnsi="宋体" w:cs="Arial"/>
          <w:b/>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25.</w:t>
      </w:r>
      <w:r>
        <w:rPr>
          <w:rFonts w:hint="eastAsia" w:ascii="宋体" w:hAnsi="宋体" w:cs="Arial"/>
          <w:b/>
          <w:color w:val="000000" w:themeColor="text1"/>
          <w:highlight w:val="none"/>
          <w14:textFill>
            <w14:solidFill>
              <w14:schemeClr w14:val="tx1"/>
            </w14:solidFill>
          </w14:textFill>
        </w:rPr>
        <w:t xml:space="preserve"> 串通</w:t>
      </w:r>
      <w:r>
        <w:rPr>
          <w:rFonts w:hint="eastAsia" w:ascii="宋体" w:hAnsi="宋体"/>
          <w:b/>
          <w:color w:val="000000" w:themeColor="text1"/>
          <w:highlight w:val="none"/>
          <w14:textFill>
            <w14:solidFill>
              <w14:schemeClr w14:val="tx1"/>
            </w14:solidFill>
          </w14:textFill>
        </w:rPr>
        <w:t>投标行为</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25.1有下列情形之一的，属于恶意串通，对投标人依照政府采购法第七十七条第一款的规定追究法律责任：</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（1）投标人直接或者间接从采购人或者采购代理机构处获得其他投标人的相关情况并修改其投标文件；</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（2）投标人按照采购人或者采购代理机构的授意撤换、修改投标文件；</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（3）投标人之间协商报价、技术方案等投标文件的实质性内容；</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（4）属于同一集团、协会、商会等组织成员的投标人按照该组织要求协同参加政府采购活动；</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（5）投标人之间事先约定由某一特定投标人中标；</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（6）投标人之间商定部分投标人放弃参加政府采购活动或者放弃中标；</w:t>
      </w:r>
    </w:p>
    <w:p>
      <w:pPr>
        <w:shd w:val="clear"/>
        <w:adjustRightInd w:val="0"/>
        <w:snapToGrid w:val="0"/>
        <w:spacing w:line="360" w:lineRule="auto"/>
        <w:ind w:firstLine="396" w:firstLineChars="200"/>
        <w:jc w:val="left"/>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（7）投标人与采购人或者采购代理机构之间、投标人相互之间，为谋求特定投标人中标或者排斥其他投标人的其他串通行为。</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25.2有下列情形之一的，视为投标人串通投标，其投标无效：</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（1）不同投标人的投标文件由同一单位或者个人编制；</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（2）不同投标人委托同一单位或者个人办理投标事宜；</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（3）不同投标人的投标文件载明的项目管理成员或者联系人员为同一人；</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（4）不同投标人的投标文件异常一致或者投标报价呈规律性差异；</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（5）不同投标人的投标文件相互混装；</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（6）不同投标人的投标保证金从同一单位或者个人的账户转出。</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五、开标，资格审查和评标</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26. 开标</w:t>
      </w:r>
    </w:p>
    <w:p>
      <w:pPr>
        <w:shd w:val="clear"/>
        <w:spacing w:line="360" w:lineRule="auto"/>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26.1采购代理机构在规定时间组织网上开标。投标人在岳阳市公共资源交易电子服务平台中登陆“岳阳政府采购不见面开标大厅”，参与项目网上开标会。</w:t>
      </w:r>
    </w:p>
    <w:p>
      <w:pPr>
        <w:shd w:val="clear"/>
        <w:spacing w:line="360" w:lineRule="auto"/>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26.2投标截止时间到达以后，投标人在规定时限内对电子投标文件进行解密并在网上进行开标、唱标，同步在网上公布开标结果。</w:t>
      </w:r>
    </w:p>
    <w:p>
      <w:pPr>
        <w:shd w:val="clear"/>
        <w:spacing w:line="360" w:lineRule="exact"/>
        <w:ind w:firstLine="315" w:firstLineChars="150"/>
        <w:rPr>
          <w:rFonts w:ascii="仿宋" w:hAnsi="仿宋" w:eastAsia="仿宋"/>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26.3开标注意事项：因投标人原因未按时限解密或无法解密的投标文件视为无效投标文件，相应责任由投标人自行承担。</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Style w:val="50"/>
          <w:rFonts w:hint="eastAsia" w:ascii="宋体" w:hAnsi="宋体" w:cs="Arial"/>
          <w:color w:val="000000" w:themeColor="text1"/>
          <w:szCs w:val="21"/>
          <w:highlight w:val="none"/>
          <w14:textFill>
            <w14:solidFill>
              <w14:schemeClr w14:val="tx1"/>
            </w14:solidFill>
          </w14:textFill>
        </w:rPr>
        <w:t>27.</w:t>
      </w:r>
      <w:r>
        <w:rPr>
          <w:rFonts w:hint="eastAsia" w:ascii="宋体" w:hAnsi="宋体"/>
          <w:b/>
          <w:bCs/>
          <w:color w:val="000000" w:themeColor="text1"/>
          <w:szCs w:val="21"/>
          <w:highlight w:val="none"/>
          <w14:textFill>
            <w14:solidFill>
              <w14:schemeClr w14:val="tx1"/>
            </w14:solidFill>
          </w14:textFill>
        </w:rPr>
        <w:t>资格审查</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27.1开标结束后，采购人及采购代理机构将依法对投标人的资格进行审查。</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27.2在资格审查时，采购人及采购代理机构将对投标人信用记录进行甄别。</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（1）信用信息查询的查询内容：本章第3.3款第（4）项规定；</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（2）信用信息查询的查询渠道：信用中国网站（www.creditchina.gov.cn）、中国政府采购网（www.ccgp.gov.cn）、湖南信用网（https://credit.fgw.hunan.gov.cn/）和湖南省政府采购网（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"http://www.ccgp-hunan.gov.cn"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www.ccgp-hunan.gov.cn</w:t>
      </w:r>
      <w:r>
        <w:rPr>
          <w:rFonts w:hint="eastAsia"/>
          <w:color w:val="000000" w:themeColor="text1"/>
          <w:highlight w:val="none"/>
          <w14:textFill>
            <w14:solidFill>
              <w14:schemeClr w14:val="tx1"/>
            </w14:solidFill>
          </w14:textFill>
        </w:rPr>
        <w:fldChar w:fldCharType="end"/>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（3）信用信息查询的截止时点：提交投标文件的截止时间；</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信用信息的使用原则：被列入失信被执行人、重大税收违法失信主体名单、政府采购严重违法失信行为记录名单及其他不符合《中华人民共和国政府采购法》第二十二条规定条件的投标人，将拒绝其参与采购活动。</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（5）信用信息查询记录和证据留存具体方式：查询结果网页截图作为查询记录和证据，与其他采购文件一并保存。</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27.3投标文件属下列情况之一的，投标无效：</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（1）不符合本章第3条投标人的资格要求的；</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（2）联合体没有提交联合体协议书，或未提交联合体各方资格证明文件的；</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未按招标文件要求提交资格证明文件或</w:t>
      </w:r>
      <w:r>
        <w:rPr>
          <w:rFonts w:hint="eastAsia" w:ascii="宋体" w:hAnsi="宋体"/>
          <w:color w:val="000000" w:themeColor="text1"/>
          <w:szCs w:val="21"/>
          <w:highlight w:val="none"/>
          <w14:textFill>
            <w14:solidFill>
              <w14:schemeClr w14:val="tx1"/>
            </w14:solidFill>
          </w14:textFill>
        </w:rPr>
        <w:t>投标文件中资格证明文件未按照招标文件要求签署、盖章的；</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（4）应缴未缴投标保证金或金额不足、投标保证金缴纳形式不符合招标文件要求的。</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（5）不符合法律、法规和招标文件规定的其他投标无效情形的。</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27.4对未通过资格审查的投标人，采购人及采购代理机构应当告知其未通过的原因。</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27.5合格投标人不足3家的，不得进入评标环节。</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27.6已进行资格预审的，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28.</w:t>
      </w:r>
      <w:r>
        <w:rPr>
          <w:rFonts w:hint="eastAsia" w:ascii="宋体" w:hAnsi="宋体"/>
          <w:b/>
          <w:color w:val="000000" w:themeColor="text1"/>
          <w:szCs w:val="21"/>
          <w:highlight w:val="none"/>
          <w14:textFill>
            <w14:solidFill>
              <w14:schemeClr w14:val="tx1"/>
            </w14:solidFill>
          </w14:textFill>
        </w:rPr>
        <w:t xml:space="preserve"> 评标委员会</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28.1评标由依法组建的评标委员会负责，评标委员会由采购人代表和评审专家组成。</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28.2评标委员会成员有下列情形之一的，应当回避：</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（1）参加采购活动前三年内,与投标人存在劳动关系,或者担任过投标人的董事、监事,或者是投标人的控股股东或实际控制人；</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（2）与投标人的法定代表人或者负责人有夫妻、直系血亲、三代以内旁系血亲或者近姻亲关系；</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（3）与投标人有其他可能影响政府采购活动公平、公正进行的关系。</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28.3评标委员会负责具体评标事务，并独立履行下列职责：</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（1）审查、评价投标文件是否符合招标文件的商务、技术等实质性要求；</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（2）要求投标人对投标文件有关事项作出澄清或者说明；</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（3）对投标文件进行比较和评价；</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（4）确定中标候选人名单，以及根据采购人委托直接确定中标人。</w:t>
      </w:r>
    </w:p>
    <w:p>
      <w:pPr>
        <w:shd w:val="clear"/>
        <w:adjustRightInd w:val="0"/>
        <w:snapToGrid w:val="0"/>
        <w:spacing w:line="360" w:lineRule="auto"/>
        <w:jc w:val="left"/>
        <w:rPr>
          <w:rFonts w:ascii="宋体" w:hAnsi="宋体"/>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29.</w:t>
      </w:r>
      <w:r>
        <w:rPr>
          <w:rFonts w:hint="eastAsia" w:ascii="宋体" w:hAnsi="宋体"/>
          <w:b/>
          <w:bCs/>
          <w:color w:val="000000" w:themeColor="text1"/>
          <w:highlight w:val="none"/>
          <w14:textFill>
            <w14:solidFill>
              <w14:schemeClr w14:val="tx1"/>
            </w14:solidFill>
          </w14:textFill>
        </w:rPr>
        <w:t xml:space="preserve"> 评标</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29.1评标委员会按照第四章“评标方法及标准”规定的评标方法、评审因素、标准和程序以及有关法律、法规及规章对投标文件进行评审。</w:t>
      </w:r>
    </w:p>
    <w:p>
      <w:pPr>
        <w:shd w:val="clea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30.电子招投标的应急措施</w:t>
      </w:r>
    </w:p>
    <w:p>
      <w:pPr>
        <w:shd w:val="clear"/>
        <w:adjustRightInd w:val="0"/>
        <w:snapToGrid w:val="0"/>
        <w:spacing w:line="360" w:lineRule="auto"/>
        <w:ind w:firstLine="42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在电子化政府采购交易过程中，如遇不可抗力及停电、系统故障等情况短时内无法恢复正常的，采购人应暂停开、评标等交易活动，并如实记录相关情况。待故障和问题解除后，恢复交易活动。</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六、中标信息公布</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31.</w:t>
      </w:r>
      <w:r>
        <w:rPr>
          <w:rFonts w:hint="eastAsia" w:ascii="宋体" w:hAnsi="宋体"/>
          <w:b/>
          <w:bCs/>
          <w:color w:val="000000" w:themeColor="text1"/>
          <w:szCs w:val="21"/>
          <w:highlight w:val="none"/>
          <w14:textFill>
            <w14:solidFill>
              <w14:schemeClr w14:val="tx1"/>
            </w14:solidFill>
          </w14:textFill>
        </w:rPr>
        <w:t>中标通知书与中标信息公布</w:t>
      </w:r>
    </w:p>
    <w:p>
      <w:pPr>
        <w:shd w:val="clear"/>
        <w:adjustRightInd w:val="0"/>
        <w:snapToGrid w:val="0"/>
        <w:spacing w:line="360" w:lineRule="auto"/>
        <w:ind w:firstLine="420" w:firstLineChars="200"/>
        <w:jc w:val="left"/>
        <w:rPr>
          <w:rFonts w:ascii="宋体" w:hAnsi="宋体"/>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31.1采购代理机构应当在评标结束后2个工作日内将评标报告送采购人。</w:t>
      </w:r>
    </w:p>
    <w:p>
      <w:pPr>
        <w:shd w:val="clear"/>
        <w:adjustRightInd w:val="0"/>
        <w:snapToGrid w:val="0"/>
        <w:spacing w:line="360" w:lineRule="auto"/>
        <w:ind w:firstLine="420" w:firstLineChars="200"/>
        <w:jc w:val="lef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31.2</w:t>
      </w:r>
      <w:r>
        <w:rPr>
          <w:rFonts w:hint="eastAsia" w:ascii="宋体" w:hAnsi="宋体"/>
          <w:color w:val="000000" w:themeColor="text1"/>
          <w:szCs w:val="21"/>
          <w:highlight w:val="none"/>
          <w14:textFill>
            <w14:solidFill>
              <w14:schemeClr w14:val="tx1"/>
            </w14:solidFill>
          </w14:textFill>
        </w:rPr>
        <w:t>采购人应当自收到评标报告之日起5个工作日内，在评标报告确定的中标候选人名单中按顺序确定中标人。中标候选人并列的，按照</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规定的方式确定中标人；招标文件未规定的，采取随机抽取的方式确定。</w:t>
      </w:r>
    </w:p>
    <w:p>
      <w:pPr>
        <w:shd w:val="clear"/>
        <w:adjustRightInd w:val="0"/>
        <w:snapToGrid w:val="0"/>
        <w:spacing w:line="360" w:lineRule="auto"/>
        <w:ind w:firstLine="420" w:firstLineChars="200"/>
        <w:jc w:val="lef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31.3</w:t>
      </w:r>
      <w:r>
        <w:rPr>
          <w:rFonts w:hint="eastAsia" w:ascii="宋体" w:hAnsi="宋体"/>
          <w:color w:val="000000" w:themeColor="text1"/>
          <w:szCs w:val="21"/>
          <w:highlight w:val="none"/>
          <w14:textFill>
            <w14:solidFill>
              <w14:schemeClr w14:val="tx1"/>
            </w14:solidFill>
          </w14:textFill>
        </w:rPr>
        <w:t>采购人、采购代理机构应当自采购人确定中标供应商之日起2个工作日内，发出中标通知书，并在招标公告指定媒体上公告中标结果，招标文件随中标结果同时公告，中标结果公告期限为1个工作日。</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32.</w:t>
      </w:r>
      <w:r>
        <w:rPr>
          <w:rFonts w:hint="eastAsia" w:ascii="宋体" w:hAnsi="宋体"/>
          <w:b/>
          <w:color w:val="000000" w:themeColor="text1"/>
          <w:szCs w:val="21"/>
          <w:highlight w:val="none"/>
          <w14:textFill>
            <w14:solidFill>
              <w14:schemeClr w14:val="tx1"/>
            </w14:solidFill>
          </w14:textFill>
        </w:rPr>
        <w:t xml:space="preserve"> 投标人询问及</w:t>
      </w:r>
      <w:r>
        <w:rPr>
          <w:rFonts w:hint="eastAsia" w:ascii="宋体" w:hAnsi="宋体"/>
          <w:b/>
          <w:bCs/>
          <w:color w:val="000000" w:themeColor="text1"/>
          <w:szCs w:val="21"/>
          <w:highlight w:val="none"/>
          <w14:textFill>
            <w14:solidFill>
              <w14:schemeClr w14:val="tx1"/>
            </w14:solidFill>
          </w14:textFill>
        </w:rPr>
        <w:t>质疑</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32.1投标人对采购活动事项有疑问的，可以向采购人或采购代理机构提出询问。采购人或采购代理机构将在3个工作日内作出答复。</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投标人应当在法定质疑期内一次性提出针对同一采购程序环节的质疑。</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32.4</w:t>
      </w:r>
      <w:r>
        <w:rPr>
          <w:rFonts w:hint="eastAsia" w:ascii="宋体" w:hAnsi="宋体"/>
          <w:color w:val="000000" w:themeColor="text1"/>
          <w:szCs w:val="21"/>
          <w:highlight w:val="none"/>
          <w14:textFill>
            <w14:solidFill>
              <w14:schemeClr w14:val="tx1"/>
            </w14:solidFill>
          </w14:textFill>
        </w:rPr>
        <w:t>采购人、采购代理机构按照《湖南省财政厅关于印发＜政府采购质疑答复和投诉处理操作规程＞的通知》规定进行质疑答复。</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32.5</w:t>
      </w:r>
      <w:r>
        <w:rPr>
          <w:rFonts w:hint="eastAsia" w:ascii="宋体" w:hAnsi="宋体"/>
          <w:color w:val="000000" w:themeColor="text1"/>
          <w:szCs w:val="21"/>
          <w:highlight w:val="none"/>
          <w14:textFill>
            <w14:solidFill>
              <w14:schemeClr w14:val="tx1"/>
            </w14:solidFill>
          </w14:textFill>
        </w:rPr>
        <w:t>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七、合同签订</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33.</w:t>
      </w:r>
      <w:r>
        <w:rPr>
          <w:rFonts w:hint="eastAsia" w:ascii="宋体" w:hAnsi="宋体"/>
          <w:b/>
          <w:bCs/>
          <w:color w:val="000000" w:themeColor="text1"/>
          <w:szCs w:val="21"/>
          <w:highlight w:val="none"/>
          <w14:textFill>
            <w14:solidFill>
              <w14:schemeClr w14:val="tx1"/>
            </w14:solidFill>
          </w14:textFill>
        </w:rPr>
        <w:t xml:space="preserve"> 签订合同</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33.1 采购人应自中标通知书发出之日起30日内，按中标通知书指定的时间、地点与中标人签订采购合同。所签订的合同不得对招标文件确定的事项和中标人投标文件作实质性修改。</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33.2 招标文件、中标人的投标文件均为签订合同的依据。</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s="微软雅黑"/>
          <w:color w:val="000000" w:themeColor="text1"/>
          <w:kern w:val="0"/>
          <w:szCs w:val="21"/>
          <w:highlight w:val="none"/>
          <w14:textFill>
            <w14:solidFill>
              <w14:schemeClr w14:val="tx1"/>
            </w14:solidFill>
          </w14:textFill>
        </w:rPr>
        <w:t xml:space="preserve">33.3 </w:t>
      </w:r>
      <w:r>
        <w:rPr>
          <w:rFonts w:hint="eastAsia" w:ascii="宋体" w:hAnsi="宋体"/>
          <w:color w:val="000000" w:themeColor="text1"/>
          <w:highlight w:val="none"/>
          <w14:textFill>
            <w14:solidFill>
              <w14:schemeClr w14:val="tx1"/>
            </w14:solidFill>
          </w14:textFill>
        </w:rPr>
        <w:t>联合体中标的，联合体各方应当共同与采购人签订合同，就中标项目向采购人承担连带责任。</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14:textFill>
            <w14:solidFill>
              <w14:schemeClr w14:val="tx1"/>
            </w14:solidFill>
          </w14:textFill>
        </w:rPr>
        <w:t>3</w:t>
      </w:r>
      <w:r>
        <w:rPr>
          <w:rFonts w:ascii="宋体" w:hAnsi="宋体"/>
          <w:color w:val="000000" w:themeColor="text1"/>
          <w:highlight w:val="none"/>
          <w14:textFill>
            <w14:solidFill>
              <w14:schemeClr w14:val="tx1"/>
            </w14:solidFill>
          </w14:textFill>
        </w:rPr>
        <w:t>.4</w:t>
      </w:r>
      <w:r>
        <w:rPr>
          <w:rFonts w:hint="eastAsia" w:ascii="宋体" w:hAnsi="宋体"/>
          <w:color w:val="000000" w:themeColor="text1"/>
          <w:highlight w:val="none"/>
          <w14:textFill>
            <w14:solidFill>
              <w14:schemeClr w14:val="tx1"/>
            </w14:solidFill>
          </w14:textFill>
        </w:rPr>
        <w:t>中标合同将在招标文件指定的媒体上公告，但合同中涉及国家秘密、商业秘密的内容除外。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33.5 中标人应当按照合同约定依法履行合同义务。采购合同的履行、违约责任和解决争议的方法等适用《中华人民共和国民法典》。</w:t>
      </w:r>
    </w:p>
    <w:p>
      <w:pPr>
        <w:shd w:val="clear"/>
        <w:adjustRightInd w:val="0"/>
        <w:snapToGrid w:val="0"/>
        <w:spacing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34.</w:t>
      </w:r>
      <w:r>
        <w:rPr>
          <w:rFonts w:hint="eastAsia" w:ascii="宋体" w:hAnsi="宋体" w:cs="宋体"/>
          <w:b/>
          <w:color w:val="000000" w:themeColor="text1"/>
          <w:kern w:val="0"/>
          <w:szCs w:val="21"/>
          <w:highlight w:val="none"/>
          <w14:textFill>
            <w14:solidFill>
              <w14:schemeClr w14:val="tx1"/>
            </w14:solidFill>
          </w14:textFill>
        </w:rPr>
        <w:t xml:space="preserve"> 履约担保</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34.1</w:t>
      </w:r>
      <w:r>
        <w:rPr>
          <w:rFonts w:hint="eastAsia" w:ascii="宋体" w:hAnsi="宋体"/>
          <w:color w:val="000000" w:themeColor="text1"/>
          <w:szCs w:val="21"/>
          <w:highlight w:val="none"/>
          <w14:textFill>
            <w14:solidFill>
              <w14:schemeClr w14:val="tx1"/>
            </w14:solidFill>
          </w14:textFill>
        </w:rPr>
        <w:t>招标文件要求中标人向采购人提交履约担保的，中标人应按照</w:t>
      </w:r>
      <w:r>
        <w:rPr>
          <w:rFonts w:hint="eastAsia" w:ascii="宋体" w:hAnsi="宋体"/>
          <w:b/>
          <w:color w:val="000000" w:themeColor="text1"/>
          <w:szCs w:val="21"/>
          <w:highlight w:val="none"/>
          <w14:textFill>
            <w14:solidFill>
              <w14:schemeClr w14:val="tx1"/>
            </w14:solidFill>
          </w14:textFill>
        </w:rPr>
        <w:t>【投标须知前附表】</w:t>
      </w:r>
      <w:r>
        <w:rPr>
          <w:rFonts w:hint="eastAsia" w:ascii="宋体" w:hAnsi="宋体"/>
          <w:color w:val="000000" w:themeColor="text1"/>
          <w:szCs w:val="21"/>
          <w:highlight w:val="none"/>
          <w14:textFill>
            <w14:solidFill>
              <w14:schemeClr w14:val="tx1"/>
            </w14:solidFill>
          </w14:textFill>
        </w:rPr>
        <w:t>的规定提交，</w:t>
      </w:r>
      <w:r>
        <w:rPr>
          <w:rFonts w:hint="eastAsia" w:ascii="宋体" w:hAnsi="宋体"/>
          <w:bCs/>
          <w:color w:val="000000" w:themeColor="text1"/>
          <w:szCs w:val="21"/>
          <w:highlight w:val="none"/>
          <w14:textFill>
            <w14:solidFill>
              <w14:schemeClr w14:val="tx1"/>
            </w14:solidFill>
          </w14:textFill>
        </w:rPr>
        <w:t>投标人可以保函、电子增信替代履约担保。</w:t>
      </w:r>
      <w:r>
        <w:rPr>
          <w:rFonts w:hint="eastAsia" w:ascii="宋体" w:hAnsi="宋体"/>
          <w:color w:val="000000" w:themeColor="text1"/>
          <w:szCs w:val="21"/>
          <w:highlight w:val="none"/>
          <w14:textFill>
            <w14:solidFill>
              <w14:schemeClr w14:val="tx1"/>
            </w14:solidFill>
          </w14:textFill>
        </w:rPr>
        <w:t>联合体中标的，履约担保由联合体各方或联合体中牵头人的名义提交。</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34.2 中标人</w:t>
      </w:r>
      <w:r>
        <w:rPr>
          <w:rFonts w:hint="eastAsia" w:ascii="宋体" w:hAnsi="宋体"/>
          <w:color w:val="000000" w:themeColor="text1"/>
          <w:spacing w:val="4"/>
          <w:szCs w:val="21"/>
          <w:highlight w:val="none"/>
          <w14:textFill>
            <w14:solidFill>
              <w14:schemeClr w14:val="tx1"/>
            </w14:solidFill>
          </w14:textFill>
        </w:rPr>
        <w:t>没有按照本章第3</w:t>
      </w:r>
      <w:r>
        <w:rPr>
          <w:rFonts w:ascii="宋体" w:hAnsi="宋体"/>
          <w:color w:val="000000" w:themeColor="text1"/>
          <w:spacing w:val="4"/>
          <w:szCs w:val="21"/>
          <w:highlight w:val="none"/>
          <w14:textFill>
            <w14:solidFill>
              <w14:schemeClr w14:val="tx1"/>
            </w14:solidFill>
          </w14:textFill>
        </w:rPr>
        <w:t>4</w:t>
      </w:r>
      <w:r>
        <w:rPr>
          <w:rFonts w:hint="eastAsia" w:ascii="宋体" w:hAnsi="宋体"/>
          <w:color w:val="000000" w:themeColor="text1"/>
          <w:spacing w:val="4"/>
          <w:szCs w:val="21"/>
          <w:highlight w:val="none"/>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款</w:t>
      </w:r>
      <w:r>
        <w:rPr>
          <w:rFonts w:hint="eastAsia" w:ascii="宋体" w:hAnsi="宋体"/>
          <w:color w:val="000000" w:themeColor="text1"/>
          <w:spacing w:val="4"/>
          <w:szCs w:val="21"/>
          <w:highlight w:val="none"/>
          <w14:textFill>
            <w14:solidFill>
              <w14:schemeClr w14:val="tx1"/>
            </w14:solidFill>
          </w14:textFill>
        </w:rPr>
        <w:t>规定</w:t>
      </w:r>
      <w:r>
        <w:rPr>
          <w:rFonts w:hint="eastAsia" w:ascii="宋体" w:hAnsi="宋体"/>
          <w:color w:val="000000" w:themeColor="text1"/>
          <w:szCs w:val="21"/>
          <w:highlight w:val="none"/>
          <w14:textFill>
            <w14:solidFill>
              <w14:schemeClr w14:val="tx1"/>
            </w14:solidFill>
          </w14:textFill>
        </w:rPr>
        <w:t>提交履约担保的</w:t>
      </w:r>
      <w:r>
        <w:rPr>
          <w:rFonts w:hint="eastAsia" w:ascii="宋体" w:hAnsi="宋体"/>
          <w:color w:val="000000" w:themeColor="text1"/>
          <w:spacing w:val="4"/>
          <w:szCs w:val="21"/>
          <w:highlight w:val="none"/>
          <w14:textFill>
            <w14:solidFill>
              <w14:schemeClr w14:val="tx1"/>
            </w14:solidFill>
          </w14:textFill>
        </w:rPr>
        <w:t>，视为放弃中标，</w:t>
      </w:r>
      <w:r>
        <w:rPr>
          <w:rFonts w:hint="eastAsia" w:ascii="宋体" w:hAnsi="宋体"/>
          <w:color w:val="000000" w:themeColor="text1"/>
          <w:spacing w:val="2"/>
          <w:szCs w:val="21"/>
          <w:highlight w:val="none"/>
          <w14:textFill>
            <w14:solidFill>
              <w14:schemeClr w14:val="tx1"/>
            </w14:solidFill>
          </w14:textFill>
        </w:rPr>
        <w:t>其投标保证金不予退还。</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35.</w:t>
      </w:r>
      <w:r>
        <w:rPr>
          <w:rFonts w:hint="eastAsia" w:ascii="宋体" w:hAnsi="宋体"/>
          <w:b/>
          <w:color w:val="000000" w:themeColor="text1"/>
          <w:szCs w:val="21"/>
          <w:highlight w:val="none"/>
          <w14:textFill>
            <w14:solidFill>
              <w14:schemeClr w14:val="tx1"/>
            </w14:solidFill>
          </w14:textFill>
        </w:rPr>
        <w:t xml:space="preserve"> 采购合同履行中</w:t>
      </w:r>
      <w:r>
        <w:rPr>
          <w:rFonts w:hint="eastAsia" w:ascii="宋体" w:hAnsi="宋体"/>
          <w:b/>
          <w:bCs/>
          <w:color w:val="000000" w:themeColor="text1"/>
          <w:szCs w:val="21"/>
          <w:highlight w:val="none"/>
          <w14:textFill>
            <w14:solidFill>
              <w14:schemeClr w14:val="tx1"/>
            </w14:solidFill>
          </w14:textFill>
        </w:rPr>
        <w:t>数量的变更</w:t>
      </w:r>
    </w:p>
    <w:p>
      <w:pPr>
        <w:shd w:val="clear"/>
        <w:adjustRightInd w:val="0"/>
        <w:snapToGrid w:val="0"/>
        <w:spacing w:line="360" w:lineRule="auto"/>
        <w:ind w:firstLine="42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35.1采购合同履行中，采购人需追加与合同标的相同的货物服务的，在不改变合同其他条款的前提下，可以与中标人协商签订补充合同，但所有补充合同的采购金额不得超过原合同采购金额的百分之十。</w:t>
      </w:r>
    </w:p>
    <w:p>
      <w:pPr>
        <w:shd w:val="clear"/>
        <w:adjustRightInd w:val="0"/>
        <w:snapToGrid w:val="0"/>
        <w:spacing w:line="360" w:lineRule="auto"/>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八、其他规定</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36.</w:t>
      </w:r>
      <w:r>
        <w:rPr>
          <w:rFonts w:hint="eastAsia" w:ascii="宋体" w:hAnsi="宋体"/>
          <w:b/>
          <w:color w:val="000000" w:themeColor="text1"/>
          <w:szCs w:val="21"/>
          <w:highlight w:val="none"/>
          <w14:textFill>
            <w14:solidFill>
              <w14:schemeClr w14:val="tx1"/>
            </w14:solidFill>
          </w14:textFill>
        </w:rPr>
        <w:t>政府采购政策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36.1</w:t>
      </w:r>
      <w:r>
        <w:rPr>
          <w:rFonts w:hint="eastAsia" w:ascii="宋体" w:hAnsi="宋体" w:cs="宋体"/>
          <w:color w:val="000000" w:themeColor="text1"/>
          <w:kern w:val="0"/>
          <w:highlight w:val="none"/>
          <w14:textFill>
            <w14:solidFill>
              <w14:schemeClr w14:val="tx1"/>
            </w14:solidFill>
          </w14:textFill>
        </w:rPr>
        <w:t>优先采购：</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纳入财政部会同国务院有关部门发布的节能产品、环境标志产品政府采购品目清单，实施政府优先采购的，评审时按招标文件第四章第一节有关规定对该部分产品给予一定比例的价格折扣或者加分；</w:t>
      </w:r>
      <w:r>
        <w:rPr>
          <w:rFonts w:ascii="宋体" w:hAnsi="宋体"/>
          <w:color w:val="000000" w:themeColor="text1"/>
          <w:highlight w:val="none"/>
          <w14:textFill>
            <w14:solidFill>
              <w14:schemeClr w14:val="tx1"/>
            </w14:solidFill>
          </w14:textFill>
        </w:rPr>
        <w:t xml:space="preserve"> </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（2）纳入湖南省财政厅等有关部门发布的湖南省两型产品政府采购目录的，实施政府优先采购，评审时按</w:t>
      </w:r>
      <w:r>
        <w:rPr>
          <w:rFonts w:hint="eastAsia" w:ascii="宋体" w:hAnsi="宋体"/>
          <w:color w:val="000000" w:themeColor="text1"/>
          <w:szCs w:val="21"/>
          <w:highlight w:val="none"/>
          <w14:textFill>
            <w14:solidFill>
              <w14:schemeClr w14:val="tx1"/>
            </w14:solidFill>
          </w14:textFill>
        </w:rPr>
        <w:t>招标文件第四章第一节有关规定对该部分产品</w:t>
      </w:r>
      <w:r>
        <w:rPr>
          <w:rFonts w:hint="eastAsia" w:ascii="宋体" w:hAnsi="宋体"/>
          <w:color w:val="000000" w:themeColor="text1"/>
          <w:highlight w:val="none"/>
          <w14:textFill>
            <w14:solidFill>
              <w14:schemeClr w14:val="tx1"/>
            </w14:solidFill>
          </w14:textFill>
        </w:rPr>
        <w:t>给予一定比例的价格折扣或者加分。</w:t>
      </w:r>
    </w:p>
    <w:p>
      <w:pPr>
        <w:shd w:val="clear"/>
        <w:adjustRightInd w:val="0"/>
        <w:snapToGri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36.2</w:t>
      </w:r>
      <w:r>
        <w:rPr>
          <w:rFonts w:hint="eastAsia" w:ascii="宋体" w:hAnsi="宋体" w:cs="宋体"/>
          <w:color w:val="000000" w:themeColor="text1"/>
          <w:kern w:val="0"/>
          <w:highlight w:val="none"/>
          <w14:textFill>
            <w14:solidFill>
              <w14:schemeClr w14:val="tx1"/>
            </w14:solidFill>
          </w14:textFill>
        </w:rPr>
        <w:t>强制采购：</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（1）纳入财政部会同国务院有关部门发布的节能产品政府采购品目清单，实施政府强制采购的（品目清单标注</w:t>
      </w:r>
      <w:r>
        <w:rPr>
          <w:rFonts w:hint="eastAsia" w:ascii="宋体" w:hAnsi="宋体" w:cs="宋体"/>
          <w:color w:val="000000" w:themeColor="text1"/>
          <w:kern w:val="0"/>
          <w:highlight w:val="none"/>
          <w14:textFill>
            <w14:solidFill>
              <w14:schemeClr w14:val="tx1"/>
            </w14:solidFill>
          </w14:textFill>
        </w:rPr>
        <w:sym w:font="Wingdings" w:char="F0AB"/>
      </w:r>
      <w:r>
        <w:rPr>
          <w:rFonts w:hint="eastAsia" w:ascii="宋体" w:hAnsi="宋体" w:cs="宋体"/>
          <w:color w:val="000000" w:themeColor="text1"/>
          <w:kern w:val="0"/>
          <w:highlight w:val="none"/>
          <w14:textFill>
            <w14:solidFill>
              <w14:schemeClr w14:val="tx1"/>
            </w14:solidFill>
          </w14:textFill>
        </w:rPr>
        <w:t>符号产品），投标人投标产品应当取得国家确定的认证机构出具的、处于有效期之内的节能产品认证证书，否则其</w:t>
      </w:r>
      <w:r>
        <w:rPr>
          <w:rFonts w:hint="eastAsia" w:ascii="宋体" w:hAnsi="宋体" w:cs="宋体"/>
          <w:b/>
          <w:color w:val="000000" w:themeColor="text1"/>
          <w:kern w:val="0"/>
          <w:szCs w:val="21"/>
          <w:highlight w:val="none"/>
          <w14:textFill>
            <w14:solidFill>
              <w14:schemeClr w14:val="tx1"/>
            </w14:solidFill>
          </w14:textFill>
        </w:rPr>
        <w:t>投标无效</w:t>
      </w:r>
      <w:r>
        <w:rPr>
          <w:rFonts w:hint="eastAsia" w:ascii="宋体" w:hAnsi="宋体" w:cs="宋体"/>
          <w:color w:val="000000" w:themeColor="text1"/>
          <w:kern w:val="0"/>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36.3价格评审优惠：</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（3）符合中小企业划分标准的个体工商户视同中小企业，享受评审中价格扣除等促进中小企业发展的政府采购政策。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（4）监狱企业、残疾人福利性单位视同小型、微型企业，享受评审中价格扣除等促进中小企业发展的政府采购政策。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（5）与大企业的负责人为同一人，或者与大企业存在直接控股、管理关系的中小企业，不享受评审中价格扣除等促进中小企业发展的政府采购政策。 </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（6）本章第1.2款规定采购项目或者采购包属于“预留采购份额”的，预留部分不再享受本款“价格评审优惠”的小微企业扶持政策。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36.4政府采购政策交叉与叠加</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（1）投标产品取得两个及以上优先采购产品认证的，评审时只有其中一项产品能享受优先采购优惠（投标人自行选择，并在投标文件中并填报相关信息及数据）</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（2）投标人同时符合小型、微型企业及监狱企业、残疾人福利性单位要求的，评审时只有一种类型享受价格评审优惠政策；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（3）小型和微型企业的价格评审优惠可以与同时属于“节能产品”、“环境标志产品”及“两型产品”中的一项优先采购优惠累加计算。</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33.5在货物采购项目中，供应商提供的货物既有中小企业制造货物，也有大型企业制造货物的，不享受政府采购中小企业扶持政策。</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36.6符合本章第3</w:t>
      </w:r>
      <w:r>
        <w:rPr>
          <w:rFonts w:ascii="宋体" w:hAnsi="宋体"/>
          <w:color w:val="000000" w:themeColor="text1"/>
          <w:highlight w:val="none"/>
          <w14:textFill>
            <w14:solidFill>
              <w14:schemeClr w14:val="tx1"/>
            </w14:solidFill>
          </w14:textFill>
        </w:rPr>
        <w:t>6</w:t>
      </w:r>
      <w:r>
        <w:rPr>
          <w:rFonts w:hint="eastAsia" w:ascii="宋体" w:hAnsi="宋体"/>
          <w:color w:val="000000" w:themeColor="text1"/>
          <w:highlight w:val="none"/>
          <w14:textFill>
            <w14:solidFill>
              <w14:schemeClr w14:val="tx1"/>
            </w14:solidFill>
          </w14:textFill>
        </w:rPr>
        <w:t>.1款、第3</w:t>
      </w:r>
      <w:r>
        <w:rPr>
          <w:rFonts w:ascii="宋体" w:hAnsi="宋体"/>
          <w:color w:val="000000" w:themeColor="text1"/>
          <w:highlight w:val="none"/>
          <w14:textFill>
            <w14:solidFill>
              <w14:schemeClr w14:val="tx1"/>
            </w14:solidFill>
          </w14:textFill>
        </w:rPr>
        <w:t>6</w:t>
      </w:r>
      <w:r>
        <w:rPr>
          <w:rFonts w:hint="eastAsia" w:ascii="宋体" w:hAnsi="宋体"/>
          <w:color w:val="000000" w:themeColor="text1"/>
          <w:highlight w:val="none"/>
          <w14:textFill>
            <w14:solidFill>
              <w14:schemeClr w14:val="tx1"/>
            </w14:solidFill>
          </w14:textFill>
        </w:rPr>
        <w:t>.2款、第3</w:t>
      </w:r>
      <w:r>
        <w:rPr>
          <w:rFonts w:ascii="宋体" w:hAnsi="宋体"/>
          <w:color w:val="000000" w:themeColor="text1"/>
          <w:highlight w:val="none"/>
          <w14:textFill>
            <w14:solidFill>
              <w14:schemeClr w14:val="tx1"/>
            </w14:solidFill>
          </w14:textFill>
        </w:rPr>
        <w:t>6</w:t>
      </w:r>
      <w:r>
        <w:rPr>
          <w:rFonts w:hint="eastAsia" w:ascii="宋体" w:hAnsi="宋体"/>
          <w:color w:val="000000" w:themeColor="text1"/>
          <w:highlight w:val="none"/>
          <w14:textFill>
            <w14:solidFill>
              <w14:schemeClr w14:val="tx1"/>
            </w14:solidFill>
          </w14:textFill>
        </w:rPr>
        <w:t>.3款规定的，应提供相关证明资料。</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（1）节能产品、环境标志产品：提供国家确定的认证机构出具的、处于有效期之内的节能产品、环境标志产品认证证书。</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（2）两型产品：提供《湖南省两型产品政府采购目录》（最新一期）文件首页和投标产品所在页（截图）。</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（3）中小企业：货物类采购项目，按《关于印发＜政府采购促进中小企业发展办法＞的通知》(财库[2020]46号) 和《关于印发中小企业划型标准规定的通知》（工信部联企业〔2011〕300号）文件规定提供中小企业声明函（格式）；服务类采购项目，按《湖南省财政厅关于政府采购促进中小企业发展的有关措施的通知》（湘财购[2022]17号）文件规定提供湖南省政府采购供应商资格承诺函（格式）。</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（4）监狱企业：按《关于政府采购支持监狱企业发展有关问题的通知》(财库〔2014〕68号)文件规定提供证明文件。</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（5）残疾人福利性单位：按《关于促进残疾人就业政府采购政策的通知》(财库〔2017〕141号)文件规定提供《残疾人福利性单位声明函》（格式）。</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36.7执行中小企业预留采购份额政策的规定：</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（1）预留份额的采购项目或者采购包，应明确该项目或相关采购包专门面向中小企业采购，并作为供应商资格条件。</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（2）要求以联合体形式参加或者合同分包的，应明确联合协议或者分包意向协议中中小企业合同金额应当达到的比例，并作为供应商资格条件。</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（3）组成联合体或者接受分包合同的中小企业与联合体内其他企业(成员)、分包企业(投标人)之间不得存在直接控股、管理关系。</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36.8采购进口产品</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限制满足招标文件要求的国内产品参与投标竞争。</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36.9投标人有融资、担保需求的，可登陆中国湖南政府采购网查询相关银行、担保机构业务。</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37.</w:t>
      </w:r>
      <w:r>
        <w:rPr>
          <w:rFonts w:hint="eastAsia" w:ascii="宋体" w:hAnsi="宋体"/>
          <w:b/>
          <w:color w:val="000000" w:themeColor="text1"/>
          <w:szCs w:val="21"/>
          <w:highlight w:val="none"/>
          <w14:textFill>
            <w14:solidFill>
              <w14:schemeClr w14:val="tx1"/>
            </w14:solidFill>
          </w14:textFill>
        </w:rPr>
        <w:t>招标不足三家处理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37.1公开招标数额标准以上的采购项目，投标截止后投标人不足3家或者通过资格审查或符合性审查的投标人不足3家的，除采购任务取消情形外，按照以下方式处理：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（2）招标文件没有不合理条款、招标程序符合规定，需要采用其他采购方式采购的，采购人应当依法报财政部门批准。</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37.2属上款第（2）项情形的，评标委员会应出具的招标文件没有不合理条款的论证意见。</w:t>
      </w:r>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38.</w:t>
      </w:r>
      <w:r>
        <w:rPr>
          <w:rFonts w:hint="eastAsia" w:ascii="宋体" w:hAnsi="宋体"/>
          <w:b/>
          <w:color w:val="000000" w:themeColor="text1"/>
          <w:szCs w:val="21"/>
          <w:highlight w:val="none"/>
          <w14:textFill>
            <w14:solidFill>
              <w14:schemeClr w14:val="tx1"/>
            </w14:solidFill>
          </w14:textFill>
        </w:rPr>
        <w:t xml:space="preserve"> 招标代理委托内容及服务费</w:t>
      </w:r>
    </w:p>
    <w:p>
      <w:pPr>
        <w:shd w:val="clear"/>
        <w:adjustRightInd w:val="0"/>
        <w:snapToGrid w:val="0"/>
        <w:spacing w:line="360" w:lineRule="auto"/>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38.1招标代理委托内容</w:t>
      </w:r>
      <w:r>
        <w:rPr>
          <w:rFonts w:hint="eastAsia" w:ascii="宋体" w:hAnsi="宋体"/>
          <w:b/>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18" w:name="EBa066981c45bc4eb891064d1d7b78dbc7"/>
      <w:r>
        <w:rPr>
          <w:rFonts w:hint="eastAsia" w:ascii="宋体" w:hAnsi="宋体"/>
          <w:color w:val="000000" w:themeColor="text1"/>
          <w:szCs w:val="21"/>
          <w:highlight w:val="none"/>
          <w14:textFill>
            <w14:solidFill>
              <w14:schemeClr w14:val="tx1"/>
            </w14:solidFill>
          </w14:textFill>
        </w:rPr>
        <w:t>（一）、起草、编制采购文件；（二）、组织专家对采购文件进行论证；（三）、组织采购答疑会；（四）、制作、发布采购信息公告；（五）、组织开展供应商资格预审；（六）、依法组建评审委员会；（七）、邀请财政部门及有关部门现场监督； （八）、组织评审活动，记录、整理评审委员会的评审意见，协助评审委员会编写评审报告；（九）、制作、发布中标（成交）信息公告； （十）、发送供应商中标（成交）通知书； （十一）、答复供应商的询问和质疑，配合财政部门的投诉处理；（十二）、整理移交采购活动的采购文件档案； (十三)、法律法规规定的其他事项。</w:t>
      </w:r>
      <w:bookmarkEnd w:id="18"/>
    </w:p>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39.</w:t>
      </w:r>
      <w:r>
        <w:rPr>
          <w:rFonts w:hint="eastAsia" w:ascii="宋体" w:hAnsi="宋体"/>
          <w:b/>
          <w:color w:val="000000" w:themeColor="text1"/>
          <w:szCs w:val="21"/>
          <w:highlight w:val="none"/>
          <w14:textFill>
            <w14:solidFill>
              <w14:schemeClr w14:val="tx1"/>
            </w14:solidFill>
          </w14:textFill>
        </w:rPr>
        <w:t xml:space="preserve"> 需要补充的其他内容</w:t>
      </w:r>
    </w:p>
    <w:p>
      <w:pPr>
        <w:shd w:val="clear"/>
        <w:adjustRightInd w:val="0"/>
        <w:snapToGri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39.1招标文件需要补充的其他内容见</w:t>
      </w:r>
      <w:r>
        <w:rPr>
          <w:rFonts w:hint="eastAsia" w:ascii="宋体" w:hAnsi="宋体"/>
          <w:b/>
          <w:color w:val="000000" w:themeColor="text1"/>
          <w:highlight w:val="none"/>
          <w14:textFill>
            <w14:solidFill>
              <w14:schemeClr w14:val="tx1"/>
            </w14:solidFill>
          </w14:textFill>
        </w:rPr>
        <w:t>【投标须知前附表】</w:t>
      </w:r>
      <w:r>
        <w:rPr>
          <w:rFonts w:hint="eastAsia" w:ascii="宋体" w:hAnsi="宋体"/>
          <w:color w:val="000000" w:themeColor="text1"/>
          <w:highlight w:val="none"/>
          <w14:textFill>
            <w14:solidFill>
              <w14:schemeClr w14:val="tx1"/>
            </w14:solidFill>
          </w14:textFill>
        </w:rPr>
        <w:t>。</w:t>
      </w:r>
    </w:p>
    <w:p>
      <w:pPr>
        <w:widowControl/>
        <w:shd w:val="clear"/>
        <w:jc w:val="lef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br w:type="page"/>
      </w:r>
    </w:p>
    <w:p>
      <w:pPr>
        <w:pStyle w:val="7"/>
        <w:shd w:val="clear"/>
        <w:rPr>
          <w:rFonts w:ascii="黑体" w:hAnsi="黑体" w:eastAsia="黑体"/>
          <w:color w:val="000000" w:themeColor="text1"/>
          <w:sz w:val="32"/>
          <w:szCs w:val="32"/>
          <w:highlight w:val="none"/>
          <w14:textFill>
            <w14:solidFill>
              <w14:schemeClr w14:val="tx1"/>
            </w14:solidFill>
          </w14:textFill>
        </w:rPr>
      </w:pPr>
      <w:bookmarkStart w:id="19" w:name="_Toc23519980"/>
      <w:bookmarkStart w:id="20" w:name="_Toc78815071"/>
      <w:r>
        <w:rPr>
          <w:rFonts w:hint="eastAsia" w:ascii="黑体" w:hAnsi="黑体" w:eastAsia="黑体"/>
          <w:color w:val="000000" w:themeColor="text1"/>
          <w:sz w:val="32"/>
          <w:szCs w:val="32"/>
          <w:highlight w:val="none"/>
          <w14:textFill>
            <w14:solidFill>
              <w14:schemeClr w14:val="tx1"/>
            </w14:solidFill>
          </w14:textFill>
        </w:rPr>
        <w:t>第三章 资格审查</w:t>
      </w:r>
      <w:bookmarkEnd w:id="19"/>
      <w:bookmarkEnd w:id="20"/>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bookmarkStart w:id="21" w:name="_Toc23519981"/>
      <w:r>
        <w:rPr>
          <w:rFonts w:hint="eastAsia" w:ascii="宋体" w:hAnsi="宋体"/>
          <w:b/>
          <w:bCs/>
          <w:color w:val="000000" w:themeColor="text1"/>
          <w:szCs w:val="21"/>
          <w:highlight w:val="none"/>
          <w14:textFill>
            <w14:solidFill>
              <w14:schemeClr w14:val="tx1"/>
            </w14:solidFill>
          </w14:textFill>
        </w:rPr>
        <w:t>1．资格审查主体</w:t>
      </w:r>
      <w:bookmarkEnd w:id="21"/>
    </w:p>
    <w:p>
      <w:pPr>
        <w:shd w:val="clear"/>
        <w:adjustRightInd w:val="0"/>
        <w:snapToGrid w:val="0"/>
        <w:spacing w:before="156" w:beforeLines="50" w:line="360" w:lineRule="auto"/>
        <w:ind w:firstLine="417" w:firstLineChars="199"/>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1.1资格审查主体：采购人及采购代理机构负责资格审查。</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bookmarkStart w:id="22" w:name="_Toc23519982"/>
      <w:r>
        <w:rPr>
          <w:rFonts w:hint="eastAsia" w:ascii="宋体" w:hAnsi="宋体"/>
          <w:b/>
          <w:bCs/>
          <w:color w:val="000000" w:themeColor="text1"/>
          <w:szCs w:val="21"/>
          <w:highlight w:val="none"/>
          <w14:textFill>
            <w14:solidFill>
              <w14:schemeClr w14:val="tx1"/>
            </w14:solidFill>
          </w14:textFill>
        </w:rPr>
        <w:t>2．资格审查</w:t>
      </w:r>
      <w:bookmarkEnd w:id="22"/>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2.1资格审查依据法律法规和招标文件的规定，对投标文件中的资格证明文件、投标保证金、投标报价等进行审查，以确定投标供应商是否具备投标资格。</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2.2采购人、采购代理机构按本章附表1“资格审查表”所列审查项目及审查标准，对投标人资格进行审查。</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2.3在资格审查时，投标人存在下列情况之一的，资格审查不合格，其投标无效：</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（1）不具备招标文件中规定的资格要求的，或提交的资格证明文件不符合招标文件要求的；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（2）联合体投标未提交联合体协议书，或未提交联合体各方资格证明文件的；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（3）投标文件的资格证明文件未按照招标文件要求签署、盖章的；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（4）未按照招标文件的规定提交投标保证金的。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（5）投标报价超过招标文件中规定的预算金额或者最高限价的；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（6）法律、法规和招标文件规定的其他投标无效情形的。</w:t>
      </w:r>
    </w:p>
    <w:p>
      <w:pPr>
        <w:shd w:val="clear"/>
        <w:adjustRightInd w:val="0"/>
        <w:snapToGrid w:val="0"/>
        <w:spacing w:before="156" w:beforeLines="50" w:line="360" w:lineRule="auto"/>
        <w:ind w:firstLine="420" w:firstLineChars="200"/>
        <w:jc w:val="left"/>
        <w:rPr>
          <w:rFonts w:ascii="宋体" w:hAnsi="宋体"/>
          <w:b/>
          <w:color w:val="000000" w:themeColor="text1"/>
          <w:sz w:val="32"/>
          <w:szCs w:val="32"/>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2.4信用记录。开标结束后</w:t>
      </w:r>
      <w:r>
        <w:rPr>
          <w:rFonts w:hint="eastAsia" w:ascii="宋体" w:hAnsi="宋体"/>
          <w:color w:val="000000" w:themeColor="text1"/>
          <w:szCs w:val="21"/>
          <w:highlight w:val="none"/>
          <w14:textFill>
            <w14:solidFill>
              <w14:schemeClr w14:val="tx1"/>
            </w14:solidFill>
          </w14:textFill>
        </w:rPr>
        <w:t>资格审查时，采购人及采购代理机构将对投标人信用记录进行甄别。</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（1）信用信息查询的查询渠道：信用中国网（www.creditchina.gov.cn）、中国政府采购网（www.ccgp.gov.cn）；</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不良信用记录是指：投标人在“信用中国”网站被列入失信被执行人和重大税收违法失信主体名单，或在“中国政府采购网”网站被列入政府采购严重违法失信行为记录名单。投标人有上述不良信用记录的，其投标无效，其中，列入政府采购严重违法失信行为记录名单的，按处罚结果执行。</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（3）联合体形式投标的，联合体成员存在不良信用记录的，视同联合体存在不良信用记录。</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信用信息查询记录和证据留存具体方式：采购人、采购代理机构经办人将查询网页截图、打印、签字，作为查询记录和证据，与其他采购文件一并保存。投标人不良信用记录以采购人、采购代理机构查询结果为准。</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bookmarkStart w:id="23" w:name="_Toc23519983"/>
      <w:r>
        <w:rPr>
          <w:rFonts w:hint="eastAsia" w:ascii="宋体" w:hAnsi="宋体"/>
          <w:b/>
          <w:bCs/>
          <w:color w:val="000000" w:themeColor="text1"/>
          <w:szCs w:val="21"/>
          <w:highlight w:val="none"/>
          <w14:textFill>
            <w14:solidFill>
              <w14:schemeClr w14:val="tx1"/>
            </w14:solidFill>
          </w14:textFill>
        </w:rPr>
        <w:t>3．资格审查结果</w:t>
      </w:r>
      <w:bookmarkEnd w:id="23"/>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3.1未通过资格审查的投标人，采购人及采购代理机构应当告知其未通过的原因。</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3.2资格审查结束后，采购人及采购代理机构应将资格审查结果告知评标委员会。</w:t>
      </w:r>
    </w:p>
    <w:p>
      <w:pPr>
        <w:shd w:val="clear"/>
        <w:adjustRightInd w:val="0"/>
        <w:snapToGrid w:val="0"/>
        <w:spacing w:line="360" w:lineRule="auto"/>
        <w:jc w:val="left"/>
        <w:rPr>
          <w:rFonts w:ascii="宋体" w:hAnsi="宋体"/>
          <w:b/>
          <w:bCs/>
          <w:color w:val="000000" w:themeColor="text1"/>
          <w:szCs w:val="21"/>
          <w:highlight w:val="none"/>
          <w14:textFill>
            <w14:solidFill>
              <w14:schemeClr w14:val="tx1"/>
            </w14:solidFill>
          </w14:textFill>
        </w:rPr>
      </w:pPr>
      <w:bookmarkStart w:id="24" w:name="_Toc23519984"/>
      <w:r>
        <w:rPr>
          <w:rFonts w:hint="eastAsia" w:ascii="宋体" w:hAnsi="宋体"/>
          <w:b/>
          <w:bCs/>
          <w:color w:val="000000" w:themeColor="text1"/>
          <w:szCs w:val="21"/>
          <w:highlight w:val="none"/>
          <w14:textFill>
            <w14:solidFill>
              <w14:schemeClr w14:val="tx1"/>
            </w14:solidFill>
          </w14:textFill>
        </w:rPr>
        <w:t>4．其他</w:t>
      </w:r>
      <w:bookmarkEnd w:id="24"/>
    </w:p>
    <w:p>
      <w:pPr>
        <w:shd w:val="clear"/>
        <w:adjustRightInd w:val="0"/>
        <w:snapToGrid w:val="0"/>
        <w:spacing w:before="156" w:beforeLines="50" w:line="360" w:lineRule="auto"/>
        <w:ind w:firstLine="420" w:firstLineChars="200"/>
        <w:jc w:val="left"/>
        <w:rPr>
          <w:rFonts w:ascii="华文中宋" w:hAnsi="华文中宋" w:eastAsia="华文中宋"/>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资格预审合格的投标人在提交投标文件的截止时间前资格发生变化的，应当通知采购人、采购代理机构，并按新情况更新或补充其在申请资格预审时提供的证明资料，以证实其各项资格条件仍能继续满足资格预审公告的要求。</w:t>
      </w:r>
      <w:r>
        <w:rPr>
          <w:rFonts w:ascii="华文中宋" w:hAnsi="华文中宋" w:eastAsia="华文中宋"/>
          <w:color w:val="000000" w:themeColor="text1"/>
          <w:highlight w:val="none"/>
          <w14:textFill>
            <w14:solidFill>
              <w14:schemeClr w14:val="tx1"/>
            </w14:solidFill>
          </w14:textFill>
        </w:rPr>
        <w:br w:type="page"/>
      </w:r>
      <w:bookmarkStart w:id="25" w:name="_Toc23519985"/>
    </w:p>
    <w:p>
      <w:pPr>
        <w:shd w:val="clear"/>
        <w:adjustRightInd w:val="0"/>
        <w:snapToGrid w:val="0"/>
        <w:spacing w:before="156" w:beforeLines="50" w:line="360" w:lineRule="auto"/>
        <w:ind w:firstLine="422" w:firstLineChars="200"/>
        <w:jc w:val="left"/>
        <w:rPr>
          <w:rFonts w:ascii="黑体" w:hAnsi="黑体"/>
          <w:b/>
          <w:color w:val="000000" w:themeColor="text1"/>
          <w:szCs w:val="21"/>
          <w:highlight w:val="none"/>
          <w14:textFill>
            <w14:solidFill>
              <w14:schemeClr w14:val="tx1"/>
            </w14:solidFill>
          </w14:textFill>
        </w:rPr>
      </w:pPr>
      <w:r>
        <w:rPr>
          <w:rFonts w:hint="eastAsia" w:ascii="黑体" w:hAnsi="黑体"/>
          <w:b/>
          <w:color w:val="000000" w:themeColor="text1"/>
          <w:szCs w:val="21"/>
          <w:highlight w:val="none"/>
          <w14:textFill>
            <w14:solidFill>
              <w14:schemeClr w14:val="tx1"/>
            </w14:solidFill>
          </w14:textFill>
        </w:rPr>
        <w:t xml:space="preserve">附表1 </w:t>
      </w:r>
      <w:r>
        <w:rPr>
          <w:rFonts w:ascii="黑体" w:hAnsi="黑体"/>
          <w:b/>
          <w:color w:val="000000" w:themeColor="text1"/>
          <w:szCs w:val="21"/>
          <w:highlight w:val="none"/>
          <w14:textFill>
            <w14:solidFill>
              <w14:schemeClr w14:val="tx1"/>
            </w14:solidFill>
          </w14:textFill>
        </w:rPr>
        <w:t>投标人资格审查表</w:t>
      </w:r>
      <w:bookmarkEnd w:id="25"/>
    </w:p>
    <w:p>
      <w:pPr>
        <w:shd w:val="clear"/>
        <w:adjustRightInd w:val="0"/>
        <w:snapToGrid w:val="0"/>
        <w:spacing w:line="360" w:lineRule="auto"/>
        <w:jc w:val="center"/>
        <w:rPr>
          <w:rFonts w:ascii="黑体" w:hAnsi="黑体" w:eastAsia="黑体"/>
          <w:b/>
          <w:color w:val="000000" w:themeColor="text1"/>
          <w:sz w:val="28"/>
          <w:szCs w:val="28"/>
          <w:highlight w:val="none"/>
          <w14:textFill>
            <w14:solidFill>
              <w14:schemeClr w14:val="tx1"/>
            </w14:solidFill>
          </w14:textFill>
        </w:rPr>
      </w:pPr>
      <w:r>
        <w:rPr>
          <w:rFonts w:ascii="黑体" w:hAnsi="黑体" w:eastAsia="黑体"/>
          <w:b/>
          <w:color w:val="000000" w:themeColor="text1"/>
          <w:sz w:val="28"/>
          <w:szCs w:val="28"/>
          <w:highlight w:val="none"/>
          <w14:textFill>
            <w14:solidFill>
              <w14:schemeClr w14:val="tx1"/>
            </w14:solidFill>
          </w14:textFill>
        </w:rPr>
        <w:t>资格审查表</w:t>
      </w:r>
    </w:p>
    <w:p>
      <w:pPr>
        <w:shd w:val="clear"/>
        <w:adjustRightInd w:val="0"/>
        <w:snapToGrid w:val="0"/>
        <w:spacing w:line="360" w:lineRule="auto"/>
        <w:rPr>
          <w:rFonts w:ascii="黑体" w:hAnsi="黑体" w:eastAsia="黑体"/>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采购代理编号：</w:t>
      </w:r>
    </w:p>
    <w:tbl>
      <w:tblPr>
        <w:tblStyle w:val="47"/>
        <w:tblW w:w="929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3"/>
        <w:gridCol w:w="5985"/>
        <w:gridCol w:w="1396"/>
        <w:gridCol w:w="378"/>
        <w:gridCol w:w="372"/>
        <w:gridCol w:w="383"/>
        <w:gridCol w:w="40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jc w:val="center"/>
        </w:trPr>
        <w:tc>
          <w:tcPr>
            <w:tcW w:w="383" w:type="dxa"/>
            <w:vMerge w:val="restart"/>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985" w:type="dxa"/>
            <w:vMerge w:val="restart"/>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检查项目</w:t>
            </w:r>
          </w:p>
        </w:tc>
        <w:tc>
          <w:tcPr>
            <w:tcW w:w="1396" w:type="dxa"/>
            <w:vMerge w:val="restart"/>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评审标准</w:t>
            </w:r>
          </w:p>
        </w:tc>
        <w:tc>
          <w:tcPr>
            <w:tcW w:w="1535" w:type="dxa"/>
            <w:gridSpan w:val="4"/>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325" w:hRule="atLeast"/>
          <w:jc w:val="center"/>
        </w:trPr>
        <w:tc>
          <w:tcPr>
            <w:tcW w:w="383" w:type="dxa"/>
            <w:vMerge w:val="continue"/>
            <w:vAlign w:val="center"/>
          </w:tcPr>
          <w:p>
            <w:pPr>
              <w:shd w:val="clear"/>
              <w:rPr>
                <w:rFonts w:ascii="宋体" w:hAnsi="宋体" w:cs="宋体"/>
                <w:color w:val="000000" w:themeColor="text1"/>
                <w:highlight w:val="none"/>
                <w14:textFill>
                  <w14:solidFill>
                    <w14:schemeClr w14:val="tx1"/>
                  </w14:solidFill>
                </w14:textFill>
              </w:rPr>
            </w:pPr>
          </w:p>
        </w:tc>
        <w:tc>
          <w:tcPr>
            <w:tcW w:w="5985" w:type="dxa"/>
            <w:vMerge w:val="continue"/>
            <w:vAlign w:val="center"/>
          </w:tcPr>
          <w:p>
            <w:pPr>
              <w:shd w:val="clear"/>
              <w:rPr>
                <w:rFonts w:ascii="宋体" w:hAnsi="宋体" w:cs="宋体"/>
                <w:color w:val="000000" w:themeColor="text1"/>
                <w:highlight w:val="none"/>
                <w14:textFill>
                  <w14:solidFill>
                    <w14:schemeClr w14:val="tx1"/>
                  </w14:solidFill>
                </w14:textFill>
              </w:rPr>
            </w:pPr>
          </w:p>
        </w:tc>
        <w:tc>
          <w:tcPr>
            <w:tcW w:w="1396" w:type="dxa"/>
            <w:vMerge w:val="continue"/>
            <w:vAlign w:val="center"/>
          </w:tcPr>
          <w:p>
            <w:pPr>
              <w:shd w:val="clear"/>
              <w:rPr>
                <w:rFonts w:ascii="宋体" w:hAnsi="宋体" w:cs="宋体"/>
                <w:color w:val="000000" w:themeColor="text1"/>
                <w:highlight w:val="none"/>
                <w14:textFill>
                  <w14:solidFill>
                    <w14:schemeClr w14:val="tx1"/>
                  </w14:solidFill>
                </w14:textFill>
              </w:rPr>
            </w:pPr>
          </w:p>
        </w:tc>
        <w:tc>
          <w:tcPr>
            <w:tcW w:w="378"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372"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383"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402"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383"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5985"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营业执照、税务登记证及组织机构代码证</w:t>
            </w:r>
          </w:p>
        </w:tc>
        <w:tc>
          <w:tcPr>
            <w:tcW w:w="1396"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真实有效</w:t>
            </w:r>
          </w:p>
        </w:tc>
        <w:tc>
          <w:tcPr>
            <w:tcW w:w="378"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7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83"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40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383"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5985"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法定代表人身份证或法人授权委托书、委托代理人身份证</w:t>
            </w:r>
          </w:p>
        </w:tc>
        <w:tc>
          <w:tcPr>
            <w:tcW w:w="1396"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真实有效</w:t>
            </w:r>
          </w:p>
        </w:tc>
        <w:tc>
          <w:tcPr>
            <w:tcW w:w="378"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7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83"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40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83" w:type="dxa"/>
            <w:vAlign w:val="center"/>
          </w:tcPr>
          <w:p>
            <w:pPr>
              <w:shd w:val="clea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5985" w:type="dxa"/>
            <w:vAlign w:val="center"/>
          </w:tcPr>
          <w:p>
            <w:pPr>
              <w:shd w:val="clear"/>
              <w:adjustRightInd w:val="0"/>
              <w:snapToGrid w:val="0"/>
              <w:spacing w:line="360" w:lineRule="auto"/>
              <w:jc w:val="lef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投标人在</w:t>
            </w:r>
            <w:r>
              <w:rPr>
                <w:rFonts w:hint="eastAsia"/>
                <w:color w:val="000000" w:themeColor="text1"/>
                <w:highlight w:val="none"/>
                <w14:textFill>
                  <w14:solidFill>
                    <w14:schemeClr w14:val="tx1"/>
                  </w14:solidFill>
                </w14:textFill>
              </w:rPr>
              <w:t>信用中国网站（www.creditchina.gov.cn）、中国政府采购网（www.ccgp.gov.cn）、湖南信用网（https://credit.fgw.hunan.gov.cn/）和湖南省政府采购网（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"http://www.ccgp-hunan.gov.cn"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www.ccgp-hunan.gov.cn</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的查询中无重大失信等被禁止投标记录；提供查询结果截图打印件并加盖公章</w:t>
            </w:r>
            <w:r>
              <w:rPr>
                <w:rFonts w:hint="eastAsia"/>
                <w:color w:val="000000" w:themeColor="text1"/>
                <w:highlight w:val="none"/>
                <w14:textFill>
                  <w14:solidFill>
                    <w14:schemeClr w14:val="tx1"/>
                  </w14:solidFill>
                </w14:textFill>
              </w:rPr>
              <w:t>。</w:t>
            </w:r>
          </w:p>
          <w:p>
            <w:pPr>
              <w:shd w:val="clear"/>
              <w:adjustRightInd w:val="0"/>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信用信息查询的截止时点：至本项目投标截止时间止。</w:t>
            </w:r>
          </w:p>
        </w:tc>
        <w:tc>
          <w:tcPr>
            <w:tcW w:w="1396"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真实有效</w:t>
            </w:r>
          </w:p>
        </w:tc>
        <w:tc>
          <w:tcPr>
            <w:tcW w:w="378"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7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83"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40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6368" w:type="dxa"/>
            <w:gridSpan w:val="2"/>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结论</w:t>
            </w:r>
          </w:p>
        </w:tc>
        <w:tc>
          <w:tcPr>
            <w:tcW w:w="1396" w:type="dxa"/>
            <w:vAlign w:val="center"/>
          </w:tcPr>
          <w:p>
            <w:pPr>
              <w:shd w:val="clear"/>
              <w:spacing w:line="240" w:lineRule="exact"/>
              <w:jc w:val="center"/>
              <w:rPr>
                <w:rFonts w:ascii="宋体" w:hAnsi="宋体" w:cs="宋体"/>
                <w:color w:val="000000" w:themeColor="text1"/>
                <w:szCs w:val="21"/>
                <w:highlight w:val="none"/>
                <w14:textFill>
                  <w14:solidFill>
                    <w14:schemeClr w14:val="tx1"/>
                  </w14:solidFill>
                </w14:textFill>
              </w:rPr>
            </w:pPr>
          </w:p>
        </w:tc>
        <w:tc>
          <w:tcPr>
            <w:tcW w:w="378"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7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383"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c>
          <w:tcPr>
            <w:tcW w:w="402" w:type="dxa"/>
            <w:vAlign w:val="center"/>
          </w:tcPr>
          <w:p>
            <w:pPr>
              <w:widowControl/>
              <w:shd w:val="clear"/>
              <w:spacing w:after="31" w:afterLines="10"/>
              <w:jc w:val="center"/>
              <w:rPr>
                <w:rFonts w:ascii="宋体" w:hAnsi="宋体" w:cs="宋体"/>
                <w:color w:val="000000" w:themeColor="text1"/>
                <w:szCs w:val="21"/>
                <w:highlight w:val="none"/>
                <w14:textFill>
                  <w14:solidFill>
                    <w14:schemeClr w14:val="tx1"/>
                  </w14:solidFill>
                </w14:textFill>
              </w:rPr>
            </w:pPr>
          </w:p>
        </w:tc>
      </w:tr>
    </w:tbl>
    <w:p>
      <w:pPr>
        <w:shd w:val="clear"/>
        <w:spacing w:line="240" w:lineRule="exact"/>
        <w:jc w:val="left"/>
        <w:rPr>
          <w:rFonts w:ascii="宋体" w:hAnsi="宋体" w:cs="宋体"/>
          <w:bCs/>
          <w:color w:val="000000" w:themeColor="text1"/>
          <w:szCs w:val="21"/>
          <w:highlight w:val="none"/>
          <w14:textFill>
            <w14:solidFill>
              <w14:schemeClr w14:val="tx1"/>
            </w14:solidFill>
          </w14:textFill>
        </w:rPr>
      </w:pPr>
    </w:p>
    <w:p>
      <w:pPr>
        <w:shd w:val="clear"/>
        <w:spacing w:line="240" w:lineRule="exact"/>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注：1、评审意见，合格的“√”，不合格的“×”，有一项不合格即为不合格供应商。</w:t>
      </w:r>
    </w:p>
    <w:p>
      <w:pPr>
        <w:shd w:val="clear"/>
        <w:spacing w:line="24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2、此表中所说“原件”是指投标文件中装入复印件，检查时供应商交验原件。</w:t>
      </w:r>
    </w:p>
    <w:p>
      <w:pPr>
        <w:shd w:val="clear"/>
        <w:spacing w:line="24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3、未通过资格性资格性审查的，不能进入评标阶段。</w:t>
      </w:r>
    </w:p>
    <w:p>
      <w:pPr>
        <w:shd w:val="clear"/>
        <w:spacing w:line="240" w:lineRule="exact"/>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4、通过资格性审查的投标人不足3家的，评标评标工作停止。</w:t>
      </w:r>
    </w:p>
    <w:p>
      <w:pPr>
        <w:shd w:val="clear"/>
        <w:spacing w:before="156" w:beforeLines="50"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采购人或者采购代理机构检查人签名：</w:t>
      </w:r>
    </w:p>
    <w:p>
      <w:pPr>
        <w:shd w:val="clear"/>
        <w:spacing w:before="156" w:beforeLines="50" w:line="360" w:lineRule="auto"/>
        <w:ind w:firstLine="480" w:firstLineChars="200"/>
        <w:jc w:val="righ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年   月    日</w:t>
      </w: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p>
    <w:p>
      <w:pPr>
        <w:shd w:val="clear"/>
        <w:jc w:val="left"/>
        <w:rPr>
          <w:rFonts w:hAnsi="宋体"/>
          <w:color w:val="000000" w:themeColor="text1"/>
          <w:highlight w:val="none"/>
          <w14:textFill>
            <w14:solidFill>
              <w14:schemeClr w14:val="tx1"/>
            </w14:solidFill>
          </w14:textFill>
        </w:rPr>
      </w:pPr>
    </w:p>
    <w:p>
      <w:pPr>
        <w:pStyle w:val="7"/>
        <w:shd w:val="clear"/>
        <w:rPr>
          <w:rFonts w:ascii="黑体" w:hAnsi="黑体" w:eastAsia="黑体"/>
          <w:color w:val="000000" w:themeColor="text1"/>
          <w:sz w:val="32"/>
          <w:szCs w:val="32"/>
          <w:highlight w:val="none"/>
          <w14:textFill>
            <w14:solidFill>
              <w14:schemeClr w14:val="tx1"/>
            </w14:solidFill>
          </w14:textFill>
        </w:rPr>
      </w:pPr>
      <w:bookmarkStart w:id="26" w:name="_Toc78815072"/>
      <w:r>
        <w:rPr>
          <w:rFonts w:hint="eastAsia" w:ascii="黑体" w:hAnsi="黑体" w:eastAsia="黑体"/>
          <w:color w:val="000000" w:themeColor="text1"/>
          <w:sz w:val="32"/>
          <w:szCs w:val="32"/>
          <w:highlight w:val="none"/>
          <w14:textFill>
            <w14:solidFill>
              <w14:schemeClr w14:val="tx1"/>
            </w14:solidFill>
          </w14:textFill>
        </w:rPr>
        <w:t>第四章 评标方法及标准（综合评分法）</w:t>
      </w:r>
      <w:bookmarkEnd w:id="26"/>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第一节  评标方法及标准前附表</w:t>
      </w:r>
    </w:p>
    <w:p>
      <w:pPr>
        <w:shd w:val="clear"/>
        <w:adjustRightInd w:val="0"/>
        <w:snapToGrid w:val="0"/>
        <w:spacing w:line="360" w:lineRule="auto"/>
        <w:ind w:right="42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本项目启用的条款请在“编列内容规定”栏内以“■”标注。</w:t>
      </w:r>
    </w:p>
    <w:tbl>
      <w:tblPr>
        <w:tblStyle w:val="47"/>
        <w:tblW w:w="960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84"/>
        <w:gridCol w:w="2126"/>
        <w:gridCol w:w="60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tcPr>
          <w:p>
            <w:pPr>
              <w:shd w:val="clear"/>
              <w:adjustRightInd w:val="0"/>
              <w:snapToGrid w:val="0"/>
              <w:spacing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条款号</w:t>
            </w:r>
          </w:p>
        </w:tc>
        <w:tc>
          <w:tcPr>
            <w:tcW w:w="2126" w:type="dxa"/>
          </w:tcPr>
          <w:p>
            <w:pPr>
              <w:shd w:val="clear"/>
              <w:adjustRightInd w:val="0"/>
              <w:snapToGrid w:val="0"/>
              <w:spacing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条款名称</w:t>
            </w:r>
          </w:p>
        </w:tc>
        <w:tc>
          <w:tcPr>
            <w:tcW w:w="6096" w:type="dxa"/>
          </w:tcPr>
          <w:p>
            <w:pPr>
              <w:shd w:val="clear"/>
              <w:adjustRightInd w:val="0"/>
              <w:snapToGrid w:val="0"/>
              <w:spacing w:line="360" w:lineRule="auto"/>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w:t>
            </w:r>
            <w:r>
              <w:rPr>
                <w:rFonts w:hint="eastAsia" w:ascii="宋体" w:hAnsi="宋体" w:cs="宋体"/>
                <w:color w:val="000000" w:themeColor="text1"/>
                <w:kern w:val="0"/>
                <w:szCs w:val="21"/>
                <w:highlight w:val="none"/>
                <w:lang w:val="zh-CN"/>
                <w14:textFill>
                  <w14:solidFill>
                    <w14:schemeClr w14:val="tx1"/>
                  </w14:solidFill>
                </w14:textFill>
              </w:rPr>
              <w:t>款</w:t>
            </w:r>
          </w:p>
        </w:tc>
        <w:tc>
          <w:tcPr>
            <w:tcW w:w="2126"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评标因素和标准</w:t>
            </w:r>
          </w:p>
        </w:tc>
        <w:tc>
          <w:tcPr>
            <w:tcW w:w="6096" w:type="dxa"/>
            <w:vAlign w:val="center"/>
          </w:tcPr>
          <w:p>
            <w:pPr>
              <w:shd w:val="clear"/>
              <w:adjustRightInd w:val="0"/>
              <w:snapToGrid w:val="0"/>
              <w:spacing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见附页1 评标方法及标准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第4.2</w:t>
            </w:r>
            <w:r>
              <w:rPr>
                <w:rFonts w:hint="eastAsia" w:ascii="宋体" w:hAnsi="宋体" w:cs="宋体"/>
                <w:color w:val="000000" w:themeColor="text1"/>
                <w:kern w:val="0"/>
                <w:szCs w:val="21"/>
                <w:highlight w:val="none"/>
                <w:lang w:val="zh-CN"/>
                <w14:textFill>
                  <w14:solidFill>
                    <w14:schemeClr w14:val="tx1"/>
                  </w14:solidFill>
                </w14:textFill>
              </w:rPr>
              <w:t>款</w:t>
            </w:r>
          </w:p>
        </w:tc>
        <w:tc>
          <w:tcPr>
            <w:tcW w:w="2126" w:type="dxa"/>
            <w:vAlign w:val="center"/>
          </w:tcPr>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投标文件报价出现前后不一致的修正</w:t>
            </w:r>
          </w:p>
        </w:tc>
        <w:tc>
          <w:tcPr>
            <w:tcW w:w="6096"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按</w:t>
            </w:r>
            <w:r>
              <w:rPr>
                <w:rFonts w:ascii="宋体" w:hAnsi="宋体"/>
                <w:color w:val="000000" w:themeColor="text1"/>
                <w:szCs w:val="21"/>
                <w:highlight w:val="none"/>
                <w14:textFill>
                  <w14:solidFill>
                    <w14:schemeClr w14:val="tx1"/>
                  </w14:solidFill>
                </w14:textFill>
              </w:rPr>
              <w:t>本章</w:t>
            </w:r>
            <w:r>
              <w:rPr>
                <w:rFonts w:hint="eastAsia" w:ascii="宋体" w:hAnsi="宋体"/>
                <w:color w:val="000000" w:themeColor="text1"/>
                <w:szCs w:val="21"/>
                <w:highlight w:val="none"/>
                <w14:textFill>
                  <w14:solidFill>
                    <w14:schemeClr w14:val="tx1"/>
                  </w14:solidFill>
                </w14:textFill>
              </w:rPr>
              <w:t>正文</w:t>
            </w:r>
            <w:r>
              <w:rPr>
                <w:rFonts w:ascii="宋体" w:hAnsi="宋体"/>
                <w:color w:val="000000" w:themeColor="text1"/>
                <w:szCs w:val="21"/>
                <w:highlight w:val="none"/>
                <w14:textFill>
                  <w14:solidFill>
                    <w14:schemeClr w14:val="tx1"/>
                  </w14:solidFill>
                </w14:textFill>
              </w:rPr>
              <w:t>规定修正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第5.2</w:t>
            </w:r>
            <w:r>
              <w:rPr>
                <w:rFonts w:hint="eastAsia" w:ascii="宋体" w:hAnsi="宋体" w:cs="宋体"/>
                <w:color w:val="000000" w:themeColor="text1"/>
                <w:kern w:val="0"/>
                <w:szCs w:val="21"/>
                <w:highlight w:val="none"/>
                <w:lang w:val="zh-CN"/>
                <w14:textFill>
                  <w14:solidFill>
                    <w14:schemeClr w14:val="tx1"/>
                  </w14:solidFill>
                </w14:textFill>
              </w:rPr>
              <w:t>款</w:t>
            </w:r>
          </w:p>
        </w:tc>
        <w:tc>
          <w:tcPr>
            <w:tcW w:w="2126"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价格评审优惠</w:t>
            </w:r>
          </w:p>
        </w:tc>
        <w:tc>
          <w:tcPr>
            <w:tcW w:w="6096" w:type="dxa"/>
            <w:vAlign w:val="center"/>
          </w:tcPr>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1、给予小型和微型企业的价格给予10%—20% 的扣除。（工程项目为6%-10%）的扣除，本项目具体扣除比例为 </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2、采购人、采购代理机构应当对联合体或者大中型企业的报价给予2%-3% （工程项目为1% —2%）的扣除，本项目不做具体扣除。</w:t>
            </w:r>
          </w:p>
          <w:p>
            <w:pPr>
              <w:pStyle w:val="42"/>
              <w:shd w:val="clear"/>
              <w:spacing w:before="0" w:beforeAutospacing="0" w:after="0" w:afterAutospacing="0"/>
              <w:jc w:val="both"/>
              <w:rPr>
                <w:color w:val="000000" w:themeColor="text1"/>
                <w:kern w:val="2"/>
                <w:sz w:val="2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3、监狱企业视同为小型、微型企业，本项目中给予监狱企业产品的价格给予</w:t>
            </w:r>
            <w:r>
              <w:rPr>
                <w:rFonts w:hint="eastAsia"/>
                <w:color w:val="000000" w:themeColor="text1"/>
                <w:kern w:val="2"/>
                <w:sz w:val="21"/>
                <w:szCs w:val="21"/>
                <w:highlight w:val="none"/>
                <w:u w:val="single"/>
                <w14:textFill>
                  <w14:solidFill>
                    <w14:schemeClr w14:val="tx1"/>
                  </w14:solidFill>
                </w14:textFill>
              </w:rPr>
              <w:t xml:space="preserve"> 10% </w:t>
            </w:r>
            <w:r>
              <w:rPr>
                <w:rFonts w:hint="eastAsia"/>
                <w:color w:val="000000" w:themeColor="text1"/>
                <w:kern w:val="2"/>
                <w:sz w:val="21"/>
                <w:szCs w:val="21"/>
                <w:highlight w:val="none"/>
                <w14:textFill>
                  <w14:solidFill>
                    <w14:schemeClr w14:val="tx1"/>
                  </w14:solidFill>
                </w14:textFill>
              </w:rPr>
              <w:t>的扣除，用扣除后的价格参与评审。监狱企业属于小型、微型企业的，不重复享受政策。</w:t>
            </w:r>
          </w:p>
          <w:p>
            <w:pPr>
              <w:pStyle w:val="42"/>
              <w:shd w:val="clear"/>
              <w:spacing w:before="0" w:beforeAutospacing="0" w:after="0" w:afterAutospacing="0"/>
              <w:jc w:val="both"/>
              <w:rPr>
                <w:color w:val="000000" w:themeColor="text1"/>
                <w:sz w:val="21"/>
                <w:szCs w:val="21"/>
                <w:highlight w:val="none"/>
                <w14:textFill>
                  <w14:solidFill>
                    <w14:schemeClr w14:val="tx1"/>
                  </w14:solidFill>
                </w14:textFill>
              </w:rPr>
            </w:pPr>
            <w:r>
              <w:rPr>
                <w:rFonts w:hint="eastAsia"/>
                <w:color w:val="000000" w:themeColor="text1"/>
                <w:kern w:val="2"/>
                <w:sz w:val="21"/>
                <w:szCs w:val="21"/>
                <w:highlight w:val="none"/>
                <w14:textFill>
                  <w14:solidFill>
                    <w14:schemeClr w14:val="tx1"/>
                  </w14:solidFill>
                </w14:textFill>
              </w:rPr>
              <w:t>4、残疾人福利性单位视同小型、微型企业，</w:t>
            </w:r>
            <w:r>
              <w:rPr>
                <w:rFonts w:hint="eastAsia"/>
                <w:color w:val="000000" w:themeColor="text1"/>
                <w:sz w:val="21"/>
                <w:szCs w:val="21"/>
                <w:highlight w:val="none"/>
                <w14:textFill>
                  <w14:solidFill>
                    <w14:schemeClr w14:val="tx1"/>
                  </w14:solidFill>
                </w14:textFill>
              </w:rPr>
              <w:t>本项目中给予监狱企业产品的价格给予</w:t>
            </w:r>
            <w:r>
              <w:rPr>
                <w:rFonts w:hint="eastAsia"/>
                <w:color w:val="000000" w:themeColor="text1"/>
                <w:sz w:val="21"/>
                <w:szCs w:val="21"/>
                <w:highlight w:val="none"/>
                <w:u w:val="single"/>
                <w14:textFill>
                  <w14:solidFill>
                    <w14:schemeClr w14:val="tx1"/>
                  </w14:solidFill>
                </w14:textFill>
              </w:rPr>
              <w:t xml:space="preserve"> 10 </w:t>
            </w:r>
            <w:r>
              <w:rPr>
                <w:rFonts w:hint="eastAsia"/>
                <w:color w:val="000000" w:themeColor="text1"/>
                <w:sz w:val="21"/>
                <w:szCs w:val="21"/>
                <w:highlight w:val="none"/>
                <w14:textFill>
                  <w14:solidFill>
                    <w14:schemeClr w14:val="tx1"/>
                  </w14:solidFill>
                </w14:textFill>
              </w:rPr>
              <w:t>%的扣除，用扣除后的价格参与评审。</w:t>
            </w:r>
            <w:r>
              <w:rPr>
                <w:rFonts w:hint="eastAsia"/>
                <w:bCs/>
                <w:color w:val="000000" w:themeColor="text1"/>
                <w:sz w:val="21"/>
                <w:szCs w:val="21"/>
                <w:highlight w:val="none"/>
                <w14:textFill>
                  <w14:solidFill>
                    <w14:schemeClr w14:val="tx1"/>
                  </w14:solidFill>
                </w14:textFill>
              </w:rPr>
              <w:t>残疾人福利性单位属于小型、微型企业的，不重复享受政策。</w:t>
            </w:r>
          </w:p>
          <w:p>
            <w:pPr>
              <w:pStyle w:val="25"/>
              <w:shd w:val="clear"/>
              <w:adjustRightInd w:val="0"/>
              <w:snapToGrid w:val="0"/>
              <w:spacing w:before="156" w:beforeLines="50" w:line="360" w:lineRule="auto"/>
              <w:rPr>
                <w:rFonts w:hAnsi="宋体"/>
                <w:color w:val="000000" w:themeColor="text1"/>
                <w:highlight w:val="none"/>
                <w14:textFill>
                  <w14:solidFill>
                    <w14:schemeClr w14:val="tx1"/>
                  </w14:solidFill>
                </w14:textFill>
              </w:rPr>
            </w:pPr>
            <w:r>
              <w:rPr>
                <w:rFonts w:hint="eastAsia" w:hAnsi="宋体" w:cs="宋体"/>
                <w:color w:val="000000" w:themeColor="text1"/>
                <w:sz w:val="21"/>
                <w:szCs w:val="22"/>
                <w:highlight w:val="none"/>
                <w14:textFill>
                  <w14:solidFill>
                    <w14:schemeClr w14:val="tx1"/>
                  </w14:solidFill>
                </w14:textFill>
              </w:rPr>
              <w:t>（注：投标文件必须按招标文件要求特别标注说明所投相应产品所在品目、品牌、型号，中小企业声明函等材料，享受分包价格扣除，还需提供分包协议否则评审时不予以考虑）</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p>
        </w:tc>
        <w:tc>
          <w:tcPr>
            <w:tcW w:w="2126" w:type="dxa"/>
            <w:vAlign w:val="center"/>
          </w:tcPr>
          <w:p>
            <w:pPr>
              <w:shd w:val="clear"/>
              <w:adjustRightInd w:val="0"/>
              <w:snapToGrid w:val="0"/>
              <w:spacing w:before="156" w:beforeLines="50" w:after="100" w:afterAutospacing="1" w:line="20" w:lineRule="atLeast"/>
              <w:jc w:val="center"/>
              <w:rPr>
                <w:rFonts w:ascii="宋体" w:hAnsi="宋体"/>
                <w:color w:val="000000" w:themeColor="text1"/>
                <w:szCs w:val="21"/>
                <w:highlight w:val="none"/>
                <w14:textFill>
                  <w14:solidFill>
                    <w14:schemeClr w14:val="tx1"/>
                  </w14:solidFill>
                </w14:textFill>
              </w:rPr>
            </w:pPr>
            <w:r>
              <w:rPr>
                <w:rFonts w:hint="eastAsia" w:ascii="等线" w:hAnsi="等线" w:eastAsia="等线"/>
                <w:color w:val="000000" w:themeColor="text1"/>
                <w:szCs w:val="21"/>
                <w:highlight w:val="none"/>
                <w14:textFill>
                  <w14:solidFill>
                    <w14:schemeClr w14:val="tx1"/>
                  </w14:solidFill>
                </w14:textFill>
              </w:rPr>
              <w:t>扶持中小企业</w:t>
            </w:r>
          </w:p>
        </w:tc>
        <w:tc>
          <w:tcPr>
            <w:tcW w:w="6096" w:type="dxa"/>
            <w:vAlign w:val="center"/>
          </w:tcPr>
          <w:p>
            <w:pPr>
              <w:shd w:val="clea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本项目中小企业划分标准所属行业：</w:t>
            </w:r>
            <w:r>
              <w:rPr>
                <w:rFonts w:hint="eastAsia" w:ascii="宋体" w:hAnsi="宋体" w:cs="宋体"/>
                <w:color w:val="000000" w:themeColor="text1"/>
                <w:szCs w:val="21"/>
                <w:highlight w:val="none"/>
                <w:lang w:eastAsia="zh-CN"/>
                <w14:textFill>
                  <w14:solidFill>
                    <w14:schemeClr w14:val="tx1"/>
                  </w14:solidFill>
                </w14:textFill>
              </w:rPr>
              <w:t>建筑业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（一）农、林、牧、渔业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（二）工业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（三）建筑业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（四）批发业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（五）零售业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（六）交通运输业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（七）仓储业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（八）邮政业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（九）住宿业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（十）餐饮业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（十一）信息传输业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（十二）软件和信息技术服务业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（十三）房地产开发经营</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（十四）物业管理</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（十五）租赁和商务服务业</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（十六）其他未列明行业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第5.4（2）项</w:t>
            </w:r>
          </w:p>
        </w:tc>
        <w:tc>
          <w:tcPr>
            <w:tcW w:w="2126"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优先采购</w:t>
            </w:r>
          </w:p>
        </w:tc>
        <w:tc>
          <w:tcPr>
            <w:tcW w:w="6096" w:type="dxa"/>
            <w:vAlign w:val="center"/>
          </w:tcPr>
          <w:p>
            <w:pPr>
              <w:shd w:val="clear"/>
              <w:adjustRightInd w:val="0"/>
              <w:snapToGrid w:val="0"/>
              <w:spacing w:before="156"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纳入财政部会同国务院有关部门发布的节能产品、环境标志产品政府采购品目清单，实施政府优先采购的，评审时按相应评标方法给予价格折扣或者加分；</w:t>
            </w:r>
          </w:p>
          <w:p>
            <w:pPr>
              <w:shd w:val="clear"/>
              <w:adjustRightInd w:val="0"/>
              <w:snapToGrid w:val="0"/>
              <w:spacing w:before="156" w:beforeLines="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政府采购优先采购非标记★符号的节能产品</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(1)采用最低评标价法时，应给予5%-10%的价格扣除。本项目具体扣除比例为 </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p>
          <w:p>
            <w:pPr>
              <w:shd w:val="clear"/>
              <w:adjustRightInd w:val="0"/>
              <w:snapToGrid w:val="0"/>
              <w:spacing w:before="156" w:beforeLines="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(2)采用综合评分法时，对于技术和价格分，应分别给予总分值4%-8%的加分。本项目具体加分比例分别为 ：技术</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%、价格</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2、政府采购优先采购环境标志产品</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(1)采用最低评标价法时，应给予5%-10%的价格扣除。本项目具体扣除比例为 </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p>
          <w:p>
            <w:pPr>
              <w:shd w:val="clear"/>
              <w:adjustRightInd w:val="0"/>
              <w:snapToGrid w:val="0"/>
              <w:spacing w:before="156" w:beforeLines="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(2)采用综合评分法时，对于技术和价格分，应分别给予总分值4%-8%的加分。本项目具体加分比例分别为 ：技术</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%、价格</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3、政府采购优先采购“两型”产品</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采购产品为《湖南省两型产品政府采购目录》（最新一期）内的：</w:t>
            </w:r>
          </w:p>
          <w:p>
            <w:pPr>
              <w:shd w:val="clea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(1)采用最低评标价法时，应给予5%-10%的价格扣除。本项目具体扣除比例为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rPr>
                <w:rFonts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(2)采用综合评分法时，对于技术和价格分，应分别给予总分值4%-8%的加分，本项目具体加分比例分别为 ：技术</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%、价格</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%；对在本地设有生产基地和备品备件库、有售后服务机构和网点的两型产品，给予商务评标总分值4%-8%的加分，本项目具体加分比例为</w:t>
            </w:r>
            <w:r>
              <w:rPr>
                <w:rFonts w:hint="eastAsia" w:ascii="宋体" w:hAnsi="宋体" w:cs="宋体"/>
                <w:color w:val="000000" w:themeColor="text1"/>
                <w:szCs w:val="21"/>
                <w:highlight w:val="none"/>
                <w:u w:val="single"/>
                <w14:textFill>
                  <w14:solidFill>
                    <w14:schemeClr w14:val="tx1"/>
                  </w14:solidFill>
                </w14:textFill>
              </w:rPr>
              <w:t xml:space="preserve"> 4 </w:t>
            </w:r>
            <w:r>
              <w:rPr>
                <w:rFonts w:hint="eastAsia" w:ascii="宋体" w:hAnsi="宋体" w:cs="宋体"/>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第5.8（2）</w:t>
            </w:r>
            <w:r>
              <w:rPr>
                <w:rFonts w:hint="eastAsia" w:ascii="宋体" w:hAnsi="宋体" w:cs="宋体"/>
                <w:color w:val="000000" w:themeColor="text1"/>
                <w:kern w:val="0"/>
                <w:szCs w:val="21"/>
                <w:highlight w:val="none"/>
                <w:lang w:val="zh-CN"/>
                <w14:textFill>
                  <w14:solidFill>
                    <w14:schemeClr w14:val="tx1"/>
                  </w14:solidFill>
                </w14:textFill>
              </w:rPr>
              <w:t>项</w:t>
            </w:r>
          </w:p>
        </w:tc>
        <w:tc>
          <w:tcPr>
            <w:tcW w:w="2126" w:type="dxa"/>
            <w:vAlign w:val="center"/>
          </w:tcPr>
          <w:p>
            <w:pPr>
              <w:shd w:val="clear"/>
              <w:adjustRightInd w:val="0"/>
              <w:snapToGrid w:val="0"/>
              <w:spacing w:before="156" w:beforeLines="50"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相同品牌产品评审</w:t>
            </w:r>
          </w:p>
          <w:p>
            <w:pPr>
              <w:shd w:val="clear"/>
              <w:adjustRightInd w:val="0"/>
              <w:snapToGrid w:val="0"/>
              <w:spacing w:before="156" w:beforeLines="50"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得分相同的规定</w:t>
            </w:r>
          </w:p>
        </w:tc>
        <w:tc>
          <w:tcPr>
            <w:tcW w:w="6096" w:type="dxa"/>
            <w:vAlign w:val="center"/>
          </w:tcPr>
          <w:p>
            <w:pPr>
              <w:shd w:val="clea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单一产品采购项目中，多家代理商参加同一品牌产品投标的，在统计投标人数量时，作为一个投标人计算；</w:t>
            </w:r>
          </w:p>
          <w:p>
            <w:pPr>
              <w:shd w:val="clear"/>
              <w:adjustRightInd w:val="0"/>
              <w:snapToGrid w:val="0"/>
              <w:spacing w:before="156"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相同品牌产品且通过资格审查、符合性审查的不同投标人参加投标的，按一家有效投标人计算，评审后得分最高的同品牌投标人获得中标人推荐资格；评审得分相同的，投标报价低的投标人获得中标人推荐资格。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第5.9</w:t>
            </w:r>
            <w:r>
              <w:rPr>
                <w:rFonts w:hint="eastAsia" w:ascii="宋体" w:hAnsi="宋体" w:cs="宋体"/>
                <w:color w:val="000000" w:themeColor="text1"/>
                <w:kern w:val="0"/>
                <w:szCs w:val="21"/>
                <w:highlight w:val="none"/>
                <w:lang w:val="zh-CN"/>
                <w14:textFill>
                  <w14:solidFill>
                    <w14:schemeClr w14:val="tx1"/>
                  </w14:solidFill>
                </w14:textFill>
              </w:rPr>
              <w:t>款</w:t>
            </w:r>
          </w:p>
        </w:tc>
        <w:tc>
          <w:tcPr>
            <w:tcW w:w="2126" w:type="dxa"/>
            <w:vAlign w:val="center"/>
          </w:tcPr>
          <w:p>
            <w:pPr>
              <w:shd w:val="clear"/>
              <w:adjustRightInd w:val="0"/>
              <w:snapToGrid w:val="0"/>
              <w:spacing w:line="360" w:lineRule="auto"/>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非单一产品采购项目的核心产品</w:t>
            </w:r>
          </w:p>
        </w:tc>
        <w:tc>
          <w:tcPr>
            <w:tcW w:w="6096" w:type="dxa"/>
            <w:vAlign w:val="center"/>
          </w:tcPr>
          <w:p>
            <w:pPr>
              <w:shd w:val="clea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sym w:font="Wingdings 2" w:char="0052"/>
            </w:r>
            <w:r>
              <w:rPr>
                <w:rFonts w:hint="eastAsia" w:ascii="宋体" w:hAnsi="宋体"/>
                <w:color w:val="000000" w:themeColor="text1"/>
                <w:highlight w:val="none"/>
                <w14:textFill>
                  <w14:solidFill>
                    <w14:schemeClr w14:val="tx1"/>
                  </w14:solidFill>
                </w14:textFill>
              </w:rPr>
              <w:t xml:space="preserve"> 核心产品为：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lang w:eastAsia="zh-CN"/>
                <w14:textFill>
                  <w14:solidFill>
                    <w14:schemeClr w14:val="tx1"/>
                  </w14:solidFill>
                </w14:textFill>
              </w:rPr>
              <w:t>机制砂设备</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（提示：根据采购项目技术构成、产品价格比重等合理确定具体产品为核心产品）</w:t>
            </w:r>
          </w:p>
          <w:p>
            <w:pPr>
              <w:shd w:val="clea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□两家及以上投标人提供相同产品的价格总和均超过该项目包各自投标总价</w:t>
            </w:r>
            <w:r>
              <w:rPr>
                <w:rFonts w:hint="eastAsia" w:ascii="宋体" w:hAnsi="宋体"/>
                <w:color w:val="000000" w:themeColor="text1"/>
                <w:highlight w:val="none"/>
                <w:u w:val="single"/>
                <w14:textFill>
                  <w14:solidFill>
                    <w14:schemeClr w14:val="tx1"/>
                  </w14:solidFill>
                </w14:textFill>
              </w:rPr>
              <w:t xml:space="preserve"> / </w:t>
            </w:r>
            <w:r>
              <w:rPr>
                <w:rFonts w:hint="eastAsia" w:ascii="宋体" w:hAnsi="宋体"/>
                <w:color w:val="000000" w:themeColor="text1"/>
                <w:highlight w:val="none"/>
                <w14:textFill>
                  <w14:solidFill>
                    <w14:schemeClr w14:val="tx1"/>
                  </w14:solidFill>
                </w14:textFill>
              </w:rPr>
              <w:t>%的，为核心产品。（提示：也可另行规定）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2126" w:type="dxa"/>
            <w:vAlign w:val="center"/>
          </w:tcPr>
          <w:p>
            <w:pPr>
              <w:shd w:val="clea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投标报价</w:t>
            </w:r>
            <w:r>
              <w:rPr>
                <w:rFonts w:hint="eastAsia" w:ascii="宋体" w:hAnsi="宋体" w:cs="宋体"/>
                <w:color w:val="000000" w:themeColor="text1"/>
                <w:szCs w:val="21"/>
                <w:highlight w:val="none"/>
                <w14:textFill>
                  <w14:solidFill>
                    <w14:schemeClr w14:val="tx1"/>
                  </w14:solidFill>
                </w14:textFill>
              </w:rPr>
              <w:t>调整</w:t>
            </w:r>
          </w:p>
        </w:tc>
        <w:tc>
          <w:tcPr>
            <w:tcW w:w="6096" w:type="dxa"/>
            <w:vAlign w:val="center"/>
          </w:tcPr>
          <w:p>
            <w:pPr>
              <w:shd w:val="clear"/>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政府采购支持中小企业发展：</w:t>
            </w:r>
            <w:r>
              <w:rPr>
                <w:rFonts w:hint="eastAsia" w:ascii="宋体" w:hAnsi="宋体" w:cs="宋体"/>
                <w:color w:val="000000" w:themeColor="text1"/>
                <w:szCs w:val="21"/>
                <w:highlight w:val="none"/>
                <w14:textFill>
                  <w14:solidFill>
                    <w14:schemeClr w14:val="tx1"/>
                  </w14:solidFill>
                </w14:textFill>
              </w:rPr>
              <w:t>小型或微型企业，</w:t>
            </w:r>
            <w:r>
              <w:rPr>
                <w:rFonts w:hint="eastAsia" w:ascii="宋体" w:hAnsi="宋体" w:cs="宋体"/>
                <w:color w:val="000000" w:themeColor="text1"/>
                <w:kern w:val="0"/>
                <w:szCs w:val="21"/>
                <w:highlight w:val="none"/>
                <w14:textFill>
                  <w14:solidFill>
                    <w14:schemeClr w14:val="tx1"/>
                  </w14:solidFill>
                </w14:textFill>
              </w:rPr>
              <w:t>价格</w:t>
            </w:r>
            <w:r>
              <w:rPr>
                <w:rFonts w:hint="eastAsia" w:ascii="宋体" w:hAnsi="宋体" w:cs="宋体"/>
                <w:color w:val="000000" w:themeColor="text1"/>
                <w:szCs w:val="21"/>
                <w:highlight w:val="none"/>
                <w14:textFill>
                  <w14:solidFill>
                    <w14:schemeClr w14:val="tx1"/>
                  </w14:solidFill>
                </w14:textFill>
              </w:rPr>
              <w:t xml:space="preserve">扣除比例为 </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％；联合体投标的，价格扣除比例为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%。评审时，用扣除后的最后报价计算价格分。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384" w:type="dxa"/>
            <w:vAlign w:val="center"/>
          </w:tcPr>
          <w:p>
            <w:pPr>
              <w:shd w:val="clear"/>
              <w:adjustRightInd w:val="0"/>
              <w:jc w:val="center"/>
              <w:rPr>
                <w:rFonts w:ascii="宋体" w:hAnsi="宋体"/>
                <w:color w:val="000000" w:themeColor="text1"/>
                <w:szCs w:val="21"/>
                <w:highlight w:val="none"/>
                <w14:textFill>
                  <w14:solidFill>
                    <w14:schemeClr w14:val="tx1"/>
                  </w14:solidFill>
                </w14:textFill>
              </w:rPr>
            </w:pPr>
          </w:p>
        </w:tc>
        <w:tc>
          <w:tcPr>
            <w:tcW w:w="2126" w:type="dxa"/>
            <w:vAlign w:val="center"/>
          </w:tcPr>
          <w:p>
            <w:pPr>
              <w:shd w:val="clear"/>
              <w:adjustRightInd w:val="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技术、价格得分或总得分调整</w:t>
            </w:r>
          </w:p>
        </w:tc>
        <w:tc>
          <w:tcPr>
            <w:tcW w:w="6096" w:type="dxa"/>
            <w:vAlign w:val="center"/>
          </w:tcPr>
          <w:p>
            <w:pPr>
              <w:shd w:val="clear"/>
              <w:adjustRightInd w:val="0"/>
              <w:ind w:left="8" w:leftChars="4" w:firstLine="287" w:firstLineChars="137"/>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1、节能产品：</w:t>
            </w:r>
          </w:p>
          <w:p>
            <w:pPr>
              <w:shd w:val="clear"/>
              <w:adjustRightInd w:val="0"/>
              <w:ind w:firstLine="105" w:firstLineChars="5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技术加分＝技术分值× 加分比例×（节能产品报价÷总报价）；</w:t>
            </w:r>
          </w:p>
          <w:p>
            <w:pPr>
              <w:shd w:val="clear"/>
              <w:adjustRightInd w:val="0"/>
              <w:ind w:left="315" w:leftChars="50" w:hanging="210" w:hanging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价格加分＝价格分值×加分比例×（节能产品报价÷总报价）。</w:t>
            </w:r>
          </w:p>
          <w:p>
            <w:pPr>
              <w:shd w:val="clear"/>
              <w:adjustRightInd w:val="0"/>
              <w:ind w:left="8" w:leftChars="4" w:firstLine="287" w:firstLineChars="137"/>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2、环境标志产品：</w:t>
            </w:r>
          </w:p>
          <w:p>
            <w:pPr>
              <w:shd w:val="clear"/>
              <w:adjustRightInd w:val="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技术加分＝技术分值×加分比例×（环境标志产品报价÷总报价）；</w:t>
            </w:r>
          </w:p>
          <w:p>
            <w:pPr>
              <w:shd w:val="clear"/>
              <w:adjustRightInd w:val="0"/>
              <w:ind w:left="34" w:leftChars="1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价格加分＝价格分值×加分比例×（环境标志产品报价÷总报价）。</w:t>
            </w:r>
          </w:p>
          <w:p>
            <w:pPr>
              <w:shd w:val="clear"/>
              <w:adjustRightInd w:val="0"/>
              <w:ind w:left="8" w:leftChars="4" w:firstLine="287" w:firstLineChars="137"/>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3、两型产品：</w:t>
            </w:r>
          </w:p>
          <w:p>
            <w:pPr>
              <w:shd w:val="clear"/>
              <w:adjustRightInd w:val="0"/>
              <w:ind w:firstLine="105" w:firstLineChars="5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商务加分＝商务分值×加分比例×（两型产品报价÷总报价）；</w:t>
            </w:r>
          </w:p>
          <w:p>
            <w:pPr>
              <w:shd w:val="clear"/>
              <w:adjustRightInd w:val="0"/>
              <w:ind w:firstLine="105" w:firstLineChars="5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技术加分＝技术分值×加分比例×（两型产品报价÷总报价）；</w:t>
            </w:r>
          </w:p>
          <w:p>
            <w:pPr>
              <w:shd w:val="clear"/>
              <w:adjustRightInd w:val="0"/>
              <w:ind w:left="315" w:leftChars="50" w:hanging="210" w:hangingChars="1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价格加分＝价格分值×加分比例×（两型产品报价÷总报价）。</w:t>
            </w:r>
          </w:p>
        </w:tc>
      </w:tr>
    </w:tbl>
    <w:p>
      <w:pPr>
        <w:shd w:val="clear"/>
        <w:adjustRightInd w:val="0"/>
        <w:snapToGrid w:val="0"/>
        <w:ind w:right="26"/>
        <w:rPr>
          <w:rFonts w:ascii="黑体" w:hAnsi="宋体" w:eastAsia="黑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注：优先采购加分的详细计算规则见第二章第</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5款、第34.6款规定。</w:t>
      </w:r>
      <w:r>
        <w:rPr>
          <w:rFonts w:ascii="黑体" w:hAnsi="宋体" w:eastAsia="黑体"/>
          <w:color w:val="000000" w:themeColor="text1"/>
          <w:szCs w:val="21"/>
          <w:highlight w:val="none"/>
          <w14:textFill>
            <w14:solidFill>
              <w14:schemeClr w14:val="tx1"/>
            </w14:solidFill>
          </w14:textFill>
        </w:rPr>
        <w:br w:type="page"/>
      </w:r>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bookmarkStart w:id="27" w:name="_Toc20651215"/>
      <w:bookmarkStart w:id="28" w:name="_Toc23519992"/>
      <w:r>
        <w:rPr>
          <w:rFonts w:hint="eastAsia" w:ascii="宋体" w:hAnsi="宋体"/>
          <w:b/>
          <w:bCs/>
          <w:color w:val="000000" w:themeColor="text1"/>
          <w:sz w:val="28"/>
          <w:szCs w:val="28"/>
          <w:highlight w:val="none"/>
          <w14:textFill>
            <w14:solidFill>
              <w14:schemeClr w14:val="tx1"/>
            </w14:solidFill>
          </w14:textFill>
        </w:rPr>
        <w:t>第二节  评标方法及标准</w:t>
      </w:r>
      <w:bookmarkEnd w:id="27"/>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1．评标方法</w:t>
      </w:r>
      <w:bookmarkEnd w:id="28"/>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1.1综合评分法，指投标文件满足招标文件全部实质性要求，且按照评审因素的量化指标评审得分最高的投标人为中标候选人的评标方法。</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29" w:name="_Toc23519993"/>
      <w:r>
        <w:rPr>
          <w:rFonts w:hint="eastAsia" w:ascii="宋体" w:hAnsi="宋体"/>
          <w:color w:val="000000" w:themeColor="text1"/>
          <w:szCs w:val="21"/>
          <w:highlight w:val="none"/>
          <w14:textFill>
            <w14:solidFill>
              <w14:schemeClr w14:val="tx1"/>
            </w14:solidFill>
          </w14:textFill>
        </w:rPr>
        <w:t>1.2最低评标价，是指投标文件满足招标文件全部实质性要求，且投标报价最低的投标人为中标候选人的评标方法。</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1.3本采购项目评标方法见本章第一节【评标方法及标准前附表】。</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2．评标程序</w:t>
      </w:r>
      <w:bookmarkEnd w:id="29"/>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2.1评标程序分为投标文件符合性审查、澄清有关问题、比较和评价、推荐中标候选人。</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bookmarkStart w:id="30" w:name="_Toc23519994"/>
      <w:r>
        <w:rPr>
          <w:rFonts w:hint="eastAsia" w:ascii="宋体" w:hAnsi="宋体"/>
          <w:b/>
          <w:bCs/>
          <w:color w:val="000000" w:themeColor="text1"/>
          <w:sz w:val="24"/>
          <w:highlight w:val="none"/>
          <w14:textFill>
            <w14:solidFill>
              <w14:schemeClr w14:val="tx1"/>
            </w14:solidFill>
          </w14:textFill>
        </w:rPr>
        <w:t>3．投标文件符合性审查</w:t>
      </w:r>
      <w:bookmarkEnd w:id="30"/>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31" w:name="_Toc23519995"/>
      <w:r>
        <w:rPr>
          <w:rFonts w:hint="eastAsia" w:ascii="宋体" w:hAnsi="宋体"/>
          <w:color w:val="000000" w:themeColor="text1"/>
          <w:szCs w:val="21"/>
          <w:highlight w:val="none"/>
          <w14:textFill>
            <w14:solidFill>
              <w14:schemeClr w14:val="tx1"/>
            </w14:solidFill>
          </w14:textFill>
        </w:rPr>
        <w:t>3.1资格审查结束后，评标委员会依法按照本章第三节“投标文件的符合性审查”规定进行投标文件符合性审查。</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3.2符合性审查合格投标人少于3家的，应予废标。</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3.3单一产品采购项目：提供相同品牌产品的不同投标人参加同一合同项下投标的，按一家投标人计算。提供不同品牌产品的投标人不足三家的，应予废标。</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3.4非单一产品采购项目：采购人或者采购代理机构将在</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color w:val="000000" w:themeColor="text1"/>
          <w:szCs w:val="21"/>
          <w:highlight w:val="none"/>
          <w14:textFill>
            <w14:solidFill>
              <w14:schemeClr w14:val="tx1"/>
            </w14:solidFill>
          </w14:textFill>
        </w:rPr>
        <w:t>中载明核心产品。多家投标人提供的核心产品品牌相同的，视为相同品牌，按本章本节第3.3款规定处理。</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w:t>
      </w:r>
      <w:bookmarkEnd w:id="31"/>
      <w:r>
        <w:rPr>
          <w:rFonts w:hint="eastAsia" w:ascii="黑体" w:hAnsi="黑体" w:eastAsia="黑体"/>
          <w:color w:val="000000" w:themeColor="text1"/>
          <w:sz w:val="24"/>
          <w:highlight w:val="none"/>
          <w14:textFill>
            <w14:solidFill>
              <w14:schemeClr w14:val="tx1"/>
            </w14:solidFill>
          </w14:textFill>
        </w:rPr>
        <w:t>投标文件的澄清</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4.1对于投标文件中含义不明确、同类问题表述不一致或者有明显文字和计算错误的内容，评标委员会应当以书面形式要求投标人作出必要的澄清、说明或者补正。</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4.2投标文件的投标报价出现前后不一致的，除</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color w:val="000000" w:themeColor="text1"/>
          <w:szCs w:val="21"/>
          <w:highlight w:val="none"/>
          <w14:textFill>
            <w14:solidFill>
              <w14:schemeClr w14:val="tx1"/>
            </w14:solidFill>
          </w14:textFill>
        </w:rPr>
        <w:t>另有规定外，按照下列规定修正：</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（1）投标文件中开标一览表内容与投标文件中相应内容不一致的，以开标一览表为准；</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（2）大写金额和小写金额不一致的，以大写金额为准；</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（3）单价金额小数点或者百分比有明显错位的，以开标一览表的总价为准，并修改单价；</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（4）总价金额与按单价汇总金额不一致的，以单价金额计算结果为准。</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4.3投标文件报价同时出现两种以上不一致的，按照前款规定的顺序修正。修正后的报价由投标人代表签字或者加盖单位章确认后产生约束力，投标人不确认的，其投标无效。</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4.5有效的书面澄清材料，是投标文件的补充材料，成为投标文件的组成部分。</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bookmarkStart w:id="32" w:name="_Toc23519996"/>
      <w:r>
        <w:rPr>
          <w:rFonts w:hint="eastAsia" w:ascii="宋体" w:hAnsi="宋体"/>
          <w:b/>
          <w:bCs/>
          <w:color w:val="000000" w:themeColor="text1"/>
          <w:sz w:val="24"/>
          <w:highlight w:val="none"/>
          <w14:textFill>
            <w14:solidFill>
              <w14:schemeClr w14:val="tx1"/>
            </w14:solidFill>
          </w14:textFill>
        </w:rPr>
        <w:t>5．</w:t>
      </w:r>
      <w:bookmarkEnd w:id="32"/>
      <w:r>
        <w:rPr>
          <w:rFonts w:hint="eastAsia" w:ascii="宋体" w:hAnsi="宋体"/>
          <w:b/>
          <w:bCs/>
          <w:color w:val="000000" w:themeColor="text1"/>
          <w:sz w:val="24"/>
          <w:highlight w:val="none"/>
          <w14:textFill>
            <w14:solidFill>
              <w14:schemeClr w14:val="tx1"/>
            </w14:solidFill>
          </w14:textFill>
        </w:rPr>
        <w:t>投标文件的比较与评价</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5.1评标委员会应按照招标文件中规定的评标方法、标准和评标因素，对资格性检查和符合性检查合格的投标文件进行评估，综合比较与评价。</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33" w:name="_Toc23519997"/>
      <w:r>
        <w:rPr>
          <w:rFonts w:hint="eastAsia" w:ascii="宋体" w:hAnsi="宋体"/>
          <w:color w:val="000000" w:themeColor="text1"/>
          <w:szCs w:val="21"/>
          <w:highlight w:val="none"/>
          <w14:textFill>
            <w14:solidFill>
              <w14:schemeClr w14:val="tx1"/>
            </w14:solidFill>
          </w14:textFill>
        </w:rPr>
        <w:t>5.2单一产品采购项目：</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（1）最低评标价法：</w:t>
      </w:r>
      <w:r>
        <w:rPr>
          <w:rFonts w:hint="eastAsia" w:ascii="宋体" w:hAnsi="宋体"/>
          <w:bCs/>
          <w:color w:val="000000" w:themeColor="text1"/>
          <w:szCs w:val="21"/>
          <w:highlight w:val="none"/>
          <w14:textFill>
            <w14:solidFill>
              <w14:schemeClr w14:val="tx1"/>
            </w14:solidFill>
          </w14:textFill>
        </w:rPr>
        <w:t>提供相同品牌产品的不同投标人参加同一合同项下投标的，以其中通过资格审查、符合性审查且报价最低的参加评标，其他投标无效；报价相同的，按照</w:t>
      </w:r>
      <w:r>
        <w:rPr>
          <w:rFonts w:hint="eastAsia" w:ascii="宋体" w:hAnsi="宋体"/>
          <w:b/>
          <w:bCs/>
          <w:color w:val="000000" w:themeColor="text1"/>
          <w:szCs w:val="21"/>
          <w:highlight w:val="none"/>
          <w14:textFill>
            <w14:solidFill>
              <w14:schemeClr w14:val="tx1"/>
            </w14:solidFill>
          </w14:textFill>
        </w:rPr>
        <w:t>【评标方法及标准前附表】</w:t>
      </w:r>
      <w:r>
        <w:rPr>
          <w:rFonts w:hint="eastAsia" w:ascii="宋体" w:hAnsi="宋体"/>
          <w:bCs/>
          <w:color w:val="000000" w:themeColor="text1"/>
          <w:szCs w:val="21"/>
          <w:highlight w:val="none"/>
          <w14:textFill>
            <w14:solidFill>
              <w14:schemeClr w14:val="tx1"/>
            </w14:solidFill>
          </w14:textFill>
        </w:rPr>
        <w:t>规定的方式确定一个参加评标的投标人，招标文件未规定的采取随机抽取方式确定，其他</w:t>
      </w:r>
      <w:r>
        <w:rPr>
          <w:rFonts w:hint="eastAsia" w:ascii="宋体" w:hAnsi="宋体"/>
          <w:b/>
          <w:bCs/>
          <w:color w:val="000000" w:themeColor="text1"/>
          <w:szCs w:val="21"/>
          <w:highlight w:val="none"/>
          <w14:textFill>
            <w14:solidFill>
              <w14:schemeClr w14:val="tx1"/>
            </w14:solidFill>
          </w14:textFill>
        </w:rPr>
        <w:t>投标无效</w:t>
      </w:r>
      <w:r>
        <w:rPr>
          <w:rFonts w:hint="eastAsia" w:ascii="宋体" w:hAnsi="宋体"/>
          <w:bCs/>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color w:val="000000" w:themeColor="text1"/>
          <w:szCs w:val="21"/>
          <w:highlight w:val="none"/>
          <w14:textFill>
            <w14:solidFill>
              <w14:schemeClr w14:val="tx1"/>
            </w14:solidFill>
          </w14:textFill>
        </w:rPr>
        <w:t>规定的方式确定一个投标人获得中标人推荐资格，招标文件未规定的采取随机抽取方式确定，其他同品牌投标人</w:t>
      </w:r>
      <w:r>
        <w:rPr>
          <w:rFonts w:hint="eastAsia" w:ascii="宋体" w:hAnsi="宋体"/>
          <w:b/>
          <w:color w:val="000000" w:themeColor="text1"/>
          <w:szCs w:val="21"/>
          <w:highlight w:val="none"/>
          <w14:textFill>
            <w14:solidFill>
              <w14:schemeClr w14:val="tx1"/>
            </w14:solidFill>
          </w14:textFill>
        </w:rPr>
        <w:t>不作为中标候选人</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5.3非单一产品采购项目：多家投标人提供的核心产品品牌相同的，视为相同品牌，按本章本节第 5.2 款规定处理。</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5.4政府采购政策：</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价格评审优惠：评审时</w:t>
      </w:r>
      <w:r>
        <w:rPr>
          <w:rFonts w:hint="eastAsia" w:ascii="宋体" w:hAnsi="宋体"/>
          <w:color w:val="000000" w:themeColor="text1"/>
          <w:szCs w:val="21"/>
          <w:highlight w:val="none"/>
          <w14:textFill>
            <w14:solidFill>
              <w14:schemeClr w14:val="tx1"/>
            </w14:solidFill>
          </w14:textFill>
        </w:rPr>
        <w:t>按</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color w:val="000000" w:themeColor="text1"/>
          <w:szCs w:val="21"/>
          <w:highlight w:val="none"/>
          <w14:textFill>
            <w14:solidFill>
              <w14:schemeClr w14:val="tx1"/>
            </w14:solidFill>
          </w14:textFill>
        </w:rPr>
        <w:t>及第二章“投标须知”的相关规定给予相应比例的价格折扣。</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（2）优先采购：</w:t>
      </w:r>
      <w:r>
        <w:rPr>
          <w:rFonts w:hint="eastAsia" w:ascii="宋体" w:hAnsi="宋体"/>
          <w:bCs/>
          <w:color w:val="000000" w:themeColor="text1"/>
          <w:szCs w:val="21"/>
          <w:highlight w:val="none"/>
          <w14:textFill>
            <w14:solidFill>
              <w14:schemeClr w14:val="tx1"/>
            </w14:solidFill>
          </w14:textFill>
        </w:rPr>
        <w:t>评审时按</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bCs/>
          <w:color w:val="000000" w:themeColor="text1"/>
          <w:szCs w:val="21"/>
          <w:highlight w:val="none"/>
          <w14:textFill>
            <w14:solidFill>
              <w14:schemeClr w14:val="tx1"/>
            </w14:solidFill>
          </w14:textFill>
        </w:rPr>
        <w:t>及第二章</w:t>
      </w:r>
      <w:r>
        <w:rPr>
          <w:rFonts w:hint="eastAsia" w:ascii="宋体" w:hAnsi="宋体"/>
          <w:color w:val="000000" w:themeColor="text1"/>
          <w:szCs w:val="21"/>
          <w:highlight w:val="none"/>
          <w14:textFill>
            <w14:solidFill>
              <w14:schemeClr w14:val="tx1"/>
            </w14:solidFill>
          </w14:textFill>
        </w:rPr>
        <w:t>“投标须知”</w:t>
      </w:r>
      <w:r>
        <w:rPr>
          <w:rFonts w:hint="eastAsia" w:ascii="宋体" w:hAnsi="宋体"/>
          <w:bCs/>
          <w:color w:val="000000" w:themeColor="text1"/>
          <w:szCs w:val="21"/>
          <w:highlight w:val="none"/>
          <w14:textFill>
            <w14:solidFill>
              <w14:schemeClr w14:val="tx1"/>
            </w14:solidFill>
          </w14:textFill>
        </w:rPr>
        <w:t>的相关规定给予相应比例的价格折扣或者加分。</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6．</w:t>
      </w:r>
      <w:bookmarkEnd w:id="33"/>
      <w:r>
        <w:rPr>
          <w:rFonts w:hint="eastAsia" w:ascii="宋体" w:hAnsi="宋体"/>
          <w:b/>
          <w:bCs/>
          <w:color w:val="000000" w:themeColor="text1"/>
          <w:sz w:val="24"/>
          <w:highlight w:val="none"/>
          <w14:textFill>
            <w14:solidFill>
              <w14:schemeClr w14:val="tx1"/>
            </w14:solidFill>
          </w14:textFill>
        </w:rPr>
        <w:t>推荐中标候选人</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bookmarkStart w:id="34" w:name="_Toc23519998"/>
      <w:r>
        <w:rPr>
          <w:rFonts w:hint="eastAsia" w:ascii="宋体" w:hAnsi="宋体"/>
          <w:color w:val="000000" w:themeColor="text1"/>
          <w:szCs w:val="21"/>
          <w:highlight w:val="none"/>
          <w14:textFill>
            <w14:solidFill>
              <w14:schemeClr w14:val="tx1"/>
            </w14:solidFill>
          </w14:textFill>
        </w:rPr>
        <w:t>6.1最低评标价法：</w:t>
      </w:r>
      <w:r>
        <w:rPr>
          <w:rFonts w:hint="eastAsia" w:ascii="宋体" w:hAnsi="宋体"/>
          <w:bCs/>
          <w:color w:val="000000" w:themeColor="text1"/>
          <w:szCs w:val="21"/>
          <w:highlight w:val="none"/>
          <w14:textFill>
            <w14:solidFill>
              <w14:schemeClr w14:val="tx1"/>
            </w14:solidFill>
          </w14:textFill>
        </w:rPr>
        <w:t>评标结果按算术修正和落实政府采购政策需进行的价格扣除后的投标报价由低到高顺序排列。报价相同的并列，按</w:t>
      </w:r>
      <w:r>
        <w:rPr>
          <w:rFonts w:hint="eastAsia" w:ascii="宋体" w:hAnsi="宋体"/>
          <w:b/>
          <w:color w:val="000000" w:themeColor="text1"/>
          <w:szCs w:val="21"/>
          <w:highlight w:val="none"/>
          <w14:textFill>
            <w14:solidFill>
              <w14:schemeClr w14:val="tx1"/>
            </w14:solidFill>
          </w14:textFill>
        </w:rPr>
        <w:t>【评标方法及标准前附表】</w:t>
      </w:r>
      <w:r>
        <w:rPr>
          <w:rFonts w:hint="eastAsia" w:ascii="宋体" w:hAnsi="宋体"/>
          <w:color w:val="000000" w:themeColor="text1"/>
          <w:szCs w:val="21"/>
          <w:highlight w:val="none"/>
          <w14:textFill>
            <w14:solidFill>
              <w14:schemeClr w14:val="tx1"/>
            </w14:solidFill>
          </w14:textFill>
        </w:rPr>
        <w:t>规定的方式确定中标人；</w:t>
      </w:r>
      <w:r>
        <w:rPr>
          <w:rFonts w:hint="eastAsia" w:ascii="宋体" w:hAnsi="宋体"/>
          <w:bCs/>
          <w:color w:val="000000" w:themeColor="text1"/>
          <w:szCs w:val="21"/>
          <w:highlight w:val="none"/>
          <w14:textFill>
            <w14:solidFill>
              <w14:schemeClr w14:val="tx1"/>
            </w14:solidFill>
          </w14:textFill>
        </w:rPr>
        <w:t>招标文件未规定的，采取随机抽取的方式确定。</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6.2综合评分法：评标结果按评审后得分由高到低顺序排列。得分相同的，按投标报价由低到高顺序排列。得分且投标报价相同的并列，按</w:t>
      </w:r>
      <w:r>
        <w:rPr>
          <w:rFonts w:hint="eastAsia" w:ascii="宋体" w:hAnsi="宋体"/>
          <w:b/>
          <w:bCs/>
          <w:color w:val="000000" w:themeColor="text1"/>
          <w:szCs w:val="21"/>
          <w:highlight w:val="none"/>
          <w14:textFill>
            <w14:solidFill>
              <w14:schemeClr w14:val="tx1"/>
            </w14:solidFill>
          </w14:textFill>
        </w:rPr>
        <w:t>【评标方法及标准前附表】</w:t>
      </w:r>
      <w:r>
        <w:rPr>
          <w:rFonts w:hint="eastAsia" w:ascii="宋体" w:hAnsi="宋体"/>
          <w:bCs/>
          <w:color w:val="000000" w:themeColor="text1"/>
          <w:szCs w:val="21"/>
          <w:highlight w:val="none"/>
          <w14:textFill>
            <w14:solidFill>
              <w14:schemeClr w14:val="tx1"/>
            </w14:solidFill>
          </w14:textFill>
        </w:rPr>
        <w:t>规定的方式确定中标人；招标文件未规定的，采取随机抽取的方式确定。</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7．编写评标报告</w:t>
      </w:r>
      <w:bookmarkEnd w:id="34"/>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7.1评标委员会根据全体评标成员签字的原始评标记录和评标结果编写评标报告。</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7.2评标委员会成员对需要共同认定的事项存在争议的，应当按照少数服从多数的原则作出结论。持不同意见的评标委员会成员应当在评标报告上签署不同意见及理由，否则视为同意评标报告。</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bookmarkStart w:id="35" w:name="_Toc23519999"/>
      <w:r>
        <w:rPr>
          <w:rFonts w:hint="eastAsia" w:ascii="宋体" w:hAnsi="宋体"/>
          <w:b/>
          <w:bCs/>
          <w:color w:val="000000" w:themeColor="text1"/>
          <w:sz w:val="24"/>
          <w:highlight w:val="none"/>
          <w14:textFill>
            <w14:solidFill>
              <w14:schemeClr w14:val="tx1"/>
            </w14:solidFill>
          </w14:textFill>
        </w:rPr>
        <w:t>8．评标报告复核</w:t>
      </w:r>
      <w:bookmarkEnd w:id="35"/>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bookmarkStart w:id="36" w:name="_Toc23520000"/>
      <w:r>
        <w:rPr>
          <w:rFonts w:hint="eastAsia" w:ascii="宋体" w:hAnsi="宋体"/>
          <w:color w:val="000000" w:themeColor="text1"/>
          <w:szCs w:val="21"/>
          <w:highlight w:val="none"/>
          <w14:textFill>
            <w14:solidFill>
              <w14:schemeClr w14:val="tx1"/>
            </w14:solidFill>
          </w14:textFill>
        </w:rPr>
        <w:t>8.1汇总结束后，评标委员会应当进行复核，特别要对拟推荐为中标候选供应商的、报价最低的、投标文件被认定为无效的进行重点复核。</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8.2汇总完成后，除下列情形外，任何人不得修改评标结果：</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（1）分值汇总计算错误的；</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（2）分项评分超出评分标准范围的；</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（3）评标委员会成员对客观评审因素评分不一致的；</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（4）经评标委员会认定评分畸高、畸低的。</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9．停止评标</w:t>
      </w:r>
      <w:bookmarkEnd w:id="36"/>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bookmarkStart w:id="37" w:name="_Toc23520001"/>
      <w:r>
        <w:rPr>
          <w:rFonts w:hint="eastAsia" w:ascii="宋体" w:hAnsi="宋体"/>
          <w:b/>
          <w:bCs/>
          <w:color w:val="000000" w:themeColor="text1"/>
          <w:sz w:val="24"/>
          <w:highlight w:val="none"/>
          <w14:textFill>
            <w14:solidFill>
              <w14:schemeClr w14:val="tx1"/>
            </w14:solidFill>
          </w14:textFill>
        </w:rPr>
        <w:t>10．</w:t>
      </w:r>
      <w:bookmarkEnd w:id="37"/>
      <w:r>
        <w:rPr>
          <w:rFonts w:hint="eastAsia" w:ascii="宋体" w:hAnsi="宋体"/>
          <w:b/>
          <w:bCs/>
          <w:color w:val="000000" w:themeColor="text1"/>
          <w:sz w:val="24"/>
          <w:highlight w:val="none"/>
          <w14:textFill>
            <w14:solidFill>
              <w14:schemeClr w14:val="tx1"/>
            </w14:solidFill>
          </w14:textFill>
        </w:rPr>
        <w:t>废标</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 根据有关法律法规和招标文件的有关规定，如出现下列情况之一的，应予以废标：</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（1）符合专业条件的投标人或者对招标文件作实质响应的投标人不足三家的；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（2）出现影响采购公正的违法、违规行为的；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（3）投标人的报价均超过采购项目预算，采购人不能支付的；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（4）因重大变故，采购任务取消的。</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bookmarkStart w:id="38" w:name="_Toc18850"/>
      <w:r>
        <w:rPr>
          <w:rFonts w:hint="eastAsia" w:ascii="宋体" w:hAnsi="宋体"/>
          <w:b/>
          <w:bCs/>
          <w:color w:val="000000" w:themeColor="text1"/>
          <w:sz w:val="24"/>
          <w:highlight w:val="none"/>
          <w14:textFill>
            <w14:solidFill>
              <w14:schemeClr w14:val="tx1"/>
            </w14:solidFill>
          </w14:textFill>
        </w:rPr>
        <w:t>11．重新组建评标委员会进行评标</w:t>
      </w:r>
      <w:bookmarkEnd w:id="38"/>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11.1评标委员会或者其成员存在下列情形导致评标结果无效的，采购人、采购代理机构可以重新组建评标委员会进行评标，并书面报告本级财政部门，但采购合同已经履行的除外：</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（1）评标委员会组成不符合《政府采购货物和服务招标投标管理办法》规定的；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（2）有《政府采购货物和服务招标投标管理办法》第六十二条第一至五项情形的；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（3）评标委员会及其成员独立评标受到非法干预的；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（4）有政府采购法实施条例第七十五条规定的违法行为的。</w:t>
      </w:r>
    </w:p>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11.2有违法违规行为的原评标委员会成员不得参加重新组建的评标委员会。</w:t>
      </w:r>
    </w:p>
    <w:p>
      <w:pPr>
        <w:widowControl/>
        <w:shd w:val="clear"/>
        <w:jc w:val="left"/>
        <w:rPr>
          <w:rFonts w:ascii="黑体" w:hAnsi="华文中宋" w:eastAsia="黑体"/>
          <w:b/>
          <w:color w:val="000000" w:themeColor="text1"/>
          <w:sz w:val="32"/>
          <w:szCs w:val="32"/>
          <w:highlight w:val="none"/>
          <w14:textFill>
            <w14:solidFill>
              <w14:schemeClr w14:val="tx1"/>
            </w14:solidFill>
          </w14:textFill>
        </w:rPr>
      </w:pPr>
      <w:r>
        <w:rPr>
          <w:rFonts w:ascii="黑体" w:hAnsi="华文中宋" w:eastAsia="黑体"/>
          <w:b/>
          <w:color w:val="000000" w:themeColor="text1"/>
          <w:sz w:val="32"/>
          <w:szCs w:val="32"/>
          <w:highlight w:val="none"/>
          <w14:textFill>
            <w14:solidFill>
              <w14:schemeClr w14:val="tx1"/>
            </w14:solidFill>
          </w14:textFill>
        </w:rPr>
        <w:br w:type="page"/>
      </w:r>
    </w:p>
    <w:p>
      <w:pPr>
        <w:pStyle w:val="8"/>
        <w:shd w:val="clear"/>
        <w:adjustRightInd w:val="0"/>
        <w:snapToGrid w:val="0"/>
        <w:jc w:val="center"/>
        <w:rPr>
          <w:rFonts w:ascii="黑体" w:hAnsi="华文中宋" w:eastAsia="黑体"/>
          <w:color w:val="000000" w:themeColor="text1"/>
          <w:sz w:val="28"/>
          <w:szCs w:val="28"/>
          <w:highlight w:val="none"/>
          <w14:textFill>
            <w14:solidFill>
              <w14:schemeClr w14:val="tx1"/>
            </w14:solidFill>
          </w14:textFill>
        </w:rPr>
      </w:pPr>
      <w:bookmarkStart w:id="39" w:name="_Toc755"/>
      <w:r>
        <w:rPr>
          <w:rFonts w:hint="eastAsia" w:ascii="黑体" w:hAnsi="华文中宋" w:eastAsia="黑体"/>
          <w:color w:val="000000" w:themeColor="text1"/>
          <w:sz w:val="28"/>
          <w:szCs w:val="28"/>
          <w:highlight w:val="none"/>
          <w14:textFill>
            <w14:solidFill>
              <w14:schemeClr w14:val="tx1"/>
            </w14:solidFill>
          </w14:textFill>
        </w:rPr>
        <w:t>第三节 投标文件的符合性审查</w:t>
      </w:r>
      <w:bookmarkEnd w:id="39"/>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1.符合性审查</w:t>
      </w:r>
    </w:p>
    <w:p>
      <w:pPr>
        <w:shd w:val="clear"/>
        <w:adjustRightInd w:val="0"/>
        <w:snapToGrid w:val="0"/>
        <w:spacing w:before="156"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1.1</w:t>
      </w:r>
      <w:r>
        <w:rPr>
          <w:rFonts w:hint="eastAsia" w:ascii="宋体" w:hAnsi="宋体"/>
          <w:color w:val="000000" w:themeColor="text1"/>
          <w:szCs w:val="21"/>
          <w:highlight w:val="none"/>
          <w14:textFill>
            <w14:solidFill>
              <w14:schemeClr w14:val="tx1"/>
            </w14:solidFill>
          </w14:textFill>
        </w:rPr>
        <w:t>评标委员会应按本章本节附表1“符合性审查表”所列审查项目及审查标准，</w:t>
      </w:r>
      <w:r>
        <w:rPr>
          <w:rFonts w:hint="eastAsia" w:ascii="宋体" w:hAnsi="宋体"/>
          <w:color w:val="000000" w:themeColor="text1"/>
          <w:highlight w:val="none"/>
          <w14:textFill>
            <w14:solidFill>
              <w14:schemeClr w14:val="tx1"/>
            </w14:solidFill>
          </w14:textFill>
        </w:rPr>
        <w:t>对符合资格条件的投标人的投标文件进行符合性审查，以确定其是否满足招标文件的实质性要求。</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（2）投标人不得通过修正或撤销不合要求的偏离从而使其投标成为实质上响应的投标。</w:t>
      </w:r>
    </w:p>
    <w:p>
      <w:pPr>
        <w:shd w:val="clear"/>
        <w:adjustRightInd w:val="0"/>
        <w:snapToGrid w:val="0"/>
        <w:spacing w:before="156" w:beforeLines="50"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1.2</w:t>
      </w:r>
      <w:r>
        <w:rPr>
          <w:rFonts w:hint="eastAsia" w:ascii="宋体" w:hAnsi="宋体"/>
          <w:color w:val="000000" w:themeColor="text1"/>
          <w:highlight w:val="none"/>
          <w14:textFill>
            <w14:solidFill>
              <w14:schemeClr w14:val="tx1"/>
            </w14:solidFill>
          </w14:textFill>
        </w:rPr>
        <w:t>未通过符合性审查的投标人，其投标将被认定为投标无效，不能进入下一阶段评审。通过符合性审查的投标人数量不足 3 家的，不得作进一步的比较和评价。</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2.投标无效</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2.1投标人存在下列情况之一的，符合性审查不合格，投标无效：</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（1）投标文件中商务技术文件未按照招标文件规定要求签署、盖章的；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（2）投标文件没有对招标文件的实质性要求和条件作出响应，或者对招标文件的偏离超出招标文件规定的偏离</w:t>
      </w:r>
      <w:r>
        <w:rPr>
          <w:rFonts w:hint="eastAsia" w:ascii="宋体" w:hAnsi="宋体"/>
          <w:color w:val="000000" w:themeColor="text1"/>
          <w:highlight w:val="none"/>
          <w14:textFill>
            <w14:solidFill>
              <w14:schemeClr w14:val="tx1"/>
            </w14:solidFill>
          </w14:textFill>
        </w:rPr>
        <w:t>范围和幅度</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（3）投标有效期不足的；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（4）投标文件含有采购人不能接受的附加条件的；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（5）不符合本节第1.1款规定符合性审查标准的；</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（6）法律、法规和招标文件规定的其他投标无效情形的。</w:t>
      </w:r>
    </w:p>
    <w:p>
      <w:pPr>
        <w:shd w:val="clear"/>
        <w:adjustRightInd w:val="0"/>
        <w:snapToGrid w:val="0"/>
        <w:spacing w:before="156" w:beforeLines="50" w:line="360" w:lineRule="auto"/>
        <w:ind w:firstLine="420" w:firstLineChars="200"/>
        <w:jc w:val="left"/>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2.2在评标过程中发现投标人有不遵循公平竞争的原则，恶意串通，妨碍其他投标人的竞争行为，损害采购人或者其他投标人的合法权益的，评标委员会应当认定其</w:t>
      </w:r>
      <w:r>
        <w:rPr>
          <w:rFonts w:hint="eastAsia" w:ascii="宋体" w:hAnsi="宋体"/>
          <w:b/>
          <w:color w:val="000000" w:themeColor="text1"/>
          <w:kern w:val="0"/>
          <w:szCs w:val="21"/>
          <w:highlight w:val="none"/>
          <w14:textFill>
            <w14:solidFill>
              <w14:schemeClr w14:val="tx1"/>
            </w14:solidFill>
          </w14:textFill>
        </w:rPr>
        <w:t>投标无效</w:t>
      </w:r>
      <w:r>
        <w:rPr>
          <w:rFonts w:hint="eastAsia" w:ascii="宋体" w:hAnsi="宋体"/>
          <w:color w:val="000000" w:themeColor="text1"/>
          <w:kern w:val="0"/>
          <w:szCs w:val="21"/>
          <w:highlight w:val="none"/>
          <w14:textFill>
            <w14:solidFill>
              <w14:schemeClr w14:val="tx1"/>
            </w14:solidFill>
          </w14:textFill>
        </w:rPr>
        <w:t>，并书面报告本级财政部门。</w:t>
      </w:r>
    </w:p>
    <w:p>
      <w:pPr>
        <w:widowControl/>
        <w:shd w:val="clea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pPr>
        <w:shd w:val="clear"/>
        <w:adjustRightInd w:val="0"/>
        <w:snapToGrid w:val="0"/>
        <w:spacing w:line="380" w:lineRule="exact"/>
        <w:ind w:firstLine="420" w:firstLineChars="200"/>
        <w:jc w:val="left"/>
        <w:rPr>
          <w:rFonts w:ascii="宋体" w:hAnsi="宋体"/>
          <w:color w:val="000000" w:themeColor="text1"/>
          <w:szCs w:val="21"/>
          <w:highlight w:val="none"/>
          <w14:textFill>
            <w14:solidFill>
              <w14:schemeClr w14:val="tx1"/>
            </w14:solidFill>
          </w14:textFill>
        </w:rPr>
      </w:pPr>
      <w:bookmarkStart w:id="40" w:name="_Toc12740"/>
      <w:r>
        <w:rPr>
          <w:rFonts w:hint="eastAsia" w:ascii="黑体" w:hAnsi="黑体" w:eastAsia="黑体" w:cs="黑体"/>
          <w:color w:val="000000" w:themeColor="text1"/>
          <w:szCs w:val="21"/>
          <w:highlight w:val="none"/>
          <w14:textFill>
            <w14:solidFill>
              <w14:schemeClr w14:val="tx1"/>
            </w14:solidFill>
          </w14:textFill>
        </w:rPr>
        <w:t>附表1 符合性审查表</w:t>
      </w:r>
      <w:bookmarkEnd w:id="40"/>
    </w:p>
    <w:p>
      <w:pPr>
        <w:shd w:val="clear"/>
        <w:adjustRightInd w:val="0"/>
        <w:snapToGrid w:val="0"/>
        <w:spacing w:line="360" w:lineRule="auto"/>
        <w:ind w:right="420"/>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符合性审查表</w:t>
      </w:r>
    </w:p>
    <w:tbl>
      <w:tblPr>
        <w:tblStyle w:val="47"/>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975"/>
        <w:gridCol w:w="3138"/>
        <w:gridCol w:w="793"/>
        <w:gridCol w:w="793"/>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50" w:type="dxa"/>
            <w:vMerge w:val="restart"/>
            <w:vAlign w:val="center"/>
          </w:tcPr>
          <w:p>
            <w:pPr>
              <w:shd w:val="clea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序号</w:t>
            </w:r>
          </w:p>
        </w:tc>
        <w:tc>
          <w:tcPr>
            <w:tcW w:w="2975" w:type="dxa"/>
            <w:vMerge w:val="restart"/>
            <w:vAlign w:val="center"/>
          </w:tcPr>
          <w:p>
            <w:pPr>
              <w:shd w:val="clear"/>
              <w:adjustRightInd w:val="0"/>
              <w:snapToGrid w:val="0"/>
              <w:spacing w:before="156" w:beforeLines="50" w:line="360" w:lineRule="auto"/>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审查项目</w:t>
            </w:r>
          </w:p>
        </w:tc>
        <w:tc>
          <w:tcPr>
            <w:tcW w:w="3138" w:type="dxa"/>
            <w:vMerge w:val="restart"/>
            <w:vAlign w:val="center"/>
          </w:tcPr>
          <w:p>
            <w:pPr>
              <w:shd w:val="clear"/>
              <w:adjustRightInd w:val="0"/>
              <w:snapToGrid w:val="0"/>
              <w:spacing w:before="156" w:beforeLines="50" w:line="360" w:lineRule="auto"/>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审查标准</w:t>
            </w:r>
          </w:p>
        </w:tc>
        <w:tc>
          <w:tcPr>
            <w:tcW w:w="2380" w:type="dxa"/>
            <w:gridSpan w:val="3"/>
            <w:vAlign w:val="center"/>
          </w:tcPr>
          <w:p>
            <w:pPr>
              <w:shd w:val="clea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850" w:type="dxa"/>
            <w:vMerge w:val="continue"/>
            <w:vAlign w:val="center"/>
          </w:tcPr>
          <w:p>
            <w:pPr>
              <w:shd w:val="clear"/>
              <w:jc w:val="center"/>
              <w:rPr>
                <w:rFonts w:ascii="宋体" w:hAnsi="宋体" w:cs="宋体"/>
                <w:b/>
                <w:color w:val="000000" w:themeColor="text1"/>
                <w:sz w:val="24"/>
                <w:highlight w:val="none"/>
                <w14:textFill>
                  <w14:solidFill>
                    <w14:schemeClr w14:val="tx1"/>
                  </w14:solidFill>
                </w14:textFill>
              </w:rPr>
            </w:pPr>
          </w:p>
        </w:tc>
        <w:tc>
          <w:tcPr>
            <w:tcW w:w="2975" w:type="dxa"/>
            <w:vMerge w:val="continue"/>
            <w:vAlign w:val="center"/>
          </w:tcPr>
          <w:p>
            <w:pPr>
              <w:shd w:val="clear"/>
              <w:jc w:val="center"/>
              <w:rPr>
                <w:rFonts w:ascii="宋体" w:hAnsi="宋体" w:cs="宋体"/>
                <w:b/>
                <w:color w:val="000000" w:themeColor="text1"/>
                <w:highlight w:val="none"/>
                <w14:textFill>
                  <w14:solidFill>
                    <w14:schemeClr w14:val="tx1"/>
                  </w14:solidFill>
                </w14:textFill>
              </w:rPr>
            </w:pPr>
          </w:p>
        </w:tc>
        <w:tc>
          <w:tcPr>
            <w:tcW w:w="3138" w:type="dxa"/>
            <w:vMerge w:val="continue"/>
            <w:vAlign w:val="center"/>
          </w:tcPr>
          <w:p>
            <w:pPr>
              <w:shd w:val="clear"/>
              <w:jc w:val="center"/>
              <w:rPr>
                <w:rFonts w:ascii="宋体" w:hAnsi="宋体" w:cs="宋体"/>
                <w:b/>
                <w:color w:val="000000" w:themeColor="text1"/>
                <w:sz w:val="24"/>
                <w:highlight w:val="none"/>
                <w14:textFill>
                  <w14:solidFill>
                    <w14:schemeClr w14:val="tx1"/>
                  </w14:solidFill>
                </w14:textFill>
              </w:rPr>
            </w:pPr>
          </w:p>
        </w:tc>
        <w:tc>
          <w:tcPr>
            <w:tcW w:w="793" w:type="dxa"/>
            <w:vAlign w:val="center"/>
          </w:tcPr>
          <w:p>
            <w:pPr>
              <w:shd w:val="clear"/>
              <w:jc w:val="center"/>
              <w:rPr>
                <w:rFonts w:ascii="宋体" w:hAnsi="宋体" w:cs="宋体"/>
                <w:b/>
                <w:color w:val="000000" w:themeColor="text1"/>
                <w:sz w:val="24"/>
                <w:highlight w:val="none"/>
                <w14:textFill>
                  <w14:solidFill>
                    <w14:schemeClr w14:val="tx1"/>
                  </w14:solidFill>
                </w14:textFill>
              </w:rPr>
            </w:pPr>
          </w:p>
        </w:tc>
        <w:tc>
          <w:tcPr>
            <w:tcW w:w="793" w:type="dxa"/>
            <w:vAlign w:val="center"/>
          </w:tcPr>
          <w:p>
            <w:pPr>
              <w:shd w:val="clear"/>
              <w:jc w:val="center"/>
              <w:rPr>
                <w:rFonts w:ascii="宋体" w:hAnsi="宋体" w:cs="宋体"/>
                <w:b/>
                <w:color w:val="000000" w:themeColor="text1"/>
                <w:sz w:val="24"/>
                <w:highlight w:val="none"/>
                <w14:textFill>
                  <w14:solidFill>
                    <w14:schemeClr w14:val="tx1"/>
                  </w14:solidFill>
                </w14:textFill>
              </w:rPr>
            </w:pPr>
          </w:p>
        </w:tc>
        <w:tc>
          <w:tcPr>
            <w:tcW w:w="794" w:type="dxa"/>
            <w:vAlign w:val="center"/>
          </w:tcPr>
          <w:p>
            <w:pPr>
              <w:shd w:val="clear"/>
              <w:jc w:val="center"/>
              <w:rPr>
                <w:rFonts w:ascii="宋体" w:hAnsi="宋体" w:cs="宋体"/>
                <w:b/>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投标有效期</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投标文件的签署与盖章</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必须按照招标文件的规定盖章与签署</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不能超过招标文件规定的上限价（采购预算）</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交货期、安装、调试</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付款条件</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质保年限</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是否有招标人不能接受的条件</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绝不能有</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招标文件中</w:t>
            </w:r>
            <w:r>
              <w:rPr>
                <w:rFonts w:hint="eastAsia" w:ascii="宋体" w:hAnsi="宋体" w:cs="宋体"/>
                <w:color w:val="000000" w:themeColor="text1"/>
                <w:szCs w:val="21"/>
                <w:highlight w:val="none"/>
                <w14:textFill>
                  <w14:solidFill>
                    <w14:schemeClr w14:val="tx1"/>
                  </w14:solidFill>
                </w14:textFill>
              </w:rPr>
              <w:t>标有“★”记号或者</w:t>
            </w:r>
            <w:r>
              <w:rPr>
                <w:rFonts w:hint="eastAsia" w:ascii="宋体" w:hAnsi="宋体" w:cs="宋体"/>
                <w:bCs/>
                <w:color w:val="000000" w:themeColor="text1"/>
                <w:szCs w:val="21"/>
                <w:highlight w:val="none"/>
                <w14:textFill>
                  <w14:solidFill>
                    <w14:schemeClr w14:val="tx1"/>
                  </w14:solidFill>
                </w14:textFill>
              </w:rPr>
              <w:t>其他特别标明的实质性商务条款</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w:t>
            </w:r>
          </w:p>
        </w:tc>
        <w:tc>
          <w:tcPr>
            <w:tcW w:w="2975" w:type="dxa"/>
            <w:vAlign w:val="center"/>
          </w:tcPr>
          <w:p>
            <w:pPr>
              <w:shd w:val="clear"/>
              <w:spacing w:line="300" w:lineRule="exact"/>
              <w:ind w:left="-53" w:leftChars="-25" w:right="-53" w:rightChars="-2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《采购需求》中标有“★”记号或者其他特别标明的实质性技术条款</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50" w:type="dxa"/>
            <w:vAlign w:val="center"/>
          </w:tcPr>
          <w:p>
            <w:pPr>
              <w:shd w:val="clear"/>
              <w:spacing w:line="30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10</w:t>
            </w:r>
          </w:p>
        </w:tc>
        <w:tc>
          <w:tcPr>
            <w:tcW w:w="2975" w:type="dxa"/>
            <w:vAlign w:val="center"/>
          </w:tcPr>
          <w:p>
            <w:pPr>
              <w:shd w:val="clear"/>
              <w:spacing w:line="300" w:lineRule="exact"/>
              <w:ind w:left="-53" w:leftChars="-25" w:right="-53" w:rightChars="-25"/>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是否有不符合法律、法规情况（达到要求的标记√，未达到的标记×并注明理由）</w:t>
            </w:r>
          </w:p>
        </w:tc>
        <w:tc>
          <w:tcPr>
            <w:tcW w:w="3138" w:type="dxa"/>
            <w:vAlign w:val="center"/>
          </w:tcPr>
          <w:p>
            <w:pPr>
              <w:shd w:val="clear"/>
              <w:spacing w:line="300" w:lineRule="exact"/>
              <w:ind w:left="-53" w:leftChars="-25" w:right="-53" w:rightChars="-25"/>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必须响应招标文件的规定</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exact"/>
          <w:jc w:val="center"/>
        </w:trPr>
        <w:tc>
          <w:tcPr>
            <w:tcW w:w="6963" w:type="dxa"/>
            <w:gridSpan w:val="3"/>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结论</w:t>
            </w: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3" w:type="dxa"/>
            <w:vAlign w:val="center"/>
          </w:tcPr>
          <w:p>
            <w:pPr>
              <w:shd w:val="clear"/>
              <w:spacing w:line="300" w:lineRule="exact"/>
              <w:jc w:val="center"/>
              <w:rPr>
                <w:rFonts w:ascii="宋体" w:hAnsi="宋体" w:cs="宋体"/>
                <w:bCs/>
                <w:color w:val="000000" w:themeColor="text1"/>
                <w:sz w:val="24"/>
                <w:highlight w:val="none"/>
                <w14:textFill>
                  <w14:solidFill>
                    <w14:schemeClr w14:val="tx1"/>
                  </w14:solidFill>
                </w14:textFill>
              </w:rPr>
            </w:pPr>
          </w:p>
        </w:tc>
        <w:tc>
          <w:tcPr>
            <w:tcW w:w="794" w:type="dxa"/>
            <w:vAlign w:val="center"/>
          </w:tcPr>
          <w:p>
            <w:pPr>
              <w:shd w:val="clear"/>
              <w:spacing w:line="300" w:lineRule="exact"/>
              <w:jc w:val="center"/>
              <w:rPr>
                <w:rFonts w:ascii="宋体" w:hAnsi="宋体" w:cs="宋体"/>
                <w:bCs/>
                <w:color w:val="000000" w:themeColor="text1"/>
                <w:highlight w:val="none"/>
                <w14:textFill>
                  <w14:solidFill>
                    <w14:schemeClr w14:val="tx1"/>
                  </w14:solidFill>
                </w14:textFill>
              </w:rPr>
            </w:pPr>
          </w:p>
        </w:tc>
      </w:tr>
    </w:tbl>
    <w:p>
      <w:pPr>
        <w:shd w:val="clear"/>
        <w:snapToGrid w:val="0"/>
        <w:spacing w:before="156" w:beforeLines="50" w:line="320" w:lineRule="exact"/>
        <w:rPr>
          <w:rFonts w:ascii="宋体" w:hAnsi="宋体" w:cs="宋体"/>
          <w:color w:val="000000" w:themeColor="text1"/>
          <w:sz w:val="24"/>
          <w:highlight w:val="none"/>
          <w14:textFill>
            <w14:solidFill>
              <w14:schemeClr w14:val="tx1"/>
            </w14:solidFill>
          </w14:textFill>
        </w:rPr>
      </w:pPr>
    </w:p>
    <w:p>
      <w:pPr>
        <w:shd w:val="clear"/>
        <w:snapToGrid w:val="0"/>
        <w:spacing w:before="156" w:beforeLines="50" w:line="320" w:lineRule="exact"/>
        <w:rPr>
          <w:rFonts w:ascii="宋体" w:hAnsi="宋体" w:cs="宋体"/>
          <w:bCs/>
          <w:color w:val="000000" w:themeColor="text1"/>
          <w:sz w:val="24"/>
          <w:highlight w:val="none"/>
          <w:u w:val="wav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结论分为“合格”和“不合格”两种</w:t>
      </w:r>
      <w:r>
        <w:rPr>
          <w:rFonts w:hint="eastAsia" w:ascii="宋体" w:hAnsi="宋体" w:cs="宋体"/>
          <w:bCs/>
          <w:color w:val="000000" w:themeColor="text1"/>
          <w:sz w:val="24"/>
          <w:highlight w:val="none"/>
          <w:u w:val="wave"/>
          <w14:textFill>
            <w14:solidFill>
              <w14:schemeClr w14:val="tx1"/>
            </w14:solidFill>
          </w14:textFill>
        </w:rPr>
        <w:t>，有一项不合格的</w:t>
      </w:r>
      <w:r>
        <w:rPr>
          <w:rFonts w:hint="eastAsia" w:ascii="宋体" w:hAnsi="宋体" w:cs="宋体"/>
          <w:color w:val="000000" w:themeColor="text1"/>
          <w:sz w:val="24"/>
          <w:highlight w:val="none"/>
          <w14:textFill>
            <w14:solidFill>
              <w14:schemeClr w14:val="tx1"/>
            </w14:solidFill>
          </w14:textFill>
        </w:rPr>
        <w:t>为不合格投标人，不得进入下一轮评审</w:t>
      </w:r>
    </w:p>
    <w:p>
      <w:pPr>
        <w:widowControl/>
        <w:shd w:val="clear"/>
        <w:jc w:val="left"/>
        <w:rPr>
          <w:rFonts w:ascii="黑体" w:hAnsi="黑体" w:eastAsia="黑体"/>
          <w:bCs/>
          <w:color w:val="000000" w:themeColor="text1"/>
          <w:szCs w:val="21"/>
          <w:highlight w:val="none"/>
          <w14:textFill>
            <w14:solidFill>
              <w14:schemeClr w14:val="tx1"/>
            </w14:solidFill>
          </w14:textFill>
        </w:rPr>
      </w:pPr>
    </w:p>
    <w:p>
      <w:pPr>
        <w:widowControl/>
        <w:shd w:val="clear"/>
        <w:jc w:val="left"/>
        <w:rPr>
          <w:rFonts w:ascii="黑体" w:hAnsi="华文中宋" w:eastAsia="黑体"/>
          <w:b/>
          <w:color w:val="000000" w:themeColor="text1"/>
          <w:sz w:val="32"/>
          <w:szCs w:val="32"/>
          <w:highlight w:val="none"/>
          <w14:textFill>
            <w14:solidFill>
              <w14:schemeClr w14:val="tx1"/>
            </w14:solidFill>
          </w14:textFill>
        </w:rPr>
      </w:pPr>
      <w:r>
        <w:rPr>
          <w:rFonts w:ascii="黑体" w:hAnsi="华文中宋" w:eastAsia="黑体"/>
          <w:b/>
          <w:color w:val="000000" w:themeColor="text1"/>
          <w:sz w:val="32"/>
          <w:szCs w:val="32"/>
          <w:highlight w:val="none"/>
          <w14:textFill>
            <w14:solidFill>
              <w14:schemeClr w14:val="tx1"/>
            </w14:solidFill>
          </w14:textFill>
        </w:rPr>
        <w:br w:type="page"/>
      </w:r>
    </w:p>
    <w:p>
      <w:pPr>
        <w:shd w:val="clear"/>
        <w:rPr>
          <w:rFonts w:ascii="黑体" w:hAnsi="华文中宋" w:eastAsia="黑体"/>
          <w:b/>
          <w:color w:val="000000" w:themeColor="text1"/>
          <w:sz w:val="32"/>
          <w:szCs w:val="32"/>
          <w:highlight w:val="none"/>
          <w14:textFill>
            <w14:solidFill>
              <w14:schemeClr w14:val="tx1"/>
            </w14:solidFill>
          </w14:textFill>
        </w:rPr>
      </w:pPr>
    </w:p>
    <w:p>
      <w:pPr>
        <w:shd w:val="clear"/>
        <w:adjustRightInd w:val="0"/>
        <w:snapToGrid w:val="0"/>
        <w:spacing w:line="380" w:lineRule="exact"/>
        <w:ind w:firstLine="420" w:firstLineChars="200"/>
        <w:jc w:val="left"/>
        <w:rPr>
          <w:rFonts w:ascii="黑体" w:hAnsi="黑体" w:eastAsia="黑体" w:cs="黑体"/>
          <w:color w:val="000000" w:themeColor="text1"/>
          <w:szCs w:val="21"/>
          <w:highlight w:val="none"/>
          <w14:textFill>
            <w14:solidFill>
              <w14:schemeClr w14:val="tx1"/>
            </w14:solidFill>
          </w14:textFill>
        </w:rPr>
      </w:pPr>
      <w:bookmarkStart w:id="41" w:name="_Toc4788"/>
      <w:r>
        <w:rPr>
          <w:rFonts w:hint="eastAsia" w:ascii="黑体" w:hAnsi="黑体" w:eastAsia="黑体" w:cs="黑体"/>
          <w:color w:val="000000" w:themeColor="text1"/>
          <w:szCs w:val="21"/>
          <w:highlight w:val="none"/>
          <w14:textFill>
            <w14:solidFill>
              <w14:schemeClr w14:val="tx1"/>
            </w14:solidFill>
          </w14:textFill>
        </w:rPr>
        <w:t>附表2 符合性审查结果一览表</w:t>
      </w:r>
      <w:bookmarkEnd w:id="41"/>
    </w:p>
    <w:p>
      <w:pPr>
        <w:shd w:val="clear"/>
        <w:adjustRightInd w:val="0"/>
        <w:snapToGrid w:val="0"/>
        <w:spacing w:before="156" w:beforeLines="50"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符合性审查结果一览表</w:t>
      </w:r>
    </w:p>
    <w:p>
      <w:pPr>
        <w:shd w:val="clear"/>
        <w:adjustRightInd w:val="0"/>
        <w:snapToGrid w:val="0"/>
        <w:spacing w:before="156" w:beforeLines="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政府采购计划编号：</w:t>
      </w:r>
    </w:p>
    <w:tbl>
      <w:tblPr>
        <w:tblStyle w:val="48"/>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pPr>
              <w:shd w:val="clear"/>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序号</w:t>
            </w:r>
          </w:p>
        </w:tc>
        <w:tc>
          <w:tcPr>
            <w:tcW w:w="2963" w:type="dxa"/>
            <w:vAlign w:val="center"/>
          </w:tcPr>
          <w:p>
            <w:pPr>
              <w:shd w:val="clear"/>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投标人名称</w:t>
            </w:r>
          </w:p>
        </w:tc>
        <w:tc>
          <w:tcPr>
            <w:tcW w:w="2439" w:type="dxa"/>
            <w:vAlign w:val="center"/>
          </w:tcPr>
          <w:p>
            <w:pPr>
              <w:shd w:val="clear"/>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符合性审查结果</w:t>
            </w:r>
          </w:p>
          <w:p>
            <w:pPr>
              <w:shd w:val="clear"/>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（合格/不合格）</w:t>
            </w:r>
          </w:p>
        </w:tc>
        <w:tc>
          <w:tcPr>
            <w:tcW w:w="2961" w:type="dxa"/>
            <w:vAlign w:val="center"/>
          </w:tcPr>
          <w:p>
            <w:pPr>
              <w:shd w:val="clear"/>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符合性审查不合格原因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439"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2961"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bl>
    <w:p>
      <w:pPr>
        <w:shd w:val="clear"/>
        <w:adjustRightInd w:val="0"/>
        <w:snapToGrid w:val="0"/>
        <w:spacing w:line="380" w:lineRule="exact"/>
        <w:ind w:firstLine="420" w:firstLineChars="200"/>
        <w:jc w:val="left"/>
        <w:rPr>
          <w:rFonts w:ascii="黑体" w:hAnsi="黑体" w:eastAsia="黑体" w:cs="黑体"/>
          <w:color w:val="000000" w:themeColor="text1"/>
          <w:szCs w:val="21"/>
          <w:highlight w:val="none"/>
          <w14:textFill>
            <w14:solidFill>
              <w14:schemeClr w14:val="tx1"/>
            </w14:solidFill>
          </w14:textFill>
        </w:rPr>
      </w:pPr>
      <w:bookmarkStart w:id="42" w:name="_Toc28326"/>
    </w:p>
    <w:p>
      <w:pPr>
        <w:shd w:val="clear"/>
        <w:adjustRightInd w:val="0"/>
        <w:snapToGrid w:val="0"/>
        <w:spacing w:line="380" w:lineRule="exact"/>
        <w:ind w:firstLine="420" w:firstLineChars="200"/>
        <w:jc w:val="left"/>
        <w:rPr>
          <w:rFonts w:ascii="黑体" w:hAnsi="黑体" w:eastAsia="黑体" w:cs="黑体"/>
          <w:color w:val="000000" w:themeColor="text1"/>
          <w:szCs w:val="21"/>
          <w:highlight w:val="none"/>
          <w14:textFill>
            <w14:solidFill>
              <w14:schemeClr w14:val="tx1"/>
            </w14:solidFill>
          </w14:textFill>
        </w:rPr>
      </w:pPr>
    </w:p>
    <w:p>
      <w:pPr>
        <w:shd w:val="clear"/>
        <w:adjustRightInd w:val="0"/>
        <w:snapToGrid w:val="0"/>
        <w:spacing w:line="380" w:lineRule="exact"/>
        <w:ind w:firstLine="420" w:firstLineChars="200"/>
        <w:jc w:val="left"/>
        <w:rPr>
          <w:rFonts w:ascii="黑体" w:hAnsi="黑体" w:eastAsia="黑体" w:cs="黑体"/>
          <w:color w:val="000000" w:themeColor="text1"/>
          <w:szCs w:val="21"/>
          <w:highlight w:val="none"/>
          <w14:textFill>
            <w14:solidFill>
              <w14:schemeClr w14:val="tx1"/>
            </w14:solidFill>
          </w14:textFill>
        </w:rPr>
      </w:pPr>
    </w:p>
    <w:p>
      <w:pPr>
        <w:shd w:val="clear"/>
        <w:adjustRightInd w:val="0"/>
        <w:snapToGrid w:val="0"/>
        <w:spacing w:line="380" w:lineRule="exact"/>
        <w:ind w:firstLine="420" w:firstLineChars="200"/>
        <w:jc w:val="left"/>
        <w:rPr>
          <w:rFonts w:ascii="黑体" w:hAnsi="黑体" w:eastAsia="黑体" w:cs="黑体"/>
          <w:color w:val="000000" w:themeColor="text1"/>
          <w:szCs w:val="21"/>
          <w:highlight w:val="none"/>
          <w14:textFill>
            <w14:solidFill>
              <w14:schemeClr w14:val="tx1"/>
            </w14:solidFill>
          </w14:textFill>
        </w:rPr>
      </w:pPr>
      <w:r>
        <w:rPr>
          <w:rFonts w:hint="eastAsia" w:ascii="黑体" w:hAnsi="黑体" w:eastAsia="黑体" w:cs="黑体"/>
          <w:color w:val="000000" w:themeColor="text1"/>
          <w:szCs w:val="21"/>
          <w:highlight w:val="none"/>
          <w14:textFill>
            <w14:solidFill>
              <w14:schemeClr w14:val="tx1"/>
            </w14:solidFill>
          </w14:textFill>
        </w:rPr>
        <w:t>附表3 符合性审查合格投标人名单</w:t>
      </w:r>
      <w:bookmarkEnd w:id="42"/>
    </w:p>
    <w:p>
      <w:pPr>
        <w:shd w:val="clear"/>
        <w:adjustRightInd w:val="0"/>
        <w:snapToGrid w:val="0"/>
        <w:spacing w:before="156" w:beforeLines="50"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符合性审查合格投标人名单</w:t>
      </w:r>
    </w:p>
    <w:p>
      <w:pPr>
        <w:shd w:val="clear"/>
        <w:adjustRightInd w:val="0"/>
        <w:snapToGrid w:val="0"/>
        <w:spacing w:before="156" w:beforeLines="50" w:line="360" w:lineRule="auto"/>
        <w:rPr>
          <w:rFonts w:ascii="华文中宋" w:hAnsi="华文中宋" w:eastAsia="华文中宋"/>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政府采购计划编号：</w:t>
      </w:r>
    </w:p>
    <w:tbl>
      <w:tblPr>
        <w:tblStyle w:val="4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pPr>
              <w:shd w:val="clear"/>
              <w:jc w:val="center"/>
              <w:rPr>
                <w:b/>
                <w:color w:val="000000" w:themeColor="text1"/>
                <w:kern w:val="0"/>
                <w:szCs w:val="21"/>
                <w:highlight w:val="none"/>
                <w14:textFill>
                  <w14:solidFill>
                    <w14:schemeClr w14:val="tx1"/>
                  </w14:solidFill>
                </w14:textFill>
              </w:rPr>
            </w:pPr>
            <w:r>
              <w:rPr>
                <w:rFonts w:hint="eastAsia"/>
                <w:b/>
                <w:color w:val="000000" w:themeColor="text1"/>
                <w:kern w:val="0"/>
                <w:szCs w:val="21"/>
                <w:highlight w:val="none"/>
                <w14:textFill>
                  <w14:solidFill>
                    <w14:schemeClr w14:val="tx1"/>
                  </w14:solidFill>
                </w14:textFill>
              </w:rPr>
              <w:t>序号</w:t>
            </w:r>
          </w:p>
        </w:tc>
        <w:tc>
          <w:tcPr>
            <w:tcW w:w="7796" w:type="dxa"/>
            <w:vAlign w:val="center"/>
          </w:tcPr>
          <w:p>
            <w:pPr>
              <w:shd w:val="clear"/>
              <w:jc w:val="center"/>
              <w:rPr>
                <w:b/>
                <w:color w:val="000000" w:themeColor="text1"/>
                <w:kern w:val="0"/>
                <w:szCs w:val="21"/>
                <w:highlight w:val="none"/>
                <w14:textFill>
                  <w14:solidFill>
                    <w14:schemeClr w14:val="tx1"/>
                  </w14:solidFill>
                </w14:textFill>
              </w:rPr>
            </w:pPr>
            <w:r>
              <w:rPr>
                <w:rFonts w:hint="eastAsia"/>
                <w:b/>
                <w:color w:val="000000" w:themeColor="text1"/>
                <w:kern w:val="0"/>
                <w:szCs w:val="21"/>
                <w:highlight w:val="none"/>
                <w14:textFill>
                  <w14:solidFill>
                    <w14:schemeClr w14:val="tx1"/>
                  </w14:solidFill>
                </w14:textFill>
              </w:rPr>
              <w:t>合格投标人名称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Cs w:val="21"/>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c>
          <w:tcPr>
            <w:tcW w:w="7796" w:type="dxa"/>
          </w:tcPr>
          <w:p>
            <w:pPr>
              <w:shd w:val="clear"/>
              <w:adjustRightInd w:val="0"/>
              <w:snapToGrid w:val="0"/>
              <w:spacing w:line="360" w:lineRule="auto"/>
              <w:rPr>
                <w:rFonts w:ascii="宋体" w:hAnsi="宋体"/>
                <w:color w:val="000000" w:themeColor="text1"/>
                <w:kern w:val="0"/>
                <w:sz w:val="24"/>
                <w:highlight w:val="none"/>
                <w14:textFill>
                  <w14:solidFill>
                    <w14:schemeClr w14:val="tx1"/>
                  </w14:solidFill>
                </w14:textFill>
              </w:rPr>
            </w:pPr>
          </w:p>
        </w:tc>
      </w:tr>
    </w:tbl>
    <w:p>
      <w:pPr>
        <w:shd w:val="clear"/>
        <w:rPr>
          <w:color w:val="000000" w:themeColor="text1"/>
          <w:w w:val="90"/>
          <w:highlight w:val="none"/>
          <w14:textFill>
            <w14:solidFill>
              <w14:schemeClr w14:val="tx1"/>
            </w14:solidFill>
          </w14:textFill>
        </w:rPr>
      </w:pPr>
    </w:p>
    <w:p>
      <w:pPr>
        <w:widowControl/>
        <w:shd w:val="clear"/>
        <w:jc w:val="left"/>
        <w:rPr>
          <w:rFonts w:ascii="黑体" w:hAnsi="黑体" w:eastAsia="黑体"/>
          <w:bCs/>
          <w:color w:val="000000" w:themeColor="text1"/>
          <w:szCs w:val="21"/>
          <w:highlight w:val="none"/>
          <w14:textFill>
            <w14:solidFill>
              <w14:schemeClr w14:val="tx1"/>
            </w14:solidFill>
          </w14:textFill>
        </w:rPr>
      </w:pPr>
    </w:p>
    <w:p>
      <w:pPr>
        <w:widowControl/>
        <w:shd w:val="clear"/>
        <w:jc w:val="left"/>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br w:type="page"/>
      </w:r>
    </w:p>
    <w:p>
      <w:pPr>
        <w:shd w:val="clear"/>
        <w:jc w:val="left"/>
        <w:rPr>
          <w:rFonts w:hAnsi="宋体"/>
          <w:color w:val="000000" w:themeColor="text1"/>
          <w:highlight w:val="none"/>
          <w14:textFill>
            <w14:solidFill>
              <w14:schemeClr w14:val="tx1"/>
            </w14:solidFill>
          </w14:textFill>
        </w:rPr>
      </w:pPr>
    </w:p>
    <w:p>
      <w:pPr>
        <w:pStyle w:val="8"/>
        <w:shd w:val="clear"/>
        <w:adjustRightInd w:val="0"/>
        <w:snapToGrid w:val="0"/>
        <w:jc w:val="center"/>
        <w:rPr>
          <w:rFonts w:ascii="黑体" w:hAnsi="华文中宋" w:eastAsia="黑体"/>
          <w:color w:val="000000" w:themeColor="text1"/>
          <w:sz w:val="28"/>
          <w:szCs w:val="28"/>
          <w:highlight w:val="none"/>
          <w14:textFill>
            <w14:solidFill>
              <w14:schemeClr w14:val="tx1"/>
            </w14:solidFill>
          </w14:textFill>
        </w:rPr>
      </w:pPr>
      <w:bookmarkStart w:id="43" w:name="_Toc18878"/>
      <w:r>
        <w:rPr>
          <w:rFonts w:hint="eastAsia" w:ascii="黑体" w:hAnsi="华文中宋" w:eastAsia="黑体"/>
          <w:color w:val="000000" w:themeColor="text1"/>
          <w:sz w:val="28"/>
          <w:szCs w:val="28"/>
          <w:highlight w:val="none"/>
          <w14:textFill>
            <w14:solidFill>
              <w14:schemeClr w14:val="tx1"/>
            </w14:solidFill>
          </w14:textFill>
        </w:rPr>
        <w:t>第四节 投标文件的比较与评价（综合评分法）</w:t>
      </w:r>
      <w:bookmarkEnd w:id="43"/>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 综合评分法</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1.1综合评分法，指投标文件满足招标文件全部实质性要求，且按照评审因素的量化指标评审得分最高的投标人为中标候选人的评标方法。</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1.2评标因素：评审因素的设定应当与投标人所提供货物服务的质量相关，包括投标报价、技术或者服务水平、履约能力、售后服务等，但不包括第一章投标人的资格要求。本采购项目的评标因素和标准见本章本节附表1“评标方法及标准表”。</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1.3未通过符合性审查的投标文件不得进入比较与评价。</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 投标报价的算术修正及政府采购政策调整</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2.1如果有算术错误，投标报价将按本章第二节第4.2款、第4.3款规定进行算术修正。</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2.2需落实政府采购政策（价格评审优惠）的，按第二章“投标须知”及本章第二节第</w:t>
      </w:r>
      <w:r>
        <w:rPr>
          <w:rFonts w:ascii="宋体" w:hAnsi="宋体"/>
          <w:bCs/>
          <w:color w:val="000000" w:themeColor="text1"/>
          <w:szCs w:val="21"/>
          <w:highlight w:val="none"/>
          <w14:textFill>
            <w14:solidFill>
              <w14:schemeClr w14:val="tx1"/>
            </w14:solidFill>
          </w14:textFill>
        </w:rPr>
        <w:t>5.</w:t>
      </w:r>
      <w:r>
        <w:rPr>
          <w:rFonts w:hint="eastAsia" w:ascii="宋体" w:hAnsi="宋体"/>
          <w:bCs/>
          <w:color w:val="000000" w:themeColor="text1"/>
          <w:szCs w:val="21"/>
          <w:highlight w:val="none"/>
          <w14:textFill>
            <w14:solidFill>
              <w14:schemeClr w14:val="tx1"/>
            </w14:solidFill>
          </w14:textFill>
        </w:rPr>
        <w:t>4（1）项的相关规定进行价格调整。</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2.3按本章本节第2.1款、第2.2款规定，以修正或调整后的价格确定投标人的投标报价和评标基准价，用于投标报价评价。</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 投标报价评价</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3.1投标报价评价：价格分应当采用低价优先法计算，即满足招标文件要求且投标价格最低的投标报价为评标基准价，其价格分为满分（报价权重分）。其他投标人的价格分统一按照下列公式计算：</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投标报价得分=（评标基准价</w:t>
      </w:r>
      <w:r>
        <w:rPr>
          <w:rFonts w:hint="eastAsia" w:ascii="宋体" w:hAnsi="宋体"/>
          <w:color w:val="000000" w:themeColor="text1"/>
          <w:szCs w:val="21"/>
          <w:highlight w:val="none"/>
          <w:vertAlign w:val="subscript"/>
          <w14:textFill>
            <w14:solidFill>
              <w14:schemeClr w14:val="tx1"/>
            </w14:solidFill>
          </w14:textFill>
        </w:rPr>
        <w:t>修正或调整</w:t>
      </w:r>
      <w:r>
        <w:rPr>
          <w:rFonts w:hint="eastAsia" w:ascii="宋体" w:hAnsi="宋体"/>
          <w:color w:val="000000" w:themeColor="text1"/>
          <w:szCs w:val="21"/>
          <w:highlight w:val="none"/>
          <w14:textFill>
            <w14:solidFill>
              <w14:schemeClr w14:val="tx1"/>
            </w14:solidFill>
          </w14:textFill>
        </w:rPr>
        <w:t>／投标报价</w:t>
      </w:r>
      <w:r>
        <w:rPr>
          <w:rFonts w:hint="eastAsia" w:ascii="宋体" w:hAnsi="宋体"/>
          <w:color w:val="000000" w:themeColor="text1"/>
          <w:szCs w:val="21"/>
          <w:highlight w:val="none"/>
          <w:vertAlign w:val="subscript"/>
          <w14:textFill>
            <w14:solidFill>
              <w14:schemeClr w14:val="tx1"/>
            </w14:solidFill>
          </w14:textFill>
        </w:rPr>
        <w:t>修正或调整</w:t>
      </w:r>
      <w:r>
        <w:rPr>
          <w:rFonts w:hint="eastAsia" w:ascii="宋体" w:hAnsi="宋体"/>
          <w:color w:val="000000" w:themeColor="text1"/>
          <w:szCs w:val="21"/>
          <w:highlight w:val="none"/>
          <w14:textFill>
            <w14:solidFill>
              <w14:schemeClr w14:val="tx1"/>
            </w14:solidFill>
          </w14:textFill>
        </w:rPr>
        <w:t>） ×100×报价权值</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技术、商务等评分项响应评价及政府采购政策加分</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4.1技术、商务等评分项响应评分。按</w:t>
      </w:r>
      <w:r>
        <w:rPr>
          <w:rFonts w:hint="eastAsia" w:ascii="宋体" w:hAnsi="宋体"/>
          <w:bCs/>
          <w:color w:val="000000" w:themeColor="text1"/>
          <w:szCs w:val="21"/>
          <w:highlight w:val="none"/>
          <w14:textFill>
            <w14:solidFill>
              <w14:schemeClr w14:val="tx1"/>
            </w14:solidFill>
          </w14:textFill>
        </w:rPr>
        <w:t>本章</w:t>
      </w:r>
      <w:r>
        <w:rPr>
          <w:rFonts w:hint="eastAsia" w:ascii="宋体" w:hAnsi="宋体"/>
          <w:color w:val="000000" w:themeColor="text1"/>
          <w:szCs w:val="21"/>
          <w:highlight w:val="none"/>
          <w14:textFill>
            <w14:solidFill>
              <w14:schemeClr w14:val="tx1"/>
            </w14:solidFill>
          </w14:textFill>
        </w:rPr>
        <w:t>本节附表1“评标方法及标准表”规定的评标因素和标准，对技术、商务等评分项计算得分。</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4.2需落实政府采购政策（优先采购）的，按第二章、本章第二节第5.4（2）项以及本节附表1“评标方法及标准表”的相关规定进行技术、价格、商务项得分(加分)计算。</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评标总得分</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5.1评标总得分为投标报价、技术、商务等评分项得分(含优先采购政策加分)之和。</w:t>
      </w:r>
    </w:p>
    <w:p>
      <w:pPr>
        <w:shd w:val="clear"/>
        <w:adjustRightInd w:val="0"/>
        <w:snapToGrid w:val="0"/>
        <w:spacing w:line="460" w:lineRule="exact"/>
        <w:ind w:firstLine="420" w:firstLineChars="200"/>
        <w:rPr>
          <w:rFonts w:ascii="宋体" w:hAnsi="宋体" w:cs="宋体"/>
          <w:color w:val="000000" w:themeColor="text1"/>
          <w:kern w:val="0"/>
          <w:szCs w:val="21"/>
          <w:highlight w:val="none"/>
          <w:lang w:val="ru-RU" w:eastAsia="ru-RU"/>
          <w14:textFill>
            <w14:solidFill>
              <w14:schemeClr w14:val="tx1"/>
            </w14:solidFill>
          </w14:textFill>
        </w:rPr>
      </w:pPr>
      <w:r>
        <w:rPr>
          <w:rFonts w:hint="eastAsia" w:ascii="宋体" w:hAnsi="宋体" w:cs="宋体"/>
          <w:color w:val="000000" w:themeColor="text1"/>
          <w:kern w:val="0"/>
          <w:szCs w:val="21"/>
          <w:highlight w:val="none"/>
          <w:lang w:val="ru-RU" w:eastAsia="ru-RU"/>
          <w14:textFill>
            <w14:solidFill>
              <w14:schemeClr w14:val="tx1"/>
            </w14:solidFill>
          </w14:textFill>
        </w:rPr>
        <w:t>评标总得分＝F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1</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1</w:t>
      </w:r>
      <w:r>
        <w:rPr>
          <w:rFonts w:hint="eastAsia" w:ascii="宋体" w:hAnsi="宋体" w:cs="宋体"/>
          <w:color w:val="000000" w:themeColor="text1"/>
          <w:kern w:val="0"/>
          <w:szCs w:val="21"/>
          <w:highlight w:val="none"/>
          <w:lang w:val="ru-RU" w:eastAsia="ru-RU"/>
          <w14:textFill>
            <w14:solidFill>
              <w14:schemeClr w14:val="tx1"/>
            </w14:solidFill>
          </w14:textFill>
        </w:rPr>
        <w:t>＋F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2</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2</w:t>
      </w:r>
      <w:r>
        <w:rPr>
          <w:rFonts w:hint="eastAsia" w:ascii="宋体" w:hAnsi="宋体" w:cs="宋体"/>
          <w:color w:val="000000" w:themeColor="text1"/>
          <w:kern w:val="0"/>
          <w:szCs w:val="21"/>
          <w:highlight w:val="none"/>
          <w:lang w:val="ru-RU" w:eastAsia="ru-RU"/>
          <w14:textFill>
            <w14:solidFill>
              <w14:schemeClr w14:val="tx1"/>
            </w14:solidFill>
          </w14:textFill>
        </w:rPr>
        <w:t>＋……＋F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n</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n</w:t>
      </w:r>
    </w:p>
    <w:p>
      <w:pPr>
        <w:shd w:val="clear"/>
        <w:adjustRightInd w:val="0"/>
        <w:snapToGrid w:val="0"/>
        <w:spacing w:line="460" w:lineRule="exact"/>
        <w:ind w:firstLine="420" w:firstLineChars="200"/>
        <w:rPr>
          <w:rFonts w:ascii="宋体" w:hAnsi="宋体" w:cs="宋体"/>
          <w:color w:val="000000" w:themeColor="text1"/>
          <w:kern w:val="0"/>
          <w:szCs w:val="21"/>
          <w:highlight w:val="none"/>
          <w:lang w:val="ru-RU" w:eastAsia="ru-RU"/>
          <w14:textFill>
            <w14:solidFill>
              <w14:schemeClr w14:val="tx1"/>
            </w14:solidFill>
          </w14:textFill>
        </w:rPr>
      </w:pPr>
      <w:r>
        <w:rPr>
          <w:rFonts w:hint="eastAsia" w:ascii="宋体" w:hAnsi="宋体" w:cs="宋体"/>
          <w:color w:val="000000" w:themeColor="text1"/>
          <w:kern w:val="0"/>
          <w:szCs w:val="21"/>
          <w:highlight w:val="none"/>
          <w:lang w:val="ru-RU" w:eastAsia="ru-RU"/>
          <w14:textFill>
            <w14:solidFill>
              <w14:schemeClr w14:val="tx1"/>
            </w14:solidFill>
          </w14:textFill>
        </w:rPr>
        <w:t>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1</w:t>
      </w:r>
      <w:r>
        <w:rPr>
          <w:rFonts w:hint="eastAsia" w:ascii="宋体" w:hAnsi="宋体" w:cs="宋体"/>
          <w:color w:val="000000" w:themeColor="text1"/>
          <w:kern w:val="0"/>
          <w:szCs w:val="21"/>
          <w:highlight w:val="none"/>
          <w:lang w:val="ru-RU" w:eastAsia="ru-RU"/>
          <w14:textFill>
            <w14:solidFill>
              <w14:schemeClr w14:val="tx1"/>
            </w14:solidFill>
          </w14:textFill>
        </w:rPr>
        <w:t>、F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2</w:t>
      </w:r>
      <w:r>
        <w:rPr>
          <w:rFonts w:hint="eastAsia" w:ascii="宋体" w:hAnsi="宋体" w:cs="宋体"/>
          <w:color w:val="000000" w:themeColor="text1"/>
          <w:kern w:val="0"/>
          <w:szCs w:val="21"/>
          <w:highlight w:val="none"/>
          <w:lang w:val="ru-RU" w:eastAsia="ru-RU"/>
          <w14:textFill>
            <w14:solidFill>
              <w14:schemeClr w14:val="tx1"/>
            </w14:solidFill>
          </w14:textFill>
        </w:rPr>
        <w:t>……F</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n</w:t>
      </w:r>
      <w:r>
        <w:rPr>
          <w:rFonts w:hint="eastAsia" w:ascii="宋体" w:hAnsi="宋体" w:cs="宋体"/>
          <w:color w:val="000000" w:themeColor="text1"/>
          <w:kern w:val="0"/>
          <w:szCs w:val="21"/>
          <w:highlight w:val="none"/>
          <w:lang w:val="ru-RU" w:eastAsia="ru-RU"/>
          <w14:textFill>
            <w14:solidFill>
              <w14:schemeClr w14:val="tx1"/>
            </w14:solidFill>
          </w14:textFill>
        </w:rPr>
        <w:t>分别为各项评审因素的得分；</w:t>
      </w:r>
    </w:p>
    <w:p>
      <w:pPr>
        <w:shd w:val="clear"/>
        <w:adjustRightInd w:val="0"/>
        <w:snapToGrid w:val="0"/>
        <w:spacing w:line="460" w:lineRule="exact"/>
        <w:ind w:firstLine="420" w:firstLineChars="200"/>
        <w:rPr>
          <w:rFonts w:ascii="宋体" w:hAnsi="宋体" w:cs="宋体"/>
          <w:color w:val="000000" w:themeColor="text1"/>
          <w:kern w:val="0"/>
          <w:szCs w:val="21"/>
          <w:highlight w:val="none"/>
          <w:lang w:val="ru-RU" w:eastAsia="ru-RU"/>
          <w14:textFill>
            <w14:solidFill>
              <w14:schemeClr w14:val="tx1"/>
            </w14:solidFill>
          </w14:textFill>
        </w:rPr>
      </w:pP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1</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2</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n</w:t>
      </w:r>
      <w:r>
        <w:rPr>
          <w:rFonts w:hint="eastAsia" w:ascii="宋体" w:hAnsi="宋体" w:cs="宋体"/>
          <w:color w:val="000000" w:themeColor="text1"/>
          <w:kern w:val="0"/>
          <w:szCs w:val="21"/>
          <w:highlight w:val="none"/>
          <w:lang w:val="ru-RU" w:eastAsia="ru-RU"/>
          <w14:textFill>
            <w14:solidFill>
              <w14:schemeClr w14:val="tx1"/>
            </w14:solidFill>
          </w14:textFill>
        </w:rPr>
        <w:t>分别为各项评审因素所占的权重（A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1</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2</w:t>
      </w:r>
      <w:r>
        <w:rPr>
          <w:rFonts w:hint="eastAsia" w:ascii="宋体" w:hAnsi="宋体" w:cs="宋体"/>
          <w:color w:val="000000" w:themeColor="text1"/>
          <w:kern w:val="0"/>
          <w:szCs w:val="21"/>
          <w:highlight w:val="none"/>
          <w:lang w:val="ru-RU" w:eastAsia="ru-RU"/>
          <w14:textFill>
            <w14:solidFill>
              <w14:schemeClr w14:val="tx1"/>
            </w14:solidFill>
          </w14:textFill>
        </w:rPr>
        <w:t>＋…＋A</w:t>
      </w:r>
      <w:r>
        <w:rPr>
          <w:rFonts w:hint="eastAsia" w:ascii="宋体" w:hAnsi="宋体" w:cs="宋体"/>
          <w:color w:val="000000" w:themeColor="text1"/>
          <w:kern w:val="0"/>
          <w:szCs w:val="21"/>
          <w:highlight w:val="none"/>
          <w:vertAlign w:val="subscript"/>
          <w:lang w:val="ru-RU" w:eastAsia="ru-RU"/>
          <w14:textFill>
            <w14:solidFill>
              <w14:schemeClr w14:val="tx1"/>
            </w14:solidFill>
          </w14:textFill>
        </w:rPr>
        <w:t>n</w:t>
      </w:r>
      <w:r>
        <w:rPr>
          <w:rFonts w:hint="eastAsia" w:ascii="宋体" w:hAnsi="宋体" w:cs="宋体"/>
          <w:color w:val="000000" w:themeColor="text1"/>
          <w:kern w:val="0"/>
          <w:szCs w:val="21"/>
          <w:highlight w:val="none"/>
          <w:lang w:val="ru-RU" w:eastAsia="ru-RU"/>
          <w14:textFill>
            <w14:solidFill>
              <w14:schemeClr w14:val="tx1"/>
            </w14:solidFill>
          </w14:textFill>
        </w:rPr>
        <w:t>＝1）。</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5.2评分分值计算保留小数点后两位，小数点后第三位“四舍五入”。</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5.3</w:t>
      </w:r>
      <w:r>
        <w:rPr>
          <w:rFonts w:hint="eastAsia" w:ascii="宋体" w:hAnsi="宋体"/>
          <w:color w:val="000000" w:themeColor="text1"/>
          <w:szCs w:val="21"/>
          <w:highlight w:val="none"/>
          <w14:textFill>
            <w14:solidFill>
              <w14:schemeClr w14:val="tx1"/>
            </w14:solidFill>
          </w14:textFill>
        </w:rPr>
        <w:t>评标时，评标委员会成员应当独立对满足招标文件全部实质性要求投标人的</w:t>
      </w:r>
      <w:r>
        <w:rPr>
          <w:rFonts w:hint="eastAsia" w:ascii="宋体" w:hAnsi="宋体"/>
          <w:bCs/>
          <w:color w:val="000000" w:themeColor="text1"/>
          <w:szCs w:val="21"/>
          <w:highlight w:val="none"/>
          <w14:textFill>
            <w14:solidFill>
              <w14:schemeClr w14:val="tx1"/>
            </w14:solidFill>
          </w14:textFill>
        </w:rPr>
        <w:t>投标文件</w:t>
      </w:r>
      <w:r>
        <w:rPr>
          <w:rFonts w:hint="eastAsia" w:ascii="宋体" w:hAnsi="宋体"/>
          <w:color w:val="000000" w:themeColor="text1"/>
          <w:szCs w:val="21"/>
          <w:highlight w:val="none"/>
          <w14:textFill>
            <w14:solidFill>
              <w14:schemeClr w14:val="tx1"/>
            </w14:solidFill>
          </w14:textFill>
        </w:rPr>
        <w:t>进行评价、评分，然后汇总每个投标人每项评分因素的得分。每个投标人的最终得分为所有评标委员会成员评分的算术平均值。</w:t>
      </w:r>
    </w:p>
    <w:p>
      <w:pPr>
        <w:shd w:val="clear"/>
        <w:adjustRightInd w:val="0"/>
        <w:snapToGrid w:val="0"/>
        <w:spacing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6. 中标候选人的推荐方法</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6.2得分且投标报价相同的并列，按本章第二节规定确定中标候选人。</w:t>
      </w:r>
    </w:p>
    <w:p>
      <w:pPr>
        <w:shd w:val="clear"/>
        <w:adjustRightInd w:val="0"/>
        <w:snapToGrid w:val="0"/>
        <w:spacing w:before="156" w:beforeLines="50" w:line="360" w:lineRule="auto"/>
        <w:ind w:firstLine="420" w:firstLineChars="200"/>
        <w:jc w:val="left"/>
        <w:rPr>
          <w:rFonts w:ascii="宋体" w:hAnsi="宋体"/>
          <w:bCs/>
          <w:color w:val="000000" w:themeColor="text1"/>
          <w:szCs w:val="21"/>
          <w:highlight w:val="none"/>
          <w14:textFill>
            <w14:solidFill>
              <w14:schemeClr w14:val="tx1"/>
            </w14:solidFill>
          </w14:textFill>
        </w:rPr>
      </w:pPr>
    </w:p>
    <w:p>
      <w:pPr>
        <w:widowControl/>
        <w:shd w:val="clear"/>
        <w:jc w:val="left"/>
        <w:rPr>
          <w:rFonts w:ascii="宋体" w:hAnsi="宋体"/>
          <w:bCs/>
          <w:color w:val="000000" w:themeColor="text1"/>
          <w:sz w:val="10"/>
          <w:szCs w:val="10"/>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br w:type="page"/>
      </w:r>
    </w:p>
    <w:p>
      <w:pPr>
        <w:shd w:val="clear"/>
        <w:adjustRightInd w:val="0"/>
        <w:snapToGrid w:val="0"/>
        <w:spacing w:before="156" w:beforeLines="50" w:line="360" w:lineRule="auto"/>
        <w:ind w:firstLine="422" w:firstLineChars="200"/>
        <w:jc w:val="left"/>
        <w:rPr>
          <w:rFonts w:ascii="黑体" w:hAnsi="黑体"/>
          <w:b/>
          <w:color w:val="000000" w:themeColor="text1"/>
          <w:highlight w:val="none"/>
          <w14:textFill>
            <w14:solidFill>
              <w14:schemeClr w14:val="tx1"/>
            </w14:solidFill>
          </w14:textFill>
        </w:rPr>
      </w:pPr>
      <w:r>
        <w:rPr>
          <w:rFonts w:hint="eastAsia" w:ascii="黑体" w:hAnsi="黑体"/>
          <w:b/>
          <w:color w:val="000000" w:themeColor="text1"/>
          <w:highlight w:val="none"/>
          <w14:textFill>
            <w14:solidFill>
              <w14:schemeClr w14:val="tx1"/>
            </w14:solidFill>
          </w14:textFill>
        </w:rPr>
        <w:t>附页1 评标方法及标准</w:t>
      </w:r>
    </w:p>
    <w:p>
      <w:pPr>
        <w:shd w:val="clear"/>
        <w:adjustRightInd w:val="0"/>
        <w:snapToGrid w:val="0"/>
        <w:spacing w:before="156" w:beforeLines="50"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评标方法及标准</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453"/>
        <w:gridCol w:w="517"/>
        <w:gridCol w:w="8"/>
        <w:gridCol w:w="2324"/>
        <w:gridCol w:w="448"/>
        <w:gridCol w:w="3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166" w:type="pct"/>
            <w:gridSpan w:val="2"/>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评分项目</w:t>
            </w:r>
          </w:p>
        </w:tc>
        <w:tc>
          <w:tcPr>
            <w:tcW w:w="1775" w:type="pct"/>
            <w:gridSpan w:val="4"/>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基准分</w:t>
            </w:r>
          </w:p>
        </w:tc>
        <w:tc>
          <w:tcPr>
            <w:tcW w:w="2058"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 xml:space="preserve">评分标准细则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trPr>
        <w:tc>
          <w:tcPr>
            <w:tcW w:w="383" w:type="pct"/>
            <w:vMerge w:val="restart"/>
            <w:vAlign w:val="center"/>
          </w:tcPr>
          <w:p>
            <w:pPr>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商务部分</w:t>
            </w:r>
          </w:p>
        </w:tc>
        <w:tc>
          <w:tcPr>
            <w:tcW w:w="782" w:type="pct"/>
            <w:shd w:val="clear" w:color="auto" w:fill="auto"/>
            <w:vAlign w:val="center"/>
          </w:tcPr>
          <w:p>
            <w:pPr>
              <w:widowControl/>
              <w:jc w:val="left"/>
              <w:rPr>
                <w:rFonts w:ascii="华文楷体" w:hAnsi="华文楷体" w:eastAsia="华文楷体" w:cs="宋体"/>
                <w:color w:val="0000FF"/>
                <w:kern w:val="0"/>
                <w:szCs w:val="21"/>
              </w:rPr>
            </w:pPr>
            <w:r>
              <w:rPr>
                <w:rFonts w:hint="eastAsia" w:ascii="华文楷体" w:hAnsi="华文楷体" w:eastAsia="华文楷体" w:cs="宋体"/>
                <w:color w:val="0000FF"/>
                <w:kern w:val="0"/>
                <w:sz w:val="20"/>
                <w:szCs w:val="20"/>
              </w:rPr>
              <w:t>企业综合实力</w:t>
            </w:r>
          </w:p>
        </w:tc>
        <w:tc>
          <w:tcPr>
            <w:tcW w:w="282" w:type="pct"/>
            <w:gridSpan w:val="2"/>
            <w:vMerge w:val="restart"/>
            <w:shd w:val="clear" w:color="auto" w:fill="auto"/>
            <w:vAlign w:val="center"/>
          </w:tcPr>
          <w:p>
            <w:pPr>
              <w:widowControl/>
              <w:jc w:val="center"/>
              <w:rPr>
                <w:rFonts w:hint="default"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lang w:val="en-US" w:eastAsia="zh-CN"/>
              </w:rPr>
              <w:t>26</w:t>
            </w:r>
          </w:p>
        </w:tc>
        <w:tc>
          <w:tcPr>
            <w:tcW w:w="1492" w:type="pct"/>
            <w:gridSpan w:val="2"/>
            <w:shd w:val="clear" w:color="auto" w:fill="auto"/>
            <w:vAlign w:val="center"/>
          </w:tcPr>
          <w:p>
            <w:pPr>
              <w:widowControl/>
              <w:jc w:val="center"/>
              <w:rPr>
                <w:rFonts w:hint="eastAsia" w:ascii="华文楷体" w:hAnsi="华文楷体" w:eastAsia="华文楷体" w:cs="宋体"/>
                <w:color w:val="0000FF"/>
                <w:kern w:val="0"/>
                <w:szCs w:val="21"/>
              </w:rPr>
            </w:pPr>
            <w:r>
              <w:rPr>
                <w:rFonts w:hint="eastAsia" w:ascii="华文楷体" w:hAnsi="华文楷体" w:eastAsia="华文楷体" w:cs="宋体"/>
                <w:color w:val="0000FF"/>
                <w:kern w:val="0"/>
                <w:szCs w:val="21"/>
              </w:rPr>
              <w:t>5</w:t>
            </w:r>
          </w:p>
        </w:tc>
        <w:tc>
          <w:tcPr>
            <w:tcW w:w="2058" w:type="pct"/>
            <w:shd w:val="clear" w:color="auto" w:fill="auto"/>
            <w:vAlign w:val="center"/>
          </w:tcPr>
          <w:p>
            <w:pPr>
              <w:widowControl/>
              <w:spacing w:line="280" w:lineRule="exact"/>
              <w:rPr>
                <w:rFonts w:hint="eastAsia" w:ascii="华文楷体" w:hAnsi="华文楷体" w:eastAsia="华文楷体" w:cs="宋体"/>
                <w:color w:val="0000FF"/>
                <w:kern w:val="0"/>
                <w:szCs w:val="21"/>
                <w:lang w:eastAsia="zh-CN"/>
              </w:rPr>
            </w:pPr>
            <w:r>
              <w:rPr>
                <w:rFonts w:hint="eastAsia" w:ascii="华文楷体" w:hAnsi="华文楷体" w:eastAsia="华文楷体" w:cs="宋体"/>
                <w:color w:val="0000FF"/>
                <w:kern w:val="0"/>
                <w:szCs w:val="21"/>
              </w:rPr>
              <w:t>制造厂家获得省部级技术认证者得5分，获得市级技术认证者得3分，无相关荣誉</w:t>
            </w:r>
            <w:r>
              <w:rPr>
                <w:rFonts w:hint="eastAsia" w:ascii="华文楷体" w:hAnsi="华文楷体" w:eastAsia="华文楷体" w:cs="宋体"/>
                <w:color w:val="0000FF"/>
                <w:kern w:val="0"/>
                <w:szCs w:val="21"/>
                <w:lang w:eastAsia="zh-CN"/>
              </w:rPr>
              <w:t>不得</w:t>
            </w:r>
            <w:r>
              <w:rPr>
                <w:rFonts w:hint="eastAsia" w:ascii="华文楷体" w:hAnsi="华文楷体" w:eastAsia="华文楷体" w:cs="宋体"/>
                <w:color w:val="0000FF"/>
                <w:kern w:val="0"/>
                <w:szCs w:val="21"/>
              </w:rPr>
              <w:t>分。</w:t>
            </w:r>
            <w:r>
              <w:rPr>
                <w:rFonts w:hint="eastAsia" w:ascii="华文楷体" w:hAnsi="华文楷体" w:eastAsia="华文楷体" w:cs="宋体"/>
                <w:color w:val="0000FF"/>
                <w:kern w:val="0"/>
                <w:szCs w:val="21"/>
                <w:lang w:eastAsia="zh-CN"/>
              </w:rPr>
              <w:t>（提供相关资料扫描件）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exact"/>
        </w:trPr>
        <w:tc>
          <w:tcPr>
            <w:tcW w:w="383" w:type="pct"/>
            <w:vMerge w:val="continue"/>
            <w:vAlign w:val="center"/>
          </w:tcPr>
          <w:p>
            <w:pPr>
              <w:jc w:val="center"/>
              <w:rPr>
                <w:rFonts w:ascii="华文楷体" w:hAnsi="华文楷体" w:eastAsia="华文楷体" w:cs="宋体"/>
                <w:kern w:val="0"/>
                <w:szCs w:val="21"/>
              </w:rPr>
            </w:pPr>
          </w:p>
        </w:tc>
        <w:tc>
          <w:tcPr>
            <w:tcW w:w="782" w:type="pct"/>
            <w:shd w:val="clear" w:color="auto" w:fill="auto"/>
            <w:vAlign w:val="center"/>
          </w:tcPr>
          <w:p>
            <w:pPr>
              <w:widowControl/>
              <w:jc w:val="center"/>
              <w:rPr>
                <w:rFonts w:ascii="华文楷体" w:hAnsi="华文楷体" w:eastAsia="华文楷体" w:cs="宋体"/>
                <w:color w:val="0000FF"/>
                <w:kern w:val="0"/>
                <w:szCs w:val="21"/>
              </w:rPr>
            </w:pPr>
            <w:r>
              <w:rPr>
                <w:rFonts w:hint="eastAsia" w:ascii="华文楷体" w:hAnsi="华文楷体" w:eastAsia="华文楷体" w:cs="宋体"/>
                <w:color w:val="0000FF"/>
                <w:kern w:val="0"/>
                <w:sz w:val="20"/>
                <w:szCs w:val="20"/>
                <w:lang w:eastAsia="zh-CN"/>
              </w:rPr>
              <w:t>公司</w:t>
            </w:r>
            <w:r>
              <w:rPr>
                <w:rFonts w:hint="eastAsia" w:ascii="华文楷体" w:hAnsi="华文楷体" w:eastAsia="华文楷体" w:cs="宋体"/>
                <w:color w:val="0000FF"/>
                <w:kern w:val="0"/>
                <w:sz w:val="20"/>
                <w:szCs w:val="20"/>
              </w:rPr>
              <w:t>业绩</w:t>
            </w:r>
          </w:p>
        </w:tc>
        <w:tc>
          <w:tcPr>
            <w:tcW w:w="282" w:type="pct"/>
            <w:gridSpan w:val="2"/>
            <w:vMerge w:val="continue"/>
            <w:shd w:val="clear" w:color="auto" w:fill="auto"/>
            <w:vAlign w:val="center"/>
          </w:tcPr>
          <w:p>
            <w:pPr>
              <w:widowControl/>
              <w:jc w:val="center"/>
              <w:rPr>
                <w:rFonts w:hint="eastAsia" w:ascii="华文楷体" w:hAnsi="华文楷体" w:eastAsia="华文楷体" w:cs="宋体"/>
                <w:color w:val="0000FF"/>
                <w:kern w:val="0"/>
                <w:szCs w:val="21"/>
                <w:lang w:eastAsia="zh-CN"/>
              </w:rPr>
            </w:pPr>
          </w:p>
        </w:tc>
        <w:tc>
          <w:tcPr>
            <w:tcW w:w="1492" w:type="pct"/>
            <w:gridSpan w:val="2"/>
            <w:shd w:val="clear" w:color="auto" w:fill="auto"/>
            <w:vAlign w:val="center"/>
          </w:tcPr>
          <w:p>
            <w:pPr>
              <w:widowControl/>
              <w:jc w:val="center"/>
              <w:rPr>
                <w:rFonts w:hint="eastAsia"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lang w:val="en-US" w:eastAsia="zh-CN"/>
              </w:rPr>
              <w:t>8</w:t>
            </w:r>
          </w:p>
        </w:tc>
        <w:tc>
          <w:tcPr>
            <w:tcW w:w="2058" w:type="pct"/>
            <w:shd w:val="clear" w:color="auto" w:fill="auto"/>
            <w:vAlign w:val="center"/>
          </w:tcPr>
          <w:p>
            <w:pPr>
              <w:widowControl/>
              <w:spacing w:line="280" w:lineRule="exact"/>
              <w:jc w:val="left"/>
              <w:rPr>
                <w:rFonts w:hint="eastAsia" w:ascii="华文楷体" w:hAnsi="华文楷体" w:eastAsia="华文楷体" w:cs="宋体"/>
                <w:color w:val="0000FF"/>
                <w:kern w:val="0"/>
                <w:szCs w:val="21"/>
                <w:lang w:eastAsia="zh-CN"/>
              </w:rPr>
            </w:pPr>
            <w:r>
              <w:rPr>
                <w:rFonts w:hint="eastAsia" w:ascii="华文楷体" w:hAnsi="华文楷体" w:eastAsia="华文楷体" w:cs="宋体"/>
                <w:color w:val="0000FF"/>
                <w:kern w:val="0"/>
                <w:szCs w:val="21"/>
              </w:rPr>
              <w:t>市场销售同类产品且投产使用10套及以上得</w:t>
            </w:r>
            <w:r>
              <w:rPr>
                <w:rFonts w:hint="eastAsia" w:ascii="华文楷体" w:hAnsi="华文楷体" w:eastAsia="华文楷体" w:cs="宋体"/>
                <w:color w:val="0000FF"/>
                <w:kern w:val="0"/>
                <w:szCs w:val="21"/>
                <w:lang w:val="en-US" w:eastAsia="zh-CN"/>
              </w:rPr>
              <w:t>8</w:t>
            </w:r>
            <w:r>
              <w:rPr>
                <w:rFonts w:hint="eastAsia" w:ascii="华文楷体" w:hAnsi="华文楷体" w:eastAsia="华文楷体" w:cs="宋体"/>
                <w:color w:val="0000FF"/>
                <w:kern w:val="0"/>
                <w:szCs w:val="21"/>
              </w:rPr>
              <w:t>分， 8套得</w:t>
            </w:r>
            <w:r>
              <w:rPr>
                <w:rFonts w:hint="eastAsia" w:ascii="华文楷体" w:hAnsi="华文楷体" w:eastAsia="华文楷体" w:cs="宋体"/>
                <w:color w:val="0000FF"/>
                <w:kern w:val="0"/>
                <w:szCs w:val="21"/>
                <w:lang w:val="en-US" w:eastAsia="zh-CN"/>
              </w:rPr>
              <w:t>5</w:t>
            </w:r>
            <w:r>
              <w:rPr>
                <w:rFonts w:hint="eastAsia" w:ascii="华文楷体" w:hAnsi="华文楷体" w:eastAsia="华文楷体" w:cs="宋体"/>
                <w:color w:val="0000FF"/>
                <w:kern w:val="0"/>
                <w:szCs w:val="21"/>
              </w:rPr>
              <w:t>分，5套得</w:t>
            </w:r>
            <w:r>
              <w:rPr>
                <w:rFonts w:hint="eastAsia" w:ascii="华文楷体" w:hAnsi="华文楷体" w:eastAsia="华文楷体" w:cs="宋体"/>
                <w:color w:val="0000FF"/>
                <w:kern w:val="0"/>
                <w:szCs w:val="21"/>
                <w:lang w:val="en-US" w:eastAsia="zh-CN"/>
              </w:rPr>
              <w:t>3</w:t>
            </w:r>
            <w:r>
              <w:rPr>
                <w:rFonts w:hint="eastAsia" w:ascii="华文楷体" w:hAnsi="华文楷体" w:eastAsia="华文楷体" w:cs="宋体"/>
                <w:color w:val="0000FF"/>
                <w:kern w:val="0"/>
                <w:szCs w:val="21"/>
              </w:rPr>
              <w:t>分</w:t>
            </w:r>
            <w:r>
              <w:rPr>
                <w:rFonts w:hint="eastAsia" w:ascii="华文楷体" w:hAnsi="华文楷体" w:eastAsia="华文楷体" w:cs="宋体"/>
                <w:color w:val="0000FF"/>
                <w:kern w:val="0"/>
                <w:szCs w:val="21"/>
                <w:lang w:eastAsia="zh-CN"/>
              </w:rPr>
              <w:t>。（提供业绩合同扫描件）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383" w:type="pct"/>
            <w:vMerge w:val="continue"/>
            <w:vAlign w:val="center"/>
          </w:tcPr>
          <w:p>
            <w:pPr>
              <w:jc w:val="center"/>
              <w:rPr>
                <w:rFonts w:ascii="华文楷体" w:hAnsi="华文楷体" w:eastAsia="华文楷体" w:cs="宋体"/>
                <w:kern w:val="0"/>
                <w:szCs w:val="21"/>
              </w:rPr>
            </w:pPr>
          </w:p>
        </w:tc>
        <w:tc>
          <w:tcPr>
            <w:tcW w:w="782" w:type="pct"/>
            <w:shd w:val="clear" w:color="auto" w:fill="auto"/>
            <w:vAlign w:val="center"/>
          </w:tcPr>
          <w:p>
            <w:pPr>
              <w:widowControl/>
              <w:jc w:val="center"/>
              <w:rPr>
                <w:rFonts w:ascii="华文楷体" w:hAnsi="华文楷体" w:eastAsia="华文楷体" w:cs="宋体"/>
                <w:color w:val="0000FF"/>
                <w:kern w:val="0"/>
                <w:szCs w:val="21"/>
              </w:rPr>
            </w:pPr>
            <w:r>
              <w:rPr>
                <w:rFonts w:hint="eastAsia" w:ascii="华文楷体" w:hAnsi="华文楷体" w:eastAsia="华文楷体" w:cs="宋体"/>
                <w:color w:val="0000FF"/>
                <w:kern w:val="0"/>
                <w:szCs w:val="21"/>
              </w:rPr>
              <w:t>供货范围</w:t>
            </w:r>
          </w:p>
        </w:tc>
        <w:tc>
          <w:tcPr>
            <w:tcW w:w="282" w:type="pct"/>
            <w:gridSpan w:val="2"/>
            <w:vMerge w:val="continue"/>
            <w:shd w:val="clear" w:color="auto" w:fill="auto"/>
            <w:vAlign w:val="center"/>
          </w:tcPr>
          <w:p>
            <w:pPr>
              <w:widowControl/>
              <w:jc w:val="center"/>
              <w:rPr>
                <w:rFonts w:ascii="华文楷体" w:hAnsi="华文楷体" w:eastAsia="华文楷体" w:cs="宋体"/>
                <w:color w:val="0000FF"/>
                <w:kern w:val="0"/>
                <w:szCs w:val="21"/>
              </w:rPr>
            </w:pPr>
          </w:p>
        </w:tc>
        <w:tc>
          <w:tcPr>
            <w:tcW w:w="1492" w:type="pct"/>
            <w:gridSpan w:val="2"/>
            <w:shd w:val="clear" w:color="auto" w:fill="auto"/>
            <w:vAlign w:val="center"/>
          </w:tcPr>
          <w:p>
            <w:pPr>
              <w:widowControl/>
              <w:jc w:val="center"/>
              <w:rPr>
                <w:rFonts w:hint="eastAsia" w:ascii="华文楷体" w:hAnsi="华文楷体" w:eastAsia="华文楷体" w:cs="宋体"/>
                <w:color w:val="0000FF"/>
                <w:kern w:val="0"/>
                <w:szCs w:val="21"/>
              </w:rPr>
            </w:pPr>
            <w:r>
              <w:rPr>
                <w:rFonts w:hint="eastAsia" w:ascii="华文楷体" w:hAnsi="华文楷体" w:eastAsia="华文楷体" w:cs="宋体"/>
                <w:color w:val="0000FF"/>
                <w:kern w:val="0"/>
                <w:szCs w:val="21"/>
              </w:rPr>
              <w:t>5</w:t>
            </w:r>
          </w:p>
        </w:tc>
        <w:tc>
          <w:tcPr>
            <w:tcW w:w="2058" w:type="pct"/>
            <w:shd w:val="clear" w:color="auto" w:fill="auto"/>
            <w:vAlign w:val="center"/>
          </w:tcPr>
          <w:p>
            <w:pPr>
              <w:widowControl/>
              <w:spacing w:line="280" w:lineRule="exact"/>
              <w:jc w:val="left"/>
              <w:rPr>
                <w:rFonts w:ascii="华文楷体" w:hAnsi="华文楷体" w:eastAsia="华文楷体" w:cs="宋体"/>
                <w:color w:val="0000FF"/>
                <w:kern w:val="0"/>
                <w:szCs w:val="21"/>
              </w:rPr>
            </w:pPr>
            <w:r>
              <w:rPr>
                <w:rFonts w:hint="eastAsia" w:ascii="华文楷体" w:hAnsi="华文楷体" w:eastAsia="华文楷体" w:cs="宋体"/>
                <w:color w:val="0000FF"/>
                <w:kern w:val="0"/>
                <w:szCs w:val="21"/>
              </w:rPr>
              <w:t>满足招标文件要求得5分，每少一项扣1分，扣完为止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exact"/>
        </w:trPr>
        <w:tc>
          <w:tcPr>
            <w:tcW w:w="383" w:type="pct"/>
            <w:vMerge w:val="continue"/>
            <w:vAlign w:val="center"/>
          </w:tcPr>
          <w:p>
            <w:pPr>
              <w:jc w:val="center"/>
              <w:rPr>
                <w:rFonts w:ascii="华文楷体" w:hAnsi="华文楷体" w:eastAsia="华文楷体" w:cs="宋体"/>
                <w:kern w:val="0"/>
                <w:szCs w:val="21"/>
              </w:rPr>
            </w:pPr>
          </w:p>
        </w:tc>
        <w:tc>
          <w:tcPr>
            <w:tcW w:w="782" w:type="pct"/>
            <w:vMerge w:val="restart"/>
            <w:shd w:val="clear" w:color="auto" w:fill="auto"/>
            <w:vAlign w:val="center"/>
          </w:tcPr>
          <w:p>
            <w:pPr>
              <w:widowControl/>
              <w:jc w:val="left"/>
              <w:rPr>
                <w:rFonts w:ascii="华文楷体" w:hAnsi="华文楷体" w:eastAsia="华文楷体" w:cs="宋体"/>
                <w:color w:val="0000FF"/>
                <w:kern w:val="0"/>
                <w:szCs w:val="21"/>
              </w:rPr>
            </w:pPr>
            <w:r>
              <w:rPr>
                <w:rFonts w:hint="eastAsia" w:ascii="华文楷体" w:hAnsi="华文楷体" w:eastAsia="华文楷体" w:cs="宋体"/>
                <w:color w:val="0000FF"/>
                <w:kern w:val="0"/>
                <w:szCs w:val="21"/>
              </w:rPr>
              <w:t>E.售后服务及质保</w:t>
            </w:r>
          </w:p>
        </w:tc>
        <w:tc>
          <w:tcPr>
            <w:tcW w:w="282" w:type="pct"/>
            <w:gridSpan w:val="2"/>
            <w:vMerge w:val="continue"/>
            <w:shd w:val="clear" w:color="auto" w:fill="auto"/>
            <w:vAlign w:val="center"/>
          </w:tcPr>
          <w:p>
            <w:pPr>
              <w:widowControl/>
              <w:jc w:val="center"/>
              <w:rPr>
                <w:rFonts w:hint="default" w:ascii="华文楷体" w:hAnsi="华文楷体" w:eastAsia="华文楷体" w:cs="宋体"/>
                <w:color w:val="0000FF"/>
                <w:kern w:val="0"/>
                <w:szCs w:val="21"/>
                <w:lang w:val="en-US" w:eastAsia="zh-CN"/>
              </w:rPr>
            </w:pPr>
          </w:p>
        </w:tc>
        <w:tc>
          <w:tcPr>
            <w:tcW w:w="1251" w:type="pct"/>
            <w:shd w:val="clear" w:color="auto" w:fill="auto"/>
            <w:vAlign w:val="center"/>
          </w:tcPr>
          <w:p>
            <w:pPr>
              <w:widowControl/>
              <w:jc w:val="center"/>
              <w:rPr>
                <w:rFonts w:ascii="华文楷体" w:hAnsi="华文楷体" w:eastAsia="华文楷体" w:cs="宋体"/>
                <w:color w:val="0000FF"/>
                <w:kern w:val="0"/>
                <w:szCs w:val="21"/>
              </w:rPr>
            </w:pPr>
            <w:r>
              <w:rPr>
                <w:rFonts w:hint="eastAsia" w:ascii="华文楷体" w:hAnsi="华文楷体" w:eastAsia="华文楷体" w:cs="宋体"/>
                <w:color w:val="0000FF"/>
                <w:kern w:val="0"/>
                <w:szCs w:val="21"/>
              </w:rPr>
              <w:t>服务响应</w:t>
            </w:r>
          </w:p>
        </w:tc>
        <w:tc>
          <w:tcPr>
            <w:tcW w:w="241" w:type="pct"/>
            <w:shd w:val="clear" w:color="auto" w:fill="auto"/>
            <w:vAlign w:val="center"/>
          </w:tcPr>
          <w:p>
            <w:pPr>
              <w:widowControl/>
              <w:jc w:val="center"/>
              <w:rPr>
                <w:rFonts w:hint="default"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lang w:val="en-US" w:eastAsia="zh-CN"/>
              </w:rPr>
              <w:t>4</w:t>
            </w:r>
          </w:p>
        </w:tc>
        <w:tc>
          <w:tcPr>
            <w:tcW w:w="2058" w:type="pct"/>
            <w:shd w:val="clear" w:color="auto" w:fill="auto"/>
            <w:vAlign w:val="center"/>
          </w:tcPr>
          <w:p>
            <w:pPr>
              <w:widowControl/>
              <w:spacing w:line="280" w:lineRule="exact"/>
              <w:jc w:val="left"/>
              <w:rPr>
                <w:rFonts w:hint="default"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rPr>
              <w:t>有信用认证或服务认证省部级以上荣誉者得</w:t>
            </w:r>
            <w:r>
              <w:rPr>
                <w:rFonts w:hint="eastAsia" w:ascii="华文楷体" w:hAnsi="华文楷体" w:eastAsia="华文楷体" w:cs="宋体"/>
                <w:color w:val="0000FF"/>
                <w:kern w:val="0"/>
                <w:szCs w:val="21"/>
                <w:lang w:val="en-US" w:eastAsia="zh-CN"/>
              </w:rPr>
              <w:t>3</w:t>
            </w:r>
            <w:r>
              <w:rPr>
                <w:rFonts w:hint="eastAsia" w:ascii="华文楷体" w:hAnsi="华文楷体" w:eastAsia="华文楷体" w:cs="宋体"/>
                <w:color w:val="0000FF"/>
                <w:kern w:val="0"/>
                <w:szCs w:val="21"/>
              </w:rPr>
              <w:t>分，</w:t>
            </w:r>
            <w:r>
              <w:rPr>
                <w:rFonts w:hint="eastAsia" w:ascii="华文楷体" w:hAnsi="华文楷体" w:eastAsia="华文楷体" w:cs="宋体"/>
                <w:color w:val="0000FF"/>
                <w:kern w:val="0"/>
                <w:szCs w:val="21"/>
                <w:lang w:val="en-US" w:eastAsia="zh-CN"/>
              </w:rPr>
              <w:t>市级以上得1分，没有不得分。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trPr>
        <w:tc>
          <w:tcPr>
            <w:tcW w:w="383" w:type="pct"/>
            <w:vMerge w:val="continue"/>
            <w:vAlign w:val="center"/>
          </w:tcPr>
          <w:p>
            <w:pPr>
              <w:jc w:val="center"/>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color w:val="0000FF"/>
                <w:kern w:val="0"/>
                <w:szCs w:val="21"/>
              </w:rPr>
            </w:pPr>
          </w:p>
        </w:tc>
        <w:tc>
          <w:tcPr>
            <w:tcW w:w="282" w:type="pct"/>
            <w:gridSpan w:val="2"/>
            <w:vMerge w:val="continue"/>
            <w:vAlign w:val="center"/>
          </w:tcPr>
          <w:p>
            <w:pPr>
              <w:widowControl/>
              <w:jc w:val="left"/>
              <w:rPr>
                <w:rFonts w:ascii="华文楷体" w:hAnsi="华文楷体" w:eastAsia="华文楷体" w:cs="宋体"/>
                <w:color w:val="0000FF"/>
                <w:kern w:val="0"/>
                <w:szCs w:val="21"/>
              </w:rPr>
            </w:pPr>
          </w:p>
        </w:tc>
        <w:tc>
          <w:tcPr>
            <w:tcW w:w="1251" w:type="pct"/>
            <w:shd w:val="clear" w:color="auto" w:fill="auto"/>
            <w:vAlign w:val="center"/>
          </w:tcPr>
          <w:p>
            <w:pPr>
              <w:widowControl/>
              <w:jc w:val="center"/>
              <w:rPr>
                <w:rFonts w:ascii="华文楷体" w:hAnsi="华文楷体" w:eastAsia="华文楷体" w:cs="宋体"/>
                <w:color w:val="0000FF"/>
                <w:kern w:val="0"/>
                <w:szCs w:val="21"/>
              </w:rPr>
            </w:pPr>
            <w:r>
              <w:rPr>
                <w:rFonts w:hint="eastAsia" w:ascii="华文楷体" w:hAnsi="华文楷体" w:eastAsia="华文楷体" w:cs="宋体"/>
                <w:color w:val="0000FF"/>
                <w:kern w:val="0"/>
                <w:szCs w:val="21"/>
              </w:rPr>
              <w:t>质量保证</w:t>
            </w:r>
          </w:p>
        </w:tc>
        <w:tc>
          <w:tcPr>
            <w:tcW w:w="241" w:type="pct"/>
            <w:shd w:val="clear" w:color="auto" w:fill="auto"/>
            <w:vAlign w:val="center"/>
          </w:tcPr>
          <w:p>
            <w:pPr>
              <w:widowControl/>
              <w:jc w:val="center"/>
              <w:rPr>
                <w:rFonts w:hint="default"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lang w:val="en-US" w:eastAsia="zh-CN"/>
              </w:rPr>
              <w:t>4</w:t>
            </w:r>
          </w:p>
        </w:tc>
        <w:tc>
          <w:tcPr>
            <w:tcW w:w="2058" w:type="pct"/>
            <w:shd w:val="clear" w:color="auto" w:fill="auto"/>
            <w:vAlign w:val="center"/>
          </w:tcPr>
          <w:p>
            <w:pPr>
              <w:widowControl/>
              <w:spacing w:line="280" w:lineRule="exact"/>
              <w:jc w:val="left"/>
              <w:rPr>
                <w:rFonts w:hint="eastAsia" w:ascii="华文楷体" w:hAnsi="华文楷体" w:eastAsia="华文楷体" w:cs="宋体"/>
                <w:color w:val="0000FF"/>
                <w:kern w:val="0"/>
                <w:szCs w:val="21"/>
                <w:lang w:val="en-US" w:eastAsia="zh-CN"/>
              </w:rPr>
            </w:pPr>
            <w:r>
              <w:rPr>
                <w:rFonts w:hint="eastAsia" w:ascii="华文楷体" w:hAnsi="华文楷体" w:eastAsia="华文楷体" w:cs="宋体"/>
                <w:color w:val="0000FF"/>
                <w:kern w:val="0"/>
                <w:szCs w:val="21"/>
              </w:rPr>
              <w:t>有省部级以上质量荣誉认证得</w:t>
            </w:r>
            <w:r>
              <w:rPr>
                <w:rFonts w:hint="eastAsia" w:ascii="华文楷体" w:hAnsi="华文楷体" w:eastAsia="华文楷体" w:cs="宋体"/>
                <w:color w:val="0000FF"/>
                <w:kern w:val="0"/>
                <w:szCs w:val="21"/>
                <w:lang w:val="en-US" w:eastAsia="zh-CN"/>
              </w:rPr>
              <w:t>3</w:t>
            </w:r>
            <w:r>
              <w:rPr>
                <w:rFonts w:hint="eastAsia" w:ascii="华文楷体" w:hAnsi="华文楷体" w:eastAsia="华文楷体" w:cs="宋体"/>
                <w:color w:val="0000FF"/>
                <w:kern w:val="0"/>
                <w:szCs w:val="21"/>
              </w:rPr>
              <w:t>分，</w:t>
            </w:r>
            <w:r>
              <w:rPr>
                <w:rFonts w:hint="eastAsia" w:ascii="华文楷体" w:hAnsi="华文楷体" w:eastAsia="华文楷体" w:cs="宋体"/>
                <w:color w:val="0000FF"/>
                <w:kern w:val="0"/>
                <w:szCs w:val="21"/>
                <w:lang w:val="en-US" w:eastAsia="zh-CN"/>
              </w:rPr>
              <w:t>市级以上得1分，没有不得分</w:t>
            </w:r>
            <w:r>
              <w:rPr>
                <w:rFonts w:hint="eastAsia" w:ascii="华文楷体" w:hAnsi="华文楷体" w:eastAsia="华文楷体" w:cs="宋体"/>
                <w:color w:val="0000FF"/>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exact"/>
        </w:trPr>
        <w:tc>
          <w:tcPr>
            <w:tcW w:w="383" w:type="pct"/>
            <w:vMerge w:val="restar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技术部分</w:t>
            </w:r>
          </w:p>
        </w:tc>
        <w:tc>
          <w:tcPr>
            <w:tcW w:w="782" w:type="pct"/>
            <w:vMerge w:val="restart"/>
            <w:shd w:val="clear" w:color="auto" w:fill="auto"/>
            <w:vAlign w:val="center"/>
          </w:tcPr>
          <w:p>
            <w:pPr>
              <w:widowControl/>
              <w:jc w:val="left"/>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技术要求</w:t>
            </w:r>
          </w:p>
        </w:tc>
        <w:tc>
          <w:tcPr>
            <w:tcW w:w="282" w:type="pct"/>
            <w:gridSpan w:val="2"/>
            <w:vMerge w:val="restar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44</w:t>
            </w: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单条机制砂线生产能力（粒径≤3mm）</w:t>
            </w:r>
          </w:p>
        </w:tc>
        <w:tc>
          <w:tcPr>
            <w:tcW w:w="241" w:type="pct"/>
            <w:shd w:val="clear" w:color="auto" w:fill="auto"/>
            <w:vAlign w:val="center"/>
          </w:tcPr>
          <w:p>
            <w:pPr>
              <w:widowControl/>
              <w:jc w:val="center"/>
              <w:rPr>
                <w:rFonts w:hint="eastAsia" w:ascii="华文楷体" w:hAnsi="华文楷体" w:eastAsia="华文楷体" w:cs="宋体"/>
                <w:kern w:val="0"/>
                <w:szCs w:val="21"/>
                <w:lang w:eastAsia="zh-CN"/>
              </w:rPr>
            </w:pPr>
            <w:r>
              <w:rPr>
                <w:rFonts w:hint="eastAsia" w:ascii="华文楷体" w:hAnsi="华文楷体" w:eastAsia="华文楷体" w:cs="宋体"/>
                <w:kern w:val="0"/>
                <w:szCs w:val="21"/>
                <w:lang w:val="en-US" w:eastAsia="zh-CN"/>
              </w:rPr>
              <w:t>4</w:t>
            </w:r>
          </w:p>
        </w:tc>
        <w:tc>
          <w:tcPr>
            <w:tcW w:w="2058" w:type="pct"/>
            <w:shd w:val="clear" w:color="auto" w:fill="auto"/>
            <w:vAlign w:val="center"/>
          </w:tcPr>
          <w:p>
            <w:pPr>
              <w:widowControl/>
              <w:spacing w:line="280" w:lineRule="exact"/>
              <w:jc w:val="left"/>
              <w:rPr>
                <w:rFonts w:hint="eastAsia" w:ascii="华文楷体" w:hAnsi="华文楷体" w:eastAsia="华文楷体" w:cs="宋体"/>
                <w:kern w:val="0"/>
                <w:szCs w:val="21"/>
                <w:lang w:eastAsia="zh-CN"/>
              </w:rPr>
            </w:pPr>
            <w:r>
              <w:rPr>
                <w:rFonts w:hint="eastAsia" w:ascii="华文楷体" w:hAnsi="华文楷体" w:eastAsia="华文楷体" w:cs="宋体"/>
                <w:kern w:val="0"/>
                <w:szCs w:val="21"/>
              </w:rPr>
              <w:t>65t/h得</w:t>
            </w:r>
            <w:r>
              <w:rPr>
                <w:rFonts w:hint="eastAsia" w:ascii="华文楷体" w:hAnsi="华文楷体" w:eastAsia="华文楷体" w:cs="宋体"/>
                <w:kern w:val="0"/>
                <w:szCs w:val="21"/>
                <w:lang w:val="en-US" w:eastAsia="zh-CN"/>
              </w:rPr>
              <w:t>1</w:t>
            </w:r>
            <w:r>
              <w:rPr>
                <w:rFonts w:hint="eastAsia" w:ascii="华文楷体" w:hAnsi="华文楷体" w:eastAsia="华文楷体" w:cs="宋体"/>
                <w:kern w:val="0"/>
                <w:szCs w:val="21"/>
              </w:rPr>
              <w:t>分，65-75t/h得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分，75t/h以上得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w:t>
            </w:r>
            <w:r>
              <w:rPr>
                <w:rFonts w:hint="eastAsia" w:ascii="华文楷体" w:hAnsi="华文楷体" w:eastAsia="华文楷体" w:cs="宋体"/>
                <w:kern w:val="0"/>
                <w:szCs w:val="21"/>
                <w:lang w:eastAsia="zh-CN"/>
              </w:rPr>
              <w:t>，</w:t>
            </w: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rPr>
                <w:rFonts w:ascii="华文楷体" w:hAnsi="华文楷体" w:eastAsia="华文楷体" w:cs="宋体"/>
                <w:kern w:val="0"/>
                <w:szCs w:val="21"/>
              </w:rPr>
            </w:pPr>
            <w:r>
              <w:rPr>
                <w:rFonts w:hint="eastAsia" w:ascii="华文楷体" w:hAnsi="华文楷体" w:eastAsia="华文楷体" w:cs="宋体"/>
                <w:kern w:val="0"/>
                <w:szCs w:val="21"/>
              </w:rPr>
              <w:t>上料及输送系统</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1、地坑式上料</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2、变频皮带给料方式</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3、配置除铁器</w:t>
            </w:r>
          </w:p>
        </w:tc>
        <w:tc>
          <w:tcPr>
            <w:tcW w:w="241" w:type="pc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widowControl/>
              <w:spacing w:line="280" w:lineRule="exact"/>
              <w:jc w:val="left"/>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rPr>
              <w:t>满足</w:t>
            </w:r>
            <w:r>
              <w:rPr>
                <w:rFonts w:hint="eastAsia" w:ascii="华文楷体" w:hAnsi="华文楷体" w:eastAsia="华文楷体" w:cs="宋体"/>
                <w:kern w:val="0"/>
                <w:szCs w:val="21"/>
                <w:lang w:val="en-US" w:eastAsia="zh-CN"/>
              </w:rPr>
              <w:t>1</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1</w:t>
            </w:r>
            <w:r>
              <w:rPr>
                <w:rFonts w:hint="eastAsia" w:ascii="华文楷体" w:hAnsi="华文楷体" w:eastAsia="华文楷体" w:cs="宋体"/>
                <w:kern w:val="0"/>
                <w:szCs w:val="21"/>
              </w:rPr>
              <w:t>分，2条得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r>
              <w:rPr>
                <w:rFonts w:hint="eastAsia" w:ascii="华文楷体" w:hAnsi="华文楷体" w:eastAsia="华文楷体" w:cs="宋体"/>
                <w:kern w:val="0"/>
                <w:szCs w:val="21"/>
                <w:lang w:val="en-US" w:eastAsia="zh-CN"/>
              </w:rPr>
              <w:t>3</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rPr>
                <w:rFonts w:ascii="华文楷体" w:hAnsi="华文楷体" w:eastAsia="华文楷体" w:cs="宋体"/>
                <w:kern w:val="0"/>
                <w:szCs w:val="21"/>
              </w:rPr>
            </w:pPr>
            <w:r>
              <w:rPr>
                <w:rFonts w:ascii="华文楷体" w:hAnsi="华文楷体" w:eastAsia="华文楷体" w:cs="宋体"/>
                <w:kern w:val="0"/>
                <w:szCs w:val="21"/>
              </w:rPr>
              <w:t>设备布局方式：</w:t>
            </w:r>
          </w:p>
          <w:p>
            <w:pPr>
              <w:widowControl/>
              <w:numPr>
                <w:ilvl w:val="0"/>
                <w:numId w:val="3"/>
              </w:numPr>
              <w:rPr>
                <w:rFonts w:ascii="华文楷体" w:hAnsi="华文楷体" w:eastAsia="华文楷体" w:cs="宋体"/>
                <w:kern w:val="0"/>
                <w:szCs w:val="21"/>
              </w:rPr>
            </w:pPr>
            <w:r>
              <w:rPr>
                <w:rFonts w:ascii="华文楷体" w:hAnsi="华文楷体" w:eastAsia="华文楷体" w:cs="宋体"/>
                <w:kern w:val="0"/>
                <w:szCs w:val="21"/>
              </w:rPr>
              <w:t>制砂机</w:t>
            </w:r>
          </w:p>
          <w:p>
            <w:pPr>
              <w:widowControl/>
              <w:numPr>
                <w:ilvl w:val="0"/>
                <w:numId w:val="0"/>
              </w:numPr>
              <w:rPr>
                <w:rFonts w:hint="eastAsia" w:ascii="华文楷体" w:hAnsi="华文楷体" w:eastAsia="华文楷体" w:cs="宋体"/>
                <w:kern w:val="0"/>
                <w:szCs w:val="21"/>
                <w:lang w:val="en-US" w:eastAsia="zh-CN"/>
              </w:rPr>
            </w:pPr>
            <w:r>
              <w:rPr>
                <w:rFonts w:ascii="华文楷体" w:hAnsi="华文楷体" w:eastAsia="华文楷体" w:cs="宋体"/>
                <w:kern w:val="0"/>
                <w:szCs w:val="21"/>
              </w:rPr>
              <w:t>下置式</w:t>
            </w:r>
            <w:r>
              <w:rPr>
                <w:rFonts w:hint="eastAsia" w:ascii="华文楷体" w:hAnsi="华文楷体" w:eastAsia="华文楷体" w:cs="宋体"/>
                <w:kern w:val="0"/>
                <w:szCs w:val="21"/>
                <w:lang w:val="en-US" w:eastAsia="zh-CN"/>
              </w:rPr>
              <w:t>布局</w:t>
            </w:r>
          </w:p>
        </w:tc>
        <w:tc>
          <w:tcPr>
            <w:tcW w:w="241" w:type="pc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widowControl/>
              <w:spacing w:line="280" w:lineRule="exact"/>
              <w:jc w:val="center"/>
              <w:rPr>
                <w:rFonts w:ascii="华文楷体" w:hAnsi="华文楷体" w:eastAsia="华文楷体" w:cs="宋体"/>
                <w:kern w:val="0"/>
                <w:szCs w:val="21"/>
              </w:rPr>
            </w:pPr>
            <w:r>
              <w:rPr>
                <w:rFonts w:hint="eastAsia" w:ascii="华文楷体" w:hAnsi="华文楷体" w:eastAsia="华文楷体" w:cs="宋体"/>
                <w:kern w:val="0"/>
                <w:szCs w:val="21"/>
              </w:rPr>
              <w:t>满足得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制砂系统</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1、立轴式破碎方式</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2、稀油润滑方式</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3、配置振动监测系统</w:t>
            </w:r>
            <w:r>
              <w:rPr>
                <w:rFonts w:ascii="华文楷体" w:hAnsi="华文楷体" w:eastAsia="华文楷体" w:cs="宋体"/>
                <w:kern w:val="0"/>
                <w:szCs w:val="21"/>
              </w:rPr>
              <w:t xml:space="preserve"> </w:t>
            </w:r>
          </w:p>
        </w:tc>
        <w:tc>
          <w:tcPr>
            <w:tcW w:w="241" w:type="pc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widowControl/>
              <w:spacing w:line="280" w:lineRule="exact"/>
              <w:jc w:val="both"/>
              <w:rPr>
                <w:rFonts w:ascii="华文楷体" w:hAnsi="华文楷体" w:eastAsia="华文楷体" w:cs="宋体"/>
                <w:kern w:val="0"/>
                <w:szCs w:val="21"/>
              </w:rPr>
            </w:pPr>
            <w:r>
              <w:rPr>
                <w:rFonts w:hint="eastAsia" w:ascii="华文楷体" w:hAnsi="华文楷体" w:eastAsia="华文楷体" w:cs="宋体"/>
                <w:kern w:val="0"/>
                <w:szCs w:val="21"/>
              </w:rPr>
              <w:t>满足</w:t>
            </w:r>
            <w:r>
              <w:rPr>
                <w:rFonts w:hint="eastAsia" w:ascii="华文楷体" w:hAnsi="华文楷体" w:eastAsia="华文楷体" w:cs="宋体"/>
                <w:kern w:val="0"/>
                <w:szCs w:val="21"/>
                <w:lang w:val="en-US" w:eastAsia="zh-CN"/>
              </w:rPr>
              <w:t>1</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分，2条得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r>
              <w:rPr>
                <w:rFonts w:hint="eastAsia" w:ascii="华文楷体" w:hAnsi="华文楷体" w:eastAsia="华文楷体" w:cs="宋体"/>
                <w:kern w:val="0"/>
                <w:szCs w:val="21"/>
                <w:lang w:val="en-US" w:eastAsia="zh-CN"/>
              </w:rPr>
              <w:t>3</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筛分系统</w:t>
            </w:r>
          </w:p>
          <w:p>
            <w:pPr>
              <w:widowControl/>
              <w:numPr>
                <w:ilvl w:val="0"/>
                <w:numId w:val="4"/>
              </w:numPr>
              <w:rPr>
                <w:rFonts w:hint="eastAsia" w:ascii="华文楷体" w:hAnsi="华文楷体" w:eastAsia="华文楷体" w:cs="宋体"/>
                <w:kern w:val="0"/>
                <w:szCs w:val="21"/>
              </w:rPr>
            </w:pPr>
            <w:r>
              <w:rPr>
                <w:rFonts w:hint="eastAsia" w:ascii="华文楷体" w:hAnsi="华文楷体" w:eastAsia="华文楷体" w:cs="宋体"/>
                <w:kern w:val="0"/>
                <w:szCs w:val="21"/>
              </w:rPr>
              <w:t>能耗低</w:t>
            </w:r>
            <w:r>
              <w:rPr>
                <w:rFonts w:hint="eastAsia" w:ascii="华文楷体" w:hAnsi="华文楷体" w:eastAsia="华文楷体" w:cs="宋体"/>
                <w:kern w:val="0"/>
                <w:szCs w:val="21"/>
                <w:lang w:val="en-US" w:eastAsia="zh-CN"/>
              </w:rPr>
              <w:t>于</w:t>
            </w:r>
            <w:r>
              <w:rPr>
                <w:rFonts w:hint="eastAsia" w:ascii="华文楷体" w:hAnsi="华文楷体" w:eastAsia="华文楷体" w:cs="宋体"/>
                <w:kern w:val="0"/>
                <w:szCs w:val="21"/>
              </w:rPr>
              <w:t>22kW</w:t>
            </w:r>
          </w:p>
          <w:p>
            <w:pPr>
              <w:widowControl/>
              <w:numPr>
                <w:ilvl w:val="0"/>
                <w:numId w:val="4"/>
              </w:numPr>
              <w:rPr>
                <w:rFonts w:hint="eastAsia" w:ascii="华文楷体" w:hAnsi="华文楷体" w:eastAsia="华文楷体" w:cs="宋体"/>
                <w:kern w:val="0"/>
                <w:szCs w:val="21"/>
              </w:rPr>
            </w:pPr>
            <w:r>
              <w:rPr>
                <w:rFonts w:hint="eastAsia" w:ascii="华文楷体" w:hAnsi="华文楷体" w:eastAsia="华文楷体" w:cs="宋体"/>
                <w:kern w:val="0"/>
                <w:szCs w:val="21"/>
                <w:lang w:val="en-US" w:eastAsia="zh-CN"/>
              </w:rPr>
              <w:t>采用概率筛</w:t>
            </w:r>
          </w:p>
          <w:p>
            <w:pPr>
              <w:widowControl/>
              <w:rPr>
                <w:rFonts w:ascii="华文楷体" w:hAnsi="华文楷体" w:eastAsia="华文楷体" w:cs="宋体"/>
                <w:kern w:val="0"/>
                <w:szCs w:val="21"/>
              </w:rPr>
            </w:pPr>
            <w:r>
              <w:rPr>
                <w:rFonts w:hint="eastAsia" w:ascii="华文楷体" w:hAnsi="华文楷体" w:eastAsia="华文楷体" w:cs="宋体"/>
                <w:kern w:val="0"/>
                <w:szCs w:val="21"/>
                <w:lang w:val="en-US" w:eastAsia="zh-CN"/>
              </w:rPr>
              <w:t>3</w:t>
            </w:r>
            <w:r>
              <w:rPr>
                <w:rFonts w:hint="eastAsia" w:ascii="华文楷体" w:hAnsi="华文楷体" w:eastAsia="华文楷体" w:cs="宋体"/>
                <w:kern w:val="0"/>
                <w:szCs w:val="21"/>
              </w:rPr>
              <w:t>、筛网更换方便，前后端筛网张紧方式</w:t>
            </w:r>
          </w:p>
        </w:tc>
        <w:tc>
          <w:tcPr>
            <w:tcW w:w="241" w:type="pc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jc w:val="both"/>
              <w:rPr>
                <w:rFonts w:hint="default" w:eastAsia="华文楷体"/>
                <w:lang w:val="en-US" w:eastAsia="zh-CN"/>
              </w:rPr>
            </w:pPr>
            <w:r>
              <w:rPr>
                <w:rFonts w:hint="eastAsia" w:ascii="华文楷体" w:hAnsi="华文楷体" w:eastAsia="华文楷体" w:cs="宋体"/>
                <w:kern w:val="0"/>
                <w:szCs w:val="21"/>
              </w:rPr>
              <w:t>满足</w:t>
            </w:r>
            <w:r>
              <w:rPr>
                <w:rFonts w:hint="eastAsia" w:ascii="华文楷体" w:hAnsi="华文楷体" w:eastAsia="华文楷体" w:cs="宋体"/>
                <w:kern w:val="0"/>
                <w:szCs w:val="21"/>
                <w:lang w:val="en-US" w:eastAsia="zh-CN"/>
              </w:rPr>
              <w:t>1</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分，2条得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r>
              <w:rPr>
                <w:rFonts w:hint="eastAsia" w:ascii="华文楷体" w:hAnsi="华文楷体" w:eastAsia="华文楷体" w:cs="宋体"/>
                <w:kern w:val="0"/>
                <w:szCs w:val="21"/>
                <w:lang w:val="en-US" w:eastAsia="zh-CN"/>
              </w:rPr>
              <w:t>3</w:t>
            </w:r>
            <w:r>
              <w:rPr>
                <w:rFonts w:hint="eastAsia" w:ascii="华文楷体" w:hAnsi="华文楷体" w:eastAsia="华文楷体" w:cs="宋体"/>
                <w:kern w:val="0"/>
                <w:szCs w:val="21"/>
              </w:rPr>
              <w:t>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除粉系统</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1、粉仓容积≥120m³</w:t>
            </w:r>
          </w:p>
        </w:tc>
        <w:tc>
          <w:tcPr>
            <w:tcW w:w="241" w:type="pct"/>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jc w:val="center"/>
            </w:pPr>
            <w:r>
              <w:rPr>
                <w:rFonts w:hint="eastAsia" w:ascii="华文楷体" w:hAnsi="华文楷体" w:eastAsia="华文楷体" w:cs="宋体"/>
                <w:kern w:val="0"/>
                <w:szCs w:val="21"/>
              </w:rPr>
              <w:t>满足得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spacing w:line="280" w:lineRule="exact"/>
              <w:jc w:val="left"/>
              <w:rPr>
                <w:rFonts w:ascii="华文楷体" w:hAnsi="华文楷体" w:eastAsia="华文楷体" w:cs="宋体"/>
                <w:kern w:val="0"/>
                <w:szCs w:val="21"/>
              </w:rPr>
            </w:pPr>
            <w:r>
              <w:rPr>
                <w:rFonts w:hint="eastAsia" w:ascii="华文楷体" w:hAnsi="华文楷体" w:eastAsia="华文楷体" w:cs="宋体"/>
                <w:kern w:val="0"/>
                <w:szCs w:val="21"/>
              </w:rPr>
              <w:t>整体外观及设备加工质量</w:t>
            </w:r>
          </w:p>
          <w:p>
            <w:pPr>
              <w:pStyle w:val="88"/>
              <w:widowControl/>
              <w:numPr>
                <w:ilvl w:val="0"/>
                <w:numId w:val="5"/>
              </w:numPr>
              <w:spacing w:line="280" w:lineRule="exact"/>
              <w:ind w:firstLineChars="0"/>
              <w:jc w:val="left"/>
              <w:rPr>
                <w:rFonts w:ascii="华文楷体" w:hAnsi="华文楷体" w:eastAsia="华文楷体" w:cs="宋体"/>
                <w:kern w:val="0"/>
                <w:szCs w:val="21"/>
              </w:rPr>
            </w:pPr>
            <w:r>
              <w:rPr>
                <w:rFonts w:hint="eastAsia" w:ascii="华文楷体" w:hAnsi="华文楷体" w:eastAsia="华文楷体" w:cs="宋体"/>
                <w:kern w:val="0"/>
                <w:szCs w:val="21"/>
              </w:rPr>
              <w:t>按具体涂装要求</w:t>
            </w:r>
          </w:p>
          <w:p>
            <w:pPr>
              <w:pStyle w:val="88"/>
              <w:widowControl/>
              <w:numPr>
                <w:ilvl w:val="0"/>
                <w:numId w:val="5"/>
              </w:numPr>
              <w:spacing w:line="280" w:lineRule="exact"/>
              <w:ind w:left="360" w:leftChars="0" w:hanging="360" w:firstLineChars="0"/>
              <w:jc w:val="left"/>
              <w:rPr>
                <w:rFonts w:hint="eastAsia" w:ascii="华文楷体" w:hAnsi="华文楷体" w:eastAsia="华文楷体" w:cs="宋体"/>
                <w:kern w:val="0"/>
                <w:szCs w:val="21"/>
              </w:rPr>
            </w:pPr>
            <w:r>
              <w:rPr>
                <w:rFonts w:ascii="华文楷体" w:hAnsi="华文楷体" w:eastAsia="华文楷体" w:cs="宋体"/>
                <w:kern w:val="0"/>
                <w:szCs w:val="21"/>
              </w:rPr>
              <w:t>限高2</w:t>
            </w:r>
            <w:r>
              <w:rPr>
                <w:rFonts w:hint="eastAsia" w:ascii="华文楷体" w:hAnsi="华文楷体" w:eastAsia="华文楷体" w:cs="宋体"/>
                <w:kern w:val="0"/>
                <w:szCs w:val="21"/>
              </w:rPr>
              <w:t>4</w:t>
            </w:r>
            <w:r>
              <w:rPr>
                <w:rFonts w:ascii="华文楷体" w:hAnsi="华文楷体" w:eastAsia="华文楷体" w:cs="宋体"/>
                <w:kern w:val="0"/>
                <w:szCs w:val="21"/>
              </w:rPr>
              <w:t>米</w:t>
            </w:r>
          </w:p>
        </w:tc>
        <w:tc>
          <w:tcPr>
            <w:tcW w:w="241" w:type="pct"/>
            <w:shd w:val="clear" w:color="auto" w:fill="auto"/>
            <w:vAlign w:val="center"/>
          </w:tcPr>
          <w:p>
            <w:pPr>
              <w:widowControl/>
              <w:jc w:val="center"/>
              <w:rPr>
                <w:rFonts w:hint="eastAsia" w:ascii="华文楷体" w:hAnsi="华文楷体" w:eastAsia="华文楷体" w:cs="宋体"/>
                <w:kern w:val="0"/>
                <w:szCs w:val="21"/>
              </w:rPr>
            </w:pPr>
            <w:r>
              <w:rPr>
                <w:rFonts w:hint="eastAsia" w:ascii="华文楷体" w:hAnsi="华文楷体" w:eastAsia="华文楷体" w:cs="宋体"/>
                <w:kern w:val="0"/>
                <w:szCs w:val="21"/>
                <w:lang w:val="en-US" w:eastAsia="zh-CN"/>
              </w:rPr>
              <w:t>4</w:t>
            </w:r>
          </w:p>
        </w:tc>
        <w:tc>
          <w:tcPr>
            <w:tcW w:w="2058" w:type="pct"/>
            <w:vAlign w:val="center"/>
          </w:tcPr>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满足2条得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分，1条得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p>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除尘控制</w:t>
            </w:r>
          </w:p>
          <w:p>
            <w:pPr>
              <w:pStyle w:val="88"/>
              <w:widowControl/>
              <w:numPr>
                <w:ilvl w:val="0"/>
                <w:numId w:val="6"/>
              </w:numPr>
              <w:ind w:firstLineChars="0"/>
              <w:jc w:val="left"/>
              <w:rPr>
                <w:rFonts w:ascii="华文楷体" w:hAnsi="华文楷体" w:eastAsia="华文楷体" w:cs="宋体"/>
                <w:kern w:val="0"/>
                <w:szCs w:val="21"/>
              </w:rPr>
            </w:pPr>
            <w:r>
              <w:rPr>
                <w:rFonts w:hint="eastAsia" w:ascii="华文楷体" w:hAnsi="华文楷体" w:eastAsia="华文楷体" w:cs="宋体"/>
                <w:kern w:val="0"/>
                <w:szCs w:val="21"/>
              </w:rPr>
              <w:t>除尘器粉尘排放浓度：≤20,mg/m³)</w:t>
            </w:r>
          </w:p>
          <w:p>
            <w:pPr>
              <w:pStyle w:val="88"/>
              <w:widowControl/>
              <w:numPr>
                <w:ilvl w:val="0"/>
                <w:numId w:val="6"/>
              </w:numPr>
              <w:ind w:left="360" w:leftChars="0" w:hanging="360" w:firstLineChars="0"/>
              <w:jc w:val="left"/>
              <w:rPr>
                <w:rFonts w:ascii="华文楷体" w:hAnsi="华文楷体" w:eastAsia="华文楷体" w:cs="宋体"/>
                <w:kern w:val="0"/>
                <w:szCs w:val="21"/>
              </w:rPr>
            </w:pPr>
            <w:r>
              <w:rPr>
                <w:rFonts w:hint="eastAsia" w:ascii="华文楷体" w:hAnsi="华文楷体" w:eastAsia="华文楷体" w:cs="宋体"/>
                <w:kern w:val="0"/>
                <w:szCs w:val="21"/>
              </w:rPr>
              <w:t>采用</w:t>
            </w:r>
            <w:r>
              <w:rPr>
                <w:rFonts w:ascii="华文楷体" w:hAnsi="华文楷体" w:eastAsia="华文楷体" w:cs="宋体"/>
                <w:kern w:val="0"/>
                <w:szCs w:val="21"/>
              </w:rPr>
              <w:t>无动力风选风选</w:t>
            </w:r>
            <w:r>
              <w:rPr>
                <w:rFonts w:hint="eastAsia" w:ascii="华文楷体" w:hAnsi="华文楷体" w:eastAsia="华文楷体" w:cs="宋体"/>
                <w:kern w:val="0"/>
                <w:szCs w:val="21"/>
              </w:rPr>
              <w:t>，</w:t>
            </w:r>
            <w:r>
              <w:rPr>
                <w:rFonts w:ascii="华文楷体" w:hAnsi="华文楷体" w:eastAsia="华文楷体" w:cs="宋体"/>
                <w:kern w:val="0"/>
                <w:szCs w:val="21"/>
              </w:rPr>
              <w:t>除尘功率小于75kw</w:t>
            </w:r>
          </w:p>
        </w:tc>
        <w:tc>
          <w:tcPr>
            <w:tcW w:w="241" w:type="pct"/>
            <w:shd w:val="clear" w:color="auto" w:fill="auto"/>
            <w:vAlign w:val="center"/>
          </w:tcPr>
          <w:p>
            <w:pPr>
              <w:widowControl/>
              <w:jc w:val="center"/>
              <w:rPr>
                <w:rFonts w:hint="eastAsia" w:ascii="华文楷体" w:hAnsi="华文楷体" w:eastAsia="华文楷体" w:cs="宋体"/>
                <w:kern w:val="0"/>
                <w:szCs w:val="21"/>
                <w:lang w:val="en-US" w:eastAsia="zh-CN"/>
              </w:rPr>
            </w:pPr>
            <w:r>
              <w:rPr>
                <w:rFonts w:hint="eastAsia" w:ascii="华文楷体" w:hAnsi="华文楷体" w:eastAsia="华文楷体" w:cs="宋体"/>
                <w:kern w:val="0"/>
                <w:szCs w:val="21"/>
                <w:lang w:val="en-US" w:eastAsia="zh-CN"/>
              </w:rPr>
              <w:t>4</w:t>
            </w:r>
          </w:p>
        </w:tc>
        <w:tc>
          <w:tcPr>
            <w:tcW w:w="2058" w:type="pct"/>
            <w:vAlign w:val="center"/>
          </w:tcPr>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满足2条得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分，1条得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p>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控制系统</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1、PLC自动控制</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2、系统升级方便，可远程升级</w:t>
            </w:r>
          </w:p>
        </w:tc>
        <w:tc>
          <w:tcPr>
            <w:tcW w:w="241" w:type="pct"/>
            <w:shd w:val="clear" w:color="auto" w:fill="auto"/>
            <w:vAlign w:val="center"/>
          </w:tcPr>
          <w:p>
            <w:pPr>
              <w:widowControl/>
              <w:jc w:val="center"/>
              <w:rPr>
                <w:rFonts w:hint="eastAsia" w:ascii="华文楷体" w:hAnsi="华文楷体" w:eastAsia="华文楷体" w:cs="宋体"/>
                <w:kern w:val="0"/>
                <w:szCs w:val="21"/>
                <w:lang w:eastAsia="zh-CN"/>
              </w:rPr>
            </w:pPr>
            <w:r>
              <w:rPr>
                <w:rFonts w:hint="eastAsia" w:ascii="华文楷体" w:hAnsi="华文楷体" w:eastAsia="华文楷体" w:cs="宋体"/>
                <w:kern w:val="0"/>
                <w:szCs w:val="21"/>
                <w:lang w:val="en-US" w:eastAsia="zh-CN"/>
              </w:rPr>
              <w:t>4</w:t>
            </w:r>
          </w:p>
        </w:tc>
        <w:tc>
          <w:tcPr>
            <w:tcW w:w="2058" w:type="pct"/>
            <w:vAlign w:val="center"/>
          </w:tcPr>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满足2条得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分，1条得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p>
          <w:p>
            <w:pPr>
              <w:jc w:val="center"/>
            </w:pP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安全防护</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1、满足国家安全标准</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2、传动件配置防护罩</w:t>
            </w:r>
          </w:p>
        </w:tc>
        <w:tc>
          <w:tcPr>
            <w:tcW w:w="241" w:type="pct"/>
            <w:shd w:val="clear" w:color="auto" w:fill="auto"/>
            <w:vAlign w:val="center"/>
          </w:tcPr>
          <w:p>
            <w:pPr>
              <w:widowControl/>
              <w:jc w:val="center"/>
              <w:rPr>
                <w:rFonts w:hint="eastAsia" w:ascii="华文楷体" w:hAnsi="华文楷体" w:eastAsia="华文楷体" w:cs="宋体"/>
                <w:kern w:val="0"/>
                <w:szCs w:val="21"/>
                <w:lang w:eastAsia="zh-CN"/>
              </w:rPr>
            </w:pPr>
            <w:r>
              <w:rPr>
                <w:rFonts w:hint="eastAsia" w:ascii="华文楷体" w:hAnsi="华文楷体" w:eastAsia="华文楷体" w:cs="宋体"/>
                <w:kern w:val="0"/>
                <w:szCs w:val="21"/>
                <w:lang w:val="en-US" w:eastAsia="zh-CN"/>
              </w:rPr>
              <w:t>4</w:t>
            </w:r>
          </w:p>
        </w:tc>
        <w:tc>
          <w:tcPr>
            <w:tcW w:w="2058" w:type="pct"/>
            <w:vAlign w:val="center"/>
          </w:tcPr>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满足2条得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分，1条得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p>
          <w:p>
            <w:pPr>
              <w:jc w:val="center"/>
            </w:pP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exact"/>
        </w:trPr>
        <w:tc>
          <w:tcPr>
            <w:tcW w:w="383" w:type="pct"/>
            <w:vMerge w:val="continue"/>
            <w:vAlign w:val="center"/>
          </w:tcPr>
          <w:p>
            <w:pPr>
              <w:widowControl/>
              <w:jc w:val="left"/>
              <w:rPr>
                <w:rFonts w:ascii="华文楷体" w:hAnsi="华文楷体" w:eastAsia="华文楷体" w:cs="宋体"/>
                <w:kern w:val="0"/>
                <w:szCs w:val="21"/>
              </w:rPr>
            </w:pPr>
          </w:p>
        </w:tc>
        <w:tc>
          <w:tcPr>
            <w:tcW w:w="782" w:type="pct"/>
            <w:vMerge w:val="continue"/>
            <w:vAlign w:val="center"/>
          </w:tcPr>
          <w:p>
            <w:pPr>
              <w:widowControl/>
              <w:jc w:val="left"/>
              <w:rPr>
                <w:rFonts w:ascii="华文楷体" w:hAnsi="华文楷体" w:eastAsia="华文楷体" w:cs="宋体"/>
                <w:kern w:val="0"/>
                <w:szCs w:val="21"/>
              </w:rPr>
            </w:pPr>
          </w:p>
        </w:tc>
        <w:tc>
          <w:tcPr>
            <w:tcW w:w="282" w:type="pct"/>
            <w:gridSpan w:val="2"/>
            <w:vMerge w:val="continue"/>
            <w:vAlign w:val="center"/>
          </w:tcPr>
          <w:p>
            <w:pPr>
              <w:widowControl/>
              <w:jc w:val="left"/>
              <w:rPr>
                <w:rFonts w:ascii="华文楷体" w:hAnsi="华文楷体" w:eastAsia="华文楷体" w:cs="宋体"/>
                <w:kern w:val="0"/>
                <w:szCs w:val="21"/>
              </w:rPr>
            </w:pPr>
          </w:p>
        </w:tc>
        <w:tc>
          <w:tcPr>
            <w:tcW w:w="1251"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骨料产品质量</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1、级配满足国家用砂标准</w:t>
            </w:r>
          </w:p>
          <w:p>
            <w:pPr>
              <w:widowControl/>
              <w:rPr>
                <w:rFonts w:ascii="华文楷体" w:hAnsi="华文楷体" w:eastAsia="华文楷体" w:cs="宋体"/>
                <w:kern w:val="0"/>
                <w:szCs w:val="21"/>
              </w:rPr>
            </w:pPr>
            <w:r>
              <w:rPr>
                <w:rFonts w:hint="eastAsia" w:ascii="华文楷体" w:hAnsi="华文楷体" w:eastAsia="华文楷体" w:cs="宋体"/>
                <w:kern w:val="0"/>
                <w:szCs w:val="21"/>
              </w:rPr>
              <w:t>2、石粉含量可调，5-15%</w:t>
            </w:r>
          </w:p>
        </w:tc>
        <w:tc>
          <w:tcPr>
            <w:tcW w:w="241" w:type="pct"/>
            <w:shd w:val="clear" w:color="auto" w:fill="auto"/>
            <w:vAlign w:val="center"/>
          </w:tcPr>
          <w:p>
            <w:pPr>
              <w:widowControl/>
              <w:jc w:val="center"/>
              <w:rPr>
                <w:rFonts w:hint="eastAsia" w:ascii="华文楷体" w:hAnsi="华文楷体" w:eastAsia="华文楷体" w:cs="宋体"/>
                <w:kern w:val="0"/>
                <w:szCs w:val="21"/>
                <w:lang w:eastAsia="zh-CN"/>
              </w:rPr>
            </w:pPr>
            <w:r>
              <w:rPr>
                <w:rFonts w:hint="eastAsia" w:ascii="华文楷体" w:hAnsi="华文楷体" w:eastAsia="华文楷体" w:cs="宋体"/>
                <w:kern w:val="0"/>
                <w:szCs w:val="21"/>
                <w:lang w:val="en-US" w:eastAsia="zh-CN"/>
              </w:rPr>
              <w:t>4</w:t>
            </w:r>
          </w:p>
        </w:tc>
        <w:tc>
          <w:tcPr>
            <w:tcW w:w="2058" w:type="pct"/>
            <w:vAlign w:val="center"/>
          </w:tcPr>
          <w:p>
            <w:pPr>
              <w:jc w:val="center"/>
              <w:rPr>
                <w:rFonts w:hint="eastAsia" w:ascii="华文楷体" w:hAnsi="华文楷体" w:eastAsia="华文楷体" w:cs="宋体"/>
                <w:kern w:val="0"/>
                <w:szCs w:val="21"/>
              </w:rPr>
            </w:pPr>
            <w:r>
              <w:rPr>
                <w:rFonts w:hint="eastAsia" w:ascii="华文楷体" w:hAnsi="华文楷体" w:eastAsia="华文楷体" w:cs="宋体"/>
                <w:kern w:val="0"/>
                <w:szCs w:val="21"/>
              </w:rPr>
              <w:t>满足2条得</w:t>
            </w:r>
            <w:r>
              <w:rPr>
                <w:rFonts w:hint="eastAsia" w:ascii="华文楷体" w:hAnsi="华文楷体" w:eastAsia="华文楷体" w:cs="宋体"/>
                <w:kern w:val="0"/>
                <w:szCs w:val="21"/>
                <w:lang w:val="en-US" w:eastAsia="zh-CN"/>
              </w:rPr>
              <w:t>4</w:t>
            </w:r>
            <w:r>
              <w:rPr>
                <w:rFonts w:hint="eastAsia" w:ascii="华文楷体" w:hAnsi="华文楷体" w:eastAsia="华文楷体" w:cs="宋体"/>
                <w:kern w:val="0"/>
                <w:szCs w:val="21"/>
              </w:rPr>
              <w:t>分，1条得</w:t>
            </w:r>
            <w:r>
              <w:rPr>
                <w:rFonts w:hint="eastAsia" w:ascii="华文楷体" w:hAnsi="华文楷体" w:eastAsia="华文楷体" w:cs="宋体"/>
                <w:kern w:val="0"/>
                <w:szCs w:val="21"/>
                <w:lang w:val="en-US" w:eastAsia="zh-CN"/>
              </w:rPr>
              <w:t>2</w:t>
            </w:r>
            <w:r>
              <w:rPr>
                <w:rFonts w:hint="eastAsia" w:ascii="华文楷体" w:hAnsi="华文楷体" w:eastAsia="华文楷体" w:cs="宋体"/>
                <w:kern w:val="0"/>
                <w:szCs w:val="21"/>
              </w:rPr>
              <w:t>分，</w:t>
            </w:r>
          </w:p>
          <w:p>
            <w:pPr>
              <w:jc w:val="center"/>
            </w:pPr>
            <w:r>
              <w:rPr>
                <w:rFonts w:hint="eastAsia" w:ascii="华文楷体" w:hAnsi="华文楷体" w:eastAsia="华文楷体" w:cs="宋体"/>
                <w:kern w:val="0"/>
                <w:szCs w:val="21"/>
              </w:rPr>
              <w:t>不满足</w:t>
            </w:r>
            <w:r>
              <w:rPr>
                <w:rFonts w:hint="eastAsia" w:ascii="华文楷体" w:hAnsi="华文楷体" w:eastAsia="华文楷体" w:cs="宋体"/>
                <w:kern w:val="0"/>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exact"/>
        </w:trPr>
        <w:tc>
          <w:tcPr>
            <w:tcW w:w="383"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价格评分</w:t>
            </w:r>
          </w:p>
        </w:tc>
        <w:tc>
          <w:tcPr>
            <w:tcW w:w="782" w:type="pct"/>
            <w:shd w:val="clear" w:color="auto" w:fill="auto"/>
            <w:vAlign w:val="center"/>
          </w:tcPr>
          <w:p>
            <w:pPr>
              <w:widowControl/>
              <w:jc w:val="center"/>
              <w:rPr>
                <w:rFonts w:hint="eastAsia" w:ascii="华文楷体" w:hAnsi="华文楷体" w:eastAsia="华文楷体" w:cs="宋体"/>
                <w:kern w:val="0"/>
                <w:szCs w:val="21"/>
                <w:lang w:eastAsia="zh-CN"/>
              </w:rPr>
            </w:pPr>
            <w:r>
              <w:rPr>
                <w:rFonts w:hint="eastAsia" w:ascii="华文楷体" w:hAnsi="华文楷体" w:eastAsia="华文楷体" w:cs="宋体"/>
                <w:kern w:val="0"/>
                <w:szCs w:val="21"/>
              </w:rPr>
              <w:t>价格</w:t>
            </w:r>
            <w:r>
              <w:rPr>
                <w:rFonts w:hint="eastAsia" w:ascii="华文楷体" w:hAnsi="华文楷体" w:eastAsia="华文楷体" w:cs="宋体"/>
                <w:kern w:val="0"/>
                <w:szCs w:val="21"/>
                <w:lang w:val="en-US" w:eastAsia="zh-CN"/>
              </w:rPr>
              <w:t>部分</w:t>
            </w:r>
          </w:p>
        </w:tc>
        <w:tc>
          <w:tcPr>
            <w:tcW w:w="278" w:type="pct"/>
            <w:shd w:val="clear" w:color="auto" w:fill="auto"/>
            <w:vAlign w:val="center"/>
          </w:tcPr>
          <w:p>
            <w:pPr>
              <w:spacing w:before="120"/>
              <w:rPr>
                <w:rFonts w:hint="default" w:ascii="华文楷体" w:hAnsi="华文楷体" w:eastAsia="华文楷体" w:cs="宋体"/>
                <w:kern w:val="0"/>
                <w:sz w:val="21"/>
                <w:szCs w:val="21"/>
                <w:lang w:val="en-US" w:eastAsia="zh-CN"/>
              </w:rPr>
            </w:pPr>
            <w:r>
              <w:rPr>
                <w:rFonts w:hint="eastAsia" w:ascii="华文楷体" w:hAnsi="华文楷体" w:eastAsia="华文楷体" w:cs="宋体"/>
                <w:kern w:val="0"/>
                <w:sz w:val="21"/>
                <w:szCs w:val="21"/>
                <w:lang w:val="en-US" w:eastAsia="zh-CN"/>
              </w:rPr>
              <w:t>30</w:t>
            </w:r>
          </w:p>
        </w:tc>
        <w:tc>
          <w:tcPr>
            <w:tcW w:w="3555" w:type="pct"/>
            <w:gridSpan w:val="4"/>
            <w:shd w:val="clear" w:color="auto" w:fill="auto"/>
            <w:vAlign w:val="center"/>
          </w:tcPr>
          <w:p>
            <w:pPr>
              <w:widowControl/>
              <w:jc w:val="center"/>
              <w:rPr>
                <w:rFonts w:hint="eastAsia" w:ascii="华文楷体" w:hAnsi="华文楷体" w:eastAsia="华文楷体" w:cs="宋体"/>
                <w:kern w:val="0"/>
                <w:sz w:val="21"/>
                <w:szCs w:val="21"/>
              </w:rPr>
            </w:pPr>
            <w:r>
              <w:rPr>
                <w:rFonts w:hint="eastAsia" w:ascii="华文楷体" w:hAnsi="华文楷体" w:eastAsia="华文楷体" w:cs="宋体"/>
                <w:kern w:val="0"/>
                <w:sz w:val="21"/>
                <w:szCs w:val="21"/>
              </w:rPr>
              <w:t>以经评委会一致认定满足招标文件要求且投标价格最低的投标 报价为评标基准价，其价格得分计 3</w:t>
            </w:r>
            <w:r>
              <w:rPr>
                <w:rFonts w:hint="eastAsia" w:ascii="华文楷体" w:hAnsi="华文楷体" w:eastAsia="华文楷体" w:cs="宋体"/>
                <w:kern w:val="0"/>
                <w:sz w:val="21"/>
                <w:szCs w:val="21"/>
                <w:lang w:val="en-US" w:eastAsia="zh-CN"/>
              </w:rPr>
              <w:t>0</w:t>
            </w:r>
            <w:r>
              <w:rPr>
                <w:rFonts w:hint="eastAsia" w:ascii="华文楷体" w:hAnsi="华文楷体" w:eastAsia="华文楷体" w:cs="宋体"/>
                <w:kern w:val="0"/>
                <w:sz w:val="21"/>
                <w:szCs w:val="21"/>
              </w:rPr>
              <w:t>分。投标报价得分=（评标基准价调整／投标报价调整）×A1（报价权重分）</w:t>
            </w:r>
          </w:p>
          <w:p>
            <w:pPr>
              <w:spacing w:before="120"/>
              <w:rPr>
                <w:rFonts w:hint="eastAsia" w:ascii="华文楷体" w:hAnsi="华文楷体" w:eastAsia="华文楷体" w:cs="宋体"/>
                <w:kern w:val="0"/>
                <w:sz w:val="21"/>
                <w:szCs w:val="21"/>
              </w:rPr>
            </w:pPr>
            <w:r>
              <w:rPr>
                <w:rFonts w:hint="eastAsia" w:ascii="华文楷体" w:hAnsi="华文楷体" w:eastAsia="华文楷体" w:cs="宋体"/>
                <w:kern w:val="0"/>
                <w:sz w:val="21"/>
                <w:szCs w:val="21"/>
              </w:rPr>
              <w:t xml:space="preserve">注： 1、因落实政府采购政策（价格评审优惠、优先采购）进行价格调整的，以调整后的价格计算评标基准价和投标报价。 </w:t>
            </w:r>
          </w:p>
          <w:p>
            <w:pPr>
              <w:spacing w:before="120"/>
              <w:rPr>
                <w:rFonts w:ascii="华文楷体" w:hAnsi="华文楷体" w:eastAsia="华文楷体" w:cs="宋体"/>
                <w:kern w:val="0"/>
                <w:sz w:val="21"/>
                <w:szCs w:val="21"/>
              </w:rPr>
            </w:pPr>
            <w:r>
              <w:rPr>
                <w:rFonts w:hint="eastAsia" w:ascii="华文楷体" w:hAnsi="华文楷体" w:eastAsia="华文楷体" w:cs="宋体"/>
                <w:kern w:val="0"/>
                <w:sz w:val="21"/>
                <w:szCs w:val="21"/>
              </w:rPr>
              <w:t>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383" w:type="pct"/>
            <w:shd w:val="clear" w:color="auto" w:fill="auto"/>
            <w:vAlign w:val="center"/>
          </w:tcPr>
          <w:p>
            <w:pPr>
              <w:widowControl/>
              <w:jc w:val="center"/>
              <w:rPr>
                <w:rFonts w:ascii="华文楷体" w:hAnsi="华文楷体" w:eastAsia="华文楷体" w:cs="宋体"/>
                <w:kern w:val="0"/>
                <w:szCs w:val="21"/>
              </w:rPr>
            </w:pPr>
            <w:r>
              <w:rPr>
                <w:rFonts w:hint="eastAsia" w:ascii="华文楷体" w:hAnsi="华文楷体" w:eastAsia="华文楷体" w:cs="宋体"/>
                <w:kern w:val="0"/>
                <w:szCs w:val="21"/>
              </w:rPr>
              <w:t>总得分</w:t>
            </w:r>
          </w:p>
        </w:tc>
        <w:tc>
          <w:tcPr>
            <w:tcW w:w="4616" w:type="pct"/>
            <w:gridSpan w:val="6"/>
            <w:shd w:val="clear" w:color="auto" w:fill="auto"/>
            <w:vAlign w:val="center"/>
          </w:tcPr>
          <w:p>
            <w:pPr>
              <w:widowControl/>
              <w:jc w:val="center"/>
              <w:rPr>
                <w:rFonts w:hint="default" w:ascii="华文楷体" w:hAnsi="华文楷体" w:eastAsia="华文楷体" w:cs="宋体"/>
                <w:kern w:val="0"/>
                <w:szCs w:val="21"/>
                <w:lang w:val="en-US" w:eastAsia="zh-CN"/>
              </w:rPr>
            </w:pPr>
            <w:r>
              <w:rPr>
                <w:rFonts w:hint="eastAsia" w:ascii="华文楷体" w:hAnsi="华文楷体" w:eastAsia="华文楷体" w:cs="宋体"/>
                <w:kern w:val="0"/>
                <w:szCs w:val="21"/>
              </w:rPr>
              <w:t>综合得分</w:t>
            </w:r>
            <w:r>
              <w:rPr>
                <w:rFonts w:hint="eastAsia" w:ascii="华文楷体" w:hAnsi="华文楷体" w:eastAsia="华文楷体" w:cs="宋体"/>
                <w:kern w:val="0"/>
                <w:szCs w:val="21"/>
                <w:lang w:val="en-US" w:eastAsia="zh-CN"/>
              </w:rPr>
              <w:t>100</w:t>
            </w:r>
            <w:r>
              <w:rPr>
                <w:rFonts w:hint="eastAsia" w:ascii="华文楷体" w:hAnsi="华文楷体" w:eastAsia="华文楷体" w:cs="宋体"/>
                <w:kern w:val="0"/>
                <w:szCs w:val="21"/>
              </w:rPr>
              <w:t>＝</w:t>
            </w:r>
            <w:r>
              <w:rPr>
                <w:rFonts w:hint="eastAsia" w:ascii="华文楷体" w:hAnsi="华文楷体" w:eastAsia="华文楷体" w:cs="宋体"/>
                <w:kern w:val="0"/>
                <w:szCs w:val="21"/>
                <w:lang w:val="en-US" w:eastAsia="zh-CN"/>
              </w:rPr>
              <w:t>商务得分26+</w:t>
            </w:r>
            <w:r>
              <w:rPr>
                <w:rFonts w:hint="eastAsia" w:ascii="华文楷体" w:hAnsi="华文楷体" w:eastAsia="华文楷体" w:cs="宋体"/>
                <w:kern w:val="0"/>
                <w:szCs w:val="21"/>
              </w:rPr>
              <w:t>技术得分</w:t>
            </w:r>
            <w:r>
              <w:rPr>
                <w:rFonts w:hint="eastAsia" w:ascii="华文楷体" w:hAnsi="华文楷体" w:eastAsia="华文楷体" w:cs="宋体"/>
                <w:kern w:val="0"/>
                <w:szCs w:val="21"/>
                <w:lang w:val="en-US" w:eastAsia="zh-CN"/>
              </w:rPr>
              <w:t>44</w:t>
            </w:r>
            <w:r>
              <w:rPr>
                <w:rFonts w:hint="eastAsia" w:ascii="华文楷体" w:hAnsi="华文楷体" w:eastAsia="华文楷体" w:cs="宋体"/>
                <w:kern w:val="0"/>
                <w:szCs w:val="21"/>
              </w:rPr>
              <w:t>＋价格得分</w:t>
            </w:r>
            <w:r>
              <w:rPr>
                <w:rFonts w:hint="eastAsia" w:ascii="华文楷体" w:hAnsi="华文楷体" w:eastAsia="华文楷体" w:cs="宋体"/>
                <w:kern w:val="0"/>
                <w:szCs w:val="21"/>
                <w:lang w:val="en-US" w:eastAsia="zh-CN"/>
              </w:rPr>
              <w:t>30</w:t>
            </w:r>
          </w:p>
        </w:tc>
      </w:tr>
    </w:tbl>
    <w:p>
      <w:pPr>
        <w:pStyle w:val="56"/>
        <w:shd w:val="clear"/>
        <w:rPr>
          <w:color w:val="000000" w:themeColor="text1"/>
          <w:highlight w:val="none"/>
          <w14:textFill>
            <w14:solidFill>
              <w14:schemeClr w14:val="tx1"/>
            </w14:solidFill>
          </w14:textFill>
        </w:rPr>
      </w:pPr>
    </w:p>
    <w:p>
      <w:pPr>
        <w:widowControl/>
        <w:shd w:val="clear"/>
        <w:spacing w:line="300" w:lineRule="exact"/>
        <w:ind w:firstLine="420" w:firstLineChars="200"/>
        <w:jc w:val="left"/>
        <w:textAlignment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p>
    <w:p>
      <w:pPr>
        <w:widowControl/>
        <w:shd w:val="clear"/>
        <w:spacing w:line="300" w:lineRule="exact"/>
        <w:ind w:firstLine="420" w:firstLineChars="200"/>
        <w:jc w:val="left"/>
        <w:textAlignment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1、评标委员会评分依据评标因素及标准，对照投标文件进行。评标标准涉及要求提供扫描件的，投标文件中须附相关证书和证明文件的扫描件并加盖投标人公章，否则相应计分项不计分。</w:t>
      </w:r>
    </w:p>
    <w:p>
      <w:pPr>
        <w:pStyle w:val="128"/>
        <w:numPr>
          <w:ilvl w:val="0"/>
          <w:numId w:val="7"/>
        </w:numPr>
        <w:shd w:val="clear"/>
        <w:tabs>
          <w:tab w:val="left" w:pos="312"/>
        </w:tabs>
        <w:spacing w:line="3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参与采购应提供真实有效的证明材料，应当诚信守法、公平竞争。如有以提供虚假材料（包括但不限于虚假技术参数响应、虚假制造商产品彩页、虚假业绩、虚假证书等）、隐瞒失信信息等谋取中标的行为，一经发现，将取消中标资格并报行政监管部门严肃查处。</w:t>
      </w:r>
    </w:p>
    <w:p>
      <w:pPr>
        <w:widowControl/>
        <w:shd w:val="clea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pPr>
        <w:pStyle w:val="7"/>
        <w:shd w:val="clear"/>
        <w:rPr>
          <w:rFonts w:ascii="黑体" w:hAnsi="黑体" w:eastAsia="黑体"/>
          <w:color w:val="000000" w:themeColor="text1"/>
          <w:sz w:val="32"/>
          <w:szCs w:val="32"/>
          <w:highlight w:val="none"/>
          <w14:textFill>
            <w14:solidFill>
              <w14:schemeClr w14:val="tx1"/>
            </w14:solidFill>
          </w14:textFill>
        </w:rPr>
      </w:pPr>
      <w:bookmarkStart w:id="44" w:name="_Toc78815073"/>
      <w:r>
        <w:rPr>
          <w:rFonts w:hint="eastAsia" w:ascii="黑体" w:hAnsi="黑体" w:eastAsia="黑体"/>
          <w:color w:val="000000" w:themeColor="text1"/>
          <w:sz w:val="32"/>
          <w:szCs w:val="32"/>
          <w:highlight w:val="none"/>
          <w14:textFill>
            <w14:solidFill>
              <w14:schemeClr w14:val="tx1"/>
            </w14:solidFill>
          </w14:textFill>
        </w:rPr>
        <w:t>第五章 采购需求</w:t>
      </w:r>
      <w:bookmarkEnd w:id="44"/>
    </w:p>
    <w:p>
      <w:pPr>
        <w:shd w:val="clear"/>
        <w:ind w:firstLine="422" w:firstLineChars="200"/>
        <w:rPr>
          <w:rFonts w:hint="eastAsia" w:ascii="宋体" w:hAnsi="宋体" w:eastAsia="宋体" w:cs="宋体"/>
          <w:b/>
          <w:color w:val="000000" w:themeColor="text1"/>
          <w:szCs w:val="21"/>
          <w:highlight w:val="none"/>
          <w:lang w:eastAsia="zh-CN"/>
          <w14:textFill>
            <w14:solidFill>
              <w14:schemeClr w14:val="tx1"/>
            </w14:solidFill>
          </w14:textFill>
        </w:rPr>
      </w:pPr>
      <w:bookmarkStart w:id="150" w:name="_GoBack"/>
      <w:bookmarkEnd w:id="150"/>
      <w:r>
        <w:rPr>
          <w:rFonts w:hint="eastAsia" w:ascii="宋体" w:hAnsi="宋体" w:cs="宋体"/>
          <w:b/>
          <w:color w:val="000000" w:themeColor="text1"/>
          <w:szCs w:val="21"/>
          <w:highlight w:val="none"/>
          <w14:textFill>
            <w14:solidFill>
              <w14:schemeClr w14:val="tx1"/>
            </w14:solidFill>
          </w14:textFill>
        </w:rPr>
        <w:t xml:space="preserve">采购项目名称: </w:t>
      </w:r>
      <w:r>
        <w:rPr>
          <w:rFonts w:hint="eastAsia" w:ascii="宋体" w:hAnsi="宋体" w:cs="宋体"/>
          <w:b/>
          <w:color w:val="000000" w:themeColor="text1"/>
          <w:szCs w:val="21"/>
          <w:highlight w:val="none"/>
          <w:lang w:eastAsia="zh-CN"/>
          <w14:textFill>
            <w14:solidFill>
              <w14:schemeClr w14:val="tx1"/>
            </w14:solidFill>
          </w14:textFill>
        </w:rPr>
        <w:t>岳阳市建筑固废资源化再利用项目机制砂设备采购</w:t>
      </w:r>
    </w:p>
    <w:p>
      <w:pPr>
        <w:keepNext w:val="0"/>
        <w:keepLines w:val="0"/>
        <w:pageBreakBefore w:val="0"/>
        <w:widowControl w:val="0"/>
        <w:kinsoku/>
        <w:wordWrap/>
        <w:overflowPunct/>
        <w:topLinePunct w:val="0"/>
        <w:autoSpaceDE/>
        <w:autoSpaceDN/>
        <w:bidi w:val="0"/>
        <w:adjustRightInd/>
        <w:snapToGrid/>
        <w:spacing w:line="440" w:lineRule="exact"/>
        <w:ind w:firstLine="411" w:firstLineChars="195"/>
        <w:textAlignment w:val="auto"/>
        <w:outlineLvl w:val="1"/>
        <w:rPr>
          <w:rFonts w:hint="eastAsia" w:ascii="宋体" w:hAnsi="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招标内容：</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5"/>
        <w:textAlignment w:val="auto"/>
        <w:outlineLvl w:val="1"/>
        <w:rPr>
          <w:rFonts w:ascii="宋体" w:hAnsi="宋体"/>
          <w:b/>
          <w:bCs/>
          <w:color w:val="0000FF"/>
          <w:sz w:val="24"/>
        </w:rPr>
      </w:pPr>
      <w:r>
        <w:rPr>
          <w:rFonts w:hint="eastAsia" w:ascii="宋体" w:hAnsi="宋体"/>
          <w:b/>
          <w:bCs/>
          <w:color w:val="0000FF"/>
          <w:sz w:val="24"/>
        </w:rPr>
        <w:t>一、制砂系统工艺技术及功能要求</w:t>
      </w:r>
    </w:p>
    <w:p>
      <w:pPr>
        <w:spacing w:line="440" w:lineRule="exact"/>
        <w:ind w:firstLine="480" w:firstLineChars="200"/>
        <w:rPr>
          <w:rFonts w:ascii="宋体" w:hAnsi="宋体"/>
          <w:color w:val="0000FF"/>
          <w:sz w:val="24"/>
        </w:rPr>
      </w:pPr>
      <w:r>
        <w:rPr>
          <w:rFonts w:hint="eastAsia" w:ascii="宋体" w:hAnsi="宋体"/>
          <w:color w:val="0000FF"/>
          <w:sz w:val="24"/>
        </w:rPr>
        <w:t>1.1工艺方案：</w:t>
      </w:r>
      <w:r>
        <w:rPr>
          <w:rFonts w:hint="eastAsia" w:ascii="宋体" w:hAnsi="宋体"/>
          <w:bCs/>
          <w:color w:val="0000FF"/>
          <w:sz w:val="24"/>
        </w:rPr>
        <w:t>以0－40mm（小于75μm以下粉料比例不大于3%）石灰石混合料为原料</w:t>
      </w:r>
      <w:r>
        <w:rPr>
          <w:rFonts w:hint="eastAsia" w:ascii="宋体" w:hAnsi="宋体" w:cs="宋体"/>
          <w:color w:val="0000FF"/>
          <w:kern w:val="0"/>
          <w:sz w:val="24"/>
        </w:rPr>
        <w:t>生产机制砂、细石粉两种产品，</w:t>
      </w:r>
      <w:r>
        <w:rPr>
          <w:rFonts w:hint="eastAsia" w:ascii="宋体" w:hAnsi="宋体"/>
          <w:bCs/>
          <w:color w:val="0000FF"/>
          <w:sz w:val="24"/>
        </w:rPr>
        <w:t>机</w:t>
      </w:r>
      <w:r>
        <w:rPr>
          <w:rFonts w:hint="eastAsia" w:ascii="宋体" w:hAnsi="宋体" w:cs="宋体"/>
          <w:color w:val="0000FF"/>
          <w:kern w:val="0"/>
          <w:sz w:val="24"/>
        </w:rPr>
        <w:t>制砂入料量100吨/小时。</w:t>
      </w:r>
      <w:r>
        <w:rPr>
          <w:rFonts w:hint="eastAsia" w:ascii="宋体" w:hAnsi="宋体"/>
          <w:color w:val="0000FF"/>
          <w:sz w:val="24"/>
        </w:rPr>
        <w:t>细石粉采用钢制粉料罐储存，除粉料罐外所有钢结构和设备均要求工厂化生产并做防腐处理。</w:t>
      </w:r>
    </w:p>
    <w:p>
      <w:pPr>
        <w:spacing w:line="440" w:lineRule="exact"/>
        <w:ind w:firstLine="480" w:firstLineChars="200"/>
        <w:rPr>
          <w:rFonts w:ascii="宋体" w:hAnsi="宋体"/>
          <w:bCs/>
          <w:color w:val="0000FF"/>
          <w:sz w:val="24"/>
        </w:rPr>
      </w:pPr>
      <w:r>
        <w:rPr>
          <w:rFonts w:hint="eastAsia" w:ascii="宋体" w:hAnsi="宋体"/>
          <w:color w:val="0000FF"/>
          <w:sz w:val="24"/>
        </w:rPr>
        <w:t>1.2功能要求：</w:t>
      </w:r>
      <w:r>
        <w:rPr>
          <w:rFonts w:hint="eastAsia" w:ascii="宋体" w:hAnsi="宋体" w:cs="宋体"/>
          <w:color w:val="0000FF"/>
          <w:kern w:val="0"/>
          <w:sz w:val="24"/>
        </w:rPr>
        <w:t>具有整形、去石粉、级配调整、机制砂加湿等功能。</w:t>
      </w:r>
      <w:r>
        <w:rPr>
          <w:rFonts w:ascii="宋体" w:hAnsi="宋体"/>
          <w:bCs/>
          <w:color w:val="0000FF"/>
          <w:sz w:val="24"/>
        </w:rPr>
        <w:t xml:space="preserve"> </w:t>
      </w:r>
    </w:p>
    <w:p>
      <w:pPr>
        <w:spacing w:line="440" w:lineRule="exact"/>
        <w:ind w:firstLine="480" w:firstLineChars="200"/>
        <w:rPr>
          <w:rFonts w:hint="eastAsia" w:ascii="宋体" w:hAnsi="宋体" w:cs="宋体"/>
          <w:color w:val="0000FF"/>
          <w:kern w:val="0"/>
          <w:sz w:val="24"/>
        </w:rPr>
      </w:pPr>
      <w:r>
        <w:rPr>
          <w:rFonts w:hint="eastAsia" w:ascii="宋体" w:hAnsi="宋体"/>
          <w:color w:val="0000FF"/>
          <w:sz w:val="24"/>
        </w:rPr>
        <w:t>1.3安全环保要求：</w:t>
      </w:r>
      <w:r>
        <w:rPr>
          <w:rFonts w:hint="eastAsia" w:ascii="宋体" w:hAnsi="宋体" w:cs="宋体"/>
          <w:color w:val="0000FF"/>
          <w:kern w:val="0"/>
          <w:sz w:val="24"/>
        </w:rPr>
        <w:t>整个系统所有粉尘必须做到有组织排放，排放浓度小于等于20mg/m</w:t>
      </w:r>
      <w:r>
        <w:rPr>
          <w:rFonts w:hint="eastAsia" w:ascii="宋体" w:hAnsi="宋体" w:cs="宋体"/>
          <w:color w:val="0000FF"/>
          <w:kern w:val="0"/>
          <w:sz w:val="24"/>
          <w:vertAlign w:val="superscript"/>
        </w:rPr>
        <w:t>3</w:t>
      </w:r>
      <w:r>
        <w:rPr>
          <w:rFonts w:hint="eastAsia" w:ascii="宋体" w:hAnsi="宋体" w:cs="宋体"/>
          <w:color w:val="0000FF"/>
          <w:kern w:val="0"/>
          <w:sz w:val="24"/>
        </w:rPr>
        <w:t>。</w:t>
      </w:r>
    </w:p>
    <w:p>
      <w:pPr>
        <w:pStyle w:val="2"/>
        <w:ind w:firstLine="480" w:firstLineChars="200"/>
        <w:rPr>
          <w:rFonts w:hint="default" w:eastAsia="宋体"/>
          <w:lang w:val="en-US" w:eastAsia="zh-CN"/>
        </w:rPr>
      </w:pPr>
      <w:r>
        <w:rPr>
          <w:rFonts w:hint="eastAsia" w:ascii="宋体" w:hAnsi="宋体" w:cs="宋体"/>
          <w:color w:val="0000FF"/>
          <w:kern w:val="0"/>
          <w:sz w:val="24"/>
          <w:lang w:val="en-US" w:eastAsia="zh-CN"/>
        </w:rPr>
        <w:t>1.4交货、安装期：承诺交货、安装在90天以内（包含90天）。</w:t>
      </w:r>
    </w:p>
    <w:p>
      <w:pPr>
        <w:spacing w:line="440" w:lineRule="exact"/>
        <w:ind w:firstLine="470" w:firstLineChars="195"/>
        <w:outlineLvl w:val="1"/>
        <w:rPr>
          <w:rFonts w:hint="eastAsia" w:ascii="宋体" w:hAnsi="宋体"/>
          <w:b/>
          <w:bCs/>
          <w:color w:val="0000FF"/>
          <w:sz w:val="24"/>
        </w:rPr>
      </w:pPr>
      <w:r>
        <w:rPr>
          <w:rFonts w:hint="eastAsia" w:ascii="宋体" w:hAnsi="宋体"/>
          <w:b/>
          <w:bCs/>
          <w:color w:val="0000FF"/>
          <w:sz w:val="24"/>
        </w:rPr>
        <w:t>二、建设条件</w:t>
      </w:r>
    </w:p>
    <w:p>
      <w:pPr>
        <w:spacing w:line="440" w:lineRule="exact"/>
        <w:ind w:left="1" w:firstLine="352" w:firstLineChars="147"/>
        <w:outlineLvl w:val="2"/>
        <w:rPr>
          <w:rFonts w:ascii="宋体" w:hAnsi="宋体"/>
          <w:color w:val="0000FF"/>
          <w:sz w:val="24"/>
        </w:rPr>
      </w:pPr>
      <w:r>
        <w:rPr>
          <w:rFonts w:hint="eastAsia" w:ascii="宋体" w:hAnsi="宋体"/>
          <w:color w:val="0000FF"/>
          <w:sz w:val="24"/>
        </w:rPr>
        <w:t xml:space="preserve">  2.1建设场地</w:t>
      </w:r>
    </w:p>
    <w:p>
      <w:pPr>
        <w:spacing w:line="440" w:lineRule="exact"/>
        <w:ind w:firstLine="480" w:firstLineChars="200"/>
        <w:rPr>
          <w:rFonts w:ascii="宋体" w:hAnsi="宋体"/>
          <w:bCs/>
          <w:color w:val="0000FF"/>
          <w:sz w:val="24"/>
        </w:rPr>
      </w:pPr>
      <w:r>
        <w:rPr>
          <w:rFonts w:hint="eastAsia" w:ascii="宋体" w:hAnsi="宋体"/>
          <w:color w:val="0000FF"/>
          <w:sz w:val="24"/>
        </w:rPr>
        <w:t>岳阳市建筑固废资源化再利用</w:t>
      </w:r>
      <w:r>
        <w:rPr>
          <w:rFonts w:hint="eastAsia" w:ascii="宋体" w:hAnsi="宋体"/>
          <w:color w:val="0000FF"/>
          <w:sz w:val="24"/>
          <w:lang w:eastAsia="zh-CN"/>
        </w:rPr>
        <w:t>产业园项目</w:t>
      </w:r>
      <w:r>
        <w:rPr>
          <w:rFonts w:hint="eastAsia" w:ascii="宋体" w:hAnsi="宋体"/>
          <w:bCs/>
          <w:color w:val="0000FF"/>
          <w:sz w:val="24"/>
        </w:rPr>
        <w:t>现场，已具备五通一平条件。</w:t>
      </w:r>
      <w:r>
        <w:rPr>
          <w:rFonts w:hint="eastAsia" w:ascii="宋体" w:hAnsi="宋体"/>
          <w:color w:val="0000FF"/>
          <w:sz w:val="24"/>
        </w:rPr>
        <w:t>安装期间用水、用电由业主负责在施工现场150米范围内提供水、电源；</w:t>
      </w:r>
    </w:p>
    <w:p>
      <w:pPr>
        <w:spacing w:line="440" w:lineRule="exact"/>
        <w:ind w:firstLine="480" w:firstLineChars="200"/>
        <w:outlineLvl w:val="2"/>
        <w:rPr>
          <w:rFonts w:ascii="宋体" w:hAnsi="宋体"/>
          <w:color w:val="0000FF"/>
          <w:sz w:val="24"/>
        </w:rPr>
      </w:pPr>
      <w:r>
        <w:rPr>
          <w:rFonts w:hint="eastAsia" w:ascii="宋体" w:hAnsi="宋体"/>
          <w:color w:val="0000FF"/>
          <w:sz w:val="24"/>
        </w:rPr>
        <w:t>2.2地震烈度</w:t>
      </w:r>
    </w:p>
    <w:p>
      <w:pPr>
        <w:spacing w:line="500" w:lineRule="exact"/>
        <w:ind w:firstLine="480" w:firstLineChars="200"/>
        <w:rPr>
          <w:color w:val="0000FF"/>
          <w:sz w:val="24"/>
        </w:rPr>
      </w:pPr>
      <w:r>
        <w:rPr>
          <w:rFonts w:hint="eastAsia"/>
          <w:color w:val="0000FF"/>
          <w:sz w:val="24"/>
        </w:rPr>
        <w:t>必须符合国家标准及当地实际的抗震要求</w:t>
      </w:r>
    </w:p>
    <w:p>
      <w:pPr>
        <w:spacing w:line="500" w:lineRule="exact"/>
        <w:ind w:firstLine="472" w:firstLineChars="196"/>
        <w:jc w:val="center"/>
        <w:outlineLvl w:val="3"/>
        <w:rPr>
          <w:b/>
          <w:color w:val="0000FF"/>
          <w:sz w:val="24"/>
        </w:rPr>
      </w:pPr>
      <w:r>
        <w:rPr>
          <w:rFonts w:hint="eastAsia"/>
          <w:b/>
          <w:color w:val="0000FF"/>
          <w:sz w:val="24"/>
        </w:rPr>
        <w:t>钢结构房屋的抗震等级</w:t>
      </w:r>
    </w:p>
    <w:tbl>
      <w:tblPr>
        <w:tblStyle w:val="47"/>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1857"/>
        <w:gridCol w:w="1857"/>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房屋高度</w:t>
            </w:r>
          </w:p>
        </w:tc>
        <w:tc>
          <w:tcPr>
            <w:tcW w:w="7430" w:type="dxa"/>
            <w:gridSpan w:val="4"/>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6</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7</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8</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w:t>
            </w:r>
            <w:r>
              <w:rPr>
                <w:color w:val="0000FF"/>
                <w:sz w:val="24"/>
              </w:rPr>
              <w:t>50m</w:t>
            </w:r>
          </w:p>
        </w:tc>
        <w:tc>
          <w:tcPr>
            <w:tcW w:w="1857" w:type="dxa"/>
            <w:tcBorders>
              <w:top w:val="single" w:color="auto" w:sz="4" w:space="0"/>
              <w:left w:val="single" w:color="auto" w:sz="4" w:space="0"/>
              <w:bottom w:val="single" w:color="auto" w:sz="4" w:space="0"/>
              <w:right w:val="single" w:color="auto" w:sz="4" w:space="0"/>
              <w:tl2br w:val="single" w:color="auto" w:sz="4" w:space="0"/>
            </w:tcBorders>
          </w:tcPr>
          <w:p>
            <w:pPr>
              <w:spacing w:line="500" w:lineRule="exact"/>
              <w:jc w:val="center"/>
              <w:rPr>
                <w:color w:val="0000FF"/>
                <w:sz w:val="24"/>
              </w:rPr>
            </w:pP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四</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三</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w:t>
            </w:r>
            <w:r>
              <w:rPr>
                <w:color w:val="0000FF"/>
                <w:sz w:val="24"/>
              </w:rPr>
              <w:t>50m</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四</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三</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二</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一</w:t>
            </w:r>
          </w:p>
        </w:tc>
      </w:tr>
    </w:tbl>
    <w:p>
      <w:pPr>
        <w:spacing w:line="500" w:lineRule="exact"/>
        <w:rPr>
          <w:color w:val="0000FF"/>
          <w:sz w:val="24"/>
        </w:rPr>
      </w:pPr>
      <w:r>
        <w:rPr>
          <w:rFonts w:hint="eastAsia"/>
          <w:color w:val="0000FF"/>
          <w:sz w:val="24"/>
        </w:rPr>
        <w:t>注：</w:t>
      </w:r>
      <w:r>
        <w:rPr>
          <w:color w:val="0000FF"/>
          <w:sz w:val="24"/>
        </w:rPr>
        <w:t xml:space="preserve"> 1</w:t>
      </w:r>
      <w:r>
        <w:rPr>
          <w:rFonts w:hint="eastAsia"/>
          <w:color w:val="0000FF"/>
          <w:sz w:val="24"/>
        </w:rPr>
        <w:t>、标准摘自（《建筑抗震设计规范》</w:t>
      </w:r>
      <w:r>
        <w:rPr>
          <w:color w:val="0000FF"/>
          <w:sz w:val="24"/>
        </w:rPr>
        <w:t>GB50011-2010</w:t>
      </w:r>
      <w:r>
        <w:rPr>
          <w:rFonts w:hint="eastAsia"/>
          <w:color w:val="0000FF"/>
          <w:sz w:val="24"/>
        </w:rPr>
        <w:t>）</w:t>
      </w:r>
    </w:p>
    <w:p>
      <w:pPr>
        <w:spacing w:line="500" w:lineRule="exact"/>
        <w:ind w:firstLine="600" w:firstLineChars="250"/>
        <w:rPr>
          <w:color w:val="0000FF"/>
          <w:sz w:val="24"/>
        </w:rPr>
      </w:pPr>
      <w:r>
        <w:rPr>
          <w:color w:val="0000FF"/>
          <w:sz w:val="24"/>
        </w:rPr>
        <w:t>2</w:t>
      </w:r>
      <w:r>
        <w:rPr>
          <w:rFonts w:hint="eastAsia"/>
          <w:color w:val="0000FF"/>
          <w:sz w:val="24"/>
        </w:rPr>
        <w:t>、表中</w:t>
      </w:r>
      <w:r>
        <w:rPr>
          <w:color w:val="0000FF"/>
          <w:sz w:val="24"/>
        </w:rPr>
        <w:t>“</w:t>
      </w:r>
      <w:r>
        <w:rPr>
          <w:rFonts w:hint="eastAsia"/>
          <w:color w:val="0000FF"/>
          <w:sz w:val="24"/>
        </w:rPr>
        <w:t>一、二、三、四级</w:t>
      </w:r>
      <w:r>
        <w:rPr>
          <w:color w:val="0000FF"/>
          <w:sz w:val="24"/>
        </w:rPr>
        <w:t>”</w:t>
      </w:r>
      <w:r>
        <w:rPr>
          <w:rFonts w:hint="eastAsia"/>
          <w:color w:val="0000FF"/>
          <w:sz w:val="24"/>
        </w:rPr>
        <w:t>即</w:t>
      </w:r>
      <w:r>
        <w:rPr>
          <w:color w:val="0000FF"/>
          <w:sz w:val="24"/>
        </w:rPr>
        <w:t>“</w:t>
      </w:r>
      <w:r>
        <w:rPr>
          <w:rFonts w:hint="eastAsia"/>
          <w:color w:val="0000FF"/>
          <w:sz w:val="24"/>
        </w:rPr>
        <w:t>抗震等级为一、二、三、四级</w:t>
      </w:r>
      <w:r>
        <w:rPr>
          <w:color w:val="0000FF"/>
          <w:sz w:val="24"/>
        </w:rPr>
        <w:t>”</w:t>
      </w:r>
      <w:r>
        <w:rPr>
          <w:rFonts w:hint="eastAsia"/>
          <w:color w:val="0000FF"/>
          <w:sz w:val="24"/>
        </w:rPr>
        <w:t>的简称。</w:t>
      </w:r>
    </w:p>
    <w:p>
      <w:pPr>
        <w:spacing w:line="440" w:lineRule="exact"/>
        <w:ind w:firstLine="480" w:firstLineChars="200"/>
        <w:outlineLvl w:val="2"/>
        <w:rPr>
          <w:rFonts w:ascii="宋体" w:hAnsi="宋体"/>
          <w:color w:val="0000FF"/>
          <w:sz w:val="24"/>
        </w:rPr>
      </w:pPr>
      <w:r>
        <w:rPr>
          <w:rFonts w:hint="eastAsia" w:ascii="宋体" w:hAnsi="宋体"/>
          <w:color w:val="0000FF"/>
          <w:sz w:val="24"/>
        </w:rPr>
        <w:t>2.3环保要求</w:t>
      </w:r>
    </w:p>
    <w:p>
      <w:pPr>
        <w:spacing w:line="500" w:lineRule="exact"/>
        <w:ind w:firstLine="480" w:firstLineChars="200"/>
        <w:outlineLvl w:val="3"/>
        <w:rPr>
          <w:rFonts w:ascii="宋体" w:hAnsi="宋体"/>
          <w:color w:val="0000FF"/>
          <w:sz w:val="24"/>
        </w:rPr>
      </w:pPr>
      <w:r>
        <w:rPr>
          <w:rFonts w:hint="eastAsia" w:ascii="宋体" w:hAnsi="宋体"/>
          <w:color w:val="0000FF"/>
          <w:sz w:val="24"/>
        </w:rPr>
        <w:t>2.3.1噪音</w:t>
      </w:r>
    </w:p>
    <w:p>
      <w:pPr>
        <w:spacing w:line="500" w:lineRule="exact"/>
        <w:ind w:firstLine="480" w:firstLineChars="200"/>
        <w:rPr>
          <w:rFonts w:ascii="宋体" w:hAnsi="宋体"/>
          <w:color w:val="0000FF"/>
          <w:sz w:val="24"/>
        </w:rPr>
      </w:pPr>
      <w:r>
        <w:rPr>
          <w:rFonts w:hint="eastAsia" w:ascii="宋体" w:hAnsi="宋体"/>
          <w:color w:val="0000FF"/>
          <w:sz w:val="24"/>
        </w:rPr>
        <w:t>100型精品机制砂系统工作时噪音应该符合《建筑机械与设备噪声限值》（JG/T 5079.1-1996）规定。</w:t>
      </w:r>
    </w:p>
    <w:p>
      <w:pPr>
        <w:spacing w:line="500" w:lineRule="exact"/>
        <w:ind w:firstLine="480" w:firstLineChars="200"/>
        <w:outlineLvl w:val="3"/>
        <w:rPr>
          <w:rFonts w:ascii="宋体" w:hAnsi="宋体"/>
          <w:color w:val="0000FF"/>
          <w:sz w:val="24"/>
        </w:rPr>
      </w:pPr>
      <w:r>
        <w:rPr>
          <w:rFonts w:hint="eastAsia" w:ascii="宋体" w:hAnsi="宋体"/>
          <w:color w:val="0000FF"/>
          <w:sz w:val="24"/>
        </w:rPr>
        <w:t>2.3.2粉尘</w:t>
      </w:r>
    </w:p>
    <w:p>
      <w:pPr>
        <w:spacing w:line="500" w:lineRule="exact"/>
        <w:ind w:firstLine="480" w:firstLineChars="200"/>
        <w:rPr>
          <w:rFonts w:ascii="宋体" w:hAnsi="宋体"/>
          <w:color w:val="0000FF"/>
          <w:sz w:val="24"/>
        </w:rPr>
      </w:pPr>
      <w:r>
        <w:rPr>
          <w:rFonts w:hint="eastAsia" w:ascii="宋体" w:hAnsi="宋体"/>
          <w:color w:val="0000FF"/>
          <w:sz w:val="24"/>
        </w:rPr>
        <w:t>应符合水泥工业大气污染物排放标准GB 4915-2013规定:排气筒大气污染物排放限值颗粒物小于20mg/m</w:t>
      </w:r>
      <w:r>
        <w:rPr>
          <w:rFonts w:hint="eastAsia" w:ascii="宋体" w:hAnsi="宋体"/>
          <w:color w:val="0000FF"/>
          <w:sz w:val="24"/>
          <w:vertAlign w:val="superscript"/>
        </w:rPr>
        <w:t>3</w:t>
      </w:r>
      <w:r>
        <w:rPr>
          <w:rFonts w:hint="eastAsia" w:ascii="宋体" w:hAnsi="宋体"/>
          <w:color w:val="0000FF"/>
          <w:sz w:val="24"/>
        </w:rPr>
        <w:t>，无组织颗粒物排放小于0.5mg/m</w:t>
      </w:r>
      <w:r>
        <w:rPr>
          <w:rFonts w:hint="eastAsia" w:ascii="宋体" w:hAnsi="宋体"/>
          <w:color w:val="0000FF"/>
          <w:sz w:val="24"/>
          <w:vertAlign w:val="superscript"/>
        </w:rPr>
        <w:t>3</w:t>
      </w:r>
      <w:r>
        <w:rPr>
          <w:rFonts w:hint="eastAsia" w:ascii="宋体" w:hAnsi="宋体"/>
          <w:color w:val="0000FF"/>
          <w:sz w:val="24"/>
        </w:rPr>
        <w:t>。</w:t>
      </w:r>
    </w:p>
    <w:p>
      <w:pPr>
        <w:spacing w:line="500" w:lineRule="exact"/>
        <w:ind w:firstLine="480" w:firstLineChars="200"/>
        <w:outlineLvl w:val="3"/>
        <w:rPr>
          <w:rFonts w:ascii="宋体" w:hAnsi="宋体"/>
          <w:color w:val="0000FF"/>
          <w:sz w:val="24"/>
        </w:rPr>
      </w:pPr>
      <w:r>
        <w:rPr>
          <w:rFonts w:hint="eastAsia" w:ascii="宋体" w:hAnsi="宋体"/>
          <w:color w:val="0000FF"/>
          <w:sz w:val="24"/>
        </w:rPr>
        <w:t>2.3.3污水排放</w:t>
      </w:r>
    </w:p>
    <w:p>
      <w:pPr>
        <w:spacing w:line="500" w:lineRule="exact"/>
        <w:ind w:firstLine="480" w:firstLineChars="200"/>
        <w:rPr>
          <w:rFonts w:ascii="宋体" w:hAnsi="宋体"/>
          <w:color w:val="0000FF"/>
          <w:sz w:val="24"/>
        </w:rPr>
      </w:pPr>
      <w:r>
        <w:rPr>
          <w:rFonts w:hint="eastAsia" w:ascii="宋体" w:hAnsi="宋体"/>
          <w:color w:val="0000FF"/>
          <w:sz w:val="24"/>
        </w:rPr>
        <w:t>应符合国家《污水综合排放标准》(GB 8978-96)</w:t>
      </w:r>
    </w:p>
    <w:p>
      <w:pPr>
        <w:spacing w:line="500" w:lineRule="exact"/>
        <w:ind w:firstLine="480" w:firstLineChars="200"/>
        <w:outlineLvl w:val="2"/>
        <w:rPr>
          <w:rFonts w:ascii="宋体" w:hAnsi="宋体"/>
          <w:color w:val="0000FF"/>
          <w:sz w:val="24"/>
        </w:rPr>
      </w:pPr>
      <w:r>
        <w:rPr>
          <w:rFonts w:hint="eastAsia" w:ascii="宋体" w:hAnsi="宋体"/>
          <w:color w:val="0000FF"/>
          <w:sz w:val="24"/>
        </w:rPr>
        <w:t>2.4运输</w:t>
      </w:r>
    </w:p>
    <w:p>
      <w:pPr>
        <w:spacing w:line="500" w:lineRule="exact"/>
        <w:ind w:firstLine="480" w:firstLineChars="200"/>
        <w:rPr>
          <w:rFonts w:ascii="宋体" w:hAnsi="宋体"/>
          <w:color w:val="0000FF"/>
          <w:sz w:val="24"/>
        </w:rPr>
      </w:pPr>
      <w:r>
        <w:rPr>
          <w:rFonts w:hint="eastAsia" w:ascii="宋体" w:hAnsi="宋体"/>
          <w:color w:val="0000FF"/>
          <w:sz w:val="24"/>
        </w:rPr>
        <w:t>此项招标价包括设备运输费（运输费单列，须列明设备厂家到建设单位运输距离）</w:t>
      </w:r>
    </w:p>
    <w:p>
      <w:pPr>
        <w:spacing w:line="500" w:lineRule="exact"/>
        <w:ind w:firstLine="480" w:firstLineChars="200"/>
        <w:outlineLvl w:val="2"/>
        <w:rPr>
          <w:rFonts w:ascii="宋体" w:hAnsi="宋体"/>
          <w:color w:val="0000FF"/>
          <w:sz w:val="24"/>
        </w:rPr>
      </w:pPr>
      <w:r>
        <w:rPr>
          <w:rFonts w:hint="eastAsia" w:ascii="宋体" w:hAnsi="宋体"/>
          <w:color w:val="0000FF"/>
          <w:sz w:val="24"/>
        </w:rPr>
        <w:t>2.5吊装</w:t>
      </w:r>
    </w:p>
    <w:p>
      <w:pPr>
        <w:spacing w:line="500" w:lineRule="exact"/>
        <w:ind w:firstLine="480" w:firstLineChars="200"/>
        <w:rPr>
          <w:rFonts w:ascii="宋体" w:hAnsi="宋体"/>
          <w:color w:val="0000FF"/>
          <w:sz w:val="24"/>
        </w:rPr>
      </w:pPr>
      <w:r>
        <w:rPr>
          <w:rFonts w:hint="eastAsia" w:ascii="宋体" w:hAnsi="宋体"/>
          <w:color w:val="0000FF"/>
          <w:sz w:val="24"/>
        </w:rPr>
        <w:t>此项招标价包含吊装费。</w:t>
      </w:r>
    </w:p>
    <w:p>
      <w:pPr>
        <w:spacing w:line="500" w:lineRule="exact"/>
        <w:ind w:firstLine="480" w:firstLineChars="200"/>
        <w:rPr>
          <w:rFonts w:ascii="宋体" w:hAnsi="宋体"/>
          <w:color w:val="0000FF"/>
          <w:sz w:val="24"/>
        </w:rPr>
        <w:sectPr>
          <w:footerReference r:id="rId6" w:type="first"/>
          <w:footerReference r:id="rId5" w:type="default"/>
          <w:pgSz w:w="11906" w:h="16838"/>
          <w:pgMar w:top="1361" w:right="1474" w:bottom="1418" w:left="1361" w:header="851" w:footer="992" w:gutter="0"/>
          <w:pgNumType w:fmt="decimal" w:start="1"/>
          <w:cols w:space="720" w:num="1"/>
          <w:titlePg/>
          <w:docGrid w:type="lines" w:linePitch="312" w:charSpace="0"/>
        </w:sectPr>
      </w:pP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三、制砂系统主要技术参数、配置要求及制作要求</w:t>
      </w:r>
    </w:p>
    <w:p>
      <w:pPr>
        <w:spacing w:line="500" w:lineRule="exact"/>
        <w:ind w:firstLine="480" w:firstLineChars="200"/>
        <w:outlineLvl w:val="2"/>
        <w:rPr>
          <w:rFonts w:ascii="宋体" w:hAnsi="宋体"/>
          <w:color w:val="0000FF"/>
          <w:sz w:val="24"/>
        </w:rPr>
      </w:pPr>
      <w:r>
        <w:rPr>
          <w:rFonts w:hint="eastAsia" w:ascii="宋体" w:hAnsi="宋体"/>
          <w:color w:val="0000FF"/>
          <w:sz w:val="24"/>
        </w:rPr>
        <w:t>3.1生产能力：单条</w:t>
      </w:r>
      <w:r>
        <w:rPr>
          <w:rFonts w:hint="eastAsia" w:ascii="宋体" w:hAnsi="宋体" w:cs="宋体"/>
          <w:color w:val="0000FF"/>
          <w:kern w:val="0"/>
          <w:sz w:val="24"/>
        </w:rPr>
        <w:t>机制砂</w:t>
      </w:r>
      <w:r>
        <w:rPr>
          <w:rFonts w:hint="eastAsia" w:ascii="宋体" w:hAnsi="宋体" w:cs="宋体"/>
          <w:color w:val="0000FF"/>
          <w:kern w:val="0"/>
          <w:sz w:val="24"/>
          <w:lang w:val="en-US" w:eastAsia="zh-CN"/>
        </w:rPr>
        <w:t>理论</w:t>
      </w:r>
      <w:r>
        <w:rPr>
          <w:rFonts w:hint="eastAsia" w:ascii="宋体" w:hAnsi="宋体" w:cs="宋体"/>
          <w:color w:val="0000FF"/>
          <w:kern w:val="0"/>
          <w:sz w:val="24"/>
        </w:rPr>
        <w:t>入料量100t/h</w:t>
      </w:r>
      <w:r>
        <w:rPr>
          <w:rFonts w:hint="eastAsia" w:ascii="宋体" w:hAnsi="宋体"/>
          <w:color w:val="0000FF"/>
          <w:sz w:val="24"/>
        </w:rPr>
        <w:t>。</w:t>
      </w:r>
      <w:r>
        <w:rPr>
          <w:rFonts w:hint="eastAsia" w:ascii="宋体" w:hAnsi="宋体"/>
          <w:color w:val="0000FF"/>
          <w:sz w:val="24"/>
        </w:rPr>
        <w:tab/>
      </w:r>
    </w:p>
    <w:p>
      <w:pPr>
        <w:spacing w:line="500" w:lineRule="exact"/>
        <w:ind w:firstLine="480" w:firstLineChars="200"/>
        <w:rPr>
          <w:rFonts w:ascii="宋体" w:hAnsi="宋体"/>
          <w:color w:val="0000FF"/>
          <w:sz w:val="24"/>
        </w:rPr>
      </w:pPr>
      <w:r>
        <w:rPr>
          <w:rFonts w:hint="eastAsia" w:ascii="宋体" w:hAnsi="宋体"/>
          <w:color w:val="0000FF"/>
          <w:sz w:val="24"/>
        </w:rPr>
        <w:t>3.2产品质量：</w:t>
      </w:r>
      <w:r>
        <w:rPr>
          <w:rFonts w:hint="eastAsia" w:ascii="宋体" w:hAnsi="宋体" w:cs="宋体"/>
          <w:color w:val="0000FF"/>
          <w:kern w:val="0"/>
          <w:sz w:val="24"/>
        </w:rPr>
        <w:t>机制砂质量指标满足GB T14684-2011建设用砂(2)规范要求，细度模数在2.3~3.0可调、砂子中石粉含量在5%~15%可调，级配满足Ⅰ类机制砂级配2区要求（详见机制砂级配表），砂粒形圆度良好，含水均匀保持饱和面干状态；</w:t>
      </w:r>
      <w:r>
        <w:rPr>
          <w:rFonts w:ascii="宋体" w:hAnsi="宋体"/>
          <w:color w:val="0000FF"/>
          <w:sz w:val="24"/>
        </w:rPr>
        <w:t xml:space="preserve"> </w:t>
      </w:r>
    </w:p>
    <w:p>
      <w:pPr>
        <w:spacing w:line="500" w:lineRule="exact"/>
        <w:ind w:firstLine="480" w:firstLineChars="200"/>
        <w:rPr>
          <w:rFonts w:ascii="宋体" w:hAnsi="宋体"/>
          <w:color w:val="0000FF"/>
          <w:sz w:val="24"/>
        </w:rPr>
      </w:pPr>
      <w:r>
        <w:rPr>
          <w:rFonts w:hint="eastAsia" w:ascii="宋体" w:hAnsi="宋体"/>
          <w:color w:val="0000FF"/>
          <w:sz w:val="24"/>
        </w:rPr>
        <w:t>3.3配置：主要技术要求见下表。</w:t>
      </w:r>
    </w:p>
    <w:tbl>
      <w:tblPr>
        <w:tblStyle w:val="47"/>
        <w:tblW w:w="1432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21"/>
        <w:gridCol w:w="1697"/>
        <w:gridCol w:w="2835"/>
        <w:gridCol w:w="897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序号</w:t>
            </w:r>
          </w:p>
        </w:tc>
        <w:tc>
          <w:tcPr>
            <w:tcW w:w="1697"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名称</w:t>
            </w:r>
          </w:p>
        </w:tc>
        <w:tc>
          <w:tcPr>
            <w:tcW w:w="2835"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分项名称</w:t>
            </w:r>
          </w:p>
        </w:tc>
        <w:tc>
          <w:tcPr>
            <w:tcW w:w="8975"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技术要求</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821" w:type="dxa"/>
            <w:vAlign w:val="center"/>
          </w:tcPr>
          <w:p>
            <w:pPr>
              <w:jc w:val="center"/>
              <w:rPr>
                <w:rFonts w:ascii="宋体" w:hAnsi="宋体"/>
                <w:color w:val="0000FF"/>
                <w:sz w:val="24"/>
              </w:rPr>
            </w:pPr>
            <w:r>
              <w:rPr>
                <w:rFonts w:hint="eastAsia" w:ascii="宋体" w:hAnsi="宋体"/>
                <w:color w:val="0000FF"/>
                <w:sz w:val="24"/>
              </w:rPr>
              <w:t>1</w:t>
            </w:r>
          </w:p>
        </w:tc>
        <w:tc>
          <w:tcPr>
            <w:tcW w:w="1697" w:type="dxa"/>
            <w:vAlign w:val="center"/>
          </w:tcPr>
          <w:p>
            <w:pPr>
              <w:jc w:val="center"/>
              <w:rPr>
                <w:rFonts w:ascii="宋体" w:hAnsi="宋体"/>
                <w:color w:val="0000FF"/>
                <w:sz w:val="24"/>
              </w:rPr>
            </w:pPr>
            <w:r>
              <w:rPr>
                <w:rFonts w:hint="eastAsia" w:ascii="宋体" w:hAnsi="宋体"/>
                <w:color w:val="0000FF"/>
                <w:sz w:val="24"/>
              </w:rPr>
              <w:t>制砂楼上料及输送系统</w:t>
            </w:r>
          </w:p>
        </w:tc>
        <w:tc>
          <w:tcPr>
            <w:tcW w:w="2835" w:type="dxa"/>
            <w:vAlign w:val="center"/>
          </w:tcPr>
          <w:p>
            <w:pPr>
              <w:jc w:val="center"/>
              <w:rPr>
                <w:rFonts w:ascii="宋体" w:hAnsi="宋体"/>
                <w:color w:val="0000FF"/>
                <w:sz w:val="24"/>
              </w:rPr>
            </w:pPr>
            <w:r>
              <w:rPr>
                <w:rFonts w:hint="eastAsia" w:ascii="宋体" w:hAnsi="宋体"/>
                <w:color w:val="0000FF"/>
                <w:sz w:val="24"/>
              </w:rPr>
              <w:t>皮带输送机、提升机</w:t>
            </w:r>
          </w:p>
        </w:tc>
        <w:tc>
          <w:tcPr>
            <w:tcW w:w="8975" w:type="dxa"/>
            <w:vAlign w:val="center"/>
          </w:tcPr>
          <w:p>
            <w:pPr>
              <w:pStyle w:val="42"/>
              <w:numPr>
                <w:ilvl w:val="0"/>
                <w:numId w:val="8"/>
              </w:numPr>
              <w:rPr>
                <w:color w:val="0000FF"/>
              </w:rPr>
            </w:pPr>
            <w:r>
              <w:rPr>
                <w:rFonts w:hint="eastAsia"/>
                <w:color w:val="0000FF"/>
              </w:rPr>
              <w:t>能满足定量给料要求，上料皮带长按实际施工图定,输送能力应与制砂系统处理能力及给料要求配套，要求变频调速。</w:t>
            </w:r>
          </w:p>
          <w:p>
            <w:pPr>
              <w:pStyle w:val="42"/>
              <w:numPr>
                <w:ilvl w:val="0"/>
                <w:numId w:val="8"/>
              </w:numPr>
              <w:rPr>
                <w:color w:val="0000FF"/>
              </w:rPr>
            </w:pPr>
            <w:r>
              <w:rPr>
                <w:rFonts w:hint="eastAsia"/>
                <w:color w:val="0000FF"/>
              </w:rPr>
              <w:t>皮带机配置单边拉绳开关、防跑偏开关、逆止器，采用</w:t>
            </w:r>
            <w:r>
              <w:rPr>
                <w:color w:val="0000FF"/>
              </w:rPr>
              <w:t>硫化橡</w:t>
            </w:r>
            <w:r>
              <w:rPr>
                <w:rFonts w:hint="eastAsia"/>
                <w:color w:val="0000FF"/>
              </w:rPr>
              <w:t>胶</w:t>
            </w:r>
            <w:r>
              <w:rPr>
                <w:color w:val="0000FF"/>
              </w:rPr>
              <w:t>覆面</w:t>
            </w:r>
            <w:r>
              <w:rPr>
                <w:rFonts w:hint="eastAsia"/>
                <w:color w:val="0000FF"/>
              </w:rPr>
              <w:t>滚筒，滚筒采用外置式节能高效电机，防护等级IP54以上。与制砂系统处理能力及给料要求配套。</w:t>
            </w:r>
          </w:p>
          <w:p>
            <w:pPr>
              <w:pStyle w:val="42"/>
              <w:numPr>
                <w:ilvl w:val="0"/>
                <w:numId w:val="8"/>
              </w:numPr>
              <w:rPr>
                <w:color w:val="0000FF"/>
              </w:rPr>
            </w:pPr>
            <w:r>
              <w:rPr>
                <w:rFonts w:hint="eastAsia"/>
                <w:color w:val="0000FF"/>
              </w:rPr>
              <w:t>斗式提升机采用国内一线斗提机厂家的产品(在杭州建德、江苏广能、杭州博宇中选择)。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4" w:hRule="atLeast"/>
        </w:trPr>
        <w:tc>
          <w:tcPr>
            <w:tcW w:w="821" w:type="dxa"/>
            <w:vAlign w:val="center"/>
          </w:tcPr>
          <w:p>
            <w:pPr>
              <w:jc w:val="center"/>
              <w:rPr>
                <w:rFonts w:ascii="宋体" w:hAnsi="宋体"/>
                <w:color w:val="0000FF"/>
                <w:sz w:val="24"/>
              </w:rPr>
            </w:pPr>
            <w:r>
              <w:rPr>
                <w:rFonts w:hint="eastAsia" w:ascii="宋体" w:hAnsi="宋体"/>
                <w:color w:val="0000FF"/>
                <w:sz w:val="24"/>
              </w:rPr>
              <w:t>2</w:t>
            </w:r>
          </w:p>
        </w:tc>
        <w:tc>
          <w:tcPr>
            <w:tcW w:w="1697" w:type="dxa"/>
            <w:vAlign w:val="center"/>
          </w:tcPr>
          <w:p>
            <w:pPr>
              <w:jc w:val="center"/>
              <w:rPr>
                <w:rFonts w:ascii="宋体" w:hAnsi="宋体"/>
                <w:color w:val="0000FF"/>
                <w:sz w:val="24"/>
              </w:rPr>
            </w:pPr>
            <w:r>
              <w:rPr>
                <w:rFonts w:hint="eastAsia" w:ascii="宋体" w:hAnsi="宋体"/>
                <w:color w:val="0000FF"/>
                <w:sz w:val="24"/>
              </w:rPr>
              <w:t>制砂机</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采用立轴冲击式破碎机。制砂机采用稀油润滑。</w:t>
            </w:r>
            <w:r>
              <w:rPr>
                <w:rFonts w:ascii="Helvetica" w:hAnsi="Helvetica" w:cs="Helvetica"/>
                <w:color w:val="0000FF"/>
                <w:szCs w:val="21"/>
                <w:shd w:val="clear" w:color="auto" w:fill="FFFFFF"/>
              </w:rPr>
              <w:t>优选制砂机下置式</w:t>
            </w:r>
            <w:r>
              <w:rPr>
                <w:rFonts w:hint="eastAsia" w:ascii="Helvetica" w:hAnsi="Helvetica" w:cs="Helvetica"/>
                <w:color w:val="0000FF"/>
                <w:szCs w:val="21"/>
                <w:shd w:val="clear" w:color="auto" w:fill="FFFFFF"/>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63" w:hRule="atLeast"/>
        </w:trPr>
        <w:tc>
          <w:tcPr>
            <w:tcW w:w="821" w:type="dxa"/>
            <w:vAlign w:val="center"/>
          </w:tcPr>
          <w:p>
            <w:pPr>
              <w:jc w:val="center"/>
              <w:rPr>
                <w:rFonts w:ascii="宋体" w:hAnsi="宋体"/>
                <w:color w:val="0000FF"/>
                <w:sz w:val="24"/>
              </w:rPr>
            </w:pPr>
            <w:r>
              <w:rPr>
                <w:rFonts w:hint="eastAsia" w:ascii="宋体" w:hAnsi="宋体"/>
                <w:color w:val="0000FF"/>
                <w:sz w:val="24"/>
              </w:rPr>
              <w:t>3</w:t>
            </w:r>
          </w:p>
        </w:tc>
        <w:tc>
          <w:tcPr>
            <w:tcW w:w="1697" w:type="dxa"/>
            <w:vAlign w:val="center"/>
          </w:tcPr>
          <w:p>
            <w:pPr>
              <w:jc w:val="center"/>
              <w:rPr>
                <w:rFonts w:ascii="宋体" w:hAnsi="宋体"/>
                <w:color w:val="0000FF"/>
                <w:sz w:val="24"/>
              </w:rPr>
            </w:pPr>
            <w:r>
              <w:rPr>
                <w:rFonts w:hint="eastAsia" w:ascii="宋体" w:hAnsi="宋体"/>
                <w:color w:val="0000FF"/>
                <w:sz w:val="24"/>
              </w:rPr>
              <w:t>筛分系统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采用4层概率筛，能对机制砂产品的级配进行精确控制。</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21" w:type="dxa"/>
            <w:vAlign w:val="center"/>
          </w:tcPr>
          <w:p>
            <w:pPr>
              <w:jc w:val="center"/>
              <w:rPr>
                <w:rFonts w:ascii="宋体" w:hAnsi="宋体"/>
                <w:color w:val="0000FF"/>
                <w:sz w:val="24"/>
              </w:rPr>
            </w:pPr>
            <w:r>
              <w:rPr>
                <w:rFonts w:hint="eastAsia" w:ascii="宋体" w:hAnsi="宋体"/>
                <w:color w:val="0000FF"/>
                <w:sz w:val="24"/>
              </w:rPr>
              <w:t>4</w:t>
            </w:r>
          </w:p>
        </w:tc>
        <w:tc>
          <w:tcPr>
            <w:tcW w:w="1697" w:type="dxa"/>
            <w:vAlign w:val="center"/>
          </w:tcPr>
          <w:p>
            <w:pPr>
              <w:jc w:val="center"/>
              <w:rPr>
                <w:rFonts w:ascii="宋体" w:hAnsi="宋体"/>
                <w:color w:val="0000FF"/>
                <w:sz w:val="24"/>
              </w:rPr>
            </w:pPr>
            <w:r>
              <w:rPr>
                <w:rFonts w:hint="eastAsia" w:ascii="宋体" w:hAnsi="宋体"/>
                <w:color w:val="0000FF"/>
                <w:sz w:val="24"/>
              </w:rPr>
              <w:t>除粉系统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能精确控制砂子中石粉含量在5%~15%，石粉罐有效容积不小于120立方，配置粉料散装系统及粉料料位计等。</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821" w:type="dxa"/>
            <w:vAlign w:val="center"/>
          </w:tcPr>
          <w:p>
            <w:pPr>
              <w:jc w:val="center"/>
              <w:rPr>
                <w:rFonts w:ascii="宋体" w:hAnsi="宋体"/>
                <w:color w:val="0000FF"/>
                <w:sz w:val="24"/>
              </w:rPr>
            </w:pPr>
            <w:r>
              <w:rPr>
                <w:rFonts w:hint="eastAsia" w:ascii="宋体" w:hAnsi="宋体"/>
                <w:color w:val="0000FF"/>
                <w:sz w:val="24"/>
              </w:rPr>
              <w:t>6</w:t>
            </w:r>
          </w:p>
        </w:tc>
        <w:tc>
          <w:tcPr>
            <w:tcW w:w="1697" w:type="dxa"/>
            <w:vAlign w:val="center"/>
          </w:tcPr>
          <w:p>
            <w:pPr>
              <w:jc w:val="center"/>
              <w:rPr>
                <w:rFonts w:ascii="宋体" w:hAnsi="宋体"/>
                <w:color w:val="0000FF"/>
                <w:sz w:val="24"/>
              </w:rPr>
            </w:pPr>
            <w:r>
              <w:rPr>
                <w:rFonts w:hint="eastAsia" w:ascii="宋体" w:hAnsi="宋体"/>
                <w:color w:val="0000FF"/>
                <w:sz w:val="24"/>
              </w:rPr>
              <w:t>低压配电及控制系统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采用PLC集中控制，能对机制砂生产系统运行情况进行监控及操作。</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vAlign w:val="center"/>
          </w:tcPr>
          <w:p>
            <w:pPr>
              <w:jc w:val="center"/>
              <w:rPr>
                <w:rFonts w:ascii="宋体" w:hAnsi="宋体"/>
                <w:color w:val="0000FF"/>
                <w:sz w:val="24"/>
              </w:rPr>
            </w:pPr>
            <w:r>
              <w:rPr>
                <w:rFonts w:hint="eastAsia" w:ascii="宋体" w:hAnsi="宋体"/>
                <w:color w:val="0000FF"/>
                <w:sz w:val="24"/>
              </w:rPr>
              <w:t>7</w:t>
            </w:r>
          </w:p>
        </w:tc>
        <w:tc>
          <w:tcPr>
            <w:tcW w:w="1697" w:type="dxa"/>
            <w:vAlign w:val="center"/>
          </w:tcPr>
          <w:p>
            <w:pPr>
              <w:jc w:val="center"/>
              <w:rPr>
                <w:rFonts w:ascii="宋体" w:hAnsi="宋体"/>
                <w:color w:val="0000FF"/>
                <w:sz w:val="24"/>
              </w:rPr>
            </w:pPr>
            <w:r>
              <w:rPr>
                <w:rFonts w:hint="eastAsia" w:ascii="宋体" w:hAnsi="宋体"/>
                <w:color w:val="0000FF"/>
                <w:sz w:val="24"/>
              </w:rPr>
              <w:t>除尘控制</w:t>
            </w:r>
          </w:p>
        </w:tc>
        <w:tc>
          <w:tcPr>
            <w:tcW w:w="2835" w:type="dxa"/>
            <w:vAlign w:val="center"/>
          </w:tcPr>
          <w:p>
            <w:pPr>
              <w:rPr>
                <w:rFonts w:ascii="宋体" w:hAnsi="宋体"/>
                <w:color w:val="0000FF"/>
                <w:sz w:val="24"/>
              </w:rPr>
            </w:pPr>
            <w:r>
              <w:rPr>
                <w:rFonts w:hint="eastAsia" w:ascii="宋体" w:hAnsi="宋体"/>
                <w:color w:val="0000FF"/>
                <w:sz w:val="24"/>
              </w:rPr>
              <w:t>袋式收尘</w:t>
            </w:r>
          </w:p>
        </w:tc>
        <w:tc>
          <w:tcPr>
            <w:tcW w:w="8975" w:type="dxa"/>
            <w:vAlign w:val="center"/>
          </w:tcPr>
          <w:p>
            <w:pPr>
              <w:rPr>
                <w:rFonts w:ascii="宋体" w:hAnsi="宋体"/>
                <w:color w:val="0000FF"/>
                <w:sz w:val="24"/>
              </w:rPr>
            </w:pPr>
            <w:r>
              <w:rPr>
                <w:rFonts w:hint="eastAsia" w:ascii="宋体" w:hAnsi="宋体"/>
                <w:color w:val="0000FF"/>
                <w:sz w:val="24"/>
              </w:rPr>
              <w:t>采用无动力风选。收尘器采用2019年起生产的江苏宝华、</w:t>
            </w:r>
            <w:r>
              <w:rPr>
                <w:rFonts w:hint="eastAsia" w:hAnsi="宋体"/>
                <w:color w:val="0000FF"/>
                <w:sz w:val="24"/>
              </w:rPr>
              <w:t>金华华东、盐城市兰丰等品牌产品，</w:t>
            </w:r>
            <w:r>
              <w:rPr>
                <w:rFonts w:hint="eastAsia" w:ascii="宋体" w:hAnsi="宋体"/>
                <w:color w:val="0000FF"/>
                <w:sz w:val="24"/>
              </w:rPr>
              <w:t>保证振打不少于100万次一线品牌厂家产品，制砂系统内所有扬尘部分均设置收尘管道，固体颗粒物有组织排放低于20mg/m</w:t>
            </w:r>
            <w:r>
              <w:rPr>
                <w:rFonts w:hint="eastAsia" w:ascii="宋体" w:hAnsi="宋体"/>
                <w:color w:val="0000FF"/>
                <w:sz w:val="24"/>
                <w:vertAlign w:val="superscript"/>
              </w:rPr>
              <w:t>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vAlign w:val="center"/>
          </w:tcPr>
          <w:p>
            <w:pPr>
              <w:jc w:val="center"/>
              <w:rPr>
                <w:rFonts w:ascii="宋体" w:hAnsi="宋体"/>
                <w:color w:val="0000FF"/>
                <w:sz w:val="24"/>
              </w:rPr>
            </w:pPr>
            <w:r>
              <w:rPr>
                <w:rFonts w:hint="eastAsia" w:ascii="宋体" w:hAnsi="宋体"/>
                <w:color w:val="0000FF"/>
                <w:sz w:val="24"/>
              </w:rPr>
              <w:t>8</w:t>
            </w:r>
          </w:p>
        </w:tc>
        <w:tc>
          <w:tcPr>
            <w:tcW w:w="1697" w:type="dxa"/>
            <w:vAlign w:val="center"/>
          </w:tcPr>
          <w:p>
            <w:pPr>
              <w:jc w:val="center"/>
              <w:rPr>
                <w:rFonts w:ascii="宋体" w:hAnsi="宋体"/>
                <w:color w:val="0000FF"/>
                <w:sz w:val="24"/>
              </w:rPr>
            </w:pPr>
            <w:r>
              <w:rPr>
                <w:rFonts w:hint="eastAsia" w:ascii="宋体" w:hAnsi="宋体"/>
                <w:color w:val="0000FF"/>
                <w:sz w:val="24"/>
              </w:rPr>
              <w:t>安全防护</w:t>
            </w:r>
          </w:p>
        </w:tc>
        <w:tc>
          <w:tcPr>
            <w:tcW w:w="2835" w:type="dxa"/>
            <w:vAlign w:val="center"/>
          </w:tcPr>
          <w:p>
            <w:pPr>
              <w:jc w:val="center"/>
              <w:rPr>
                <w:rFonts w:ascii="宋体" w:hAnsi="宋体"/>
                <w:color w:val="0000FF"/>
                <w:sz w:val="24"/>
              </w:rPr>
            </w:pPr>
            <w:r>
              <w:rPr>
                <w:rFonts w:hint="eastAsia" w:ascii="宋体" w:hAnsi="宋体"/>
                <w:color w:val="0000FF"/>
                <w:sz w:val="24"/>
              </w:rPr>
              <w:t>用电、机械伤害、高空防护等</w:t>
            </w:r>
          </w:p>
        </w:tc>
        <w:tc>
          <w:tcPr>
            <w:tcW w:w="8975" w:type="dxa"/>
            <w:vAlign w:val="center"/>
          </w:tcPr>
          <w:p>
            <w:pPr>
              <w:jc w:val="left"/>
              <w:rPr>
                <w:rFonts w:ascii="宋体" w:hAnsi="宋体"/>
                <w:color w:val="0000FF"/>
                <w:sz w:val="24"/>
              </w:rPr>
            </w:pPr>
            <w:r>
              <w:rPr>
                <w:rFonts w:hint="eastAsia" w:ascii="宋体" w:hAnsi="宋体"/>
                <w:color w:val="0000FF"/>
                <w:sz w:val="24"/>
              </w:rPr>
              <w:t>所有带电导体包括组成电器设备部份的导体都应该进行绝缘处理或用栅栏围或把它安装在可以防止危险发生的地方。所有旋转轴、联轴节、齿轮、飞轮、皮带轮和其它旋转部件应完全防护。所有高空人行通道、检修平台均须设置护栏、安全爬梯，符合安全规范要求。</w:t>
            </w:r>
          </w:p>
        </w:tc>
      </w:tr>
    </w:tbl>
    <w:p>
      <w:pPr>
        <w:spacing w:line="500" w:lineRule="exact"/>
        <w:ind w:firstLine="480" w:firstLineChars="200"/>
        <w:rPr>
          <w:rFonts w:ascii="宋体" w:hAnsi="宋体"/>
          <w:color w:val="0000FF"/>
          <w:sz w:val="24"/>
        </w:rPr>
      </w:pPr>
      <w:r>
        <w:rPr>
          <w:rFonts w:hint="eastAsia" w:ascii="宋体" w:hAnsi="宋体"/>
          <w:color w:val="0000FF"/>
          <w:sz w:val="24"/>
        </w:rPr>
        <w:t>3.5 建设用材标准</w:t>
      </w:r>
    </w:p>
    <w:tbl>
      <w:tblPr>
        <w:tblStyle w:val="47"/>
        <w:tblW w:w="14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2675"/>
        <w:gridCol w:w="10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序号</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名称</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1</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 xml:space="preserve">热轧板材 </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《热轧钢板和钢带尺寸、外形、重量及允许偏差》（GB/T709-2006）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2</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花纹钢板</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《花纹钢板》（GB/T3277-1991）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3</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热轧H型钢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《H型钢截面尺寸、截面面积、理论重量及截面特性》、《H型钢尺寸、外形允许偏差》(摘自《热轧H型钢和部分T型钢》GB/T11263-2005)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4</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热轧等边角钢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《热轧等边角钢截面尺寸、截面面积、理论重量及截面特性》、《角钢尺寸、外形允许偏差》（摘自《热轧型钢》GB/T706-2008）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5</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热轧槽钢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《热轧槽钢截面尺寸、截面面积、理论重量及截面特性》、《工字钢、槽钢尺寸、外形允许偏差》（摘自《热轧型钢》GB/T706-2008）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6</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热轧工字钢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《热轧工字钢截面尺寸、截面面积、理论重量及截面特性》、《工字钢、槽钢尺寸、外形允许偏差》（摘自《热轧型钢》GB/T706-2008）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7</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普通焊接钢管</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《普通焊接钢管尺寸及单位长度重量》（摘自《焊接钢管尺寸及单位长度重量》GB/T21835-2008）</w:t>
            </w:r>
          </w:p>
        </w:tc>
      </w:tr>
    </w:tbl>
    <w:p>
      <w:pPr>
        <w:spacing w:line="500" w:lineRule="exact"/>
        <w:ind w:firstLine="480" w:firstLineChars="200"/>
        <w:rPr>
          <w:rFonts w:ascii="宋体" w:hAnsi="宋体"/>
          <w:color w:val="0000FF"/>
          <w:sz w:val="24"/>
        </w:rPr>
      </w:pPr>
      <w:r>
        <w:rPr>
          <w:rFonts w:hint="eastAsia" w:ascii="宋体" w:hAnsi="宋体"/>
          <w:color w:val="0000FF"/>
          <w:sz w:val="24"/>
        </w:rPr>
        <w:t>3.6钢结构件要求</w:t>
      </w:r>
    </w:p>
    <w:p>
      <w:pPr>
        <w:spacing w:line="500" w:lineRule="exact"/>
        <w:ind w:firstLine="480" w:firstLineChars="200"/>
        <w:rPr>
          <w:rFonts w:ascii="宋体" w:hAnsi="宋体"/>
          <w:color w:val="0000FF"/>
          <w:sz w:val="24"/>
        </w:rPr>
      </w:pPr>
      <w:r>
        <w:rPr>
          <w:rFonts w:hint="eastAsia" w:ascii="宋体" w:hAnsi="宋体"/>
          <w:color w:val="0000FF"/>
          <w:sz w:val="24"/>
        </w:rPr>
        <w:t>3.6.1钢结构件的设计应符合《钢结构设计规范》（GB 50017-2003）有关规定;钢结构的制作、安装、验收应符合《钢结构工程施工质量验收规范》（GB 50205-2001）的有关规定;</w:t>
      </w:r>
    </w:p>
    <w:p>
      <w:pPr>
        <w:spacing w:line="500" w:lineRule="exact"/>
        <w:ind w:firstLine="480" w:firstLineChars="200"/>
        <w:rPr>
          <w:rFonts w:ascii="宋体" w:hAnsi="宋体"/>
          <w:color w:val="0000FF"/>
          <w:sz w:val="24"/>
        </w:rPr>
      </w:pPr>
      <w:r>
        <w:rPr>
          <w:rFonts w:hint="eastAsia" w:ascii="宋体" w:hAnsi="宋体"/>
          <w:color w:val="0000FF"/>
          <w:sz w:val="24"/>
        </w:rPr>
        <w:t>3.6.2可拆装式的钢结构件，对同规格、同类的结构件应有互换性。</w:t>
      </w:r>
    </w:p>
    <w:p>
      <w:pPr>
        <w:spacing w:line="500" w:lineRule="exact"/>
        <w:ind w:firstLine="480" w:firstLineChars="200"/>
        <w:outlineLvl w:val="1"/>
        <w:rPr>
          <w:rFonts w:ascii="宋体" w:hAnsi="宋体"/>
          <w:b/>
          <w:bCs/>
          <w:color w:val="0000FF"/>
          <w:sz w:val="24"/>
        </w:rPr>
      </w:pPr>
      <w:r>
        <w:rPr>
          <w:rFonts w:hint="eastAsia" w:ascii="宋体" w:hAnsi="宋体"/>
          <w:b/>
          <w:bCs/>
          <w:color w:val="0000FF"/>
          <w:sz w:val="24"/>
        </w:rPr>
        <w:t>四、项目建设范围与内容</w:t>
      </w:r>
    </w:p>
    <w:p>
      <w:pPr>
        <w:spacing w:line="500" w:lineRule="exact"/>
        <w:ind w:firstLine="480" w:firstLineChars="200"/>
        <w:outlineLvl w:val="2"/>
        <w:rPr>
          <w:rFonts w:ascii="宋体" w:hAnsi="宋体"/>
          <w:color w:val="0000FF"/>
          <w:sz w:val="24"/>
        </w:rPr>
      </w:pPr>
      <w:r>
        <w:rPr>
          <w:rFonts w:hint="eastAsia" w:ascii="宋体" w:hAnsi="宋体"/>
          <w:color w:val="0000FF"/>
          <w:sz w:val="24"/>
        </w:rPr>
        <w:t>4.1设计内容</w:t>
      </w:r>
    </w:p>
    <w:p>
      <w:pPr>
        <w:spacing w:line="500" w:lineRule="exact"/>
        <w:ind w:firstLine="480" w:firstLineChars="200"/>
        <w:rPr>
          <w:rFonts w:ascii="宋体" w:hAnsi="宋体"/>
          <w:color w:val="0000FF"/>
          <w:sz w:val="24"/>
        </w:rPr>
      </w:pPr>
      <w:r>
        <w:rPr>
          <w:rFonts w:hint="eastAsia" w:ascii="宋体" w:hAnsi="宋体"/>
          <w:color w:val="0000FF"/>
          <w:sz w:val="24"/>
        </w:rPr>
        <w:t>机制砂生产系统建设由中标单位按建设方的要求设计。</w:t>
      </w:r>
    </w:p>
    <w:p>
      <w:pPr>
        <w:spacing w:line="500" w:lineRule="exact"/>
        <w:ind w:firstLine="480" w:firstLineChars="200"/>
        <w:outlineLvl w:val="2"/>
        <w:rPr>
          <w:rFonts w:ascii="宋体" w:hAnsi="宋体"/>
          <w:color w:val="0000FF"/>
          <w:sz w:val="24"/>
        </w:rPr>
      </w:pPr>
      <w:r>
        <w:rPr>
          <w:rFonts w:hint="eastAsia" w:ascii="宋体" w:hAnsi="宋体"/>
          <w:color w:val="0000FF"/>
          <w:sz w:val="24"/>
        </w:rPr>
        <w:t>4.2土建工程</w:t>
      </w:r>
    </w:p>
    <w:p>
      <w:pPr>
        <w:spacing w:line="500" w:lineRule="exact"/>
        <w:ind w:firstLine="480" w:firstLineChars="200"/>
        <w:rPr>
          <w:rFonts w:ascii="宋体" w:hAnsi="宋体"/>
          <w:color w:val="0000FF"/>
          <w:sz w:val="24"/>
        </w:rPr>
      </w:pPr>
      <w:r>
        <w:rPr>
          <w:rFonts w:hint="eastAsia" w:ascii="宋体" w:hAnsi="宋体"/>
          <w:color w:val="0000FF"/>
          <w:sz w:val="24"/>
        </w:rPr>
        <w:t>设备基础土建部分由招标单位负责实施,设备基础的设计技术参数由设备中标单位提供,包括设备基础预埋件和防雷接地件.</w:t>
      </w:r>
    </w:p>
    <w:p>
      <w:pPr>
        <w:spacing w:line="500" w:lineRule="exact"/>
        <w:ind w:firstLine="480" w:firstLineChars="200"/>
        <w:outlineLvl w:val="2"/>
        <w:rPr>
          <w:rFonts w:ascii="宋体" w:hAnsi="宋体"/>
          <w:color w:val="0000FF"/>
          <w:sz w:val="24"/>
        </w:rPr>
      </w:pPr>
      <w:r>
        <w:rPr>
          <w:rFonts w:hint="eastAsia" w:ascii="宋体" w:hAnsi="宋体"/>
          <w:color w:val="0000FF"/>
          <w:sz w:val="24"/>
        </w:rPr>
        <w:t>4.3安装</w:t>
      </w:r>
    </w:p>
    <w:p>
      <w:pPr>
        <w:spacing w:line="500" w:lineRule="exact"/>
        <w:ind w:firstLine="480" w:firstLineChars="200"/>
        <w:rPr>
          <w:rFonts w:ascii="宋体" w:hAnsi="宋体"/>
          <w:color w:val="0000FF"/>
          <w:sz w:val="24"/>
        </w:rPr>
      </w:pPr>
      <w:r>
        <w:rPr>
          <w:rFonts w:hint="eastAsia" w:ascii="宋体" w:hAnsi="宋体"/>
          <w:color w:val="0000FF"/>
          <w:sz w:val="24"/>
        </w:rPr>
        <w:t>4.3.1机制砂生产系统涉及的全部水、电、气、机械设备安装。</w:t>
      </w:r>
    </w:p>
    <w:p>
      <w:pPr>
        <w:spacing w:line="500" w:lineRule="exact"/>
        <w:ind w:firstLine="480" w:firstLineChars="200"/>
        <w:rPr>
          <w:rFonts w:ascii="宋体" w:hAnsi="宋体"/>
          <w:color w:val="0000FF"/>
          <w:sz w:val="24"/>
        </w:rPr>
      </w:pPr>
      <w:r>
        <w:rPr>
          <w:rFonts w:hint="eastAsia" w:ascii="宋体" w:hAnsi="宋体"/>
          <w:color w:val="0000FF"/>
          <w:sz w:val="24"/>
        </w:rPr>
        <w:t>4.3.2设备调试、试运行、达标达产、配合竣工验收。</w:t>
      </w:r>
    </w:p>
    <w:p>
      <w:pPr>
        <w:spacing w:line="500" w:lineRule="exact"/>
        <w:ind w:firstLine="480" w:firstLineChars="200"/>
        <w:outlineLvl w:val="2"/>
        <w:rPr>
          <w:rFonts w:ascii="宋体" w:hAnsi="宋体"/>
          <w:color w:val="0000FF"/>
          <w:sz w:val="24"/>
        </w:rPr>
      </w:pPr>
      <w:r>
        <w:rPr>
          <w:rFonts w:hint="eastAsia" w:ascii="宋体" w:hAnsi="宋体"/>
          <w:color w:val="0000FF"/>
          <w:sz w:val="24"/>
        </w:rPr>
        <w:t>4.4业主负责的工程范围</w:t>
      </w:r>
    </w:p>
    <w:p>
      <w:pPr>
        <w:spacing w:line="500" w:lineRule="exact"/>
        <w:ind w:firstLine="480" w:firstLineChars="200"/>
        <w:rPr>
          <w:rFonts w:ascii="宋体" w:hAnsi="宋体"/>
          <w:color w:val="0000FF"/>
          <w:sz w:val="24"/>
        </w:rPr>
      </w:pPr>
      <w:r>
        <w:rPr>
          <w:rFonts w:hint="eastAsia" w:ascii="宋体" w:hAnsi="宋体"/>
          <w:color w:val="0000FF"/>
          <w:sz w:val="24"/>
        </w:rPr>
        <w:t>设备基础土建工程</w:t>
      </w: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五、项目设计的内容要求</w:t>
      </w:r>
    </w:p>
    <w:p>
      <w:pPr>
        <w:spacing w:line="500" w:lineRule="exact"/>
        <w:ind w:firstLine="480" w:firstLineChars="200"/>
        <w:outlineLvl w:val="2"/>
        <w:rPr>
          <w:rFonts w:ascii="宋体" w:hAnsi="宋体"/>
          <w:color w:val="0000FF"/>
          <w:sz w:val="24"/>
        </w:rPr>
      </w:pPr>
      <w:r>
        <w:rPr>
          <w:rFonts w:hint="eastAsia" w:ascii="宋体" w:hAnsi="宋体"/>
          <w:color w:val="0000FF"/>
          <w:sz w:val="24"/>
        </w:rPr>
        <w:t>5.1项目设计内容</w:t>
      </w:r>
    </w:p>
    <w:p>
      <w:pPr>
        <w:spacing w:line="500" w:lineRule="exact"/>
        <w:ind w:firstLine="480" w:firstLineChars="200"/>
        <w:rPr>
          <w:rFonts w:ascii="宋体" w:hAnsi="宋体"/>
          <w:color w:val="0000FF"/>
          <w:sz w:val="24"/>
        </w:rPr>
      </w:pPr>
      <w:r>
        <w:rPr>
          <w:rFonts w:hint="eastAsia" w:ascii="宋体" w:hAnsi="宋体"/>
          <w:color w:val="0000FF"/>
          <w:sz w:val="24"/>
        </w:rPr>
        <w:t>项目设计内容为上述由投标人负责建设内容的建筑、结构、工艺、设备、电气、自动化、照明施工设计及工程经济和工程概算的编制。</w:t>
      </w:r>
    </w:p>
    <w:p>
      <w:pPr>
        <w:spacing w:line="500" w:lineRule="exact"/>
        <w:ind w:firstLine="480" w:firstLineChars="200"/>
        <w:outlineLvl w:val="2"/>
        <w:rPr>
          <w:rFonts w:ascii="宋体" w:hAnsi="宋体"/>
          <w:color w:val="0000FF"/>
          <w:sz w:val="24"/>
        </w:rPr>
      </w:pPr>
      <w:r>
        <w:rPr>
          <w:rFonts w:hint="eastAsia" w:ascii="宋体" w:hAnsi="宋体"/>
          <w:color w:val="0000FF"/>
          <w:sz w:val="24"/>
        </w:rPr>
        <w:t>5.2 项目设计原则</w:t>
      </w:r>
    </w:p>
    <w:p>
      <w:pPr>
        <w:spacing w:line="500" w:lineRule="exact"/>
        <w:ind w:firstLine="480" w:firstLineChars="200"/>
        <w:rPr>
          <w:rFonts w:ascii="宋体" w:hAnsi="宋体"/>
          <w:color w:val="0000FF"/>
          <w:sz w:val="24"/>
        </w:rPr>
      </w:pPr>
      <w:r>
        <w:rPr>
          <w:rFonts w:hint="eastAsia" w:ascii="宋体" w:hAnsi="宋体"/>
          <w:color w:val="0000FF"/>
          <w:sz w:val="24"/>
        </w:rPr>
        <w:t>项目设计应符合国家相关标准，并满足建设方招标书要求。</w:t>
      </w: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六、岗位技术培训要求</w:t>
      </w:r>
    </w:p>
    <w:p>
      <w:pPr>
        <w:spacing w:line="500" w:lineRule="exact"/>
        <w:ind w:firstLine="480" w:firstLineChars="200"/>
        <w:rPr>
          <w:rFonts w:ascii="宋体" w:hAnsi="宋体"/>
          <w:color w:val="0000FF"/>
          <w:sz w:val="24"/>
        </w:rPr>
      </w:pPr>
      <w:r>
        <w:rPr>
          <w:rFonts w:hint="eastAsia" w:ascii="宋体" w:hAnsi="宋体"/>
          <w:color w:val="0000FF"/>
          <w:sz w:val="24"/>
        </w:rPr>
        <w:t>为保证制砂生产线系统正常运行，中标单位应对建设单位操作人员进行岗位技术培训，培训应分为理论培训、操作培训、维护维修培训。应通过培训使建设单位相关员工达到下列要求：</w:t>
      </w:r>
    </w:p>
    <w:p>
      <w:pPr>
        <w:spacing w:line="500" w:lineRule="exact"/>
        <w:ind w:firstLine="480" w:firstLineChars="200"/>
        <w:rPr>
          <w:rFonts w:ascii="宋体" w:hAnsi="宋体"/>
          <w:color w:val="0000FF"/>
          <w:sz w:val="24"/>
        </w:rPr>
      </w:pPr>
      <w:r>
        <w:rPr>
          <w:rFonts w:hint="eastAsia" w:ascii="宋体" w:hAnsi="宋体"/>
          <w:color w:val="0000FF"/>
          <w:sz w:val="24"/>
        </w:rPr>
        <w:t>6.1、熟悉工艺流程、工作原理；</w:t>
      </w:r>
    </w:p>
    <w:p>
      <w:pPr>
        <w:spacing w:line="500" w:lineRule="exact"/>
        <w:ind w:firstLine="480" w:firstLineChars="200"/>
        <w:rPr>
          <w:rFonts w:ascii="宋体" w:hAnsi="宋体"/>
          <w:color w:val="0000FF"/>
          <w:sz w:val="24"/>
        </w:rPr>
      </w:pPr>
      <w:r>
        <w:rPr>
          <w:rFonts w:hint="eastAsia" w:ascii="宋体" w:hAnsi="宋体"/>
          <w:color w:val="0000FF"/>
          <w:sz w:val="24"/>
        </w:rPr>
        <w:t>6.2、熟悉操作步骤、程序，能够根据信息数据调整工艺参数；</w:t>
      </w:r>
    </w:p>
    <w:p>
      <w:pPr>
        <w:spacing w:line="500" w:lineRule="exact"/>
        <w:ind w:firstLine="480" w:firstLineChars="200"/>
        <w:rPr>
          <w:rFonts w:ascii="宋体" w:hAnsi="宋体"/>
          <w:color w:val="0000FF"/>
          <w:sz w:val="24"/>
        </w:rPr>
      </w:pPr>
      <w:r>
        <w:rPr>
          <w:rFonts w:hint="eastAsia" w:ascii="宋体" w:hAnsi="宋体"/>
          <w:color w:val="0000FF"/>
          <w:sz w:val="24"/>
        </w:rPr>
        <w:t>6.3、熟悉相关设备原理、型号、技术性能；</w:t>
      </w:r>
    </w:p>
    <w:p>
      <w:pPr>
        <w:spacing w:line="500" w:lineRule="exact"/>
        <w:ind w:firstLine="480" w:firstLineChars="200"/>
        <w:rPr>
          <w:rFonts w:ascii="宋体" w:hAnsi="宋体"/>
          <w:color w:val="0000FF"/>
          <w:sz w:val="24"/>
        </w:rPr>
      </w:pPr>
      <w:r>
        <w:rPr>
          <w:rFonts w:hint="eastAsia" w:ascii="宋体" w:hAnsi="宋体"/>
          <w:color w:val="0000FF"/>
          <w:sz w:val="24"/>
        </w:rPr>
        <w:t>6.4、能够独立维护设备，处理一般性故障及紧急事故的处理措施；</w:t>
      </w:r>
    </w:p>
    <w:p>
      <w:pPr>
        <w:spacing w:line="500" w:lineRule="exact"/>
        <w:ind w:firstLine="480" w:firstLineChars="200"/>
        <w:outlineLvl w:val="2"/>
        <w:rPr>
          <w:rFonts w:ascii="宋体" w:hAnsi="宋体"/>
          <w:color w:val="0000FF"/>
          <w:sz w:val="24"/>
        </w:rPr>
      </w:pPr>
      <w:r>
        <w:rPr>
          <w:rFonts w:hint="eastAsia" w:ascii="宋体" w:hAnsi="宋体"/>
          <w:color w:val="0000FF"/>
          <w:sz w:val="24"/>
        </w:rPr>
        <w:t>6.5、掌握安全操作相关知识和技能。</w:t>
      </w:r>
    </w:p>
    <w:p>
      <w:pPr>
        <w:spacing w:line="500" w:lineRule="exact"/>
        <w:ind w:firstLine="480" w:firstLineChars="200"/>
        <w:rPr>
          <w:rFonts w:ascii="宋体" w:hAnsi="宋体"/>
          <w:color w:val="0000FF"/>
          <w:sz w:val="24"/>
        </w:rPr>
        <w:sectPr>
          <w:footerReference r:id="rId8" w:type="first"/>
          <w:footerReference r:id="rId7" w:type="default"/>
          <w:pgSz w:w="16838" w:h="11906" w:orient="landscape"/>
          <w:pgMar w:top="1361" w:right="1361" w:bottom="1474" w:left="1418" w:header="851" w:footer="992" w:gutter="0"/>
          <w:pgNumType w:fmt="decimal"/>
          <w:cols w:space="720" w:num="1"/>
          <w:titlePg/>
          <w:docGrid w:type="linesAndChars" w:linePitch="312" w:charSpace="0"/>
        </w:sectPr>
      </w:pP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七、试验、调试及试运行要求</w:t>
      </w:r>
    </w:p>
    <w:p>
      <w:pPr>
        <w:spacing w:line="500" w:lineRule="exact"/>
        <w:ind w:firstLine="480" w:firstLineChars="200"/>
        <w:rPr>
          <w:rFonts w:ascii="宋体" w:hAnsi="宋体"/>
          <w:color w:val="0000FF"/>
          <w:sz w:val="24"/>
        </w:rPr>
      </w:pPr>
      <w:r>
        <w:rPr>
          <w:rFonts w:hint="eastAsia" w:ascii="宋体" w:hAnsi="宋体"/>
          <w:color w:val="0000FF"/>
          <w:sz w:val="24"/>
        </w:rPr>
        <w:t>对制砂生产线的有关试验、检测、调试和试运行负全面责任。生产线计量设备、生产线的防雷设施等应通过法定检测部门的检测并获取合格证书。</w:t>
      </w:r>
    </w:p>
    <w:p>
      <w:pPr>
        <w:spacing w:line="500" w:lineRule="exact"/>
        <w:ind w:firstLine="480" w:firstLineChars="200"/>
        <w:rPr>
          <w:rFonts w:ascii="宋体" w:hAnsi="宋体"/>
          <w:color w:val="0000FF"/>
          <w:sz w:val="24"/>
        </w:rPr>
      </w:pPr>
      <w:r>
        <w:rPr>
          <w:rFonts w:hint="eastAsia" w:ascii="宋体" w:hAnsi="宋体"/>
          <w:color w:val="0000FF"/>
          <w:sz w:val="24"/>
        </w:rPr>
        <w:t>通过制砂生产线的调试和试运行，保证系统能够正常、稳定运行，各项技术指标达到设计要求。系统调试过程中中标单位应对建设单位操作人员进行技术培训。</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八、运行达标</w:t>
      </w:r>
    </w:p>
    <w:p>
      <w:pPr>
        <w:spacing w:line="500" w:lineRule="exact"/>
        <w:ind w:firstLine="480" w:firstLineChars="200"/>
        <w:rPr>
          <w:rFonts w:ascii="宋体" w:hAnsi="宋体"/>
          <w:color w:val="0000FF"/>
          <w:sz w:val="24"/>
        </w:rPr>
      </w:pPr>
      <w:r>
        <w:rPr>
          <w:rFonts w:hint="eastAsia" w:ascii="宋体" w:hAnsi="宋体"/>
          <w:color w:val="0000FF"/>
          <w:sz w:val="24"/>
        </w:rPr>
        <w:t>制砂生产线系统调试完成，经试运行正常，投入正常运行后，由中标单位和业主单位共同提出验收申请。</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九、移交</w:t>
      </w:r>
    </w:p>
    <w:p>
      <w:pPr>
        <w:spacing w:line="500" w:lineRule="exact"/>
        <w:ind w:firstLine="480" w:firstLineChars="200"/>
        <w:outlineLvl w:val="2"/>
        <w:rPr>
          <w:rFonts w:ascii="宋体" w:hAnsi="宋体"/>
          <w:color w:val="0000FF"/>
          <w:sz w:val="24"/>
        </w:rPr>
      </w:pPr>
      <w:r>
        <w:rPr>
          <w:rFonts w:hint="eastAsia" w:ascii="宋体" w:hAnsi="宋体"/>
          <w:color w:val="0000FF"/>
          <w:sz w:val="24"/>
        </w:rPr>
        <w:t>10.1移交技术文件</w:t>
      </w:r>
    </w:p>
    <w:p>
      <w:pPr>
        <w:spacing w:line="500" w:lineRule="exact"/>
        <w:ind w:firstLine="480" w:firstLineChars="200"/>
        <w:rPr>
          <w:rFonts w:ascii="宋体" w:hAnsi="宋体"/>
          <w:color w:val="0000FF"/>
          <w:sz w:val="24"/>
        </w:rPr>
      </w:pPr>
      <w:r>
        <w:rPr>
          <w:rFonts w:hint="eastAsia" w:ascii="宋体" w:hAnsi="宋体"/>
          <w:color w:val="0000FF"/>
          <w:sz w:val="24"/>
        </w:rPr>
        <w:t>（1）、工艺设计施工图2套</w:t>
      </w:r>
    </w:p>
    <w:p>
      <w:pPr>
        <w:spacing w:line="500" w:lineRule="exact"/>
        <w:ind w:firstLine="480" w:firstLineChars="200"/>
        <w:rPr>
          <w:rFonts w:ascii="宋体" w:hAnsi="宋体"/>
          <w:color w:val="0000FF"/>
          <w:sz w:val="24"/>
        </w:rPr>
      </w:pPr>
      <w:r>
        <w:rPr>
          <w:rFonts w:hint="eastAsia" w:ascii="宋体" w:hAnsi="宋体"/>
          <w:color w:val="0000FF"/>
          <w:sz w:val="24"/>
        </w:rPr>
        <w:t>（2）、操作说明书2套</w:t>
      </w:r>
    </w:p>
    <w:p>
      <w:pPr>
        <w:spacing w:line="500" w:lineRule="exact"/>
        <w:ind w:firstLine="480" w:firstLineChars="200"/>
        <w:rPr>
          <w:rFonts w:ascii="宋体" w:hAnsi="宋体"/>
          <w:color w:val="0000FF"/>
          <w:sz w:val="24"/>
        </w:rPr>
      </w:pPr>
      <w:r>
        <w:rPr>
          <w:rFonts w:hint="eastAsia" w:ascii="宋体" w:hAnsi="宋体"/>
          <w:color w:val="0000FF"/>
          <w:sz w:val="24"/>
        </w:rPr>
        <w:t>（3）、系统设备明细2套</w:t>
      </w:r>
    </w:p>
    <w:p>
      <w:pPr>
        <w:spacing w:line="500" w:lineRule="exact"/>
        <w:ind w:firstLine="480" w:firstLineChars="200"/>
        <w:rPr>
          <w:rFonts w:ascii="宋体" w:hAnsi="宋体"/>
          <w:color w:val="0000FF"/>
          <w:sz w:val="24"/>
        </w:rPr>
      </w:pPr>
      <w:r>
        <w:rPr>
          <w:rFonts w:hint="eastAsia" w:ascii="宋体" w:hAnsi="宋体"/>
          <w:color w:val="0000FF"/>
          <w:sz w:val="24"/>
        </w:rPr>
        <w:t>（4）、设备合格证书1套</w:t>
      </w:r>
    </w:p>
    <w:p>
      <w:pPr>
        <w:spacing w:line="500" w:lineRule="exact"/>
        <w:ind w:firstLine="480" w:firstLineChars="200"/>
        <w:rPr>
          <w:rFonts w:ascii="宋体" w:hAnsi="宋体"/>
          <w:color w:val="0000FF"/>
          <w:sz w:val="24"/>
        </w:rPr>
      </w:pPr>
      <w:r>
        <w:rPr>
          <w:rFonts w:hint="eastAsia" w:ascii="宋体" w:hAnsi="宋体"/>
          <w:color w:val="0000FF"/>
          <w:sz w:val="24"/>
        </w:rPr>
        <w:t>（5）、其它必要的技术文件</w:t>
      </w:r>
    </w:p>
    <w:p>
      <w:pPr>
        <w:spacing w:line="500" w:lineRule="exact"/>
        <w:ind w:firstLine="480" w:firstLineChars="200"/>
        <w:rPr>
          <w:rFonts w:ascii="宋体" w:hAnsi="宋体"/>
          <w:color w:val="0000FF"/>
          <w:sz w:val="24"/>
        </w:rPr>
      </w:pPr>
      <w:r>
        <w:rPr>
          <w:rFonts w:hint="eastAsia" w:ascii="宋体" w:hAnsi="宋体"/>
          <w:color w:val="0000FF"/>
          <w:sz w:val="24"/>
        </w:rPr>
        <w:t>以上文件中的（2）项应同时提交电子版（光盘）2套</w:t>
      </w:r>
    </w:p>
    <w:p>
      <w:pPr>
        <w:spacing w:line="500" w:lineRule="exact"/>
        <w:ind w:firstLine="480" w:firstLineChars="200"/>
        <w:outlineLvl w:val="2"/>
        <w:rPr>
          <w:rFonts w:ascii="宋体" w:hAnsi="宋体"/>
          <w:color w:val="0000FF"/>
          <w:sz w:val="24"/>
        </w:rPr>
      </w:pPr>
      <w:r>
        <w:rPr>
          <w:rFonts w:hint="eastAsia" w:ascii="宋体" w:hAnsi="宋体"/>
          <w:color w:val="0000FF"/>
          <w:sz w:val="24"/>
        </w:rPr>
        <w:t>10.2竣工验收</w:t>
      </w:r>
    </w:p>
    <w:p>
      <w:pPr>
        <w:spacing w:line="500" w:lineRule="exact"/>
        <w:ind w:firstLine="480" w:firstLineChars="200"/>
        <w:rPr>
          <w:rFonts w:ascii="宋体" w:hAnsi="宋体"/>
          <w:color w:val="0000FF"/>
          <w:sz w:val="24"/>
        </w:rPr>
      </w:pPr>
      <w:r>
        <w:rPr>
          <w:rFonts w:hint="eastAsia" w:ascii="宋体" w:hAnsi="宋体"/>
          <w:color w:val="0000FF"/>
          <w:sz w:val="24"/>
        </w:rPr>
        <w:t>由业主组织验收合格后，出具相关验收合格报告。</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十、保修期服务要求</w:t>
      </w:r>
    </w:p>
    <w:p>
      <w:pPr>
        <w:spacing w:line="500" w:lineRule="exact"/>
        <w:ind w:firstLine="480" w:firstLineChars="200"/>
        <w:rPr>
          <w:rFonts w:ascii="宋体" w:hAnsi="宋体"/>
          <w:color w:val="0000FF"/>
          <w:sz w:val="24"/>
        </w:rPr>
      </w:pPr>
      <w:r>
        <w:rPr>
          <w:rFonts w:hint="eastAsia" w:ascii="宋体" w:hAnsi="宋体"/>
          <w:color w:val="0000FF"/>
          <w:sz w:val="24"/>
        </w:rPr>
        <w:t>系统各项指标达到设计标准后，应对系统提供保修服务，保修周期为1年，自验收合格当日起计。</w:t>
      </w:r>
    </w:p>
    <w:p>
      <w:pPr>
        <w:spacing w:line="500" w:lineRule="exact"/>
        <w:ind w:firstLine="480" w:firstLineChars="200"/>
        <w:rPr>
          <w:rFonts w:ascii="宋体" w:hAnsi="宋体"/>
          <w:color w:val="0000FF"/>
          <w:sz w:val="24"/>
          <w:u w:val="single"/>
        </w:rPr>
      </w:pPr>
      <w:r>
        <w:rPr>
          <w:rFonts w:hint="eastAsia" w:ascii="宋体" w:hAnsi="宋体"/>
          <w:color w:val="0000FF"/>
          <w:sz w:val="24"/>
          <w:u w:val="single"/>
        </w:rPr>
        <w:t>在保修期内，任何属于合同范围内的维修、更换设备及材料、备品备件供应、技术咨询、技术指导等的费用均包含在中标价款内。</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十一、其他要求</w:t>
      </w:r>
    </w:p>
    <w:p>
      <w:pPr>
        <w:spacing w:line="500" w:lineRule="exact"/>
        <w:ind w:firstLine="480" w:firstLineChars="200"/>
        <w:rPr>
          <w:rFonts w:ascii="宋体" w:hAnsi="宋体"/>
          <w:color w:val="0000FF"/>
          <w:sz w:val="24"/>
        </w:rPr>
      </w:pPr>
      <w:r>
        <w:rPr>
          <w:rFonts w:hint="eastAsia" w:ascii="宋体" w:hAnsi="宋体"/>
          <w:color w:val="0000FF"/>
          <w:sz w:val="24"/>
        </w:rPr>
        <w:t>13.1 在项目实施的阶段，须确保现场有足够的、合适的人员驻地进行工程建设；</w:t>
      </w:r>
    </w:p>
    <w:p>
      <w:pPr>
        <w:spacing w:line="500" w:lineRule="exact"/>
        <w:ind w:firstLine="480" w:firstLineChars="200"/>
        <w:rPr>
          <w:rFonts w:ascii="宋体" w:hAnsi="宋体"/>
          <w:color w:val="0000FF"/>
          <w:sz w:val="24"/>
        </w:rPr>
      </w:pPr>
      <w:r>
        <w:rPr>
          <w:rFonts w:hint="eastAsia" w:ascii="宋体" w:hAnsi="宋体"/>
          <w:color w:val="0000FF"/>
          <w:sz w:val="24"/>
        </w:rPr>
        <w:t>13.2 在保修期内，一旦控制系统和机械设备出现故障，应确保24小时内响应，36小时内排除故障；</w:t>
      </w:r>
    </w:p>
    <w:p>
      <w:pPr>
        <w:pStyle w:val="7"/>
        <w:shd w:val="clear"/>
        <w:jc w:val="center"/>
        <w:rPr>
          <w:rFonts w:ascii="黑体" w:hAnsi="黑体" w:eastAsia="黑体"/>
          <w:color w:val="000000" w:themeColor="text1"/>
          <w:sz w:val="32"/>
          <w:szCs w:val="32"/>
          <w:highlight w:val="none"/>
          <w14:textFill>
            <w14:solidFill>
              <w14:schemeClr w14:val="tx1"/>
            </w14:solidFill>
          </w14:textFill>
        </w:rPr>
      </w:pPr>
      <w:bookmarkStart w:id="45" w:name="_Toc78815074"/>
      <w:r>
        <w:rPr>
          <w:rFonts w:hint="eastAsia" w:ascii="黑体" w:hAnsi="黑体" w:eastAsia="黑体"/>
          <w:color w:val="000000" w:themeColor="text1"/>
          <w:sz w:val="32"/>
          <w:szCs w:val="32"/>
          <w:highlight w:val="none"/>
          <w14:textFill>
            <w14:solidFill>
              <w14:schemeClr w14:val="tx1"/>
            </w14:solidFill>
          </w14:textFill>
        </w:rPr>
        <w:t>第六章 政府采购合同</w:t>
      </w:r>
      <w:bookmarkEnd w:id="45"/>
    </w:p>
    <w:p>
      <w:pPr>
        <w:spacing w:line="560" w:lineRule="exact"/>
        <w:ind w:firstLine="1540" w:firstLineChars="550"/>
        <w:rPr>
          <w:rFonts w:hint="eastAsia" w:ascii="楷体_GB2312" w:eastAsia="楷体_GB2312"/>
          <w:sz w:val="28"/>
          <w:szCs w:val="28"/>
          <w:u w:val="single"/>
        </w:rPr>
      </w:pPr>
      <w:bookmarkStart w:id="46" w:name="_Toc27624"/>
      <w:bookmarkStart w:id="47" w:name="_Toc23520008"/>
    </w:p>
    <w:p>
      <w:pPr>
        <w:spacing w:line="1360" w:lineRule="exact"/>
        <w:jc w:val="center"/>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u w:val="single"/>
        </w:rPr>
        <w:t xml:space="preserve">                 </w:t>
      </w:r>
      <w:r>
        <w:rPr>
          <w:rFonts w:hint="eastAsia" w:ascii="方正小标宋简体" w:hAnsi="方正小标宋简体" w:eastAsia="方正小标宋简体" w:cs="方正小标宋简体"/>
          <w:sz w:val="52"/>
          <w:szCs w:val="52"/>
        </w:rPr>
        <w:t>项目</w:t>
      </w:r>
    </w:p>
    <w:p>
      <w:pPr>
        <w:spacing w:line="1360" w:lineRule="exact"/>
        <w:jc w:val="center"/>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采</w:t>
      </w:r>
      <w:r>
        <w:rPr>
          <w:rFonts w:hint="eastAsia" w:ascii="方正小标宋简体" w:hAnsi="方正小标宋简体" w:eastAsia="方正小标宋简体" w:cs="方正小标宋简体"/>
          <w:sz w:val="52"/>
          <w:szCs w:val="52"/>
          <w:lang w:val="en-US" w:eastAsia="zh-CN"/>
        </w:rPr>
        <w:t xml:space="preserve"> </w:t>
      </w:r>
      <w:r>
        <w:rPr>
          <w:rFonts w:hint="eastAsia" w:ascii="方正小标宋简体" w:hAnsi="方正小标宋简体" w:eastAsia="方正小标宋简体" w:cs="方正小标宋简体"/>
          <w:sz w:val="52"/>
          <w:szCs w:val="52"/>
        </w:rPr>
        <w:t>购</w:t>
      </w:r>
      <w:r>
        <w:rPr>
          <w:rFonts w:hint="eastAsia" w:ascii="方正小标宋简体" w:hAnsi="方正小标宋简体" w:eastAsia="方正小标宋简体" w:cs="方正小标宋简体"/>
          <w:sz w:val="52"/>
          <w:szCs w:val="52"/>
          <w:lang w:val="en-US" w:eastAsia="zh-CN"/>
        </w:rPr>
        <w:t xml:space="preserve"> </w:t>
      </w:r>
      <w:r>
        <w:rPr>
          <w:rFonts w:hint="eastAsia" w:ascii="方正小标宋简体" w:hAnsi="方正小标宋简体" w:eastAsia="方正小标宋简体" w:cs="方正小标宋简体"/>
          <w:sz w:val="52"/>
          <w:szCs w:val="52"/>
        </w:rPr>
        <w:t>合</w:t>
      </w:r>
      <w:r>
        <w:rPr>
          <w:rFonts w:hint="eastAsia" w:ascii="方正小标宋简体" w:hAnsi="方正小标宋简体" w:eastAsia="方正小标宋简体" w:cs="方正小标宋简体"/>
          <w:sz w:val="52"/>
          <w:szCs w:val="52"/>
          <w:lang w:val="en-US" w:eastAsia="zh-CN"/>
        </w:rPr>
        <w:t xml:space="preserve"> </w:t>
      </w:r>
      <w:r>
        <w:rPr>
          <w:rFonts w:hint="eastAsia" w:ascii="方正小标宋简体" w:hAnsi="方正小标宋简体" w:eastAsia="方正小标宋简体" w:cs="方正小标宋简体"/>
          <w:sz w:val="52"/>
          <w:szCs w:val="52"/>
        </w:rPr>
        <w:t>同</w:t>
      </w:r>
    </w:p>
    <w:p>
      <w:pPr>
        <w:spacing w:line="1360" w:lineRule="exact"/>
        <w:jc w:val="center"/>
        <w:rPr>
          <w:rFonts w:hint="eastAsia" w:ascii="宋体" w:hAnsi="宋体"/>
          <w:sz w:val="32"/>
          <w:szCs w:val="32"/>
        </w:rPr>
      </w:pPr>
      <w:r>
        <w:rPr>
          <w:rFonts w:hint="eastAsia" w:ascii="宋体" w:hAnsi="宋体"/>
          <w:sz w:val="32"/>
          <w:szCs w:val="32"/>
        </w:rPr>
        <w:t xml:space="preserve"> </w:t>
      </w:r>
    </w:p>
    <w:p>
      <w:pPr>
        <w:spacing w:line="560" w:lineRule="exact"/>
        <w:ind w:firstLine="1280" w:firstLineChars="400"/>
        <w:rPr>
          <w:rFonts w:hint="eastAsia" w:ascii="宋体" w:hAnsi="宋体"/>
          <w:sz w:val="32"/>
          <w:szCs w:val="32"/>
        </w:rPr>
      </w:pPr>
    </w:p>
    <w:p>
      <w:pPr>
        <w:spacing w:line="560" w:lineRule="exact"/>
        <w:ind w:firstLine="1280" w:firstLineChars="400"/>
        <w:rPr>
          <w:rFonts w:hint="eastAsia" w:ascii="宋体" w:hAnsi="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1767" w:firstLineChars="550"/>
        <w:textAlignment w:val="auto"/>
        <w:rPr>
          <w:rFonts w:hint="eastAsia" w:ascii="仿宋_GB2312" w:hAnsi="仿宋_GB2312" w:eastAsia="仿宋_GB2312" w:cs="仿宋_GB2312"/>
          <w:b/>
          <w:bCs/>
          <w:sz w:val="32"/>
          <w:szCs w:val="32"/>
          <w:u w:val="single"/>
        </w:rPr>
      </w:pPr>
      <w:r>
        <w:rPr>
          <w:rFonts w:hint="eastAsia" w:ascii="仿宋_GB2312" w:hAnsi="仿宋_GB2312" w:eastAsia="仿宋_GB2312" w:cs="仿宋_GB2312"/>
          <w:b/>
          <w:bCs/>
          <w:sz w:val="32"/>
          <w:szCs w:val="32"/>
        </w:rPr>
        <w:t>采 购 人：</w:t>
      </w:r>
      <w:r>
        <w:rPr>
          <w:rFonts w:hint="eastAsia" w:ascii="仿宋_GB2312" w:hAnsi="仿宋_GB2312" w:eastAsia="仿宋_GB2312" w:cs="仿宋_GB2312"/>
          <w:b/>
          <w:bCs/>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767" w:firstLineChars="550"/>
        <w:textAlignment w:val="auto"/>
        <w:rPr>
          <w:rFonts w:hint="eastAsia" w:ascii="仿宋_GB2312" w:hAnsi="仿宋_GB2312" w:eastAsia="仿宋_GB2312" w:cs="仿宋_GB2312"/>
          <w:b/>
          <w:bCs/>
          <w:sz w:val="32"/>
          <w:szCs w:val="32"/>
          <w:u w:val="single"/>
        </w:rPr>
      </w:pPr>
      <w:r>
        <w:rPr>
          <w:rFonts w:hint="eastAsia" w:ascii="仿宋_GB2312" w:hAnsi="仿宋_GB2312" w:eastAsia="仿宋_GB2312" w:cs="仿宋_GB2312"/>
          <w:b/>
          <w:bCs/>
          <w:sz w:val="32"/>
          <w:szCs w:val="32"/>
        </w:rPr>
        <w:t xml:space="preserve">供 应 </w:t>
      </w:r>
      <w:r>
        <w:rPr>
          <w:rFonts w:hint="eastAsia" w:ascii="仿宋_GB2312" w:hAnsi="仿宋_GB2312" w:eastAsia="仿宋_GB2312" w:cs="仿宋_GB2312"/>
          <w:b/>
          <w:bCs/>
          <w:sz w:val="32"/>
          <w:szCs w:val="32"/>
          <w:lang w:val="en-US" w:eastAsia="zh-CN"/>
        </w:rPr>
        <w:t>商</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767" w:firstLineChars="55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合同编号：</w:t>
      </w:r>
      <w:r>
        <w:rPr>
          <w:rFonts w:hint="eastAsia" w:ascii="仿宋_GB2312" w:hAnsi="仿宋_GB2312" w:eastAsia="仿宋_GB2312" w:cs="仿宋_GB2312"/>
          <w:b/>
          <w:bCs/>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767" w:firstLineChars="55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合同金额：</w:t>
      </w:r>
      <w:r>
        <w:rPr>
          <w:rFonts w:hint="eastAsia" w:ascii="仿宋_GB2312" w:hAnsi="仿宋_GB2312" w:eastAsia="仿宋_GB2312" w:cs="仿宋_GB2312"/>
          <w:b/>
          <w:bCs/>
          <w:sz w:val="32"/>
          <w:szCs w:val="32"/>
          <w:u w:val="single"/>
        </w:rPr>
        <w:t xml:space="preserve">                       </w:t>
      </w:r>
    </w:p>
    <w:p>
      <w:pPr>
        <w:spacing w:line="760" w:lineRule="exact"/>
        <w:ind w:firstLine="2891" w:firstLineChars="900"/>
        <w:rPr>
          <w:rFonts w:hint="eastAsia" w:ascii="仿宋_GB2312" w:hAnsi="仿宋_GB2312" w:eastAsia="仿宋_GB2312" w:cs="仿宋_GB2312"/>
          <w:b/>
          <w:bCs/>
          <w:sz w:val="32"/>
          <w:szCs w:val="32"/>
        </w:rPr>
      </w:pPr>
    </w:p>
    <w:p>
      <w:pPr>
        <w:spacing w:line="760" w:lineRule="exact"/>
        <w:ind w:firstLine="2891" w:firstLineChars="900"/>
        <w:rPr>
          <w:rFonts w:hint="eastAsia" w:ascii="仿宋_GB2312" w:hAnsi="仿宋_GB2312" w:eastAsia="仿宋_GB2312" w:cs="仿宋_GB2312"/>
          <w:b/>
          <w:bCs/>
          <w:sz w:val="32"/>
          <w:szCs w:val="32"/>
        </w:rPr>
      </w:pPr>
    </w:p>
    <w:p>
      <w:pPr>
        <w:spacing w:line="760" w:lineRule="exact"/>
        <w:ind w:firstLine="3373" w:firstLineChars="105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年    月    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60" w:lineRule="exact"/>
        <w:ind w:left="0" w:leftChars="0"/>
        <w:jc w:val="center"/>
        <w:textAlignment w:val="auto"/>
        <w:outlineLvl w:val="9"/>
        <w:rPr>
          <w:rFonts w:hint="eastAsia" w:ascii="方正小标宋简体" w:hAnsi="方正小标宋简体" w:eastAsia="方正小标宋简体" w:cs="方正小标宋简体"/>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560" w:lineRule="exact"/>
        <w:ind w:left="0" w:leftChars="0"/>
        <w:jc w:val="center"/>
        <w:textAlignment w:val="auto"/>
        <w:outlineLvl w:val="9"/>
        <w:rPr>
          <w:rFonts w:hint="eastAsia" w:ascii="方正小标宋简体" w:hAnsi="方正小标宋简体" w:eastAsia="方正小标宋简体" w:cs="方正小标宋简体"/>
          <w:b/>
          <w:bCs/>
          <w:sz w:val="44"/>
          <w:szCs w:val="44"/>
        </w:rPr>
      </w:pPr>
    </w:p>
    <w:p>
      <w:pPr>
        <w:spacing w:line="580" w:lineRule="exact"/>
        <w:jc w:val="center"/>
        <w:rPr>
          <w:rFonts w:hint="eastAsia" w:ascii="方正小标宋简体" w:hAnsi="方正小标宋简体" w:eastAsia="方正小标宋简体" w:cs="方正小标宋简体"/>
          <w:b/>
          <w:bCs/>
          <w:sz w:val="44"/>
          <w:szCs w:val="44"/>
        </w:rPr>
      </w:pPr>
    </w:p>
    <w:p>
      <w:pPr>
        <w:pStyle w:val="2"/>
        <w:rPr>
          <w:rFonts w:hint="eastAsia" w:ascii="方正小标宋简体" w:hAnsi="方正小标宋简体" w:eastAsia="方正小标宋简体" w:cs="方正小标宋简体"/>
          <w:b/>
          <w:bCs/>
          <w:sz w:val="44"/>
          <w:szCs w:val="44"/>
        </w:rPr>
      </w:pPr>
    </w:p>
    <w:p>
      <w:pPr>
        <w:pStyle w:val="2"/>
        <w:rPr>
          <w:rFonts w:hint="eastAsia" w:ascii="方正小标宋简体" w:hAnsi="方正小标宋简体" w:eastAsia="方正小标宋简体" w:cs="方正小标宋简体"/>
          <w:b/>
          <w:bCs/>
          <w:sz w:val="44"/>
          <w:szCs w:val="44"/>
        </w:rPr>
      </w:pPr>
    </w:p>
    <w:p>
      <w:pPr>
        <w:spacing w:line="580" w:lineRule="exact"/>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合</w:t>
      </w:r>
      <w:r>
        <w:rPr>
          <w:rFonts w:hint="eastAsia" w:ascii="方正小标宋简体" w:hAnsi="方正小标宋简体" w:eastAsia="方正小标宋简体" w:cs="方正小标宋简体"/>
          <w:b/>
          <w:bCs/>
          <w:sz w:val="44"/>
          <w:szCs w:val="44"/>
          <w:lang w:val="en-US" w:eastAsia="zh-CN"/>
        </w:rPr>
        <w:t xml:space="preserve"> </w:t>
      </w:r>
      <w:r>
        <w:rPr>
          <w:rFonts w:hint="eastAsia" w:ascii="方正小标宋简体" w:hAnsi="方正小标宋简体" w:eastAsia="方正小标宋简体" w:cs="方正小标宋简体"/>
          <w:b/>
          <w:bCs/>
          <w:sz w:val="44"/>
          <w:szCs w:val="44"/>
        </w:rPr>
        <w:t>同</w:t>
      </w:r>
      <w:r>
        <w:rPr>
          <w:rFonts w:hint="eastAsia" w:ascii="方正小标宋简体" w:hAnsi="方正小标宋简体" w:eastAsia="方正小标宋简体" w:cs="方正小标宋简体"/>
          <w:b/>
          <w:bCs/>
          <w:sz w:val="44"/>
          <w:szCs w:val="44"/>
          <w:lang w:val="en-US" w:eastAsia="zh-CN"/>
        </w:rPr>
        <w:t xml:space="preserve"> </w:t>
      </w:r>
      <w:r>
        <w:rPr>
          <w:rFonts w:hint="eastAsia" w:ascii="方正小标宋简体" w:hAnsi="方正小标宋简体" w:eastAsia="方正小标宋简体" w:cs="方正小标宋简体"/>
          <w:b/>
          <w:bCs/>
          <w:sz w:val="44"/>
          <w:szCs w:val="44"/>
        </w:rPr>
        <w:t>协</w:t>
      </w:r>
      <w:r>
        <w:rPr>
          <w:rFonts w:hint="eastAsia" w:ascii="方正小标宋简体" w:hAnsi="方正小标宋简体" w:eastAsia="方正小标宋简体" w:cs="方正小标宋简体"/>
          <w:b/>
          <w:bCs/>
          <w:sz w:val="44"/>
          <w:szCs w:val="44"/>
          <w:lang w:val="en-US" w:eastAsia="zh-CN"/>
        </w:rPr>
        <w:t xml:space="preserve"> </w:t>
      </w:r>
      <w:r>
        <w:rPr>
          <w:rFonts w:hint="eastAsia" w:ascii="方正小标宋简体" w:hAnsi="方正小标宋简体" w:eastAsia="方正小标宋简体" w:cs="方正小标宋简体"/>
          <w:b/>
          <w:bCs/>
          <w:sz w:val="44"/>
          <w:szCs w:val="44"/>
        </w:rPr>
        <w:t>议</w:t>
      </w:r>
      <w:r>
        <w:rPr>
          <w:rFonts w:hint="eastAsia" w:ascii="方正小标宋简体" w:hAnsi="方正小标宋简体" w:eastAsia="方正小标宋简体" w:cs="方正小标宋简体"/>
          <w:b/>
          <w:bCs/>
          <w:sz w:val="44"/>
          <w:szCs w:val="44"/>
          <w:lang w:val="en-US" w:eastAsia="zh-CN"/>
        </w:rPr>
        <w:t xml:space="preserve"> </w:t>
      </w:r>
      <w:r>
        <w:rPr>
          <w:rFonts w:hint="eastAsia" w:ascii="方正小标宋简体" w:hAnsi="方正小标宋简体" w:eastAsia="方正小标宋简体" w:cs="方正小标宋简体"/>
          <w:b/>
          <w:bCs/>
          <w:sz w:val="44"/>
          <w:szCs w:val="44"/>
        </w:rPr>
        <w:t>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spacing w:line="360" w:lineRule="auto"/>
        <w:ind w:firstLine="482" w:firstLineChars="200"/>
        <w:jc w:val="left"/>
        <w:rPr>
          <w:rFonts w:hint="eastAsia" w:ascii="宋体" w:hAnsi="宋体" w:eastAsia="宋体" w:cs="宋体"/>
          <w:b/>
          <w:bCs w:val="0"/>
          <w:sz w:val="24"/>
          <w:szCs w:val="24"/>
        </w:rPr>
      </w:pPr>
      <w:r>
        <w:rPr>
          <w:rFonts w:hint="eastAsia" w:ascii="宋体" w:hAnsi="宋体" w:eastAsia="宋体" w:cs="宋体"/>
          <w:b/>
          <w:bCs w:val="0"/>
          <w:sz w:val="24"/>
          <w:szCs w:val="24"/>
        </w:rPr>
        <w:t>采购人</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全称</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w:t>
      </w:r>
      <w:r>
        <w:rPr>
          <w:rFonts w:hint="eastAsia" w:ascii="宋体" w:hAnsi="宋体" w:eastAsia="宋体" w:cs="宋体"/>
          <w:b/>
          <w:bCs w:val="0"/>
          <w:sz w:val="24"/>
          <w:szCs w:val="24"/>
          <w:u w:val="single"/>
        </w:rPr>
        <w:t xml:space="preserve">                       </w:t>
      </w:r>
      <w:r>
        <w:rPr>
          <w:rFonts w:hint="eastAsia" w:ascii="宋体" w:hAnsi="宋体" w:eastAsia="宋体" w:cs="宋体"/>
          <w:b/>
          <w:bCs w:val="0"/>
          <w:sz w:val="24"/>
          <w:szCs w:val="24"/>
        </w:rPr>
        <w:t>（甲方）</w:t>
      </w:r>
    </w:p>
    <w:p>
      <w:pPr>
        <w:spacing w:line="360" w:lineRule="auto"/>
        <w:ind w:firstLine="482" w:firstLineChars="200"/>
        <w:rPr>
          <w:rFonts w:hint="eastAsia" w:ascii="宋体" w:hAnsi="宋体" w:eastAsia="宋体" w:cs="宋体"/>
          <w:b/>
          <w:bCs w:val="0"/>
          <w:sz w:val="24"/>
          <w:szCs w:val="24"/>
          <w:u w:val="single"/>
        </w:rPr>
      </w:pPr>
      <w:r>
        <w:rPr>
          <w:rFonts w:hint="eastAsia" w:ascii="宋体" w:hAnsi="宋体" w:eastAsia="宋体" w:cs="宋体"/>
          <w:b/>
          <w:bCs w:val="0"/>
          <w:sz w:val="24"/>
          <w:szCs w:val="24"/>
        </w:rPr>
        <w:t>供应</w:t>
      </w:r>
      <w:r>
        <w:rPr>
          <w:rFonts w:hint="eastAsia" w:ascii="宋体" w:hAnsi="宋体" w:eastAsia="宋体" w:cs="宋体"/>
          <w:b/>
          <w:bCs w:val="0"/>
          <w:sz w:val="24"/>
          <w:szCs w:val="24"/>
          <w:lang w:val="en-US" w:eastAsia="zh-CN"/>
        </w:rPr>
        <w:t>商</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全称</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w:t>
      </w:r>
      <w:r>
        <w:rPr>
          <w:rFonts w:hint="eastAsia" w:ascii="宋体" w:hAnsi="宋体" w:eastAsia="宋体" w:cs="宋体"/>
          <w:b/>
          <w:bCs w:val="0"/>
          <w:sz w:val="24"/>
          <w:szCs w:val="24"/>
          <w:u w:val="single"/>
        </w:rPr>
        <w:t xml:space="preserve">                       </w:t>
      </w:r>
      <w:r>
        <w:rPr>
          <w:rFonts w:hint="eastAsia" w:ascii="宋体" w:hAnsi="宋体" w:eastAsia="宋体" w:cs="宋体"/>
          <w:b/>
          <w:bCs w:val="0"/>
          <w:sz w:val="24"/>
          <w:szCs w:val="24"/>
        </w:rPr>
        <w:t>（乙方）</w:t>
      </w:r>
    </w:p>
    <w:p>
      <w:pPr>
        <w:spacing w:line="5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甲</w:t>
      </w:r>
      <w:r>
        <w:rPr>
          <w:rFonts w:hint="eastAsia" w:ascii="宋体" w:hAnsi="宋体" w:eastAsia="宋体" w:cs="宋体"/>
          <w:kern w:val="0"/>
          <w:sz w:val="24"/>
          <w:szCs w:val="24"/>
          <w:lang w:val="en-US" w:eastAsia="zh-CN"/>
        </w:rPr>
        <w:t>乙双方</w:t>
      </w:r>
      <w:r>
        <w:rPr>
          <w:rFonts w:hint="eastAsia" w:ascii="宋体" w:hAnsi="宋体" w:eastAsia="宋体" w:cs="宋体"/>
          <w:kern w:val="0"/>
          <w:sz w:val="24"/>
          <w:szCs w:val="24"/>
        </w:rPr>
        <w:t>依照《中华人民共和国</w:t>
      </w:r>
      <w:r>
        <w:rPr>
          <w:rFonts w:hint="eastAsia" w:ascii="宋体" w:hAnsi="宋体" w:eastAsia="宋体" w:cs="宋体"/>
          <w:kern w:val="0"/>
          <w:sz w:val="24"/>
          <w:szCs w:val="24"/>
          <w:lang w:val="en-US" w:eastAsia="zh-CN"/>
        </w:rPr>
        <w:t>民法典</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等</w:t>
      </w:r>
      <w:r>
        <w:rPr>
          <w:rFonts w:hint="eastAsia" w:ascii="宋体" w:hAnsi="宋体" w:eastAsia="宋体" w:cs="宋体"/>
          <w:kern w:val="0"/>
          <w:sz w:val="24"/>
          <w:szCs w:val="24"/>
        </w:rPr>
        <w:t>相关规定，并经友好协商</w:t>
      </w:r>
      <w:r>
        <w:rPr>
          <w:rFonts w:hint="eastAsia" w:ascii="宋体" w:hAnsi="宋体" w:eastAsia="宋体" w:cs="宋体"/>
          <w:sz w:val="24"/>
          <w:szCs w:val="24"/>
        </w:rPr>
        <w:t>达成</w:t>
      </w:r>
      <w:r>
        <w:rPr>
          <w:rFonts w:hint="eastAsia" w:ascii="宋体" w:hAnsi="宋体" w:eastAsia="宋体" w:cs="宋体"/>
          <w:kern w:val="0"/>
          <w:sz w:val="24"/>
          <w:szCs w:val="24"/>
        </w:rPr>
        <w:t>一致</w:t>
      </w:r>
      <w:r>
        <w:rPr>
          <w:rFonts w:hint="eastAsia" w:ascii="宋体" w:hAnsi="宋体" w:eastAsia="宋体" w:cs="宋体"/>
          <w:kern w:val="0"/>
          <w:sz w:val="24"/>
          <w:szCs w:val="24"/>
          <w:lang w:val="en-US" w:eastAsia="zh-CN"/>
        </w:rPr>
        <w:t>后</w:t>
      </w:r>
      <w:r>
        <w:rPr>
          <w:rFonts w:hint="eastAsia" w:ascii="宋体" w:hAnsi="宋体" w:eastAsia="宋体" w:cs="宋体"/>
          <w:sz w:val="24"/>
          <w:szCs w:val="24"/>
        </w:rPr>
        <w:t>，</w:t>
      </w:r>
      <w:r>
        <w:rPr>
          <w:rFonts w:hint="eastAsia" w:ascii="宋体" w:hAnsi="宋体" w:eastAsia="宋体" w:cs="宋体"/>
          <w:sz w:val="24"/>
          <w:szCs w:val="24"/>
          <w:lang w:val="en-US" w:eastAsia="zh-CN"/>
        </w:rPr>
        <w:t>特</w:t>
      </w:r>
      <w:r>
        <w:rPr>
          <w:rFonts w:hint="eastAsia" w:ascii="宋体" w:hAnsi="宋体" w:eastAsia="宋体" w:cs="宋体"/>
          <w:kern w:val="0"/>
          <w:sz w:val="24"/>
          <w:szCs w:val="24"/>
        </w:rPr>
        <w:t>订立本合同。</w:t>
      </w:r>
    </w:p>
    <w:p>
      <w:pPr>
        <w:spacing w:line="560" w:lineRule="exact"/>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第一条  合同标的</w:t>
      </w:r>
    </w:p>
    <w:tbl>
      <w:tblPr>
        <w:tblStyle w:val="47"/>
        <w:tblW w:w="9702"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310"/>
        <w:gridCol w:w="1762"/>
        <w:gridCol w:w="900"/>
        <w:gridCol w:w="900"/>
        <w:gridCol w:w="900"/>
        <w:gridCol w:w="1036"/>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2310"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标 的 名 称</w:t>
            </w:r>
          </w:p>
        </w:tc>
        <w:tc>
          <w:tcPr>
            <w:tcW w:w="1762"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规格型号</w:t>
            </w:r>
          </w:p>
        </w:tc>
        <w:tc>
          <w:tcPr>
            <w:tcW w:w="900"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单位</w:t>
            </w:r>
          </w:p>
        </w:tc>
        <w:tc>
          <w:tcPr>
            <w:tcW w:w="900"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900"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单价</w:t>
            </w:r>
          </w:p>
        </w:tc>
        <w:tc>
          <w:tcPr>
            <w:tcW w:w="1036"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总价</w:t>
            </w:r>
          </w:p>
        </w:tc>
        <w:tc>
          <w:tcPr>
            <w:tcW w:w="970" w:type="dxa"/>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noWrap w:val="0"/>
            <w:vAlign w:val="top"/>
          </w:tcPr>
          <w:p>
            <w:pPr>
              <w:spacing w:line="560" w:lineRule="exact"/>
              <w:rPr>
                <w:rFonts w:hint="eastAsia" w:ascii="宋体" w:hAnsi="宋体" w:eastAsia="宋体" w:cs="宋体"/>
                <w:kern w:val="0"/>
                <w:sz w:val="24"/>
                <w:szCs w:val="24"/>
              </w:rPr>
            </w:pPr>
          </w:p>
        </w:tc>
        <w:tc>
          <w:tcPr>
            <w:tcW w:w="2310" w:type="dxa"/>
            <w:noWrap w:val="0"/>
            <w:vAlign w:val="top"/>
          </w:tcPr>
          <w:p>
            <w:pPr>
              <w:spacing w:line="560" w:lineRule="exact"/>
              <w:rPr>
                <w:rFonts w:hint="eastAsia" w:ascii="宋体" w:hAnsi="宋体" w:eastAsia="宋体" w:cs="宋体"/>
                <w:kern w:val="0"/>
                <w:sz w:val="24"/>
                <w:szCs w:val="24"/>
              </w:rPr>
            </w:pPr>
          </w:p>
        </w:tc>
        <w:tc>
          <w:tcPr>
            <w:tcW w:w="1762"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1036" w:type="dxa"/>
            <w:noWrap w:val="0"/>
            <w:vAlign w:val="top"/>
          </w:tcPr>
          <w:p>
            <w:pPr>
              <w:spacing w:line="560" w:lineRule="exact"/>
              <w:rPr>
                <w:rFonts w:hint="eastAsia" w:ascii="宋体" w:hAnsi="宋体" w:eastAsia="宋体" w:cs="宋体"/>
                <w:kern w:val="0"/>
                <w:sz w:val="24"/>
                <w:szCs w:val="24"/>
              </w:rPr>
            </w:pPr>
          </w:p>
        </w:tc>
        <w:tc>
          <w:tcPr>
            <w:tcW w:w="970" w:type="dxa"/>
            <w:noWrap w:val="0"/>
            <w:vAlign w:val="top"/>
          </w:tcPr>
          <w:p>
            <w:pPr>
              <w:spacing w:line="560" w:lineRule="exact"/>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 w:type="dxa"/>
            <w:noWrap w:val="0"/>
            <w:vAlign w:val="top"/>
          </w:tcPr>
          <w:p>
            <w:pPr>
              <w:spacing w:line="560" w:lineRule="exact"/>
              <w:rPr>
                <w:rFonts w:hint="eastAsia" w:ascii="宋体" w:hAnsi="宋体" w:eastAsia="宋体" w:cs="宋体"/>
                <w:kern w:val="0"/>
                <w:sz w:val="24"/>
                <w:szCs w:val="24"/>
              </w:rPr>
            </w:pPr>
          </w:p>
        </w:tc>
        <w:tc>
          <w:tcPr>
            <w:tcW w:w="2310" w:type="dxa"/>
            <w:noWrap w:val="0"/>
            <w:vAlign w:val="top"/>
          </w:tcPr>
          <w:p>
            <w:pPr>
              <w:spacing w:line="560" w:lineRule="exact"/>
              <w:rPr>
                <w:rFonts w:hint="eastAsia" w:ascii="宋体" w:hAnsi="宋体" w:eastAsia="宋体" w:cs="宋体"/>
                <w:kern w:val="0"/>
                <w:sz w:val="24"/>
                <w:szCs w:val="24"/>
              </w:rPr>
            </w:pPr>
          </w:p>
        </w:tc>
        <w:tc>
          <w:tcPr>
            <w:tcW w:w="1762"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900" w:type="dxa"/>
            <w:noWrap w:val="0"/>
            <w:vAlign w:val="top"/>
          </w:tcPr>
          <w:p>
            <w:pPr>
              <w:spacing w:line="560" w:lineRule="exact"/>
              <w:rPr>
                <w:rFonts w:hint="eastAsia" w:ascii="宋体" w:hAnsi="宋体" w:eastAsia="宋体" w:cs="宋体"/>
                <w:kern w:val="0"/>
                <w:sz w:val="24"/>
                <w:szCs w:val="24"/>
              </w:rPr>
            </w:pPr>
          </w:p>
        </w:tc>
        <w:tc>
          <w:tcPr>
            <w:tcW w:w="1036" w:type="dxa"/>
            <w:noWrap w:val="0"/>
            <w:vAlign w:val="top"/>
          </w:tcPr>
          <w:p>
            <w:pPr>
              <w:spacing w:line="560" w:lineRule="exact"/>
              <w:rPr>
                <w:rFonts w:hint="eastAsia" w:ascii="宋体" w:hAnsi="宋体" w:eastAsia="宋体" w:cs="宋体"/>
                <w:kern w:val="0"/>
                <w:sz w:val="24"/>
                <w:szCs w:val="24"/>
              </w:rPr>
            </w:pPr>
          </w:p>
        </w:tc>
        <w:tc>
          <w:tcPr>
            <w:tcW w:w="970" w:type="dxa"/>
            <w:noWrap w:val="0"/>
            <w:vAlign w:val="top"/>
          </w:tcPr>
          <w:p>
            <w:pPr>
              <w:spacing w:line="560" w:lineRule="exact"/>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96" w:type="dxa"/>
            <w:gridSpan w:val="6"/>
            <w:noWrap w:val="0"/>
            <w:vAlign w:val="top"/>
          </w:tcPr>
          <w:p>
            <w:pPr>
              <w:spacing w:line="560" w:lineRule="exact"/>
              <w:rPr>
                <w:rFonts w:hint="eastAsia" w:ascii="宋体" w:hAnsi="宋体" w:eastAsia="宋体" w:cs="宋体"/>
                <w:kern w:val="0"/>
                <w:sz w:val="24"/>
                <w:szCs w:val="24"/>
              </w:rPr>
            </w:pPr>
            <w:r>
              <w:rPr>
                <w:rFonts w:hint="eastAsia" w:ascii="宋体" w:hAnsi="宋体" w:eastAsia="宋体" w:cs="宋体"/>
                <w:kern w:val="0"/>
                <w:sz w:val="24"/>
                <w:szCs w:val="24"/>
              </w:rPr>
              <w:t>总计（大写）：</w:t>
            </w:r>
          </w:p>
        </w:tc>
        <w:tc>
          <w:tcPr>
            <w:tcW w:w="1036" w:type="dxa"/>
            <w:noWrap w:val="0"/>
            <w:vAlign w:val="top"/>
          </w:tcPr>
          <w:p>
            <w:pPr>
              <w:spacing w:line="560" w:lineRule="exact"/>
              <w:rPr>
                <w:rFonts w:hint="eastAsia" w:ascii="宋体" w:hAnsi="宋体" w:eastAsia="宋体" w:cs="宋体"/>
                <w:kern w:val="0"/>
                <w:sz w:val="24"/>
                <w:szCs w:val="24"/>
              </w:rPr>
            </w:pPr>
          </w:p>
        </w:tc>
        <w:tc>
          <w:tcPr>
            <w:tcW w:w="970" w:type="dxa"/>
            <w:noWrap w:val="0"/>
            <w:vAlign w:val="top"/>
          </w:tcPr>
          <w:p>
            <w:pPr>
              <w:spacing w:line="560" w:lineRule="exact"/>
              <w:rPr>
                <w:rFonts w:hint="eastAsia" w:ascii="宋体" w:hAnsi="宋体" w:eastAsia="宋体" w:cs="宋体"/>
                <w:kern w:val="0"/>
                <w:sz w:val="24"/>
                <w:szCs w:val="24"/>
              </w:rPr>
            </w:pPr>
          </w:p>
        </w:tc>
      </w:tr>
    </w:tbl>
    <w:p>
      <w:pPr>
        <w:spacing w:line="560" w:lineRule="exact"/>
        <w:rPr>
          <w:rFonts w:hint="eastAsia" w:ascii="宋体" w:hAnsi="宋体" w:eastAsia="宋体" w:cs="宋体"/>
          <w:b w:val="0"/>
          <w:bCs/>
          <w:kern w:val="0"/>
          <w:sz w:val="24"/>
          <w:szCs w:val="24"/>
          <w:lang w:val="en-US" w:eastAsia="zh-CN"/>
        </w:rPr>
      </w:pPr>
      <w:r>
        <w:rPr>
          <w:rFonts w:hint="eastAsia" w:ascii="宋体" w:hAnsi="宋体" w:eastAsia="宋体" w:cs="宋体"/>
          <w:b/>
          <w:bCs w:val="0"/>
          <w:kern w:val="0"/>
          <w:sz w:val="24"/>
          <w:szCs w:val="24"/>
          <w:lang w:val="en-US" w:eastAsia="zh-CN"/>
        </w:rPr>
        <w:t>注：本价款包含货物运输、安装、保险、税金等一切费用。</w:t>
      </w:r>
    </w:p>
    <w:p>
      <w:pPr>
        <w:spacing w:line="560" w:lineRule="exact"/>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二</w:t>
      </w:r>
      <w:r>
        <w:rPr>
          <w:rFonts w:hint="eastAsia" w:ascii="宋体" w:hAnsi="宋体" w:eastAsia="宋体" w:cs="宋体"/>
          <w:b w:val="0"/>
          <w:bCs/>
          <w:kern w:val="0"/>
          <w:sz w:val="24"/>
          <w:szCs w:val="24"/>
        </w:rPr>
        <w:t>条  质量保证</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.1、乙方应保证货物是全新、未使用过的原装合格正品，并完全符合招标文件及设计文件规定的质量、规格和性能的要求，符合国家有关标准。</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rPr>
        <w:t>4.2、乙方应保证其提供的货物在正确安装、正常使用和保养条件下，在其使用寿命内具有良好的性能。</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rPr>
        <w:t>4.3、本合同货物的质保期为验收合格后</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p>
    <w:p>
      <w:pPr>
        <w:spacing w:line="560" w:lineRule="exact"/>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三</w:t>
      </w:r>
      <w:r>
        <w:rPr>
          <w:rFonts w:hint="eastAsia" w:ascii="宋体" w:hAnsi="宋体" w:eastAsia="宋体" w:cs="宋体"/>
          <w:b w:val="0"/>
          <w:bCs/>
          <w:kern w:val="0"/>
          <w:sz w:val="24"/>
          <w:szCs w:val="24"/>
        </w:rPr>
        <w:t>条  交货和验收</w:t>
      </w:r>
    </w:p>
    <w:p>
      <w:pPr>
        <w:spacing w:line="560" w:lineRule="exact"/>
        <w:ind w:firstLine="645"/>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.1、交货期：乙方在签订本合同后</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天内供应并安装完毕</w:t>
      </w:r>
      <w:r>
        <w:rPr>
          <w:rFonts w:hint="eastAsia" w:ascii="宋体" w:hAnsi="宋体" w:eastAsia="宋体" w:cs="宋体"/>
          <w:kern w:val="0"/>
          <w:sz w:val="24"/>
          <w:szCs w:val="24"/>
          <w:lang w:eastAsia="zh-CN"/>
        </w:rPr>
        <w:t>。</w:t>
      </w:r>
    </w:p>
    <w:p>
      <w:pPr>
        <w:spacing w:line="560" w:lineRule="exact"/>
        <w:ind w:firstLine="645"/>
        <w:rPr>
          <w:rFonts w:hint="eastAsia" w:ascii="宋体" w:hAnsi="宋体" w:eastAsia="宋体" w:cs="宋体"/>
          <w:kern w:val="0"/>
          <w:sz w:val="24"/>
          <w:szCs w:val="24"/>
          <w:u w:val="single"/>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.2、交货地点：</w:t>
      </w:r>
      <w:r>
        <w:rPr>
          <w:rFonts w:hint="eastAsia" w:ascii="宋体" w:hAnsi="宋体" w:eastAsia="宋体" w:cs="宋体"/>
          <w:kern w:val="0"/>
          <w:sz w:val="24"/>
          <w:szCs w:val="24"/>
          <w:u w:val="single"/>
        </w:rPr>
        <w:t xml:space="preserve">              </w:t>
      </w:r>
    </w:p>
    <w:p>
      <w:pPr>
        <w:spacing w:line="560" w:lineRule="exact"/>
        <w:ind w:firstLine="645"/>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3.3、运输方式及费用：由乙方自理</w:t>
      </w:r>
    </w:p>
    <w:p>
      <w:pPr>
        <w:spacing w:line="560" w:lineRule="exact"/>
        <w:ind w:firstLine="645"/>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、验收办法：</w:t>
      </w:r>
    </w:p>
    <w:p>
      <w:pPr>
        <w:spacing w:line="560" w:lineRule="exact"/>
        <w:ind w:firstLine="645"/>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包安装的货物，货到交货地后，甲方组织相关人员进行初验收，验收全部合格的可进行安装，不合格的予以退回，不准安装；货物全部安装完毕，达到验收条件，由甲方组织相关部门进行竣工验收。验收合格，根据甲方的安排向指定单位办理移交手续。不合格的进行返工，直到验收合格。如返工后还达不到合格要求，甲方不支付货款，乙方还要负责赔偿由此造成的甲方损失。</w:t>
      </w:r>
    </w:p>
    <w:p>
      <w:pPr>
        <w:spacing w:line="560" w:lineRule="exact"/>
        <w:ind w:firstLine="645"/>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不包安装的货物，货到交货地后，甲方组织相关人员进行验收，合格的予以接收。不合格的予以退回，乙方在交货期限内予以补足合格品。在规定时间内不能补足合格品的，甲方不支付货款，乙方还要负责赔偿由此造成的甲方损失。</w:t>
      </w:r>
    </w:p>
    <w:p>
      <w:pPr>
        <w:pStyle w:val="2"/>
        <w:ind w:left="0" w:leftChars="0" w:firstLine="480" w:firstLineChars="200"/>
        <w:rPr>
          <w:rFonts w:hint="eastAsia" w:ascii="宋体" w:hAnsi="宋体" w:eastAsia="宋体" w:cs="宋体"/>
          <w:sz w:val="24"/>
          <w:szCs w:val="24"/>
          <w:u w:val="single"/>
          <w:lang w:val="en-US" w:eastAsia="zh-CN"/>
        </w:rPr>
      </w:pPr>
      <w:r>
        <w:rPr>
          <w:rFonts w:hint="eastAsia" w:ascii="宋体" w:hAnsi="宋体" w:eastAsia="宋体" w:cs="宋体"/>
          <w:kern w:val="0"/>
          <w:sz w:val="24"/>
          <w:szCs w:val="24"/>
          <w:lang w:val="en-US" w:eastAsia="zh-CN"/>
        </w:rPr>
        <w:t>3.5、货物其他特殊要求：</w:t>
      </w:r>
      <w:r>
        <w:rPr>
          <w:rFonts w:hint="eastAsia" w:ascii="宋体" w:hAnsi="宋体" w:eastAsia="宋体" w:cs="宋体"/>
          <w:kern w:val="0"/>
          <w:sz w:val="24"/>
          <w:szCs w:val="24"/>
          <w:u w:val="single"/>
          <w:lang w:val="en-US" w:eastAsia="zh-CN"/>
        </w:rPr>
        <w:t>（如有需要，据实填写。）</w:t>
      </w:r>
    </w:p>
    <w:p>
      <w:pPr>
        <w:spacing w:line="560" w:lineRule="exact"/>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四</w:t>
      </w:r>
      <w:r>
        <w:rPr>
          <w:rFonts w:hint="eastAsia" w:ascii="宋体" w:hAnsi="宋体" w:eastAsia="宋体" w:cs="宋体"/>
          <w:b w:val="0"/>
          <w:bCs/>
          <w:kern w:val="0"/>
          <w:sz w:val="24"/>
          <w:szCs w:val="24"/>
        </w:rPr>
        <w:t>条  售后服务</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.1、乙方应按照国家有关法律法规和“三包”规定以及合同所附的“服务承诺”提供服务。</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.2、所有货物保修服务方式均为乙方上门保修，由乙方派员到货物使用现场维修，所产生的一切费用由乙方承担。</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五</w:t>
      </w:r>
      <w:r>
        <w:rPr>
          <w:rFonts w:hint="eastAsia" w:ascii="宋体" w:hAnsi="宋体" w:eastAsia="宋体" w:cs="宋体"/>
          <w:b w:val="0"/>
          <w:bCs/>
          <w:kern w:val="0"/>
          <w:sz w:val="24"/>
          <w:szCs w:val="24"/>
        </w:rPr>
        <w:t>条  货款支付及履约保证金</w:t>
      </w:r>
    </w:p>
    <w:p>
      <w:pPr>
        <w:spacing w:line="56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.1、付款方式：</w:t>
      </w:r>
      <w:r>
        <w:rPr>
          <w:rFonts w:hint="eastAsia" w:ascii="宋体" w:hAnsi="宋体" w:eastAsia="宋体" w:cs="宋体"/>
          <w:kern w:val="0"/>
          <w:sz w:val="24"/>
          <w:szCs w:val="24"/>
          <w:lang w:val="en-US" w:eastAsia="zh-CN"/>
        </w:rPr>
        <w:t>采取以下</w:t>
      </w:r>
      <w:r>
        <w:rPr>
          <w:rFonts w:hint="eastAsia" w:ascii="宋体" w:hAnsi="宋体" w:eastAsia="宋体" w:cs="宋体"/>
          <w:kern w:val="0"/>
          <w:sz w:val="24"/>
          <w:szCs w:val="24"/>
          <w:u w:val="single"/>
          <w:lang w:val="en-US" w:eastAsia="zh-CN"/>
        </w:rPr>
        <w:t>第  （） 种</w:t>
      </w:r>
      <w:r>
        <w:rPr>
          <w:rFonts w:hint="eastAsia" w:ascii="宋体" w:hAnsi="宋体" w:eastAsia="宋体" w:cs="宋体"/>
          <w:kern w:val="0"/>
          <w:sz w:val="24"/>
          <w:szCs w:val="24"/>
          <w:lang w:val="en-US" w:eastAsia="zh-CN"/>
        </w:rPr>
        <w:t>方式：</w:t>
      </w:r>
    </w:p>
    <w:p>
      <w:pPr>
        <w:spacing w:line="560" w:lineRule="exact"/>
        <w:ind w:left="0" w:lef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（1）乙方供货完毕，经甲方接收且验收合格</w:t>
      </w:r>
      <w:r>
        <w:rPr>
          <w:rFonts w:hint="eastAsia" w:ascii="宋体" w:hAnsi="宋体" w:eastAsia="宋体" w:cs="宋体"/>
          <w:kern w:val="0"/>
          <w:sz w:val="24"/>
          <w:szCs w:val="24"/>
          <w:u w:val="none"/>
          <w:lang w:val="en-US" w:eastAsia="zh-CN"/>
        </w:rPr>
        <w:t>后</w:t>
      </w:r>
      <w:r>
        <w:rPr>
          <w:rFonts w:hint="eastAsia" w:ascii="宋体" w:hAnsi="宋体" w:eastAsia="宋体" w:cs="宋体"/>
          <w:kern w:val="0"/>
          <w:sz w:val="24"/>
          <w:szCs w:val="24"/>
          <w:u w:val="single"/>
          <w:lang w:val="en-US" w:eastAsia="zh-CN"/>
        </w:rPr>
        <w:t xml:space="preserve">   个</w:t>
      </w:r>
      <w:r>
        <w:rPr>
          <w:rFonts w:hint="eastAsia" w:ascii="宋体" w:hAnsi="宋体" w:eastAsia="宋体" w:cs="宋体"/>
          <w:kern w:val="0"/>
          <w:sz w:val="24"/>
          <w:szCs w:val="24"/>
          <w:lang w:val="en-US" w:eastAsia="zh-CN"/>
        </w:rPr>
        <w:t>工作日内付清货款。</w:t>
      </w:r>
      <w:r>
        <w:rPr>
          <w:rFonts w:hint="eastAsia" w:ascii="宋体" w:hAnsi="宋体" w:eastAsia="宋体" w:cs="宋体"/>
          <w:kern w:val="0"/>
          <w:sz w:val="24"/>
          <w:szCs w:val="24"/>
        </w:rPr>
        <w:t xml:space="preserve">    </w:t>
      </w:r>
    </w:p>
    <w:p>
      <w:pPr>
        <w:spacing w:line="56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u w:val="single"/>
          <w:lang w:val="en-US" w:eastAsia="zh-CN"/>
        </w:rPr>
        <w:t>若需</w:t>
      </w:r>
      <w:r>
        <w:rPr>
          <w:rFonts w:hint="eastAsia" w:ascii="宋体" w:hAnsi="宋体" w:eastAsia="宋体" w:cs="宋体"/>
          <w:kern w:val="0"/>
          <w:sz w:val="24"/>
          <w:szCs w:val="24"/>
          <w:u w:val="single"/>
          <w:lang w:eastAsia="zh-CN"/>
        </w:rPr>
        <w:t>）</w:t>
      </w:r>
      <w:r>
        <w:rPr>
          <w:rFonts w:hint="eastAsia" w:ascii="宋体" w:hAnsi="宋体" w:eastAsia="宋体" w:cs="宋体"/>
          <w:kern w:val="0"/>
          <w:sz w:val="24"/>
          <w:szCs w:val="24"/>
          <w:u w:val="single"/>
          <w:lang w:val="en-US" w:eastAsia="zh-CN"/>
        </w:rPr>
        <w:t>合同签订后，甲方应于  个工作日内支付合同总价款的  %作为预付款（在乙方下一次申请付款时予以抵扣）。</w:t>
      </w:r>
      <w:r>
        <w:rPr>
          <w:rFonts w:hint="eastAsia" w:ascii="宋体" w:hAnsi="宋体" w:eastAsia="宋体" w:cs="宋体"/>
          <w:kern w:val="0"/>
          <w:sz w:val="24"/>
          <w:szCs w:val="24"/>
          <w:u w:val="none"/>
        </w:rPr>
        <w:t>供货完毕，</w:t>
      </w:r>
      <w:r>
        <w:rPr>
          <w:rFonts w:hint="eastAsia" w:ascii="宋体" w:hAnsi="宋体" w:eastAsia="宋体" w:cs="宋体"/>
          <w:kern w:val="0"/>
          <w:sz w:val="24"/>
          <w:szCs w:val="24"/>
          <w:u w:val="none"/>
          <w:lang w:val="en-US" w:eastAsia="zh-CN"/>
        </w:rPr>
        <w:t>经甲方接收且</w:t>
      </w:r>
      <w:r>
        <w:rPr>
          <w:rFonts w:hint="eastAsia" w:ascii="宋体" w:hAnsi="宋体" w:eastAsia="宋体" w:cs="宋体"/>
          <w:kern w:val="0"/>
          <w:sz w:val="24"/>
          <w:szCs w:val="24"/>
          <w:u w:val="none"/>
        </w:rPr>
        <w:t>验收合格</w:t>
      </w:r>
      <w:r>
        <w:rPr>
          <w:rFonts w:hint="eastAsia" w:ascii="宋体" w:hAnsi="宋体" w:eastAsia="宋体" w:cs="宋体"/>
          <w:kern w:val="0"/>
          <w:sz w:val="24"/>
          <w:szCs w:val="24"/>
          <w:u w:val="none"/>
          <w:lang w:eastAsia="zh-CN"/>
        </w:rPr>
        <w:t>，</w:t>
      </w:r>
      <w:r>
        <w:rPr>
          <w:rFonts w:hint="eastAsia" w:ascii="宋体" w:hAnsi="宋体" w:eastAsia="宋体" w:cs="宋体"/>
          <w:kern w:val="0"/>
          <w:sz w:val="24"/>
          <w:szCs w:val="24"/>
          <w:u w:val="single"/>
        </w:rPr>
        <w:t>提交</w:t>
      </w:r>
      <w:r>
        <w:rPr>
          <w:rFonts w:hint="eastAsia" w:ascii="宋体" w:hAnsi="宋体" w:eastAsia="宋体" w:cs="宋体"/>
          <w:kern w:val="0"/>
          <w:sz w:val="24"/>
          <w:szCs w:val="24"/>
          <w:u w:val="single"/>
          <w:lang w:val="en-US" w:eastAsia="zh-Hans"/>
        </w:rPr>
        <w:t>结算</w:t>
      </w:r>
      <w:r>
        <w:rPr>
          <w:rFonts w:hint="eastAsia" w:ascii="宋体" w:hAnsi="宋体" w:eastAsia="宋体" w:cs="宋体"/>
          <w:kern w:val="0"/>
          <w:sz w:val="24"/>
          <w:szCs w:val="24"/>
          <w:u w:val="single"/>
        </w:rPr>
        <w:t>资料到</w:t>
      </w:r>
      <w:r>
        <w:rPr>
          <w:rFonts w:hint="eastAsia" w:ascii="宋体" w:hAnsi="宋体" w:eastAsia="宋体" w:cs="宋体"/>
          <w:kern w:val="0"/>
          <w:sz w:val="24"/>
          <w:szCs w:val="24"/>
          <w:u w:val="single"/>
          <w:lang w:eastAsia="zh-CN"/>
        </w:rPr>
        <w:t>岳阳市城建投</w:t>
      </w:r>
      <w:r>
        <w:rPr>
          <w:rFonts w:hint="eastAsia" w:ascii="宋体" w:hAnsi="宋体" w:eastAsia="宋体" w:cs="宋体"/>
          <w:kern w:val="0"/>
          <w:sz w:val="24"/>
          <w:szCs w:val="24"/>
          <w:u w:val="single"/>
          <w:lang w:val="en-US" w:eastAsia="zh-CN"/>
        </w:rPr>
        <w:t xml:space="preserve">评审中心完成结算审计后支付至该结论的 </w:t>
      </w:r>
      <w:r>
        <w:rPr>
          <w:rFonts w:hint="eastAsia" w:ascii="宋体" w:hAnsi="宋体" w:cs="宋体"/>
          <w:kern w:val="0"/>
          <w:sz w:val="24"/>
          <w:szCs w:val="24"/>
          <w:u w:val="single"/>
          <w:lang w:val="en-US" w:eastAsia="zh-CN"/>
        </w:rPr>
        <w:t>97</w:t>
      </w:r>
      <w:r>
        <w:rPr>
          <w:rFonts w:hint="eastAsia" w:ascii="宋体" w:hAnsi="宋体" w:eastAsia="宋体" w:cs="宋体"/>
          <w:kern w:val="0"/>
          <w:sz w:val="24"/>
          <w:szCs w:val="24"/>
          <w:u w:val="single"/>
          <w:lang w:val="en-US" w:eastAsia="zh-CN"/>
        </w:rPr>
        <w:t>%；（若有）在岳阳市财政局完成结算复审后支付至该结论的   %；（若有）在岳阳市审计局完成结算终审后支付至   %</w:t>
      </w:r>
      <w:r>
        <w:rPr>
          <w:rFonts w:hint="eastAsia" w:ascii="宋体" w:hAnsi="宋体" w:eastAsia="宋体" w:cs="宋体"/>
          <w:kern w:val="0"/>
          <w:sz w:val="24"/>
          <w:szCs w:val="24"/>
          <w:u w:val="none"/>
          <w:lang w:val="en-US" w:eastAsia="zh-CN"/>
        </w:rPr>
        <w:t>，</w:t>
      </w:r>
      <w:r>
        <w:rPr>
          <w:rFonts w:hint="eastAsia" w:ascii="宋体" w:hAnsi="宋体" w:eastAsia="宋体" w:cs="宋体"/>
          <w:kern w:val="0"/>
          <w:sz w:val="24"/>
          <w:szCs w:val="24"/>
        </w:rPr>
        <w:t>结算余款在验收合格办理结算后</w:t>
      </w:r>
      <w:r>
        <w:rPr>
          <w:rFonts w:hint="eastAsia" w:ascii="宋体" w:hAnsi="宋体" w:eastAsia="宋体" w:cs="宋体"/>
          <w:kern w:val="0"/>
          <w:sz w:val="24"/>
          <w:szCs w:val="24"/>
          <w:u w:val="none"/>
          <w:lang w:val="en-US" w:eastAsia="zh-CN"/>
        </w:rPr>
        <w:t>2</w:t>
      </w:r>
      <w:r>
        <w:rPr>
          <w:rFonts w:hint="eastAsia" w:ascii="宋体" w:hAnsi="宋体" w:eastAsia="宋体" w:cs="宋体"/>
          <w:kern w:val="0"/>
          <w:sz w:val="24"/>
          <w:szCs w:val="24"/>
        </w:rPr>
        <w:t>年内付清（不计利息），但货物尚在质保期内的应留足</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质保金。</w:t>
      </w:r>
    </w:p>
    <w:p>
      <w:pPr>
        <w:spacing w:line="56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（3）乙方在合同期内周期性供货的，按照其供货周期，每</w:t>
      </w:r>
      <w:r>
        <w:rPr>
          <w:rFonts w:hint="eastAsia" w:ascii="宋体" w:hAnsi="宋体" w:eastAsia="宋体" w:cs="宋体"/>
          <w:kern w:val="0"/>
          <w:sz w:val="24"/>
          <w:szCs w:val="24"/>
          <w:u w:val="single"/>
          <w:lang w:val="en-US" w:eastAsia="zh-CN"/>
        </w:rPr>
        <w:t>（批次/月/季度等）</w:t>
      </w:r>
      <w:r>
        <w:rPr>
          <w:rFonts w:hint="eastAsia" w:ascii="宋体" w:hAnsi="宋体" w:eastAsia="宋体" w:cs="宋体"/>
          <w:kern w:val="0"/>
          <w:sz w:val="24"/>
          <w:szCs w:val="24"/>
          <w:u w:val="none"/>
          <w:lang w:val="en-US" w:eastAsia="zh-CN"/>
        </w:rPr>
        <w:t>，经甲方接收且验收合格后据实结算。</w:t>
      </w:r>
    </w:p>
    <w:p>
      <w:pPr>
        <w:spacing w:line="600" w:lineRule="exact"/>
        <w:ind w:firstLine="480" w:firstLineChars="200"/>
        <w:rPr>
          <w:rFonts w:hint="eastAsia" w:ascii="宋体" w:hAnsi="宋体" w:eastAsia="宋体" w:cs="宋体"/>
          <w:color w:val="000000" w:themeColor="text1"/>
          <w:sz w:val="24"/>
          <w:szCs w:val="24"/>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auto"/>
          <w:lang w:val="en-US" w:eastAsia="zh-CN"/>
          <w14:textFill>
            <w14:solidFill>
              <w14:schemeClr w14:val="tx1"/>
            </w14:solidFill>
          </w14:textFill>
        </w:rPr>
        <w:t>5.2、发票要求：乙方在每次申请付款时均应提供合法有效的</w:t>
      </w:r>
      <w:r>
        <w:rPr>
          <w:rFonts w:hint="eastAsia" w:ascii="宋体" w:hAnsi="宋体" w:eastAsia="宋体" w:cs="宋体"/>
          <w:color w:val="000000" w:themeColor="text1"/>
          <w:sz w:val="24"/>
          <w:szCs w:val="24"/>
          <w:u w:val="single"/>
          <w:shd w:val="clear" w:color="auto" w:fill="auto"/>
          <w:lang w:val="en-US" w:eastAsia="zh-CN"/>
          <w14:textFill>
            <w14:solidFill>
              <w14:schemeClr w14:val="tx1"/>
            </w14:solidFill>
          </w14:textFill>
        </w:rPr>
        <w:t xml:space="preserve"> 增值税专用 </w:t>
      </w:r>
      <w:r>
        <w:rPr>
          <w:rFonts w:hint="eastAsia" w:ascii="宋体" w:hAnsi="宋体" w:eastAsia="宋体" w:cs="宋体"/>
          <w:color w:val="000000" w:themeColor="text1"/>
          <w:sz w:val="24"/>
          <w:szCs w:val="24"/>
          <w:u w:val="none"/>
          <w:shd w:val="clear" w:color="auto" w:fill="auto"/>
          <w:lang w:val="en-US" w:eastAsia="zh-CN"/>
          <w14:textFill>
            <w14:solidFill>
              <w14:schemeClr w14:val="tx1"/>
            </w14:solidFill>
          </w14:textFill>
        </w:rPr>
        <w:t>发票。</w:t>
      </w:r>
    </w:p>
    <w:p>
      <w:pPr>
        <w:spacing w:line="56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5.3、</w:t>
      </w:r>
      <w:r>
        <w:rPr>
          <w:rFonts w:hint="eastAsia" w:ascii="宋体" w:hAnsi="宋体" w:eastAsia="宋体" w:cs="宋体"/>
          <w:kern w:val="0"/>
          <w:sz w:val="24"/>
          <w:szCs w:val="24"/>
        </w:rPr>
        <w:t>履约保证金：依据</w:t>
      </w:r>
      <w:r>
        <w:rPr>
          <w:rFonts w:hint="eastAsia" w:ascii="宋体" w:hAnsi="宋体" w:eastAsia="宋体" w:cs="宋体"/>
          <w:kern w:val="0"/>
          <w:sz w:val="24"/>
          <w:szCs w:val="24"/>
          <w:lang w:eastAsia="zh-CN"/>
        </w:rPr>
        <w:t>岳阳市城建投</w:t>
      </w:r>
      <w:r>
        <w:rPr>
          <w:rFonts w:hint="eastAsia" w:ascii="宋体" w:hAnsi="宋体" w:eastAsia="宋体" w:cs="宋体"/>
          <w:kern w:val="0"/>
          <w:sz w:val="24"/>
          <w:szCs w:val="24"/>
        </w:rPr>
        <w:t>《关于履约保证金缴纳退付规定的通知》（岳城投[2010]19号）文件要</w:t>
      </w:r>
      <w:r>
        <w:rPr>
          <w:rFonts w:hint="eastAsia" w:ascii="宋体" w:hAnsi="宋体" w:eastAsia="宋体" w:cs="宋体"/>
          <w:sz w:val="24"/>
          <w:szCs w:val="24"/>
        </w:rPr>
        <w:t>求，承包人在接到本项目中标通知书后，已于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缴满本项目履约保证金（大写）：       （¥：    元）到</w:t>
      </w:r>
      <w:r>
        <w:rPr>
          <w:rFonts w:hint="eastAsia" w:ascii="宋体" w:hAnsi="宋体" w:eastAsia="宋体" w:cs="宋体"/>
          <w:sz w:val="24"/>
          <w:szCs w:val="24"/>
          <w:u w:val="single"/>
          <w:lang w:eastAsia="zh-CN"/>
        </w:rPr>
        <w:t>岳阳市城建投</w:t>
      </w:r>
      <w:r>
        <w:rPr>
          <w:rFonts w:hint="eastAsia" w:ascii="宋体" w:hAnsi="宋体" w:eastAsia="宋体" w:cs="宋体"/>
          <w:sz w:val="24"/>
          <w:szCs w:val="24"/>
          <w:u w:val="single"/>
        </w:rPr>
        <w:t>指定账户上</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/提交相应的履约保函原件至岳阳市城建投财务管理部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勾选</w:t>
      </w:r>
      <w:r>
        <w:rPr>
          <w:rFonts w:hint="eastAsia" w:ascii="宋体" w:hAnsi="宋体" w:eastAsia="宋体" w:cs="宋体"/>
          <w:color w:val="auto"/>
          <w:sz w:val="24"/>
          <w:szCs w:val="24"/>
          <w:u w:val="single"/>
          <w:lang w:eastAsia="zh-CN"/>
        </w:rPr>
        <w:t>）</w:t>
      </w:r>
      <w:r>
        <w:rPr>
          <w:rFonts w:hint="eastAsia" w:ascii="宋体" w:hAnsi="宋体" w:eastAsia="宋体" w:cs="宋体"/>
          <w:sz w:val="24"/>
          <w:szCs w:val="24"/>
        </w:rPr>
        <w:t>。履约保证金的退付</w:t>
      </w:r>
      <w:r>
        <w:rPr>
          <w:rFonts w:hint="eastAsia" w:ascii="宋体" w:hAnsi="宋体" w:eastAsia="宋体" w:cs="宋体"/>
          <w:kern w:val="0"/>
          <w:sz w:val="24"/>
          <w:szCs w:val="24"/>
        </w:rPr>
        <w:t>在本合同货物全部验收合格后，凭验收合格证明及履约保证金交纳凭证</w:t>
      </w:r>
      <w:r>
        <w:rPr>
          <w:rFonts w:hint="eastAsia" w:ascii="宋体" w:hAnsi="宋体" w:eastAsia="宋体" w:cs="宋体"/>
          <w:kern w:val="0"/>
          <w:sz w:val="24"/>
          <w:szCs w:val="24"/>
          <w:lang w:val="en-US" w:eastAsia="zh-CN"/>
        </w:rPr>
        <w:t>办理</w:t>
      </w:r>
      <w:r>
        <w:rPr>
          <w:rFonts w:hint="eastAsia" w:ascii="宋体" w:hAnsi="宋体" w:eastAsia="宋体" w:cs="宋体"/>
          <w:kern w:val="0"/>
          <w:sz w:val="24"/>
          <w:szCs w:val="24"/>
        </w:rPr>
        <w:t>（不计利息）。</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六</w:t>
      </w:r>
      <w:r>
        <w:rPr>
          <w:rFonts w:hint="eastAsia" w:ascii="宋体" w:hAnsi="宋体" w:eastAsia="宋体" w:cs="宋体"/>
          <w:b w:val="0"/>
          <w:bCs/>
          <w:kern w:val="0"/>
          <w:sz w:val="24"/>
          <w:szCs w:val="24"/>
        </w:rPr>
        <w:t>条  违约责任</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.1、乙方不能交付货物</w:t>
      </w:r>
      <w:r>
        <w:rPr>
          <w:rFonts w:hint="eastAsia" w:ascii="宋体" w:hAnsi="宋体" w:eastAsia="宋体" w:cs="宋体"/>
          <w:kern w:val="0"/>
          <w:sz w:val="24"/>
          <w:szCs w:val="24"/>
          <w:lang w:val="en-US" w:eastAsia="zh-CN"/>
        </w:rPr>
        <w:t>的</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甲方可无条件解除合同，并且</w:t>
      </w:r>
      <w:r>
        <w:rPr>
          <w:rFonts w:hint="eastAsia" w:ascii="宋体" w:hAnsi="宋体" w:eastAsia="宋体" w:cs="宋体"/>
          <w:kern w:val="0"/>
          <w:sz w:val="24"/>
          <w:szCs w:val="24"/>
        </w:rPr>
        <w:t>乙方应向甲方支付合同总价</w:t>
      </w:r>
      <w:r>
        <w:rPr>
          <w:rFonts w:hint="eastAsia" w:ascii="宋体" w:hAnsi="宋体" w:eastAsia="宋体" w:cs="宋体"/>
          <w:kern w:val="0"/>
          <w:sz w:val="24"/>
          <w:szCs w:val="24"/>
          <w:u w:val="single"/>
          <w:lang w:val="en-US" w:eastAsia="zh-CN"/>
        </w:rPr>
        <w:t xml:space="preserve"> 10</w:t>
      </w:r>
      <w:r>
        <w:rPr>
          <w:rFonts w:hint="eastAsia" w:ascii="宋体" w:hAnsi="宋体" w:eastAsia="宋体" w:cs="宋体"/>
          <w:kern w:val="0"/>
          <w:sz w:val="24"/>
          <w:szCs w:val="24"/>
          <w:u w:val="single"/>
        </w:rPr>
        <w:t>%</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的违约金。</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.2、乙方逾期交付货物的，每逾期1天，乙方向甲方</w:t>
      </w:r>
      <w:r>
        <w:rPr>
          <w:rFonts w:hint="eastAsia" w:ascii="宋体" w:hAnsi="宋体" w:eastAsia="宋体" w:cs="宋体"/>
          <w:kern w:val="0"/>
          <w:sz w:val="24"/>
          <w:szCs w:val="24"/>
          <w:lang w:val="en-US" w:eastAsia="zh-CN"/>
        </w:rPr>
        <w:t>支付</w:t>
      </w:r>
      <w:r>
        <w:rPr>
          <w:rFonts w:hint="eastAsia" w:ascii="宋体" w:hAnsi="宋体" w:eastAsia="宋体" w:cs="宋体"/>
          <w:kern w:val="0"/>
          <w:sz w:val="24"/>
          <w:szCs w:val="24"/>
        </w:rPr>
        <w:t>逾期交货部分货款总额千分之五的违约金，以此类推。如乙方逾期交货达</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30</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天，乙方除支付违约金外，甲方还有权解除合同并要求乙方赔偿经济损失，解除合同的通知自到达乙方时生效。</w:t>
      </w:r>
      <w:r>
        <w:rPr>
          <w:rFonts w:hint="eastAsia" w:ascii="宋体" w:hAnsi="宋体" w:eastAsia="宋体" w:cs="宋体"/>
          <w:b/>
          <w:kern w:val="0"/>
          <w:sz w:val="24"/>
          <w:szCs w:val="24"/>
        </w:rPr>
        <w:t xml:space="preserve">   </w:t>
      </w:r>
    </w:p>
    <w:p>
      <w:pPr>
        <w:spacing w:line="56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.3、乙方所交付的货物品种、型号、规格不符合合同规定的，甲方有权拒收。甲方</w:t>
      </w:r>
      <w:r>
        <w:rPr>
          <w:rFonts w:hint="eastAsia" w:ascii="宋体" w:hAnsi="宋体" w:eastAsia="宋体" w:cs="宋体"/>
          <w:kern w:val="0"/>
          <w:sz w:val="24"/>
          <w:szCs w:val="24"/>
          <w:lang w:val="en-US" w:eastAsia="zh-CN"/>
        </w:rPr>
        <w:t>因此</w:t>
      </w:r>
      <w:r>
        <w:rPr>
          <w:rFonts w:hint="eastAsia" w:ascii="宋体" w:hAnsi="宋体" w:eastAsia="宋体" w:cs="宋体"/>
          <w:kern w:val="0"/>
          <w:sz w:val="24"/>
          <w:szCs w:val="24"/>
        </w:rPr>
        <w:t>拒收的，乙方应向甲方支付货款总额</w:t>
      </w:r>
      <w:r>
        <w:rPr>
          <w:rFonts w:hint="eastAsia" w:ascii="宋体" w:hAnsi="宋体" w:eastAsia="宋体" w:cs="宋体"/>
          <w:kern w:val="0"/>
          <w:sz w:val="24"/>
          <w:szCs w:val="24"/>
          <w:u w:val="single"/>
          <w:lang w:val="en-US" w:eastAsia="zh-CN"/>
        </w:rPr>
        <w:t xml:space="preserve"> 5</w:t>
      </w:r>
      <w:r>
        <w:rPr>
          <w:rFonts w:hint="eastAsia" w:ascii="宋体" w:hAnsi="宋体" w:eastAsia="宋体" w:cs="宋体"/>
          <w:kern w:val="0"/>
          <w:sz w:val="24"/>
          <w:szCs w:val="24"/>
          <w:u w:val="single"/>
        </w:rPr>
        <w:t>%</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的违约金。若被查出所供货物或其部件是假冒伪劣产品的，乙方除无条件退货或换货外，</w:t>
      </w:r>
      <w:r>
        <w:rPr>
          <w:rFonts w:hint="eastAsia" w:ascii="宋体" w:hAnsi="宋体" w:eastAsia="宋体" w:cs="宋体"/>
          <w:kern w:val="0"/>
          <w:sz w:val="24"/>
          <w:szCs w:val="24"/>
          <w:lang w:val="en-US" w:eastAsia="zh-CN"/>
        </w:rPr>
        <w:t>还可向乙方追究因此造成的所有损失。</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.4、在乙方承诺的或国家规定的质量保证期内（取两者中最长的期限），如经乙方两次维修或更换，货物仍不能达到合同约定的质量标准，甲方有权退货，乙方应退回全部货款，并按第</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.3款处理。</w:t>
      </w:r>
    </w:p>
    <w:p>
      <w:pPr>
        <w:spacing w:line="560" w:lineRule="exact"/>
        <w:ind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.5、乙方未按本合同的规定和“服务承诺”提供售后服务的，应按合同总价款的</w:t>
      </w:r>
      <w:r>
        <w:rPr>
          <w:rFonts w:hint="eastAsia" w:ascii="宋体" w:hAnsi="宋体" w:eastAsia="宋体" w:cs="宋体"/>
          <w:kern w:val="0"/>
          <w:sz w:val="24"/>
          <w:szCs w:val="24"/>
          <w:u w:val="single"/>
          <w:lang w:val="en-US" w:eastAsia="zh-CN"/>
        </w:rPr>
        <w:t xml:space="preserve"> 3% </w:t>
      </w:r>
      <w:r>
        <w:rPr>
          <w:rFonts w:hint="eastAsia" w:ascii="宋体" w:hAnsi="宋体" w:eastAsia="宋体" w:cs="宋体"/>
          <w:kern w:val="0"/>
          <w:sz w:val="24"/>
          <w:szCs w:val="24"/>
        </w:rPr>
        <w:t>向甲方承担违约责任。</w:t>
      </w:r>
    </w:p>
    <w:p>
      <w:pPr>
        <w:spacing w:line="560" w:lineRule="exact"/>
        <w:ind w:left="-15" w:leftChars="-7" w:firstLine="480" w:firstLineChars="200"/>
        <w:rPr>
          <w:rFonts w:hint="eastAsia" w:ascii="宋体" w:hAnsi="宋体" w:eastAsia="宋体" w:cs="宋体"/>
          <w:b/>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七</w:t>
      </w:r>
      <w:r>
        <w:rPr>
          <w:rFonts w:hint="eastAsia" w:ascii="宋体" w:hAnsi="宋体" w:eastAsia="宋体" w:cs="宋体"/>
          <w:b w:val="0"/>
          <w:bCs/>
          <w:kern w:val="0"/>
          <w:sz w:val="24"/>
          <w:szCs w:val="24"/>
        </w:rPr>
        <w:t>条  争议的解决</w:t>
      </w:r>
    </w:p>
    <w:p>
      <w:pPr>
        <w:spacing w:line="560" w:lineRule="exact"/>
        <w:ind w:left="-15" w:leftChars="-7"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.1、因货物的质量问题发生争议的，应当邀请国家认可的质量检测机构对货物质量进行鉴定。货物符合质量标准的，鉴定费由甲方承担；货物不符合质量标准的，鉴定费由乙方承担。</w:t>
      </w:r>
    </w:p>
    <w:p>
      <w:pPr>
        <w:spacing w:line="560" w:lineRule="exact"/>
        <w:ind w:left="-15" w:leftChars="-7"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.2、双方约定，在履行合同过程中产生争议，甲乙双方协商解决；调解不成，约定</w:t>
      </w:r>
      <w:r>
        <w:rPr>
          <w:rFonts w:hint="eastAsia" w:ascii="宋体" w:hAnsi="宋体" w:eastAsia="宋体" w:cs="宋体"/>
          <w:kern w:val="0"/>
          <w:sz w:val="24"/>
          <w:szCs w:val="24"/>
          <w:lang w:val="en-US" w:eastAsia="zh-CN"/>
        </w:rPr>
        <w:t>采取以下</w:t>
      </w:r>
      <w:r>
        <w:rPr>
          <w:rFonts w:hint="eastAsia" w:ascii="宋体" w:hAnsi="宋体" w:eastAsia="宋体" w:cs="宋体"/>
          <w:kern w:val="0"/>
          <w:sz w:val="24"/>
          <w:szCs w:val="24"/>
          <w:u w:val="single"/>
          <w:lang w:val="en-US" w:eastAsia="zh-CN"/>
        </w:rPr>
        <w:t>第（1）种</w:t>
      </w:r>
      <w:r>
        <w:rPr>
          <w:rFonts w:hint="eastAsia" w:ascii="宋体" w:hAnsi="宋体" w:eastAsia="宋体" w:cs="宋体"/>
          <w:kern w:val="0"/>
          <w:sz w:val="24"/>
          <w:szCs w:val="24"/>
          <w:lang w:val="en-US" w:eastAsia="zh-CN"/>
        </w:rPr>
        <w:t>方式进行：</w:t>
      </w:r>
    </w:p>
    <w:p>
      <w:pPr>
        <w:spacing w:line="560" w:lineRule="exact"/>
        <w:ind w:left="-15" w:leftChars="-7"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向</w:t>
      </w:r>
      <w:r>
        <w:rPr>
          <w:rFonts w:hint="eastAsia" w:ascii="宋体" w:hAnsi="宋体" w:eastAsia="宋体" w:cs="宋体"/>
          <w:kern w:val="0"/>
          <w:sz w:val="24"/>
          <w:szCs w:val="24"/>
          <w:u w:val="single"/>
          <w:lang w:val="en-US" w:eastAsia="zh-CN"/>
        </w:rPr>
        <w:t>甲方</w:t>
      </w:r>
      <w:r>
        <w:rPr>
          <w:rFonts w:hint="eastAsia" w:ascii="宋体" w:hAnsi="宋体" w:eastAsia="宋体" w:cs="宋体"/>
          <w:kern w:val="0"/>
          <w:sz w:val="24"/>
          <w:szCs w:val="24"/>
          <w:u w:val="single"/>
        </w:rPr>
        <w:t>所在地人民法院</w:t>
      </w:r>
      <w:r>
        <w:rPr>
          <w:rFonts w:hint="eastAsia" w:ascii="宋体" w:hAnsi="宋体" w:eastAsia="宋体" w:cs="宋体"/>
          <w:kern w:val="0"/>
          <w:sz w:val="24"/>
          <w:szCs w:val="24"/>
        </w:rPr>
        <w:t>提起诉讼</w:t>
      </w:r>
    </w:p>
    <w:p>
      <w:pPr>
        <w:spacing w:line="560" w:lineRule="exact"/>
        <w:ind w:left="-15" w:leftChars="-7"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（2）向</w:t>
      </w:r>
      <w:r>
        <w:rPr>
          <w:rFonts w:hint="eastAsia" w:ascii="宋体" w:hAnsi="宋体" w:eastAsia="宋体" w:cs="宋体"/>
          <w:kern w:val="0"/>
          <w:sz w:val="24"/>
          <w:szCs w:val="24"/>
          <w:u w:val="single"/>
          <w:lang w:val="en-US" w:eastAsia="zh-CN"/>
        </w:rPr>
        <w:t>岳阳仲裁委</w:t>
      </w:r>
      <w:r>
        <w:rPr>
          <w:rFonts w:hint="eastAsia" w:ascii="宋体" w:hAnsi="宋体" w:eastAsia="宋体" w:cs="宋体"/>
          <w:kern w:val="0"/>
          <w:sz w:val="24"/>
          <w:szCs w:val="24"/>
          <w:lang w:val="en-US" w:eastAsia="zh-CN"/>
        </w:rPr>
        <w:t>提起仲裁</w:t>
      </w:r>
    </w:p>
    <w:p>
      <w:pPr>
        <w:spacing w:line="560" w:lineRule="exact"/>
        <w:ind w:left="0" w:leftChars="0"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第</w:t>
      </w:r>
      <w:r>
        <w:rPr>
          <w:rFonts w:hint="eastAsia" w:ascii="宋体" w:hAnsi="宋体" w:eastAsia="宋体" w:cs="宋体"/>
          <w:b w:val="0"/>
          <w:bCs/>
          <w:kern w:val="0"/>
          <w:sz w:val="24"/>
          <w:szCs w:val="24"/>
          <w:lang w:val="en-US" w:eastAsia="zh-CN"/>
        </w:rPr>
        <w:t>八</w:t>
      </w:r>
      <w:r>
        <w:rPr>
          <w:rFonts w:hint="eastAsia" w:ascii="宋体" w:hAnsi="宋体" w:eastAsia="宋体" w:cs="宋体"/>
          <w:b w:val="0"/>
          <w:bCs/>
          <w:kern w:val="0"/>
          <w:sz w:val="24"/>
          <w:szCs w:val="24"/>
        </w:rPr>
        <w:t>条</w:t>
      </w:r>
      <w:r>
        <w:rPr>
          <w:rFonts w:hint="eastAsia" w:ascii="宋体" w:hAnsi="宋体" w:eastAsia="宋体" w:cs="宋体"/>
          <w:b w:val="0"/>
          <w:bCs/>
          <w:kern w:val="0"/>
          <w:sz w:val="24"/>
          <w:szCs w:val="24"/>
          <w:lang w:val="en-US" w:eastAsia="zh-CN"/>
        </w:rPr>
        <w:t xml:space="preserve">  </w:t>
      </w:r>
      <w:r>
        <w:rPr>
          <w:rFonts w:hint="eastAsia" w:ascii="宋体" w:hAnsi="宋体" w:eastAsia="宋体" w:cs="宋体"/>
          <w:b w:val="0"/>
          <w:bCs/>
          <w:kern w:val="0"/>
          <w:sz w:val="24"/>
          <w:szCs w:val="24"/>
        </w:rPr>
        <w:t>合同签章</w:t>
      </w:r>
    </w:p>
    <w:p>
      <w:pPr>
        <w:spacing w:line="560" w:lineRule="exact"/>
        <w:ind w:left="-15" w:leftChars="-7"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.1、合同份数：本合同一式</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份，甲乙双方各执</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份</w:t>
      </w:r>
      <w:r>
        <w:rPr>
          <w:rFonts w:hint="eastAsia" w:ascii="宋体" w:hAnsi="宋体" w:eastAsia="宋体" w:cs="宋体"/>
          <w:kern w:val="0"/>
          <w:sz w:val="24"/>
          <w:szCs w:val="24"/>
          <w:lang w:eastAsia="zh-CN"/>
        </w:rPr>
        <w:t>。</w:t>
      </w:r>
    </w:p>
    <w:p>
      <w:pPr>
        <w:spacing w:line="560" w:lineRule="exact"/>
        <w:ind w:left="-15" w:leftChars="-7" w:firstLine="480" w:firstLineChars="200"/>
        <w:rPr>
          <w:rFonts w:hint="eastAsia" w:ascii="宋体" w:hAnsi="宋体" w:eastAsia="宋体" w:cs="宋体"/>
          <w:b/>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.2、合同订立时间：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w:t>
      </w:r>
    </w:p>
    <w:p>
      <w:pPr>
        <w:spacing w:line="560" w:lineRule="exact"/>
        <w:ind w:left="-15" w:leftChars="-7" w:firstLine="480" w:firstLineChars="200"/>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.3、合同订立地点：</w:t>
      </w:r>
      <w:r>
        <w:rPr>
          <w:rFonts w:hint="eastAsia" w:ascii="宋体" w:hAnsi="宋体" w:eastAsia="宋体" w:cs="宋体"/>
          <w:kern w:val="0"/>
          <w:sz w:val="24"/>
          <w:szCs w:val="24"/>
          <w:u w:val="single"/>
          <w:lang w:val="en-US" w:eastAsia="zh-CN"/>
        </w:rPr>
        <w:t xml:space="preserve">   湖南省岳阳市     </w:t>
      </w:r>
    </w:p>
    <w:p>
      <w:pPr>
        <w:spacing w:line="560" w:lineRule="exact"/>
        <w:ind w:left="-15" w:leftChars="-7"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.4、本合同经双方签字</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盖章（含骑缝章）后生效。</w:t>
      </w:r>
    </w:p>
    <w:p>
      <w:pPr>
        <w:spacing w:line="560" w:lineRule="exact"/>
        <w:ind w:left="-15" w:leftChars="-7" w:firstLine="482" w:firstLineChars="200"/>
        <w:rPr>
          <w:rFonts w:hint="eastAsia" w:ascii="宋体" w:hAnsi="宋体" w:eastAsia="宋体" w:cs="宋体"/>
          <w:b/>
          <w:kern w:val="0"/>
          <w:sz w:val="24"/>
          <w:szCs w:val="24"/>
        </w:rPr>
      </w:pPr>
    </w:p>
    <w:p>
      <w:pPr>
        <w:spacing w:line="560" w:lineRule="exact"/>
        <w:ind w:left="-15" w:leftChars="-7" w:firstLine="480" w:firstLineChars="200"/>
        <w:rPr>
          <w:rFonts w:hint="eastAsia" w:ascii="宋体" w:hAnsi="宋体" w:eastAsia="宋体" w:cs="宋体"/>
          <w:kern w:val="0"/>
          <w:sz w:val="24"/>
          <w:szCs w:val="24"/>
        </w:rPr>
      </w:pPr>
    </w:p>
    <w:p>
      <w:pPr>
        <w:spacing w:line="580" w:lineRule="exact"/>
        <w:ind w:left="-15" w:leftChars="-7"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采购人（甲方）：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供应商（乙方）：</w:t>
      </w:r>
    </w:p>
    <w:p>
      <w:pPr>
        <w:spacing w:line="58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盖</w:t>
      </w:r>
      <w:r>
        <w:rPr>
          <w:rFonts w:hint="eastAsia" w:ascii="宋体" w:hAnsi="宋体" w:eastAsia="宋体" w:cs="宋体"/>
          <w:kern w:val="0"/>
          <w:sz w:val="24"/>
          <w:szCs w:val="24"/>
        </w:rPr>
        <w:t>章）</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盖</w:t>
      </w:r>
      <w:r>
        <w:rPr>
          <w:rFonts w:hint="eastAsia" w:ascii="宋体" w:hAnsi="宋体" w:eastAsia="宋体" w:cs="宋体"/>
          <w:kern w:val="0"/>
          <w:sz w:val="24"/>
          <w:szCs w:val="24"/>
        </w:rPr>
        <w:t>章）</w:t>
      </w:r>
    </w:p>
    <w:p>
      <w:pPr>
        <w:spacing w:line="580" w:lineRule="exact"/>
        <w:rPr>
          <w:rFonts w:hint="eastAsia" w:ascii="宋体" w:hAnsi="宋体" w:eastAsia="宋体" w:cs="宋体"/>
          <w:kern w:val="0"/>
          <w:sz w:val="24"/>
          <w:szCs w:val="24"/>
        </w:rPr>
      </w:pPr>
    </w:p>
    <w:p>
      <w:pPr>
        <w:spacing w:line="5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 xml:space="preserve">法定代表人 </w:t>
      </w:r>
    </w:p>
    <w:p>
      <w:pPr>
        <w:spacing w:line="5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或</w:t>
      </w:r>
      <w:r>
        <w:rPr>
          <w:rFonts w:hint="eastAsia" w:ascii="宋体" w:hAnsi="宋体" w:eastAsia="宋体" w:cs="宋体"/>
          <w:kern w:val="0"/>
          <w:sz w:val="24"/>
          <w:szCs w:val="24"/>
        </w:rPr>
        <w:t xml:space="preserve">委托代理人：              </w:t>
      </w:r>
      <w:r>
        <w:rPr>
          <w:rFonts w:hint="eastAsia" w:ascii="宋体" w:hAnsi="宋体" w:eastAsia="宋体" w:cs="宋体"/>
          <w:kern w:val="0"/>
          <w:sz w:val="24"/>
          <w:szCs w:val="24"/>
          <w:lang w:val="en-US" w:eastAsia="zh-CN"/>
        </w:rPr>
        <w:t>或</w:t>
      </w:r>
      <w:r>
        <w:rPr>
          <w:rFonts w:hint="eastAsia" w:ascii="宋体" w:hAnsi="宋体" w:eastAsia="宋体" w:cs="宋体"/>
          <w:kern w:val="0"/>
          <w:sz w:val="24"/>
          <w:szCs w:val="24"/>
        </w:rPr>
        <w:t>委托代理人：</w:t>
      </w:r>
    </w:p>
    <w:p>
      <w:pPr>
        <w:spacing w:line="580" w:lineRule="exact"/>
        <w:rPr>
          <w:rFonts w:hint="eastAsia" w:ascii="宋体" w:hAnsi="宋体" w:eastAsia="宋体" w:cs="宋体"/>
          <w:kern w:val="0"/>
          <w:sz w:val="24"/>
          <w:szCs w:val="24"/>
        </w:rPr>
      </w:pPr>
    </w:p>
    <w:p>
      <w:pPr>
        <w:spacing w:line="580" w:lineRule="exact"/>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经办人：                    经办人：</w:t>
      </w:r>
    </w:p>
    <w:p>
      <w:pPr>
        <w:spacing w:line="580" w:lineRule="exact"/>
        <w:rPr>
          <w:rFonts w:hint="eastAsia" w:ascii="宋体" w:hAnsi="宋体" w:eastAsia="宋体" w:cs="宋体"/>
          <w:kern w:val="0"/>
          <w:sz w:val="24"/>
          <w:szCs w:val="24"/>
          <w:lang w:val="en-US" w:eastAsia="zh-CN"/>
        </w:rPr>
      </w:pPr>
    </w:p>
    <w:p>
      <w:pPr>
        <w:spacing w:line="5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开户银行：                  开户银行：</w:t>
      </w:r>
    </w:p>
    <w:p>
      <w:pPr>
        <w:spacing w:line="580" w:lineRule="exact"/>
        <w:rPr>
          <w:rFonts w:hint="eastAsia" w:ascii="宋体" w:hAnsi="宋体" w:eastAsia="宋体" w:cs="宋体"/>
          <w:kern w:val="0"/>
          <w:sz w:val="24"/>
          <w:szCs w:val="24"/>
        </w:rPr>
      </w:pPr>
    </w:p>
    <w:p>
      <w:pPr>
        <w:spacing w:line="580" w:lineRule="exact"/>
        <w:ind w:firstLine="480" w:firstLineChars="200"/>
        <w:rPr>
          <w:rFonts w:hint="eastAsia" w:ascii="宋体" w:hAnsi="宋体" w:eastAsia="宋体" w:cs="宋体"/>
          <w:kern w:val="0"/>
          <w:sz w:val="24"/>
          <w:szCs w:val="24"/>
        </w:rPr>
      </w:pPr>
      <w:r>
        <w:rPr>
          <w:rFonts w:hint="eastAsia" w:ascii="宋体" w:hAnsi="宋体" w:eastAsia="宋体" w:cs="宋体"/>
          <w:sz w:val="24"/>
          <w:szCs w:val="24"/>
          <w:lang w:val="en-US" w:eastAsia="zh-CN"/>
        </w:rPr>
        <w:t>账号</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w:t>
      </w:r>
      <w:r>
        <w:rPr>
          <w:rFonts w:hint="eastAsia" w:ascii="宋体" w:hAnsi="宋体" w:eastAsia="宋体" w:cs="宋体"/>
          <w:sz w:val="24"/>
          <w:szCs w:val="24"/>
          <w:lang w:val="en-US" w:eastAsia="zh-CN"/>
        </w:rPr>
        <w:t>账号</w:t>
      </w:r>
      <w:r>
        <w:rPr>
          <w:rFonts w:hint="eastAsia" w:ascii="宋体" w:hAnsi="宋体" w:eastAsia="宋体" w:cs="宋体"/>
          <w:kern w:val="0"/>
          <w:sz w:val="24"/>
          <w:szCs w:val="24"/>
        </w:rPr>
        <w:t>：</w:t>
      </w:r>
    </w:p>
    <w:p>
      <w:pPr>
        <w:tabs>
          <w:tab w:val="left" w:pos="1335"/>
        </w:tabs>
        <w:spacing w:line="580" w:lineRule="exact"/>
        <w:rPr>
          <w:rFonts w:hint="eastAsia" w:ascii="仿宋_GB2312" w:hAnsi="ˎ̥" w:eastAsia="仿宋_GB2312" w:cs="宋体"/>
          <w:kern w:val="0"/>
          <w:sz w:val="32"/>
          <w:szCs w:val="32"/>
        </w:rPr>
      </w:pPr>
      <w:r>
        <w:rPr>
          <w:rFonts w:hint="eastAsia" w:ascii="仿宋_GB2312" w:hAnsi="ˎ̥" w:eastAsia="仿宋_GB2312" w:cs="宋体"/>
          <w:kern w:val="0"/>
          <w:sz w:val="32"/>
          <w:szCs w:val="32"/>
        </w:rPr>
        <w:tab/>
      </w:r>
    </w:p>
    <w:p>
      <w:pPr>
        <w:pStyle w:val="8"/>
        <w:shd w:val="clear"/>
        <w:adjustRightInd w:val="0"/>
        <w:snapToGrid w:val="0"/>
        <w:spacing w:before="156" w:beforeLines="50"/>
        <w:jc w:val="center"/>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第二节 政府采购合同通用条款</w:t>
      </w:r>
      <w:bookmarkEnd w:id="46"/>
    </w:p>
    <w:p>
      <w:pPr>
        <w:shd w:val="clear"/>
        <w:tabs>
          <w:tab w:val="left" w:pos="8820"/>
          <w:tab w:val="left" w:pos="9345"/>
          <w:tab w:val="left" w:pos="9765"/>
        </w:tabs>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14:textFill>
            <w14:solidFill>
              <w14:schemeClr w14:val="tx1"/>
            </w14:solidFill>
          </w14:textFill>
        </w:rPr>
        <w:t>定义</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（1）采购人（以下称甲方）是指使用财政性资金，通过政府采购方式向供应商购买货物、服务的国家机关、事业单位、团体组织。本次采购的甲方名称、地址见</w:t>
      </w:r>
      <w:r>
        <w:rPr>
          <w:rFonts w:hint="eastAsia" w:ascii="宋体" w:hAnsi="宋体"/>
          <w:b/>
          <w:color w:val="000000" w:themeColor="text1"/>
          <w:szCs w:val="21"/>
          <w:highlight w:val="none"/>
          <w14:textFill>
            <w14:solidFill>
              <w14:schemeClr w14:val="tx1"/>
            </w14:solidFill>
          </w14:textFill>
        </w:rPr>
        <w:t>【政府采购合同专用条款】。</w:t>
      </w:r>
    </w:p>
    <w:p>
      <w:pPr>
        <w:shd w:val="clear"/>
        <w:autoSpaceDE w:val="0"/>
        <w:autoSpaceDN w:val="0"/>
        <w:adjustRightInd w:val="0"/>
        <w:snapToGrid w:val="0"/>
        <w:spacing w:before="50" w:line="360" w:lineRule="auto"/>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（2）供应商（以下称乙方）是指参加政府采购活动而取得中标结果，并向采购人提供货物、服务的法人、其他组织或者自然人。</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1.2本合同下列术语应解释为：</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（1）“合同”系指甲乙双方签署的、政府采购合同协议书中载明的甲乙双方所达成的协议，包括所有的附件、附录和上述文件所提到的构成合同的所有文件。</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（2）“合同价”系指根据本合同规定乙方在正确地完全履行合同义务后甲方应支付给乙方的价款。</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pPr>
        <w:shd w:val="clear"/>
        <w:tabs>
          <w:tab w:val="left" w:pos="570"/>
          <w:tab w:val="left" w:pos="888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服务”系指根据合同规定，乙方应提供的技术、管理和其它服务，包括但不限于：管理和质量保证、运输、保险、检验、现场准备、安装、集成、调试、培训、维修、技术支持等以及合同中规定乙方应承担的其它义务。</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（5）“合同条款”系指本合同及其附件、补充文件约定的全部条款。</w:t>
      </w:r>
    </w:p>
    <w:p>
      <w:pPr>
        <w:shd w:val="clea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（6）“项目现场”系指本合同项下货物安装、运行的现场，其名称见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2.合同的适用范围</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本合同条款适用于没有被本合同其他部分的条款所取代的范围。</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 合同内容根据招标文件、投标文件而确定。</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w:t>
      </w:r>
      <w:r>
        <w:rPr>
          <w:rFonts w:hint="eastAsia" w:ascii="宋体" w:hAnsi="宋体"/>
          <w:b/>
          <w:color w:val="000000" w:themeColor="text1"/>
          <w:sz w:val="24"/>
          <w:highlight w:val="none"/>
          <w14:textFill>
            <w14:solidFill>
              <w14:schemeClr w14:val="tx1"/>
            </w14:solidFill>
          </w14:textFill>
        </w:rPr>
        <w:t>合同标的及金额</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 合同标的及金额应与中标结果一致。</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w:t>
      </w:r>
      <w:r>
        <w:rPr>
          <w:rFonts w:hint="eastAsia" w:ascii="宋体" w:hAnsi="宋体"/>
          <w:b/>
          <w:color w:val="000000" w:themeColor="text1"/>
          <w:sz w:val="24"/>
          <w:highlight w:val="none"/>
          <w14:textFill>
            <w14:solidFill>
              <w14:schemeClr w14:val="tx1"/>
            </w14:solidFill>
          </w14:textFill>
        </w:rPr>
        <w:t>合同价款</w:t>
      </w:r>
    </w:p>
    <w:p>
      <w:pPr>
        <w:shd w:val="clear"/>
        <w:adjustRightInd w:val="0"/>
        <w:snapToGrid w:val="0"/>
        <w:spacing w:before="50" w:line="360" w:lineRule="auto"/>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4.1具体合同价款见本合同第3.1条。乙方为履行本合同而发生的所有费用均应包含在合同价款中，甲方不再另行支付其它任何费用。</w:t>
      </w:r>
    </w:p>
    <w:p>
      <w:pPr>
        <w:shd w:val="clear"/>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5.履行合同的时间、地点和方式</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乙方应当在甲方确定的时间、指定的地点履行合同，具体的交货时间、地点和方式见</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乙方提供服务的应当在甲方指定的时间和地点完成服务项目。</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6.</w:t>
      </w:r>
      <w:r>
        <w:rPr>
          <w:rFonts w:hint="eastAsia" w:ascii="宋体" w:hAnsi="宋体"/>
          <w:b/>
          <w:color w:val="000000" w:themeColor="text1"/>
          <w:sz w:val="24"/>
          <w:highlight w:val="none"/>
          <w14:textFill>
            <w14:solidFill>
              <w14:schemeClr w14:val="tx1"/>
            </w14:solidFill>
          </w14:textFill>
        </w:rPr>
        <w:t>货物的验收</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甲方在收到乙方交付的货物后应当及时组织验收。</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6.2 货物的表面瑕疵，甲方应在验收时当面提出；对质量问题有异议的应在安装调试后十个工作日内提出。</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6.4 甲方在乙方按合同规定交货或安装、调试后，无正当理由而拖延接收、验收或拒绝接收、验收的，应承担因此给乙方造成的直接损失。</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6.5 甲方对货物进行检查验收合格后，应当收取发票并在《交货验收单》上签署验收意见及加盖单位印章。</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6.6 大型或者复杂的货物采购项目，甲方可以邀请国家认可的质量检测机构参加验收工作，并由其出具验收报告单。</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6.7 乙方提供的进口产品，乙方应出示中华人民共和国进出口商品检验部门出具的检验证书（招标文件第五章采购需求另有约定的除外）。</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7.货物包装要求</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每一个包装箱内应附一份详细装箱单、质量证书和保修保养证书。</w:t>
      </w:r>
    </w:p>
    <w:p>
      <w:pPr>
        <w:shd w:val="clear"/>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8.运输和保险</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8.1乙方负责办理将货物运抵本合同第5.1条规定的交货地点的一切运输事项，相关费用应包括在合同总价中。</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8.2乙方应向保险公司投保以甲方为受益人的发运合同货物发票金额的110％运输一切险。</w:t>
      </w:r>
    </w:p>
    <w:p>
      <w:pPr>
        <w:shd w:val="clear"/>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9.质量标准和保证</w:t>
      </w:r>
    </w:p>
    <w:p>
      <w:pPr>
        <w:pStyle w:val="25"/>
        <w:shd w:val="clear"/>
        <w:adjustRightInd w:val="0"/>
        <w:snapToGrid w:val="0"/>
        <w:spacing w:before="50" w:line="360" w:lineRule="auto"/>
        <w:ind w:firstLine="400" w:firstLineChars="200"/>
        <w:jc w:val="left"/>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9.1 质量标准</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pPr>
        <w:pStyle w:val="25"/>
        <w:shd w:val="clear"/>
        <w:adjustRightInd w:val="0"/>
        <w:snapToGrid w:val="0"/>
        <w:spacing w:before="50" w:line="360" w:lineRule="auto"/>
        <w:ind w:firstLine="400" w:firstLineChars="200"/>
        <w:jc w:val="lef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（2）采用中华人民共和国法定计量单位。</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（3）乙方所出售的货物还应符合国家有关安全、环保、卫生之规定。</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9.2 保证</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规定或乙方承诺（两者以较长的为准）的质量保证期内，本保证保持有效。</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（2）在质量保证期内所发现的缺陷，甲方应尽快以书面形式通知乙方。</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（3）乙方收到通知后应在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规定的响应时间内以合理的速度免费维修或更换有缺陷的货物或部件。</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pPr>
        <w:shd w:val="clear"/>
        <w:adjustRightInd w:val="0"/>
        <w:snapToGrid w:val="0"/>
        <w:spacing w:before="50" w:line="360" w:lineRule="auto"/>
        <w:ind w:firstLine="420" w:firstLineChars="200"/>
        <w:jc w:val="lef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10.权利瑕疵担保</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10.1 乙方保证对其出售的货物享有合法的权利。</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10.2 乙方保证在其出售的货物上不存在任何未曾向甲方透露的担保物权，如抵押权、质押权、留置权等。</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10.3 如甲方使用该货物构成上述侵权的，则由乙方承担全部责任。</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11.知识产权保护</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 乙方对其所销售的货物应当享有知识产权或经权利人合法授权，保证没有侵犯任何第三人的知识产权和商业秘密等权利。</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 甲方使用乙方提供的货物对第三人构成侵权的，应当由乙方承担全部法律责任，给甲方造成损害的，乙方应当承担赔偿责任。</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11.3 甲方委托乙方开发的产品，甲方享有知识产权，未经甲方许可不得转让任何第三人。</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12.保密义务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12.1 甲、乙双方在采购和履行合同过程中所获悉的对方属于保密的内容，双方均有保密义务。</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13.合同价款支付</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13.1验收合格后，乙方出具正规发票给甲方，凭甲方开具的《政府采购合同验收报告单》办理合同价</w:t>
      </w:r>
      <w:r>
        <w:rPr>
          <w:rFonts w:hint="eastAsia" w:ascii="宋体" w:hAnsi="宋体"/>
          <w:bCs/>
          <w:color w:val="000000" w:themeColor="text1"/>
          <w:szCs w:val="21"/>
          <w:highlight w:val="none"/>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结算手续。</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13.3 合同价款构成中应当由甲方自行支付的部分，甲方应当在货物验收合格后十五个工作日内支付。</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13.4支付合同价</w:t>
      </w:r>
      <w:r>
        <w:rPr>
          <w:rFonts w:hint="eastAsia" w:ascii="宋体" w:hAnsi="宋体"/>
          <w:bCs/>
          <w:color w:val="000000" w:themeColor="text1"/>
          <w:szCs w:val="21"/>
          <w:highlight w:val="none"/>
          <w14:textFill>
            <w14:solidFill>
              <w14:schemeClr w14:val="tx1"/>
            </w14:solidFill>
          </w14:textFill>
        </w:rPr>
        <w:t>款</w:t>
      </w:r>
      <w:r>
        <w:rPr>
          <w:rFonts w:hint="eastAsia" w:ascii="宋体" w:hAnsi="宋体"/>
          <w:color w:val="000000" w:themeColor="text1"/>
          <w:szCs w:val="21"/>
          <w:highlight w:val="none"/>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13.5 合同价款支付方式</w:t>
      </w:r>
      <w:r>
        <w:rPr>
          <w:rFonts w:hint="eastAsia" w:ascii="宋体" w:hAnsi="宋体"/>
          <w:bCs/>
          <w:color w:val="000000" w:themeColor="text1"/>
          <w:szCs w:val="21"/>
          <w:highlight w:val="none"/>
          <w14:textFill>
            <w14:solidFill>
              <w14:schemeClr w14:val="tx1"/>
            </w14:solidFill>
          </w14:textFill>
        </w:rPr>
        <w:t>和条件在</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中另有规定。</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14.</w:t>
      </w:r>
      <w:r>
        <w:rPr>
          <w:rFonts w:hint="eastAsia"/>
          <w:b/>
          <w:color w:val="000000" w:themeColor="text1"/>
          <w:sz w:val="24"/>
          <w:highlight w:val="none"/>
          <w14:textFill>
            <w14:solidFill>
              <w14:schemeClr w14:val="tx1"/>
            </w14:solidFill>
          </w14:textFill>
        </w:rPr>
        <w:t>乙方应提供的</w:t>
      </w:r>
      <w:r>
        <w:rPr>
          <w:rFonts w:hint="eastAsia" w:ascii="宋体" w:hAnsi="宋体"/>
          <w:b/>
          <w:color w:val="000000" w:themeColor="text1"/>
          <w:sz w:val="24"/>
          <w:highlight w:val="none"/>
          <w14:textFill>
            <w14:solidFill>
              <w14:schemeClr w14:val="tx1"/>
            </w14:solidFill>
          </w14:textFill>
        </w:rPr>
        <w:t>服务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14.2 乙方还应提供下列服务：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（1）货物的现场移动、安装、调试、启动监督及技术支持；</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（2）提供货物组装和维修所需的专用工具和辅助材料；</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（3）在合同各方商定的一定期限内对所有的货物实施运行监督、维修，但前提条件是该服务并不能免除乙方在质量保证期内所承担的义务；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（4）在制造商或项目现场就货物的安装、启动、运营、维护对甲方操作人员进行培训；</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规定由乙方提供的其他服务。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14.3 乙方提供的服务的费用应包含在合同价款中，甲方不再另行支付。</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15.违约责任</w:t>
      </w:r>
    </w:p>
    <w:p>
      <w:pPr>
        <w:shd w:val="clear"/>
        <w:adjustRightInd w:val="0"/>
        <w:snapToGrid w:val="0"/>
        <w:spacing w:before="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15.1质量瑕疵的补救措施和索赔</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①乙方同意退货并将货款退还给甲方，由此发生的一切费用和损失由乙方承担。</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②根据货物的质量状况以及甲方所遭受的损失，经过甲乙双方商定降低货物的价格。</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pPr>
        <w:shd w:val="clear"/>
        <w:autoSpaceDE w:val="0"/>
        <w:autoSpaceDN w:val="0"/>
        <w:adjustRightInd w:val="0"/>
        <w:snapToGrid w:val="0"/>
        <w:spacing w:before="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15.2 迟延交货的违约责任</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（2）除本合同</w:t>
      </w:r>
      <w:r>
        <w:rPr>
          <w:rFonts w:hint="eastAsia" w:ascii="宋体" w:hAnsi="宋体"/>
          <w:bCs/>
          <w:color w:val="000000" w:themeColor="text1"/>
          <w:szCs w:val="21"/>
          <w:highlight w:val="none"/>
          <w14:textFill>
            <w14:solidFill>
              <w14:schemeClr w14:val="tx1"/>
            </w14:solidFill>
          </w14:textFill>
        </w:rPr>
        <w:t>第20条</w:t>
      </w:r>
      <w:r>
        <w:rPr>
          <w:rFonts w:hint="eastAsia" w:ascii="宋体" w:hAnsi="宋体"/>
          <w:color w:val="000000" w:themeColor="text1"/>
          <w:szCs w:val="21"/>
          <w:highlight w:val="none"/>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16.合同的变更</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16.1 在合同履行过程中，甲、乙双方可就合同履行的时间、地点和方式等协商进行变更。协商一致后，双方应签订书面的补充协议。</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16.3 除双方签署书面协议，并成为合同不可分割的一部分外，本合同条件不得有任何变更。</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17.合同中止与终止</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17.1合同的中止</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（1）合同在履行过程中，因采购计划调整，甲方可以要求中止履行，待计划确定后继续履行；</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（2）合同履行过程中因供应商就采购过程或结果提起投诉的，甲方认为有必要或财政部门责令中止的，应当中止合同的履行。</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17.2合同的终止</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（1）合同因有效期限届满而终止；</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（2）乙方未能依照本合同约定条件履行合同，已构成根本性违约的，甲方有权终止本合同，并追究乙方的违约责任。</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（3）如果乙方丧失履约能力或被宣告破产，甲方可在任何时候以书面形式通知乙方终止合同而不给乙方补偿。</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（4）如果乙方在履行合同过程中有不正当竞争行为，甲方有权解除合同，并按《中华人民共和国反不正当竞争法》规定由有关部门追究其法律责任。</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（5）如果合同的履行将损害国家利益或社会公共利益，甲方有权终止合同的履行，给乙方造成损失的予以相应补偿。</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18.合同转让和分包</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18.1 乙方不得以任何形式将合同转包。</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18.2 乙方未在投标文件中说明，不得将</w:t>
      </w:r>
      <w:r>
        <w:rPr>
          <w:rFonts w:hint="eastAsia" w:ascii="宋体" w:hAnsi="宋体"/>
          <w:bCs/>
          <w:color w:val="000000" w:themeColor="text1"/>
          <w:szCs w:val="21"/>
          <w:highlight w:val="none"/>
          <w14:textFill>
            <w14:solidFill>
              <w14:schemeClr w14:val="tx1"/>
            </w14:solidFill>
          </w14:textFill>
        </w:rPr>
        <w:t>合同</w:t>
      </w:r>
      <w:r>
        <w:rPr>
          <w:rFonts w:hint="eastAsia" w:ascii="宋体" w:hAnsi="宋体"/>
          <w:color w:val="000000" w:themeColor="text1"/>
          <w:szCs w:val="21"/>
          <w:highlight w:val="none"/>
          <w14:textFill>
            <w14:solidFill>
              <w14:schemeClr w14:val="tx1"/>
            </w14:solidFill>
          </w14:textFill>
        </w:rPr>
        <w:t>的非主体、非关键性工作分包给他人。</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19.不可抗力</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19.1 不可抗力是指合同双方不可预见、不可避免、不可克服的自然灾害和社会事件。</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19.2 任何一方对由于不可抗力造成的部分或全部不能履行合同不承担违约责任。但迟延履行后发生不可抗力的，不能免除责任。</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pPr>
        <w:shd w:val="clear"/>
        <w:autoSpaceDE w:val="0"/>
        <w:autoSpaceDN w:val="0"/>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20.解决争议的方法</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 调解不成可以向甲方所在地人民法院提起诉讼。</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20.3 如仲裁或诉讼事项不影响合同其它部分的履行，则在仲裁或诉讼期间，除正在进行仲裁或诉讼的部分外，合同的其它部分应继续执行。</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21.法律适用</w:t>
      </w:r>
    </w:p>
    <w:p>
      <w:pPr>
        <w:shd w:val="clear"/>
        <w:autoSpaceDE w:val="0"/>
        <w:autoSpaceDN w:val="0"/>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21.1 本合同适用中华人民共和国现行法律、行政法规和规章，如合同条款与法律、行政法规和规章不一致的，按照法律、行政法规和规章修改本合同。</w:t>
      </w:r>
    </w:p>
    <w:p>
      <w:pPr>
        <w:shd w:val="clear"/>
        <w:autoSpaceDE w:val="0"/>
        <w:autoSpaceDN w:val="0"/>
        <w:adjustRightInd w:val="0"/>
        <w:snapToGrid w:val="0"/>
        <w:spacing w:before="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22.</w:t>
      </w:r>
      <w:r>
        <w:rPr>
          <w:rFonts w:hint="eastAsia" w:ascii="宋体" w:hAnsi="宋体"/>
          <w:b/>
          <w:color w:val="000000" w:themeColor="text1"/>
          <w:sz w:val="24"/>
          <w:highlight w:val="none"/>
          <w14:textFill>
            <w14:solidFill>
              <w14:schemeClr w14:val="tx1"/>
            </w14:solidFill>
          </w14:textFill>
        </w:rPr>
        <w:t>通知</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22.1本合同一方给另一方的通知均应采用书面形式，传真或快递送到本合同中规定的对方的地址和办理签收手续，</w:t>
      </w:r>
    </w:p>
    <w:p>
      <w:pPr>
        <w:shd w:val="clear"/>
        <w:adjustRightInd w:val="0"/>
        <w:snapToGrid w:val="0"/>
        <w:spacing w:before="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22.2通知以送到之日或通知书中规定的生效之日起生效，两者中以较迟之日为准。</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23. 合同未尽事项</w:t>
      </w:r>
    </w:p>
    <w:p>
      <w:pPr>
        <w:shd w:val="clear"/>
        <w:adjustRightInd w:val="0"/>
        <w:snapToGrid w:val="0"/>
        <w:spacing w:before="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23.1合同未尽事项见</w:t>
      </w:r>
      <w:r>
        <w:rPr>
          <w:rFonts w:hint="eastAsia" w:ascii="宋体" w:hAnsi="宋体"/>
          <w:b/>
          <w:color w:val="000000" w:themeColor="text1"/>
          <w:szCs w:val="21"/>
          <w:highlight w:val="none"/>
          <w14:textFill>
            <w14:solidFill>
              <w14:schemeClr w14:val="tx1"/>
            </w14:solidFill>
          </w14:textFill>
        </w:rPr>
        <w:t>【政府采购合同专用条款】。</w:t>
      </w:r>
    </w:p>
    <w:p>
      <w:pPr>
        <w:shd w:val="clear"/>
        <w:adjustRightInd w:val="0"/>
        <w:snapToGrid w:val="0"/>
        <w:spacing w:before="50" w:line="360" w:lineRule="auto"/>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24.合同生效</w:t>
      </w:r>
    </w:p>
    <w:p>
      <w:pPr>
        <w:shd w:val="clear"/>
        <w:adjustRightInd w:val="0"/>
        <w:snapToGrid w:val="0"/>
        <w:spacing w:before="50"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24.1 本合同在合同双方签字盖章后生效。</w:t>
      </w:r>
    </w:p>
    <w:p>
      <w:pPr>
        <w:shd w:val="clear"/>
        <w:jc w:val="center"/>
        <w:rPr>
          <w:rFonts w:ascii="宋体" w:hAnsi="宋体"/>
          <w:color w:val="000000" w:themeColor="text1"/>
          <w:szCs w:val="21"/>
          <w:highlight w:val="none"/>
          <w14:textFill>
            <w14:solidFill>
              <w14:schemeClr w14:val="tx1"/>
            </w14:solidFill>
          </w14:textFill>
        </w:rPr>
      </w:pPr>
    </w:p>
    <w:p>
      <w:pPr>
        <w:shd w:val="clear"/>
        <w:jc w:val="center"/>
        <w:rPr>
          <w:rFonts w:ascii="宋体" w:hAnsi="宋体"/>
          <w:color w:val="000000" w:themeColor="text1"/>
          <w:szCs w:val="21"/>
          <w:highlight w:val="none"/>
          <w14:textFill>
            <w14:solidFill>
              <w14:schemeClr w14:val="tx1"/>
            </w14:solidFill>
          </w14:textFill>
        </w:rPr>
      </w:pPr>
    </w:p>
    <w:p>
      <w:pPr>
        <w:shd w:val="clear"/>
        <w:jc w:val="center"/>
        <w:rPr>
          <w:rFonts w:ascii="宋体" w:hAnsi="宋体"/>
          <w:color w:val="000000" w:themeColor="text1"/>
          <w:szCs w:val="21"/>
          <w:highlight w:val="none"/>
          <w14:textFill>
            <w14:solidFill>
              <w14:schemeClr w14:val="tx1"/>
            </w14:solidFill>
          </w14:textFill>
        </w:rPr>
      </w:pPr>
    </w:p>
    <w:p>
      <w:pPr>
        <w:shd w:val="clea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第三节 政府采购合同专用条款</w:t>
      </w:r>
      <w:bookmarkEnd w:id="47"/>
    </w:p>
    <w:p>
      <w:pPr>
        <w:shd w:val="clear"/>
        <w:adjustRightInd w:val="0"/>
        <w:snapToGrid w:val="0"/>
        <w:spacing w:line="360" w:lineRule="auto"/>
        <w:jc w:val="center"/>
        <w:rPr>
          <w:rFonts w:ascii="宋体" w:hAnsi="宋体"/>
          <w:color w:val="000000" w:themeColor="text1"/>
          <w:sz w:val="24"/>
          <w:highlight w:val="none"/>
          <w14:textFill>
            <w14:solidFill>
              <w14:schemeClr w14:val="tx1"/>
            </w14:solidFill>
          </w14:textFill>
        </w:rPr>
      </w:pPr>
    </w:p>
    <w:tbl>
      <w:tblPr>
        <w:tblStyle w:val="47"/>
        <w:tblW w:w="9356"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81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第1.1款</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甲方名称、地址 </w:t>
            </w:r>
          </w:p>
        </w:tc>
        <w:tc>
          <w:tcPr>
            <w:tcW w:w="5812" w:type="dxa"/>
            <w:vAlign w:val="center"/>
          </w:tcPr>
          <w:p>
            <w:pPr>
              <w:shd w:val="clea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 购 人：</w:t>
            </w:r>
            <w:r>
              <w:rPr>
                <w:rFonts w:hint="eastAsia" w:ascii="宋体" w:hAnsi="宋体" w:cs="宋体"/>
                <w:color w:val="000000" w:themeColor="text1"/>
                <w:szCs w:val="21"/>
                <w:highlight w:val="none"/>
                <w:lang w:eastAsia="zh-CN"/>
                <w14:textFill>
                  <w14:solidFill>
                    <w14:schemeClr w14:val="tx1"/>
                  </w14:solidFill>
                </w14:textFill>
              </w:rPr>
              <w:t>湖南源生科技有限公司</w:t>
            </w:r>
          </w:p>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单位地址：岳阳市岳阳楼区科技信息大楼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第1.2（6）项</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项目现场</w:t>
            </w:r>
          </w:p>
        </w:tc>
        <w:tc>
          <w:tcPr>
            <w:tcW w:w="5812"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第5.1款</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履行合同的时间、地点及方式</w:t>
            </w:r>
          </w:p>
        </w:tc>
        <w:tc>
          <w:tcPr>
            <w:tcW w:w="5812" w:type="dxa"/>
            <w:vAlign w:val="center"/>
          </w:tcPr>
          <w:p>
            <w:pPr>
              <w:widowControl/>
              <w:shd w:val="clear"/>
              <w:spacing w:line="440" w:lineRule="exact"/>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1、交货时间：合同签订后90日历天内供货安装完毕并验收合格</w:t>
            </w:r>
          </w:p>
          <w:p>
            <w:pPr>
              <w:widowControl/>
              <w:shd w:val="clear"/>
              <w:spacing w:line="440" w:lineRule="exact"/>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2、交付地点：供货地点由采购人确定。</w:t>
            </w:r>
          </w:p>
          <w:p>
            <w:pPr>
              <w:widowControl/>
              <w:shd w:val="clear"/>
              <w:spacing w:line="440" w:lineRule="exact"/>
              <w:jc w:val="lef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3、交货方式：货到指定的地点并按约定移交有交资料，并做好登记台账。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第9.2（1）项</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质量保证期</w:t>
            </w:r>
          </w:p>
        </w:tc>
        <w:tc>
          <w:tcPr>
            <w:tcW w:w="5812" w:type="dxa"/>
            <w:vAlign w:val="center"/>
          </w:tcPr>
          <w:p>
            <w:pPr>
              <w:shd w:val="clear"/>
              <w:autoSpaceDE w:val="0"/>
              <w:autoSpaceDN w:val="0"/>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质保期自《系统/设备最终验收报告》签署日起，投标人承诺负责为设备（含配套软件）提供原厂的保修服务至少五年，并承诺终身维修。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第9.2（3）项</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响应时间</w:t>
            </w:r>
          </w:p>
        </w:tc>
        <w:tc>
          <w:tcPr>
            <w:tcW w:w="5812"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第13.5款</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合同价款支付方式</w:t>
            </w:r>
            <w:r>
              <w:rPr>
                <w:rFonts w:hint="eastAsia" w:ascii="宋体" w:hAnsi="宋体"/>
                <w:bCs/>
                <w:color w:val="000000" w:themeColor="text1"/>
                <w:szCs w:val="21"/>
                <w:highlight w:val="none"/>
                <w14:textFill>
                  <w14:solidFill>
                    <w14:schemeClr w14:val="tx1"/>
                  </w14:solidFill>
                </w14:textFill>
              </w:rPr>
              <w:t>和条件</w:t>
            </w:r>
          </w:p>
        </w:tc>
        <w:tc>
          <w:tcPr>
            <w:tcW w:w="5812" w:type="dxa"/>
            <w:vAlign w:val="center"/>
          </w:tcPr>
          <w:p>
            <w:pPr>
              <w:shd w:val="clear"/>
              <w:adjustRightInd w:val="0"/>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bCs/>
                <w:iCs/>
                <w:color w:val="000000" w:themeColor="text1"/>
                <w:szCs w:val="21"/>
                <w:highlight w:val="none"/>
                <w14:textFill>
                  <w14:solidFill>
                    <w14:schemeClr w14:val="tx1"/>
                  </w14:solidFill>
                </w14:textFill>
              </w:rPr>
              <w:t>签订正式合同后预付总价款20%，货到安装、调试，项目整体验收合格后付款至总价款的75%，城投结算后付款</w:t>
            </w:r>
            <w:r>
              <w:rPr>
                <w:rFonts w:hint="eastAsia" w:ascii="宋体" w:hAnsi="宋体"/>
                <w:b/>
                <w:bCs/>
                <w:iCs/>
                <w:color w:val="000000" w:themeColor="text1"/>
                <w:szCs w:val="21"/>
                <w:highlight w:val="none"/>
                <w:lang w:eastAsia="zh-CN"/>
                <w14:textFill>
                  <w14:solidFill>
                    <w14:schemeClr w14:val="tx1"/>
                  </w14:solidFill>
                </w14:textFill>
              </w:rPr>
              <w:t>至</w:t>
            </w:r>
            <w:r>
              <w:rPr>
                <w:rFonts w:hint="eastAsia" w:ascii="宋体" w:hAnsi="宋体"/>
                <w:b/>
                <w:bCs/>
                <w:iCs/>
                <w:color w:val="000000" w:themeColor="text1"/>
                <w:szCs w:val="21"/>
                <w:highlight w:val="none"/>
                <w14:textFill>
                  <w14:solidFill>
                    <w14:schemeClr w14:val="tx1"/>
                  </w14:solidFill>
                </w14:textFill>
              </w:rPr>
              <w:t>总价款的97%，余款两年后无息付清。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第14.2（5）项</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伴随服务</w:t>
            </w:r>
          </w:p>
        </w:tc>
        <w:tc>
          <w:tcPr>
            <w:tcW w:w="5812"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第20.2款</w:t>
            </w:r>
          </w:p>
        </w:tc>
        <w:tc>
          <w:tcPr>
            <w:tcW w:w="1843" w:type="dxa"/>
            <w:vAlign w:val="center"/>
          </w:tcPr>
          <w:p>
            <w:pPr>
              <w:shd w:val="clear"/>
              <w:adjustRightInd w:val="0"/>
              <w:snapToGrid w:val="0"/>
              <w:spacing w:line="360" w:lineRule="auto"/>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解决争议的方式</w:t>
            </w:r>
          </w:p>
        </w:tc>
        <w:tc>
          <w:tcPr>
            <w:tcW w:w="5812"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 诉讼</w:t>
            </w:r>
          </w:p>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第五章第二节</w:t>
            </w: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第23.1款</w:t>
            </w:r>
          </w:p>
        </w:tc>
        <w:tc>
          <w:tcPr>
            <w:tcW w:w="1843"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合同未尽事项</w:t>
            </w:r>
          </w:p>
        </w:tc>
        <w:tc>
          <w:tcPr>
            <w:tcW w:w="5812" w:type="dxa"/>
            <w:vAlign w:val="center"/>
          </w:tcPr>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bl>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p>
      <w:pPr>
        <w:pStyle w:val="7"/>
        <w:shd w:val="clear"/>
        <w:rPr>
          <w:rFonts w:ascii="黑体" w:hAnsi="黑体" w:eastAsia="黑体"/>
          <w:color w:val="000000" w:themeColor="text1"/>
          <w:sz w:val="32"/>
          <w:szCs w:val="32"/>
          <w:highlight w:val="none"/>
          <w14:textFill>
            <w14:solidFill>
              <w14:schemeClr w14:val="tx1"/>
            </w14:solidFill>
          </w14:textFill>
        </w:rPr>
      </w:pPr>
      <w:bookmarkStart w:id="48" w:name="_Toc78815075"/>
      <w:r>
        <w:rPr>
          <w:rFonts w:hint="eastAsia" w:ascii="黑体" w:hAnsi="黑体" w:eastAsia="黑体"/>
          <w:color w:val="000000" w:themeColor="text1"/>
          <w:sz w:val="32"/>
          <w:szCs w:val="32"/>
          <w:highlight w:val="none"/>
          <w14:textFill>
            <w14:solidFill>
              <w14:schemeClr w14:val="tx1"/>
            </w14:solidFill>
          </w14:textFill>
        </w:rPr>
        <w:t>第七章 投标文件的组成</w:t>
      </w:r>
      <w:bookmarkEnd w:id="48"/>
    </w:p>
    <w:p>
      <w:pPr>
        <w:shd w:val="clear"/>
        <w:adjustRightInd w:val="0"/>
        <w:snapToGrid w:val="0"/>
        <w:spacing w:line="400" w:lineRule="atLeast"/>
        <w:ind w:left="-88" w:leftChars="-42"/>
        <w:jc w:val="center"/>
        <w:rPr>
          <w:b/>
          <w:bCs/>
          <w:color w:val="000000" w:themeColor="text1"/>
          <w:sz w:val="32"/>
          <w:highlight w:val="none"/>
          <w14:textFill>
            <w14:solidFill>
              <w14:schemeClr w14:val="tx1"/>
            </w14:solidFill>
          </w14:textFill>
        </w:rPr>
      </w:pPr>
    </w:p>
    <w:p>
      <w:pPr>
        <w:shd w:val="clear"/>
        <w:adjustRightInd w:val="0"/>
        <w:snapToGrid w:val="0"/>
        <w:spacing w:before="156" w:beforeLines="50"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第一部分 资格证明文件</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一、开标一览表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二、投标保</w:t>
      </w:r>
      <w:r>
        <w:rPr>
          <w:rFonts w:hint="eastAsia" w:ascii="宋体" w:hAnsi="宋体"/>
          <w:bCs/>
          <w:color w:val="000000" w:themeColor="text1"/>
          <w:szCs w:val="21"/>
          <w:highlight w:val="none"/>
          <w14:textFill>
            <w14:solidFill>
              <w14:schemeClr w14:val="tx1"/>
            </w14:solidFill>
          </w14:textFill>
        </w:rPr>
        <w:t>证金</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三、法定代表人（单位负责人）身份证明或授权委托书</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四、投标人提供的资格证明文件</w:t>
      </w:r>
    </w:p>
    <w:p>
      <w:pPr>
        <w:shd w:val="clear"/>
        <w:adjustRightInd w:val="0"/>
        <w:snapToGrid w:val="0"/>
        <w:spacing w:before="156" w:beforeLines="50"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第二部分 商务技术文件</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五、投标函</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六、分项报价</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七、采购需求响应</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八、合同条款偏离表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九、采购需求偏离表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十、享受政府采购政策优惠的证明资料和清单表</w:t>
      </w:r>
    </w:p>
    <w:p>
      <w:pPr>
        <w:shd w:val="clear"/>
        <w:adjustRightInd w:val="0"/>
        <w:snapToGrid w:val="0"/>
        <w:spacing w:before="156" w:beforeLines="50"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十一、投标货物符合招标文件规定的证明文件</w:t>
      </w:r>
    </w:p>
    <w:p>
      <w:pPr>
        <w:shd w:val="clea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十二、投标人认为需提供的其他资料</w:t>
      </w:r>
    </w:p>
    <w:p>
      <w:pPr>
        <w:shd w:val="clear"/>
        <w:adjustRightInd w:val="0"/>
        <w:snapToGrid w:val="0"/>
        <w:spacing w:before="156" w:beforeLines="50" w:line="360" w:lineRule="auto"/>
        <w:ind w:firstLine="422" w:firstLineChars="20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注：1、投标人应按照电子招标文件格式及投标工具编制资格证明文件，不得将其编制到商务和技术文件中。否则，由于编制失误所产生的后果，由投标人自行承担。</w:t>
      </w:r>
    </w:p>
    <w:p>
      <w:pPr>
        <w:shd w:val="clear"/>
        <w:adjustRightInd w:val="0"/>
        <w:snapToGrid w:val="0"/>
        <w:spacing w:before="156" w:beforeLines="50" w:line="360" w:lineRule="auto"/>
        <w:ind w:firstLine="422" w:firstLineChars="200"/>
        <w:jc w:val="left"/>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2、投标人应按照电子招标文件格式及投标工具编制商务和技术及综合评分表相关资料。否则，由于编制失误所产生的后果，由投标人自行承担。</w:t>
      </w:r>
    </w:p>
    <w:p>
      <w:pPr>
        <w:shd w:val="clea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仿宋_GB2312" w:hAnsi="宋体" w:eastAsia="仿宋_GB2312"/>
          <w:color w:val="000000" w:themeColor="text1"/>
          <w:szCs w:val="21"/>
          <w:highlight w:val="none"/>
          <w14:textFill>
            <w14:solidFill>
              <w14:schemeClr w14:val="tx1"/>
            </w14:solidFill>
          </w14:textFill>
        </w:rPr>
      </w:pPr>
    </w:p>
    <w:p>
      <w:pPr>
        <w:shd w:val="clear"/>
        <w:adjustRightInd w:val="0"/>
        <w:snapToGrid w:val="0"/>
        <w:spacing w:line="360" w:lineRule="auto"/>
        <w:jc w:val="center"/>
        <w:rPr>
          <w:rFonts w:ascii="黑体" w:eastAsia="黑体"/>
          <w:color w:val="000000" w:themeColor="text1"/>
          <w:sz w:val="32"/>
          <w:szCs w:val="32"/>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br w:type="page"/>
      </w:r>
    </w:p>
    <w:p>
      <w:pPr>
        <w:shd w:val="clear"/>
        <w:adjustRightInd w:val="0"/>
        <w:snapToGrid w:val="0"/>
        <w:spacing w:line="360" w:lineRule="auto"/>
        <w:rPr>
          <w:rFonts w:ascii="黑体" w:eastAsia="黑体"/>
          <w:color w:val="000000" w:themeColor="text1"/>
          <w:sz w:val="32"/>
          <w:szCs w:val="32"/>
          <w:highlight w:val="none"/>
          <w14:textFill>
            <w14:solidFill>
              <w14:schemeClr w14:val="tx1"/>
            </w14:solidFill>
          </w14:textFill>
        </w:rPr>
      </w:pPr>
    </w:p>
    <w:p>
      <w:pPr>
        <w:pStyle w:val="25"/>
        <w:shd w:val="clear"/>
        <w:adjustRightInd w:val="0"/>
        <w:snapToGrid w:val="0"/>
        <w:spacing w:line="360" w:lineRule="auto"/>
        <w:jc w:val="center"/>
        <w:rPr>
          <w:rFonts w:asciiTheme="minorEastAsia" w:hAnsiTheme="minorEastAsia" w:eastAsiaTheme="minorEastAsia"/>
          <w:b/>
          <w:bCs/>
          <w:color w:val="000000" w:themeColor="text1"/>
          <w:sz w:val="72"/>
          <w:szCs w:val="72"/>
          <w:highlight w:val="none"/>
          <w14:textFill>
            <w14:solidFill>
              <w14:schemeClr w14:val="tx1"/>
            </w14:solidFill>
          </w14:textFill>
        </w:rPr>
      </w:pPr>
      <w:r>
        <w:rPr>
          <w:rFonts w:hint="eastAsia" w:asciiTheme="minorEastAsia" w:hAnsiTheme="minorEastAsia" w:eastAsiaTheme="minorEastAsia"/>
          <w:b/>
          <w:bCs/>
          <w:color w:val="000000" w:themeColor="text1"/>
          <w:sz w:val="72"/>
          <w:szCs w:val="72"/>
          <w:highlight w:val="none"/>
          <w14:textFill>
            <w14:solidFill>
              <w14:schemeClr w14:val="tx1"/>
            </w14:solidFill>
          </w14:textFill>
        </w:rPr>
        <w:t>政府采购</w:t>
      </w:r>
    </w:p>
    <w:p>
      <w:pPr>
        <w:shd w:val="clear"/>
        <w:adjustRightInd w:val="0"/>
        <w:snapToGrid w:val="0"/>
        <w:spacing w:line="360" w:lineRule="auto"/>
        <w:jc w:val="center"/>
        <w:rPr>
          <w:rFonts w:asciiTheme="minorEastAsia" w:hAnsiTheme="minorEastAsia" w:eastAsiaTheme="minorEastAsia"/>
          <w:b/>
          <w:bCs/>
          <w:color w:val="000000" w:themeColor="text1"/>
          <w:sz w:val="84"/>
          <w:szCs w:val="84"/>
          <w:highlight w:val="none"/>
          <w14:textFill>
            <w14:solidFill>
              <w14:schemeClr w14:val="tx1"/>
            </w14:solidFill>
          </w14:textFill>
        </w:rPr>
      </w:pPr>
      <w:r>
        <w:rPr>
          <w:rFonts w:hint="eastAsia" w:asciiTheme="minorEastAsia" w:hAnsiTheme="minorEastAsia" w:eastAsiaTheme="minorEastAsia"/>
          <w:b/>
          <w:bCs/>
          <w:color w:val="000000" w:themeColor="text1"/>
          <w:sz w:val="84"/>
          <w:szCs w:val="84"/>
          <w:highlight w:val="none"/>
          <w14:textFill>
            <w14:solidFill>
              <w14:schemeClr w14:val="tx1"/>
            </w14:solidFill>
          </w14:textFill>
        </w:rPr>
        <w:t>投 标 文 件</w:t>
      </w:r>
    </w:p>
    <w:p>
      <w:pPr>
        <w:pStyle w:val="8"/>
        <w:numPr>
          <w:ilvl w:val="0"/>
          <w:numId w:val="9"/>
        </w:numPr>
        <w:shd w:val="clear"/>
        <w:adjustRightInd w:val="0"/>
        <w:snapToGrid w:val="0"/>
        <w:jc w:val="center"/>
        <w:rPr>
          <w:rFonts w:ascii="黑体" w:hAnsi="黑体" w:eastAsia="黑体"/>
          <w:color w:val="000000" w:themeColor="text1"/>
          <w:sz w:val="44"/>
          <w:szCs w:val="44"/>
          <w:highlight w:val="none"/>
          <w14:textFill>
            <w14:solidFill>
              <w14:schemeClr w14:val="tx1"/>
            </w14:solidFill>
          </w14:textFill>
        </w:rPr>
      </w:pPr>
      <w:bookmarkStart w:id="49" w:name="_Toc7723"/>
      <w:bookmarkStart w:id="50" w:name="_Toc30240"/>
      <w:bookmarkStart w:id="51" w:name="_Toc2107"/>
      <w:bookmarkStart w:id="52" w:name="_Toc31278"/>
      <w:r>
        <w:rPr>
          <w:rFonts w:hint="eastAsia" w:ascii="黑体" w:hAnsi="黑体" w:eastAsia="黑体"/>
          <w:color w:val="000000" w:themeColor="text1"/>
          <w:sz w:val="44"/>
          <w:szCs w:val="44"/>
          <w:highlight w:val="none"/>
          <w14:textFill>
            <w14:solidFill>
              <w14:schemeClr w14:val="tx1"/>
            </w14:solidFill>
          </w14:textFill>
        </w:rPr>
        <w:t>资格证明文件</w:t>
      </w:r>
      <w:bookmarkEnd w:id="49"/>
      <w:bookmarkEnd w:id="50"/>
      <w:bookmarkEnd w:id="51"/>
      <w:bookmarkEnd w:id="52"/>
    </w:p>
    <w:p>
      <w:pPr>
        <w:shd w:val="clear"/>
        <w:adjustRightInd w:val="0"/>
        <w:snapToGrid w:val="0"/>
        <w:spacing w:line="360" w:lineRule="auto"/>
        <w:rPr>
          <w:rFonts w:ascii="黑体" w:hAnsi="黑体" w:eastAsia="黑体"/>
          <w:b/>
          <w:color w:val="000000" w:themeColor="text1"/>
          <w:sz w:val="32"/>
          <w:szCs w:val="32"/>
          <w:highlight w:val="none"/>
          <w14:textFill>
            <w14:solidFill>
              <w14:schemeClr w14:val="tx1"/>
            </w14:solidFill>
          </w14:textFill>
        </w:rPr>
      </w:pPr>
    </w:p>
    <w:p>
      <w:pPr>
        <w:pStyle w:val="106"/>
        <w:shd w:val="clear"/>
        <w:ind w:firstLine="420"/>
        <w:rPr>
          <w:color w:val="000000" w:themeColor="text1"/>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b/>
          <w:color w:val="000000" w:themeColor="text1"/>
          <w:sz w:val="30"/>
          <w:szCs w:val="30"/>
          <w:highlight w:val="none"/>
          <w14:textFill>
            <w14:solidFill>
              <w14:schemeClr w14:val="tx1"/>
            </w14:solidFill>
          </w14:textFill>
        </w:rPr>
      </w:pP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采购项目名称:</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   购   人：</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政府采购编号:</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采购代理编号:</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采购代理机构：</w:t>
      </w:r>
    </w:p>
    <w:p>
      <w:pPr>
        <w:shd w:val="clear"/>
        <w:adjustRightInd w:val="0"/>
        <w:snapToGrid w:val="0"/>
        <w:spacing w:line="360" w:lineRule="auto"/>
        <w:rPr>
          <w:rFonts w:ascii="黑体" w:hAnsi="黑体" w:eastAsia="黑体"/>
          <w:color w:val="000000" w:themeColor="text1"/>
          <w:sz w:val="30"/>
          <w:szCs w:val="30"/>
          <w:highlight w:val="none"/>
          <w14:textFill>
            <w14:solidFill>
              <w14:schemeClr w14:val="tx1"/>
            </w14:solidFill>
          </w14:textFill>
        </w:rPr>
      </w:pPr>
    </w:p>
    <w:p>
      <w:pPr>
        <w:shd w:val="clear"/>
        <w:adjustRightInd w:val="0"/>
        <w:snapToGrid w:val="0"/>
        <w:rPr>
          <w:rFonts w:ascii="黑体" w:hAnsi="宋体" w:eastAsia="黑体"/>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黑体" w:hAnsi="宋体" w:eastAsia="黑体"/>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黑体" w:hAnsi="宋体" w:eastAsia="黑体"/>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黑体" w:hAnsi="宋体" w:eastAsia="黑体"/>
          <w:color w:val="000000" w:themeColor="text1"/>
          <w:sz w:val="30"/>
          <w:szCs w:val="30"/>
          <w:highlight w:val="none"/>
          <w14:textFill>
            <w14:solidFill>
              <w14:schemeClr w14:val="tx1"/>
            </w14:solidFill>
          </w14:textFill>
        </w:rPr>
      </w:pPr>
    </w:p>
    <w:p>
      <w:pPr>
        <w:shd w:val="clear"/>
        <w:adjustRightInd w:val="0"/>
        <w:snapToGrid w:val="0"/>
        <w:spacing w:line="360" w:lineRule="auto"/>
        <w:ind w:firstLine="1984" w:firstLineChars="620"/>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投标人</w:t>
      </w:r>
      <w:r>
        <w:rPr>
          <w:rFonts w:hint="eastAsia" w:ascii="黑体" w:hAnsi="宋体" w:eastAsia="黑体"/>
          <w:color w:val="000000" w:themeColor="text1"/>
          <w:sz w:val="32"/>
          <w:szCs w:val="32"/>
          <w:highlight w:val="none"/>
          <w:u w:val="single"/>
          <w14:textFill>
            <w14:solidFill>
              <w14:schemeClr w14:val="tx1"/>
            </w14:solidFill>
          </w14:textFill>
        </w:rPr>
        <w:t>：</w:t>
      </w:r>
    </w:p>
    <w:p>
      <w:pPr>
        <w:shd w:val="clear"/>
        <w:adjustRightInd w:val="0"/>
        <w:snapToGrid w:val="0"/>
        <w:spacing w:line="360" w:lineRule="auto"/>
        <w:jc w:val="center"/>
        <w:rPr>
          <w:rFonts w:ascii="黑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年  月  日</w:t>
      </w:r>
      <w:r>
        <w:rPr>
          <w:rFonts w:ascii="黑体" w:eastAsia="黑体"/>
          <w:color w:val="000000" w:themeColor="text1"/>
          <w:sz w:val="28"/>
          <w:szCs w:val="28"/>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53" w:name="_Toc23864"/>
      <w:bookmarkStart w:id="54" w:name="_Toc18711"/>
      <w:bookmarkStart w:id="55" w:name="_Toc30101"/>
      <w:bookmarkStart w:id="56" w:name="_Toc31488"/>
      <w:r>
        <w:rPr>
          <w:rFonts w:hint="eastAsia" w:ascii="黑体" w:hAnsi="宋体" w:eastAsia="黑体"/>
          <w:color w:val="000000" w:themeColor="text1"/>
          <w:sz w:val="28"/>
          <w:szCs w:val="28"/>
          <w:highlight w:val="none"/>
          <w14:textFill>
            <w14:solidFill>
              <w14:schemeClr w14:val="tx1"/>
            </w14:solidFill>
          </w14:textFill>
        </w:rPr>
        <w:t>一、开标一览表</w:t>
      </w:r>
      <w:bookmarkEnd w:id="53"/>
      <w:bookmarkEnd w:id="54"/>
      <w:bookmarkEnd w:id="55"/>
      <w:bookmarkEnd w:id="56"/>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政府采购计划编号</w:t>
      </w:r>
      <w:r>
        <w:rPr>
          <w:rFonts w:hint="eastAsia" w:asciiTheme="minorEastAsia" w:hAnsiTheme="minorEastAsia" w:eastAsia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项目名称：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w:t>
      </w:r>
    </w:p>
    <w:p>
      <w:pPr>
        <w:shd w:val="clear"/>
        <w:adjustRightInd w:val="0"/>
        <w:snapToGrid w:val="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包号：</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包名称：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p>
    <w:tbl>
      <w:tblPr>
        <w:tblStyle w:val="48"/>
        <w:tblW w:w="892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83"/>
        <w:gridCol w:w="274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atLeast"/>
        </w:trPr>
        <w:tc>
          <w:tcPr>
            <w:tcW w:w="6183" w:type="dxa"/>
            <w:vAlign w:val="center"/>
          </w:tcPr>
          <w:p>
            <w:pPr>
              <w:shd w:val="clear"/>
              <w:adjustRightInd w:val="0"/>
              <w:snapToGrid w:val="0"/>
              <w:spacing w:line="360" w:lineRule="auto"/>
              <w:jc w:val="center"/>
              <w:rPr>
                <w:rFonts w:asciiTheme="minorEastAsia" w:hAnsiTheme="minorEastAsia" w:eastAsiaTheme="minorEastAsia"/>
                <w:b/>
                <w:color w:val="000000" w:themeColor="text1"/>
                <w:kern w:val="0"/>
                <w:sz w:val="2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投标报价</w:t>
            </w:r>
          </w:p>
        </w:tc>
        <w:tc>
          <w:tcPr>
            <w:tcW w:w="2740" w:type="dxa"/>
            <w:vAlign w:val="center"/>
          </w:tcPr>
          <w:p>
            <w:pPr>
              <w:shd w:val="clear"/>
              <w:adjustRightInd w:val="0"/>
              <w:snapToGrid w:val="0"/>
              <w:spacing w:line="360" w:lineRule="auto"/>
              <w:jc w:val="center"/>
              <w:rPr>
                <w:rFonts w:asciiTheme="minorEastAsia" w:hAnsiTheme="minorEastAsia" w:eastAsiaTheme="minorEastAsia"/>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其他内容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70" w:hRule="atLeast"/>
        </w:trPr>
        <w:tc>
          <w:tcPr>
            <w:tcW w:w="6183" w:type="dxa"/>
            <w:vAlign w:val="center"/>
          </w:tcPr>
          <w:p>
            <w:pPr>
              <w:shd w:val="clear"/>
              <w:adjustRightInd w:val="0"/>
              <w:snapToGrid w:val="0"/>
              <w:spacing w:line="360" w:lineRule="auto"/>
              <w:jc w:val="center"/>
              <w:rPr>
                <w:rFonts w:asciiTheme="minorEastAsia" w:hAnsiTheme="minorEastAsia" w:eastAsia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olor w:val="000000" w:themeColor="text1"/>
                <w:kern w:val="0"/>
                <w:szCs w:val="21"/>
                <w:highlight w:val="none"/>
                <w14:textFill>
                  <w14:solidFill>
                    <w14:schemeClr w14:val="tx1"/>
                  </w14:solidFill>
                </w14:textFill>
              </w:rPr>
              <w:t>小写金额：</w:t>
            </w:r>
            <w:r>
              <w:rPr>
                <w:rFonts w:hint="eastAsia" w:asciiTheme="minorEastAsia" w:hAnsiTheme="minorEastAsia" w:eastAsiaTheme="minorEastAsia"/>
                <w:color w:val="000000" w:themeColor="text1"/>
                <w:kern w:val="0"/>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kern w:val="0"/>
                <w:szCs w:val="21"/>
                <w:highlight w:val="none"/>
                <w14:textFill>
                  <w14:solidFill>
                    <w14:schemeClr w14:val="tx1"/>
                  </w14:solidFill>
                </w14:textFill>
              </w:rPr>
              <w:t>（</w:t>
            </w:r>
            <w:r>
              <w:rPr>
                <w:rFonts w:hint="eastAsia" w:asciiTheme="minorEastAsia" w:hAnsiTheme="minorEastAsia" w:eastAsiaTheme="minorEastAsia"/>
                <w:color w:val="000000" w:themeColor="text1"/>
                <w:kern w:val="0"/>
                <w:sz w:val="20"/>
                <w:szCs w:val="21"/>
                <w:highlight w:val="none"/>
                <w14:textFill>
                  <w14:solidFill>
                    <w14:schemeClr w14:val="tx1"/>
                  </w14:solidFill>
                </w14:textFill>
              </w:rPr>
              <w:t>人民币元</w:t>
            </w:r>
            <w:r>
              <w:rPr>
                <w:rFonts w:hint="eastAsia" w:asciiTheme="minorEastAsia" w:hAnsiTheme="minorEastAsia" w:eastAsiaTheme="minorEastAsia"/>
                <w:color w:val="000000" w:themeColor="text1"/>
                <w:kern w:val="0"/>
                <w:szCs w:val="21"/>
                <w:highlight w:val="none"/>
                <w14:textFill>
                  <w14:solidFill>
                    <w14:schemeClr w14:val="tx1"/>
                  </w14:solidFill>
                </w14:textFill>
              </w:rPr>
              <w:t>）</w:t>
            </w:r>
          </w:p>
          <w:p>
            <w:pPr>
              <w:shd w:val="clear"/>
              <w:adjustRightInd w:val="0"/>
              <w:snapToGrid w:val="0"/>
              <w:spacing w:line="360" w:lineRule="auto"/>
              <w:jc w:val="center"/>
              <w:rPr>
                <w:rFonts w:asciiTheme="minorEastAsia" w:hAnsiTheme="minorEastAsia" w:eastAsiaTheme="minorEastAsia"/>
                <w:color w:val="000000" w:themeColor="text1"/>
                <w:kern w:val="0"/>
                <w:szCs w:val="21"/>
                <w:highlight w:val="none"/>
                <w:u w:val="single"/>
                <w14:textFill>
                  <w14:solidFill>
                    <w14:schemeClr w14:val="tx1"/>
                  </w14:solidFill>
                </w14:textFill>
              </w:rPr>
            </w:pPr>
            <w:r>
              <w:rPr>
                <w:rFonts w:hint="eastAsia" w:asciiTheme="minorEastAsia" w:hAnsiTheme="minorEastAsia" w:eastAsiaTheme="minorEastAsia"/>
                <w:color w:val="000000" w:themeColor="text1"/>
                <w:kern w:val="0"/>
                <w:szCs w:val="21"/>
                <w:highlight w:val="none"/>
                <w14:textFill>
                  <w14:solidFill>
                    <w14:schemeClr w14:val="tx1"/>
                  </w14:solidFill>
                </w14:textFill>
              </w:rPr>
              <w:t>大写金额：</w:t>
            </w:r>
            <w:r>
              <w:rPr>
                <w:rFonts w:hint="eastAsia" w:asciiTheme="minorEastAsia" w:hAnsiTheme="minorEastAsia" w:eastAsiaTheme="minorEastAsia"/>
                <w:color w:val="000000" w:themeColor="text1"/>
                <w:kern w:val="0"/>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kern w:val="0"/>
                <w:szCs w:val="21"/>
                <w:highlight w:val="none"/>
                <w14:textFill>
                  <w14:solidFill>
                    <w14:schemeClr w14:val="tx1"/>
                  </w14:solidFill>
                </w14:textFill>
              </w:rPr>
              <w:t>（</w:t>
            </w:r>
            <w:r>
              <w:rPr>
                <w:rFonts w:hint="eastAsia" w:asciiTheme="minorEastAsia" w:hAnsiTheme="minorEastAsia" w:eastAsiaTheme="minorEastAsia"/>
                <w:color w:val="000000" w:themeColor="text1"/>
                <w:kern w:val="0"/>
                <w:sz w:val="20"/>
                <w:szCs w:val="21"/>
                <w:highlight w:val="none"/>
                <w14:textFill>
                  <w14:solidFill>
                    <w14:schemeClr w14:val="tx1"/>
                  </w14:solidFill>
                </w14:textFill>
              </w:rPr>
              <w:t>人民币元</w:t>
            </w:r>
            <w:r>
              <w:rPr>
                <w:rFonts w:hint="eastAsia" w:asciiTheme="minorEastAsia" w:hAnsiTheme="minorEastAsia" w:eastAsiaTheme="minorEastAsia"/>
                <w:color w:val="000000" w:themeColor="text1"/>
                <w:kern w:val="0"/>
                <w:szCs w:val="21"/>
                <w:highlight w:val="none"/>
                <w14:textFill>
                  <w14:solidFill>
                    <w14:schemeClr w14:val="tx1"/>
                  </w14:solidFill>
                </w14:textFill>
              </w:rPr>
              <w:t>）</w:t>
            </w:r>
          </w:p>
          <w:p>
            <w:pPr>
              <w:shd w:val="clear"/>
              <w:adjustRightInd w:val="0"/>
              <w:snapToGrid w:val="0"/>
              <w:spacing w:line="360" w:lineRule="auto"/>
              <w:jc w:val="center"/>
              <w:rPr>
                <w:rFonts w:asciiTheme="minorEastAsia" w:hAnsiTheme="minorEastAsia" w:eastAsiaTheme="minorEastAsia"/>
                <w:color w:val="000000" w:themeColor="text1"/>
                <w:kern w:val="0"/>
                <w:sz w:val="20"/>
                <w:szCs w:val="21"/>
                <w:highlight w:val="none"/>
                <w14:textFill>
                  <w14:solidFill>
                    <w14:schemeClr w14:val="tx1"/>
                  </w14:solidFill>
                </w14:textFill>
              </w:rPr>
            </w:pPr>
            <w:r>
              <w:rPr>
                <w:rFonts w:hint="eastAsia" w:asciiTheme="minorEastAsia" w:hAnsiTheme="minorEastAsia" w:eastAsiaTheme="minorEastAsia"/>
                <w:b/>
                <w:bCs/>
                <w:color w:val="000000" w:themeColor="text1"/>
                <w:kern w:val="0"/>
                <w:sz w:val="18"/>
                <w:szCs w:val="18"/>
                <w:highlight w:val="none"/>
                <w14:textFill>
                  <w14:solidFill>
                    <w14:schemeClr w14:val="tx1"/>
                  </w14:solidFill>
                </w14:textFill>
              </w:rPr>
              <w:t>（</w:t>
            </w:r>
            <w:r>
              <w:rPr>
                <w:rFonts w:hint="eastAsia" w:ascii="黑体" w:hAnsi="黑体" w:eastAsia="黑体"/>
                <w:b/>
                <w:bCs/>
                <w:color w:val="000000" w:themeColor="text1"/>
                <w:kern w:val="0"/>
                <w:sz w:val="18"/>
                <w:szCs w:val="18"/>
                <w:highlight w:val="none"/>
                <w14:textFill>
                  <w14:solidFill>
                    <w14:schemeClr w14:val="tx1"/>
                  </w14:solidFill>
                </w14:textFill>
              </w:rPr>
              <w:t>大写金额与小写金额不一致时，以大写金额为准</w:t>
            </w:r>
            <w:r>
              <w:rPr>
                <w:rFonts w:hint="eastAsia" w:asciiTheme="minorEastAsia" w:hAnsiTheme="minorEastAsia" w:eastAsiaTheme="minorEastAsia"/>
                <w:b/>
                <w:bCs/>
                <w:color w:val="000000" w:themeColor="text1"/>
                <w:kern w:val="0"/>
                <w:sz w:val="18"/>
                <w:szCs w:val="18"/>
                <w:highlight w:val="none"/>
                <w14:textFill>
                  <w14:solidFill>
                    <w14:schemeClr w14:val="tx1"/>
                  </w14:solidFill>
                </w14:textFill>
              </w:rPr>
              <w:t>）</w:t>
            </w:r>
          </w:p>
        </w:tc>
        <w:tc>
          <w:tcPr>
            <w:tcW w:w="2740" w:type="dxa"/>
            <w:vAlign w:val="center"/>
          </w:tcPr>
          <w:p>
            <w:pPr>
              <w:shd w:val="clear"/>
              <w:adjustRightInd w:val="0"/>
              <w:snapToGrid w:val="0"/>
              <w:spacing w:line="360" w:lineRule="auto"/>
              <w:jc w:val="center"/>
              <w:rPr>
                <w:rFonts w:asciiTheme="minorEastAsia" w:hAnsiTheme="minorEastAsia" w:eastAsiaTheme="minorEastAsia"/>
                <w:color w:val="000000" w:themeColor="text1"/>
                <w:kern w:val="0"/>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8923" w:type="dxa"/>
            <w:gridSpan w:val="2"/>
          </w:tcPr>
          <w:p>
            <w:pPr>
              <w:shd w:val="clear"/>
              <w:adjustRightInd w:val="0"/>
              <w:snapToGrid w:val="0"/>
              <w:ind w:left="71" w:leftChars="34"/>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优惠声明：</w:t>
            </w:r>
          </w:p>
          <w:p>
            <w:pPr>
              <w:shd w:val="clear"/>
              <w:jc w:val="lef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中小企业价格折扣金额：元</w:t>
            </w:r>
          </w:p>
          <w:p>
            <w:pPr>
              <w:shd w:val="clea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节能产品金额：元</w:t>
            </w:r>
          </w:p>
          <w:p>
            <w:pPr>
              <w:shd w:val="clear"/>
              <w:jc w:val="lef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环境标志产品金额：元</w:t>
            </w:r>
          </w:p>
          <w:p>
            <w:pPr>
              <w:shd w:val="clear"/>
              <w:jc w:val="lef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两型产品金额： 元</w:t>
            </w:r>
          </w:p>
          <w:p>
            <w:pPr>
              <w:shd w:val="clear"/>
              <w:adjustRightInd w:val="0"/>
              <w:snapToGrid w:val="0"/>
              <w:spacing w:line="360" w:lineRule="auto"/>
              <w:jc w:val="center"/>
              <w:rPr>
                <w:rFonts w:asciiTheme="minorEastAsia" w:hAnsiTheme="minorEastAsia" w:eastAsiaTheme="minorEastAsia"/>
                <w:color w:val="000000" w:themeColor="text1"/>
                <w:kern w:val="0"/>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未在开标一览表中注明优惠声明的，一律不给于相应的价格折扣。</w:t>
            </w:r>
          </w:p>
        </w:tc>
      </w:tr>
    </w:tbl>
    <w:p>
      <w:pPr>
        <w:shd w:val="clear"/>
        <w:adjustRightInd w:val="0"/>
        <w:snapToGrid w:val="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备注：1、本“开标一览表”所填报价应与交易平台上所填电子“开标一览表”报价一致，否则，以交易平台上所填电子“开标一览表”报价为准。</w:t>
      </w:r>
    </w:p>
    <w:p>
      <w:pPr>
        <w:shd w:val="clear"/>
        <w:adjustRightInd w:val="0"/>
        <w:snapToGrid w:val="0"/>
        <w:spacing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2、本表须按包填写，一个“包号”一份。</w:t>
      </w:r>
    </w:p>
    <w:p>
      <w:pPr>
        <w:shd w:val="clear"/>
        <w:adjustRightInd w:val="0"/>
        <w:snapToGrid w:val="0"/>
        <w:spacing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3、投标人提交两份及以上投标报价不同的“开标一览表”，且未书面说明哪个有效或以哪个为准的，其</w:t>
      </w:r>
      <w:r>
        <w:rPr>
          <w:rFonts w:hint="eastAsia" w:asciiTheme="minorEastAsia" w:hAnsiTheme="minorEastAsia" w:eastAsiaTheme="minorEastAsia"/>
          <w:b/>
          <w:color w:val="000000" w:themeColor="text1"/>
          <w:szCs w:val="21"/>
          <w:highlight w:val="none"/>
          <w14:textFill>
            <w14:solidFill>
              <w14:schemeClr w14:val="tx1"/>
            </w14:solidFill>
          </w14:textFill>
        </w:rPr>
        <w:t>投标无效</w:t>
      </w:r>
      <w:r>
        <w:rPr>
          <w:rFonts w:hint="eastAsia" w:asciiTheme="minorEastAsia" w:hAnsiTheme="minorEastAsia" w:eastAsiaTheme="minorEastAsia"/>
          <w:color w:val="000000" w:themeColor="text1"/>
          <w:szCs w:val="21"/>
          <w:highlight w:val="none"/>
          <w14:textFill>
            <w14:solidFill>
              <w14:schemeClr w14:val="tx1"/>
            </w14:solidFill>
          </w14:textFill>
        </w:rPr>
        <w:t>。</w:t>
      </w:r>
    </w:p>
    <w:p>
      <w:pPr>
        <w:shd w:val="clear"/>
        <w:adjustRightInd w:val="0"/>
        <w:snapToGrid w:val="0"/>
        <w:spacing w:line="360" w:lineRule="auto"/>
        <w:ind w:firstLine="630" w:firstLineChars="300"/>
        <w:jc w:val="left"/>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w:t>
      </w:r>
      <w:r>
        <w:rPr>
          <w:rFonts w:hint="eastAsia" w:asciiTheme="minorEastAsia" w:hAnsiTheme="minorEastAsia" w:eastAsiaTheme="minorEastAsia"/>
          <w:color w:val="000000" w:themeColor="text1"/>
          <w:highlight w:val="none"/>
          <w14:textFill>
            <w14:solidFill>
              <w14:schemeClr w14:val="tx1"/>
            </w14:solidFill>
          </w14:textFill>
        </w:rPr>
        <w:t>投标人在投标截止时间前修改“开标一览表”中的投标报价的，应同时修改投标文件“分项报价明细表”“享受政府采购政策优惠的证明资料”以及“联合体协议书”等相关内容。</w:t>
      </w:r>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投标人名称（盖单位电子章）：</w:t>
      </w:r>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14:textFill>
            <w14:solidFill>
              <w14:schemeClr w14:val="tx1"/>
            </w14:solidFill>
          </w14:textFill>
        </w:rPr>
        <w:t>或其授权的代理人（电子签字或电子印章）：</w:t>
      </w:r>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日期：年月日</w:t>
      </w:r>
    </w:p>
    <w:p>
      <w:pPr>
        <w:widowControl/>
        <w:shd w:val="clear"/>
        <w:jc w:val="lef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57" w:name="_Toc15192"/>
      <w:bookmarkStart w:id="58" w:name="_Toc9048"/>
      <w:bookmarkStart w:id="59" w:name="_Toc20217"/>
      <w:bookmarkStart w:id="60" w:name="_Toc26538"/>
      <w:r>
        <w:rPr>
          <w:rFonts w:hint="eastAsia" w:ascii="黑体" w:hAnsi="宋体" w:eastAsia="黑体"/>
          <w:color w:val="000000" w:themeColor="text1"/>
          <w:sz w:val="28"/>
          <w:szCs w:val="28"/>
          <w:highlight w:val="none"/>
          <w14:textFill>
            <w14:solidFill>
              <w14:schemeClr w14:val="tx1"/>
            </w14:solidFill>
          </w14:textFill>
        </w:rPr>
        <w:t>二、投标保证金</w:t>
      </w:r>
      <w:bookmarkEnd w:id="57"/>
      <w:bookmarkEnd w:id="58"/>
      <w:bookmarkEnd w:id="59"/>
      <w:bookmarkEnd w:id="60"/>
    </w:p>
    <w:p>
      <w:pPr>
        <w:shd w:val="clear"/>
        <w:adjustRightInd w:val="0"/>
        <w:snapToGrid w:val="0"/>
        <w:spacing w:before="156" w:beforeLines="50" w:line="360" w:lineRule="auto"/>
        <w:ind w:firstLine="420" w:firstLineChars="200"/>
        <w:jc w:val="left"/>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before="156" w:beforeLines="50" w:line="360" w:lineRule="auto"/>
        <w:ind w:firstLine="422" w:firstLineChars="200"/>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备注</w:t>
      </w:r>
      <w:r>
        <w:rPr>
          <w:rFonts w:hint="eastAsia" w:asciiTheme="minorEastAsia" w:hAnsiTheme="minorEastAsia" w:eastAsiaTheme="minorEastAsia"/>
          <w:color w:val="000000" w:themeColor="text1"/>
          <w:szCs w:val="21"/>
          <w:highlight w:val="none"/>
          <w14:textFill>
            <w14:solidFill>
              <w14:schemeClr w14:val="tx1"/>
            </w14:solidFill>
          </w14:textFill>
        </w:rPr>
        <w:t>：本项目不适用。</w:t>
      </w:r>
    </w:p>
    <w:p>
      <w:pPr>
        <w:shd w:val="clear"/>
        <w:adjustRightInd w:val="0"/>
        <w:snapToGrid w:val="0"/>
        <w:spacing w:before="156" w:beforeLines="50" w:line="360" w:lineRule="auto"/>
        <w:ind w:firstLine="420" w:firstLineChars="200"/>
        <w:jc w:val="left"/>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106"/>
        <w:shd w:val="clear"/>
        <w:ind w:firstLine="420"/>
        <w:rPr>
          <w:rFonts w:asciiTheme="minorEastAsia" w:hAnsiTheme="minorEastAsia" w:eastAsiaTheme="minorEastAsia"/>
          <w:color w:val="000000" w:themeColor="text1"/>
          <w:highlight w:val="none"/>
          <w14:textFill>
            <w14:solidFill>
              <w14:schemeClr w14:val="tx1"/>
            </w14:solidFill>
          </w14:textFill>
        </w:rPr>
      </w:pPr>
    </w:p>
    <w:p>
      <w:pPr>
        <w:pStyle w:val="9"/>
        <w:shd w:val="clear"/>
        <w:adjustRightInd w:val="0"/>
        <w:snapToGrid w:val="0"/>
        <w:spacing w:before="0" w:after="0" w:line="360" w:lineRule="auto"/>
        <w:jc w:val="center"/>
        <w:rPr>
          <w:rFonts w:ascii="黑体" w:hAnsi="黑体" w:eastAsia="黑体"/>
          <w:color w:val="000000" w:themeColor="text1"/>
          <w:sz w:val="28"/>
          <w:szCs w:val="28"/>
          <w:highlight w:val="none"/>
          <w14:textFill>
            <w14:solidFill>
              <w14:schemeClr w14:val="tx1"/>
            </w14:solidFill>
          </w14:textFill>
        </w:rPr>
      </w:pPr>
      <w:bookmarkStart w:id="61" w:name="_Toc30652"/>
      <w:bookmarkStart w:id="62" w:name="_Toc28980"/>
      <w:bookmarkStart w:id="63" w:name="_Toc1504"/>
      <w:bookmarkStart w:id="64" w:name="_Toc13605"/>
      <w:r>
        <w:rPr>
          <w:rFonts w:hint="eastAsia" w:ascii="黑体" w:hAnsi="黑体" w:eastAsia="黑体"/>
          <w:color w:val="000000" w:themeColor="text1"/>
          <w:sz w:val="28"/>
          <w:szCs w:val="28"/>
          <w:highlight w:val="none"/>
          <w14:textFill>
            <w14:solidFill>
              <w14:schemeClr w14:val="tx1"/>
            </w14:solidFill>
          </w14:textFill>
        </w:rPr>
        <w:t>三、法定代表人（单位负责人）身份证明</w:t>
      </w:r>
      <w:bookmarkEnd w:id="61"/>
      <w:bookmarkEnd w:id="62"/>
      <w:bookmarkEnd w:id="63"/>
      <w:bookmarkEnd w:id="64"/>
    </w:p>
    <w:p>
      <w:pPr>
        <w:shd w:val="clea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4"/>
          <w:szCs w:val="21"/>
          <w:highlight w:val="none"/>
          <w14:textFill>
            <w14:solidFill>
              <w14:schemeClr w14:val="tx1"/>
            </w14:solidFill>
          </w14:textFill>
        </w:rPr>
      </w:pPr>
    </w:p>
    <w:p>
      <w:pPr>
        <w:shd w:val="clea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position w:val="-4"/>
          <w:szCs w:val="21"/>
          <w:highlight w:val="none"/>
          <w14:textFill>
            <w14:solidFill>
              <w14:schemeClr w14:val="tx1"/>
            </w14:solidFill>
          </w14:textFill>
        </w:rPr>
        <w:t>投标</w:t>
      </w:r>
      <w:r>
        <w:rPr>
          <w:rFonts w:hint="eastAsia" w:cs="微软雅黑" w:asciiTheme="minorEastAsia" w:hAnsiTheme="minorEastAsia" w:eastAsiaTheme="minorEastAsia"/>
          <w:color w:val="000000" w:themeColor="text1"/>
          <w:spacing w:val="-2"/>
          <w:kern w:val="0"/>
          <w:position w:val="-4"/>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position w:val="-4"/>
          <w:szCs w:val="21"/>
          <w:highlight w:val="none"/>
          <w14:textFill>
            <w14:solidFill>
              <w14:schemeClr w14:val="tx1"/>
            </w14:solidFill>
          </w14:textFill>
        </w:rPr>
        <w:t>名</w:t>
      </w:r>
      <w:r>
        <w:rPr>
          <w:rFonts w:hint="eastAsia" w:cs="微软雅黑" w:asciiTheme="minorEastAsia" w:hAnsiTheme="minorEastAsia" w:eastAsiaTheme="minorEastAsia"/>
          <w:color w:val="000000" w:themeColor="text1"/>
          <w:spacing w:val="-2"/>
          <w:kern w:val="0"/>
          <w:position w:val="-4"/>
          <w:szCs w:val="21"/>
          <w:highlight w:val="none"/>
          <w14:textFill>
            <w14:solidFill>
              <w14:schemeClr w14:val="tx1"/>
            </w14:solidFill>
          </w14:textFill>
        </w:rPr>
        <w:t>称</w:t>
      </w:r>
      <w:r>
        <w:rPr>
          <w:rFonts w:hint="eastAsia" w:cs="微软雅黑" w:asciiTheme="minorEastAsia" w:hAnsiTheme="minorEastAsia" w:eastAsiaTheme="minorEastAsia"/>
          <w:color w:val="000000" w:themeColor="text1"/>
          <w:kern w:val="0"/>
          <w:position w:val="-4"/>
          <w:szCs w:val="21"/>
          <w:highlight w:val="none"/>
          <w14:textFill>
            <w14:solidFill>
              <w14:schemeClr w14:val="tx1"/>
            </w14:solidFill>
          </w14:textFill>
        </w:rPr>
        <w:t>：</w:t>
      </w:r>
    </w:p>
    <w:p>
      <w:pPr>
        <w:shd w:val="clea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统一社会信用代码：</w:t>
      </w:r>
    </w:p>
    <w:p>
      <w:pPr>
        <w:shd w:val="clea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注册地址：</w:t>
      </w:r>
    </w:p>
    <w:p>
      <w:pPr>
        <w:shd w:val="clea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姓名</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性别</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年</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龄</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：职</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务</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：系</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投</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标</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名</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称</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的</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法定</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代表</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责</w:t>
      </w:r>
      <w:r>
        <w:rPr>
          <w:rFonts w:hint="eastAsia" w:cs="微软雅黑" w:asciiTheme="minorEastAsia" w:hAnsiTheme="minorEastAsia" w:eastAsiaTheme="minorEastAsia"/>
          <w:color w:val="000000" w:themeColor="text1"/>
          <w:spacing w:val="-2"/>
          <w:kern w:val="0"/>
          <w:position w:val="-2"/>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spacing w:val="-106"/>
          <w:kern w:val="0"/>
          <w:position w:val="-2"/>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highlight w:val="none"/>
          <w14:textFill>
            <w14:solidFill>
              <w14:schemeClr w14:val="tx1"/>
            </w14:solidFill>
          </w14:textFill>
        </w:rPr>
        <w:t>。</w:t>
      </w:r>
    </w:p>
    <w:p>
      <w:pPr>
        <w:shd w:val="clear"/>
        <w:autoSpaceDE w:val="0"/>
        <w:autoSpaceDN w:val="0"/>
        <w:adjustRightInd w:val="0"/>
        <w:snapToGrid w:val="0"/>
        <w:spacing w:line="360" w:lineRule="auto"/>
        <w:ind w:left="520" w:right="-20"/>
        <w:jc w:val="left"/>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特此</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证</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明。</w:t>
      </w:r>
    </w:p>
    <w:p>
      <w:pPr>
        <w:shd w:val="clear"/>
        <w:autoSpaceDE w:val="0"/>
        <w:autoSpaceDN w:val="0"/>
        <w:adjustRightInd w:val="0"/>
        <w:snapToGrid w:val="0"/>
        <w:spacing w:line="360" w:lineRule="auto"/>
        <w:ind w:left="100" w:right="4231"/>
        <w:jc w:val="left"/>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附：</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身</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份</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证</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原件扫描件</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p>
    <w:tbl>
      <w:tblPr>
        <w:tblStyle w:val="48"/>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3"/>
        <w:gridCol w:w="4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323"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身份证（正面）</w:t>
            </w:r>
          </w:p>
        </w:tc>
        <w:tc>
          <w:tcPr>
            <w:tcW w:w="432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身份证（反面）</w:t>
            </w:r>
          </w:p>
        </w:tc>
      </w:tr>
    </w:tbl>
    <w:p>
      <w:pPr>
        <w:shd w:val="clear"/>
        <w:adjustRightInd w:val="0"/>
        <w:snapToGrid w:val="0"/>
        <w:spacing w:line="360" w:lineRule="auto"/>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注：投标人代表为法定代表人（单位负责人）的提供。自然人投标的无需提供。</w:t>
      </w: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14:textFill>
            <w14:solidFill>
              <w14:schemeClr w14:val="tx1"/>
            </w14:solidFill>
          </w14:textFill>
        </w:rPr>
        <w:t>年月日</w:t>
      </w:r>
    </w:p>
    <w:p>
      <w:pPr>
        <w:shd w:val="clear"/>
        <w:adjustRightInd w:val="0"/>
        <w:snapToGrid w:val="0"/>
        <w:spacing w:line="360" w:lineRule="auto"/>
        <w:rPr>
          <w:color w:val="000000" w:themeColor="text1"/>
          <w:highlight w:val="none"/>
          <w14:textFill>
            <w14:solidFill>
              <w14:schemeClr w14:val="tx1"/>
            </w14:solidFill>
          </w14:textFill>
        </w:rPr>
      </w:pPr>
    </w:p>
    <w:p>
      <w:pPr>
        <w:widowControl/>
        <w:shd w:val="clea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65" w:name="_Toc6718"/>
      <w:bookmarkStart w:id="66" w:name="_Toc30947"/>
      <w:bookmarkStart w:id="67" w:name="_Toc7745"/>
      <w:bookmarkStart w:id="68" w:name="_Toc6920"/>
      <w:r>
        <w:rPr>
          <w:rFonts w:hint="eastAsia" w:ascii="黑体" w:hAnsi="宋体" w:eastAsia="黑体"/>
          <w:color w:val="000000" w:themeColor="text1"/>
          <w:sz w:val="28"/>
          <w:szCs w:val="28"/>
          <w:highlight w:val="none"/>
          <w14:textFill>
            <w14:solidFill>
              <w14:schemeClr w14:val="tx1"/>
            </w14:solidFill>
          </w14:textFill>
        </w:rPr>
        <w:t>三、授权委托书</w:t>
      </w:r>
      <w:bookmarkEnd w:id="65"/>
      <w:bookmarkEnd w:id="66"/>
      <w:bookmarkEnd w:id="67"/>
      <w:bookmarkEnd w:id="68"/>
    </w:p>
    <w:p>
      <w:pPr>
        <w:shd w:val="clear"/>
        <w:autoSpaceDE w:val="0"/>
        <w:autoSpaceDN w:val="0"/>
        <w:adjustRightInd w:val="0"/>
        <w:snapToGrid w:val="0"/>
        <w:spacing w:line="360" w:lineRule="auto"/>
        <w:ind w:firstLine="446" w:firstLineChars="200"/>
        <w:jc w:val="left"/>
        <w:rPr>
          <w:rFonts w:ascii="宋体" w:hAnsi="宋体"/>
          <w:b/>
          <w:color w:val="000000" w:themeColor="text1"/>
          <w:spacing w:val="6"/>
          <w:szCs w:val="21"/>
          <w:highlight w:val="none"/>
          <w14:textFill>
            <w14:solidFill>
              <w14:schemeClr w14:val="tx1"/>
            </w14:solidFill>
          </w14:textFill>
        </w:rPr>
      </w:pPr>
    </w:p>
    <w:p>
      <w:pPr>
        <w:shd w:val="clea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p>
    <w:p>
      <w:pPr>
        <w:shd w:val="clea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本人（姓名、职务）系（</w:t>
      </w:r>
      <w:r>
        <w:rPr>
          <w:rFonts w:hint="eastAsia" w:ascii="宋体" w:hAnsi="宋体"/>
          <w:color w:val="000000" w:themeColor="text1"/>
          <w:szCs w:val="21"/>
          <w:highlight w:val="none"/>
          <w14:textFill>
            <w14:solidFill>
              <w14:schemeClr w14:val="tx1"/>
            </w14:solidFill>
          </w14:textFill>
        </w:rPr>
        <w:t>投标人</w:t>
      </w:r>
      <w:r>
        <w:rPr>
          <w:rFonts w:hint="eastAsia" w:ascii="宋体" w:hAnsi="宋体" w:cs="宋体"/>
          <w:color w:val="000000" w:themeColor="text1"/>
          <w:kern w:val="0"/>
          <w:szCs w:val="21"/>
          <w:highlight w:val="none"/>
          <w14:textFill>
            <w14:solidFill>
              <w14:schemeClr w14:val="tx1"/>
            </w14:solidFill>
          </w14:textFill>
        </w:rPr>
        <w:t>名称）的法定代表人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，现授权（姓名、职务）为我方代理人。代理人根据授权，以我方名义签署、澄清、说明、补正、递交、撤回、修改（项目名称</w:t>
      </w:r>
      <w:r>
        <w:rPr>
          <w:rFonts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Theme="minorEastAsia" w:hAnsiTheme="minorEastAsia" w:eastAsiaTheme="minorEastAsia"/>
          <w:color w:val="000000" w:themeColor="text1"/>
          <w:highlight w:val="none"/>
          <w14:textFill>
            <w14:solidFill>
              <w14:schemeClr w14:val="tx1"/>
            </w14:solidFill>
          </w14:textFill>
        </w:rPr>
        <w:t>政府</w:t>
      </w:r>
      <w:r>
        <w:rPr>
          <w:rFonts w:hint="eastAsia" w:asciiTheme="minorEastAsia" w:hAnsiTheme="minorEastAsia" w:eastAsiaTheme="minorEastAsia"/>
          <w:iCs/>
          <w:color w:val="000000" w:themeColor="text1"/>
          <w:highlight w:val="none"/>
          <w14:textFill>
            <w14:solidFill>
              <w14:schemeClr w14:val="tx1"/>
            </w14:solidFill>
          </w14:textFill>
        </w:rPr>
        <w:t>采购编号：，</w:t>
      </w:r>
      <w:r>
        <w:rPr>
          <w:rFonts w:hint="eastAsia" w:ascii="宋体" w:hAnsi="宋体" w:cs="宋体"/>
          <w:color w:val="000000" w:themeColor="text1"/>
          <w:kern w:val="0"/>
          <w:szCs w:val="21"/>
          <w:highlight w:val="none"/>
          <w14:textFill>
            <w14:solidFill>
              <w14:schemeClr w14:val="tx1"/>
            </w14:solidFill>
          </w14:textFill>
        </w:rPr>
        <w:t>采购代理编号：）投标文件、签订合同和处理有关事宜，其法律后果由我方承担。</w:t>
      </w:r>
    </w:p>
    <w:p>
      <w:pPr>
        <w:shd w:val="clear"/>
        <w:autoSpaceDE w:val="0"/>
        <w:autoSpaceDN w:val="0"/>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委托期限：。</w:t>
      </w:r>
    </w:p>
    <w:p>
      <w:pPr>
        <w:shd w:val="clear"/>
        <w:adjustRightInd w:val="0"/>
        <w:snapToGrid w:val="0"/>
        <w:spacing w:line="360" w:lineRule="auto"/>
        <w:ind w:firstLine="435"/>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代理人无转委托权。</w:t>
      </w:r>
    </w:p>
    <w:p>
      <w:pPr>
        <w:shd w:val="clear"/>
        <w:adjustRightInd w:val="0"/>
        <w:snapToGrid w:val="0"/>
        <w:spacing w:line="360" w:lineRule="auto"/>
        <w:ind w:firstLine="435"/>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本授权书于年月日签字生效，特此声明。</w:t>
      </w:r>
    </w:p>
    <w:tbl>
      <w:tblPr>
        <w:tblStyle w:val="48"/>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5"/>
        <w:gridCol w:w="4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465"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身份证（正面）</w:t>
            </w:r>
          </w:p>
        </w:tc>
        <w:tc>
          <w:tcPr>
            <w:tcW w:w="4324"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身份证（反面）</w:t>
            </w:r>
          </w:p>
        </w:tc>
      </w:tr>
    </w:tbl>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注：投标人代表不是投标人的法定代表人（单位负责人）的提供。自然人投标的无需提供。</w:t>
      </w: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（电子签字或电子印章）：</w:t>
      </w:r>
    </w:p>
    <w:p>
      <w:pPr>
        <w:shd w:val="clea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委托代理人（电子签字或电子印章）：</w:t>
      </w:r>
    </w:p>
    <w:p>
      <w:pPr>
        <w:shd w:val="clear"/>
        <w:adjustRightInd w:val="0"/>
        <w:snapToGrid w:val="0"/>
        <w:spacing w:line="360" w:lineRule="auto"/>
        <w:ind w:right="420"/>
        <w:rPr>
          <w:rFonts w:ascii="宋体" w:hAnsi="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14:textFill>
            <w14:solidFill>
              <w14:schemeClr w14:val="tx1"/>
            </w14:solidFill>
          </w14:textFill>
        </w:rPr>
        <w:t>年月日</w:t>
      </w:r>
    </w:p>
    <w:p>
      <w:pPr>
        <w:shd w:val="clear"/>
        <w:adjustRightInd w:val="0"/>
        <w:snapToGrid w:val="0"/>
        <w:spacing w:line="360" w:lineRule="auto"/>
        <w:jc w:val="left"/>
        <w:rPr>
          <w:rFonts w:ascii="黑体" w:hAnsi="黑体" w:eastAsia="黑体"/>
          <w:bCs/>
          <w:color w:val="000000" w:themeColor="text1"/>
          <w:sz w:val="28"/>
          <w:szCs w:val="28"/>
          <w:highlight w:val="none"/>
          <w14:textFill>
            <w14:solidFill>
              <w14:schemeClr w14:val="tx1"/>
            </w14:solidFill>
          </w14:textFill>
        </w:rPr>
      </w:pPr>
      <w:r>
        <w:rPr>
          <w:rFonts w:ascii="黑体" w:hAnsi="黑体" w:eastAsia="黑体"/>
          <w:bCs/>
          <w:color w:val="000000" w:themeColor="text1"/>
          <w:sz w:val="28"/>
          <w:szCs w:val="28"/>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69" w:name="_Toc22836"/>
      <w:bookmarkStart w:id="70" w:name="_Toc20815"/>
      <w:bookmarkStart w:id="71" w:name="_Toc4389"/>
      <w:bookmarkStart w:id="72" w:name="_Toc25417"/>
      <w:r>
        <w:rPr>
          <w:rFonts w:hint="eastAsia" w:ascii="黑体" w:hAnsi="宋体" w:eastAsia="黑体"/>
          <w:color w:val="000000" w:themeColor="text1"/>
          <w:sz w:val="28"/>
          <w:szCs w:val="28"/>
          <w:highlight w:val="none"/>
          <w14:textFill>
            <w14:solidFill>
              <w14:schemeClr w14:val="tx1"/>
            </w14:solidFill>
          </w14:textFill>
        </w:rPr>
        <w:t>四、投标人提供的资格证明文件</w:t>
      </w:r>
      <w:bookmarkEnd w:id="69"/>
      <w:bookmarkEnd w:id="70"/>
      <w:bookmarkEnd w:id="71"/>
      <w:bookmarkEnd w:id="72"/>
    </w:p>
    <w:p>
      <w:pPr>
        <w:pStyle w:val="25"/>
        <w:shd w:val="clear"/>
        <w:adjustRightInd w:val="0"/>
        <w:snapToGrid w:val="0"/>
        <w:spacing w:line="360" w:lineRule="auto"/>
        <w:jc w:val="center"/>
        <w:rPr>
          <w:rFonts w:hAnsi="宋体"/>
          <w:b/>
          <w:bCs/>
          <w:color w:val="000000" w:themeColor="text1"/>
          <w:sz w:val="24"/>
          <w:szCs w:val="24"/>
          <w:highlight w:val="none"/>
          <w14:textFill>
            <w14:solidFill>
              <w14:schemeClr w14:val="tx1"/>
            </w14:solidFill>
          </w14:textFill>
        </w:rPr>
      </w:pPr>
    </w:p>
    <w:p>
      <w:pPr>
        <w:pStyle w:val="25"/>
        <w:shd w:val="clear"/>
        <w:adjustRightInd w:val="0"/>
        <w:snapToGrid w:val="0"/>
        <w:spacing w:line="360" w:lineRule="auto"/>
        <w:jc w:val="center"/>
        <w:rPr>
          <w:rFonts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须  知</w:t>
      </w:r>
    </w:p>
    <w:p>
      <w:pPr>
        <w:shd w:val="clear"/>
        <w:tabs>
          <w:tab w:val="left" w:pos="4725"/>
        </w:tabs>
        <w:adjustRightInd w:val="0"/>
        <w:snapToGrid w:val="0"/>
        <w:spacing w:before="156" w:beforeLines="50" w:line="360" w:lineRule="auto"/>
        <w:ind w:firstLine="422" w:firstLineChars="200"/>
        <w:rPr>
          <w:rFonts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1、投标人</w:t>
      </w:r>
      <w:r>
        <w:rPr>
          <w:rFonts w:hint="eastAsia" w:ascii="宋体" w:hAnsi="宋体"/>
          <w:b/>
          <w:bCs/>
          <w:color w:val="000000" w:themeColor="text1"/>
          <w:szCs w:val="21"/>
          <w:highlight w:val="none"/>
          <w14:textFill>
            <w14:solidFill>
              <w14:schemeClr w14:val="tx1"/>
            </w14:solidFill>
          </w14:textFill>
        </w:rPr>
        <w:t>应按第二章第15.1款要求提供下列的证明材料</w:t>
      </w:r>
    </w:p>
    <w:p>
      <w:pPr>
        <w:shd w:val="clea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附件4-1 法人或者其他组织的营业执照等主体资格证明文件，自然人的身份证明</w:t>
      </w:r>
    </w:p>
    <w:p>
      <w:pPr>
        <w:shd w:val="clea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附件4-2 湖南省政府采购供应商资格承诺函(格式)</w:t>
      </w:r>
    </w:p>
    <w:p>
      <w:pPr>
        <w:shd w:val="clear"/>
        <w:tabs>
          <w:tab w:val="left" w:pos="4725"/>
        </w:tabs>
        <w:adjustRightInd w:val="0"/>
        <w:snapToGrid w:val="0"/>
        <w:spacing w:before="156" w:beforeLines="50" w:line="360" w:lineRule="auto"/>
        <w:ind w:firstLine="735" w:firstLineChars="35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附件4-3 符合特定资格条件证明材料或者情况说明</w:t>
      </w:r>
    </w:p>
    <w:p>
      <w:pPr>
        <w:shd w:val="clear"/>
        <w:tabs>
          <w:tab w:val="left" w:pos="4725"/>
        </w:tabs>
        <w:adjustRightInd w:val="0"/>
        <w:snapToGrid w:val="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p>
    <w:p>
      <w:pPr>
        <w:widowControl/>
        <w:shd w:val="clear"/>
        <w:adjustRightInd w:val="0"/>
        <w:snapToGrid w:val="0"/>
        <w:spacing w:line="360" w:lineRule="auto"/>
        <w:jc w:val="left"/>
        <w:rPr>
          <w:rFonts w:ascii="黑体" w:hAnsi="仿宋" w:eastAsia="黑体" w:cs="宋体"/>
          <w:color w:val="000000" w:themeColor="text1"/>
          <w:szCs w:val="21"/>
          <w:highlight w:val="none"/>
          <w14:textFill>
            <w14:solidFill>
              <w14:schemeClr w14:val="tx1"/>
            </w14:solidFill>
          </w14:textFill>
        </w:rPr>
      </w:pPr>
      <w:r>
        <w:rPr>
          <w:rFonts w:ascii="黑体" w:hAnsi="仿宋" w:eastAsia="黑体" w:cs="宋体"/>
          <w:color w:val="000000" w:themeColor="text1"/>
          <w:szCs w:val="21"/>
          <w:highlight w:val="none"/>
          <w14:textFill>
            <w14:solidFill>
              <w14:schemeClr w14:val="tx1"/>
            </w14:solidFill>
          </w14:textFill>
        </w:rPr>
        <w:br w:type="page"/>
      </w:r>
    </w:p>
    <w:p>
      <w:pPr>
        <w:pStyle w:val="10"/>
        <w:shd w:val="clear"/>
        <w:rPr>
          <w:rFonts w:ascii="黑体" w:hAnsi="仿宋" w:cs="宋体"/>
          <w:b w:val="0"/>
          <w:color w:val="000000" w:themeColor="text1"/>
          <w:sz w:val="21"/>
          <w:szCs w:val="21"/>
          <w:highlight w:val="none"/>
          <w14:textFill>
            <w14:solidFill>
              <w14:schemeClr w14:val="tx1"/>
            </w14:solidFill>
          </w14:textFill>
        </w:rPr>
      </w:pPr>
      <w:bookmarkStart w:id="73" w:name="_Toc24659"/>
      <w:bookmarkStart w:id="74" w:name="_Toc28958"/>
      <w:bookmarkStart w:id="75" w:name="_Toc26937"/>
      <w:bookmarkStart w:id="76" w:name="_Toc11783"/>
      <w:r>
        <w:rPr>
          <w:rFonts w:hint="eastAsia" w:ascii="黑体" w:hAnsi="仿宋" w:cs="宋体"/>
          <w:b w:val="0"/>
          <w:color w:val="000000" w:themeColor="text1"/>
          <w:sz w:val="21"/>
          <w:szCs w:val="21"/>
          <w:highlight w:val="none"/>
          <w14:textFill>
            <w14:solidFill>
              <w14:schemeClr w14:val="tx1"/>
            </w14:solidFill>
          </w14:textFill>
        </w:rPr>
        <w:t>附件4-1 法人或者其他组织的营业执照等主体资格证明文件，自然人的身份证明</w:t>
      </w:r>
      <w:bookmarkEnd w:id="73"/>
      <w:bookmarkEnd w:id="74"/>
      <w:bookmarkEnd w:id="75"/>
      <w:bookmarkEnd w:id="76"/>
    </w:p>
    <w:p>
      <w:pPr>
        <w:widowControl/>
        <w:shd w:val="clear"/>
        <w:adjustRightInd w:val="0"/>
        <w:snapToGrid w:val="0"/>
        <w:spacing w:line="360" w:lineRule="auto"/>
        <w:jc w:val="center"/>
        <w:rPr>
          <w:rFonts w:ascii="黑体" w:hAnsi="仿宋" w:eastAsia="黑体" w:cs="宋体"/>
          <w:b/>
          <w:color w:val="000000" w:themeColor="text1"/>
          <w:sz w:val="28"/>
          <w:szCs w:val="28"/>
          <w:highlight w:val="none"/>
          <w14:textFill>
            <w14:solidFill>
              <w14:schemeClr w14:val="tx1"/>
            </w14:solidFill>
          </w14:textFill>
        </w:rPr>
      </w:pPr>
      <w:r>
        <w:rPr>
          <w:rFonts w:hint="eastAsia" w:ascii="黑体" w:hAnsi="仿宋" w:eastAsia="黑体" w:cs="宋体"/>
          <w:b/>
          <w:color w:val="000000" w:themeColor="text1"/>
          <w:sz w:val="28"/>
          <w:szCs w:val="28"/>
          <w:highlight w:val="none"/>
          <w14:textFill>
            <w14:solidFill>
              <w14:schemeClr w14:val="tx1"/>
            </w14:solidFill>
          </w14:textFill>
        </w:rPr>
        <w:t>法人或者其他组织的营业执照等主体资格证明文件，自然人的身份证明</w:t>
      </w:r>
    </w:p>
    <w:p>
      <w:pPr>
        <w:widowControl/>
        <w:shd w:val="clear"/>
        <w:adjustRightInd w:val="0"/>
        <w:snapToGrid w:val="0"/>
        <w:spacing w:before="156" w:beforeLines="50" w:line="360" w:lineRule="auto"/>
        <w:ind w:firstLine="420" w:firstLineChars="200"/>
        <w:jc w:val="left"/>
        <w:rPr>
          <w:rFonts w:cs="宋体"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before="156" w:beforeLines="50" w:line="360" w:lineRule="auto"/>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注：按第二章第</w:t>
      </w:r>
      <w:r>
        <w:rPr>
          <w:rFonts w:cs="宋体" w:asciiTheme="minorEastAsia" w:hAnsiTheme="minorEastAsia" w:eastAsiaTheme="minorEastAsia"/>
          <w:color w:val="000000" w:themeColor="text1"/>
          <w:szCs w:val="21"/>
          <w:highlight w:val="none"/>
          <w14:textFill>
            <w14:solidFill>
              <w14:schemeClr w14:val="tx1"/>
            </w14:solidFill>
          </w14:textFill>
        </w:rPr>
        <w:t>1</w:t>
      </w:r>
      <w:r>
        <w:rPr>
          <w:rFonts w:hint="eastAsia" w:cs="宋体" w:asciiTheme="minorEastAsia" w:hAnsiTheme="minorEastAsia" w:eastAsiaTheme="minorEastAsia"/>
          <w:color w:val="000000" w:themeColor="text1"/>
          <w:szCs w:val="21"/>
          <w:highlight w:val="none"/>
          <w14:textFill>
            <w14:solidFill>
              <w14:schemeClr w14:val="tx1"/>
            </w14:solidFill>
          </w14:textFill>
        </w:rPr>
        <w:t>4</w:t>
      </w:r>
      <w:r>
        <w:rPr>
          <w:rFonts w:cs="宋体" w:asciiTheme="minorEastAsia" w:hAnsiTheme="minorEastAsia" w:eastAsiaTheme="minorEastAsia"/>
          <w:color w:val="000000" w:themeColor="text1"/>
          <w:szCs w:val="21"/>
          <w:highlight w:val="none"/>
          <w14:textFill>
            <w14:solidFill>
              <w14:schemeClr w14:val="tx1"/>
            </w14:solidFill>
          </w14:textFill>
        </w:rPr>
        <w:t>.1</w:t>
      </w:r>
      <w:r>
        <w:rPr>
          <w:rFonts w:hint="eastAsia" w:asciiTheme="minorEastAsia" w:hAnsiTheme="minorEastAsia"/>
          <w:b/>
          <w:color w:val="000000" w:themeColor="text1"/>
          <w:szCs w:val="21"/>
          <w:highlight w:val="none"/>
          <w14:textFill>
            <w14:solidFill>
              <w14:schemeClr w14:val="tx1"/>
            </w14:solidFill>
          </w14:textFill>
        </w:rPr>
        <w:t>【投标须知前附表】</w:t>
      </w:r>
      <w:r>
        <w:rPr>
          <w:rFonts w:hint="eastAsia" w:cs="宋体" w:asciiTheme="minorEastAsia" w:hAnsiTheme="minorEastAsia" w:eastAsiaTheme="minorEastAsia"/>
          <w:color w:val="000000" w:themeColor="text1"/>
          <w:szCs w:val="21"/>
          <w:highlight w:val="none"/>
          <w14:textFill>
            <w14:solidFill>
              <w14:schemeClr w14:val="tx1"/>
            </w14:solidFill>
          </w14:textFill>
        </w:rPr>
        <w:t>要求提供。</w:t>
      </w:r>
    </w:p>
    <w:p>
      <w:pPr>
        <w:shd w:val="clear"/>
        <w:adjustRightInd w:val="0"/>
        <w:snapToGrid w:val="0"/>
        <w:spacing w:before="156" w:beforeLines="50" w:line="360" w:lineRule="auto"/>
        <w:ind w:firstLine="420" w:firstLineChars="200"/>
        <w:rPr>
          <w:rFonts w:asciiTheme="minorEastAsia" w:hAnsi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（1）</w:t>
      </w:r>
      <w:r>
        <w:rPr>
          <w:rFonts w:hint="eastAsia" w:asciiTheme="minorEastAsia" w:hAnsiTheme="minorEastAsia"/>
          <w:color w:val="000000" w:themeColor="text1"/>
          <w:highlight w:val="none"/>
          <w14:textFill>
            <w14:solidFill>
              <w14:schemeClr w14:val="tx1"/>
            </w14:solidFill>
          </w14:textFill>
        </w:rPr>
        <w:t>投标人为法人的，应提交营业执照或法人登记证书；</w:t>
      </w:r>
    </w:p>
    <w:p>
      <w:pPr>
        <w:shd w:val="clear"/>
        <w:adjustRightInd w:val="0"/>
        <w:snapToGrid w:val="0"/>
        <w:spacing w:before="156" w:beforeLines="50" w:line="360" w:lineRule="auto"/>
        <w:ind w:firstLine="420" w:firstLineChars="200"/>
        <w:rPr>
          <w:rFonts w:asciiTheme="minorEastAsia" w:hAnsi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（2）</w:t>
      </w:r>
      <w:r>
        <w:rPr>
          <w:rFonts w:hint="eastAsia" w:asciiTheme="minorEastAsia" w:hAnsiTheme="minorEastAsia"/>
          <w:color w:val="000000" w:themeColor="text1"/>
          <w:highlight w:val="none"/>
          <w14:textFill>
            <w14:solidFill>
              <w14:schemeClr w14:val="tx1"/>
            </w14:solidFill>
          </w14:textFill>
        </w:rPr>
        <w:t>投标人为非法人组织的，应提交依法登记证书；</w:t>
      </w:r>
    </w:p>
    <w:p>
      <w:pPr>
        <w:shd w:val="clear"/>
        <w:adjustRightInd w:val="0"/>
        <w:snapToGrid w:val="0"/>
        <w:spacing w:before="156" w:beforeLines="50" w:line="360" w:lineRule="auto"/>
        <w:ind w:firstLine="420" w:firstLineChars="200"/>
        <w:rPr>
          <w:rFonts w:asciiTheme="minorEastAsia" w:hAnsi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（3）</w:t>
      </w:r>
      <w:r>
        <w:rPr>
          <w:rFonts w:hint="eastAsia" w:asciiTheme="minorEastAsia" w:hAnsiTheme="minorEastAsia"/>
          <w:color w:val="000000" w:themeColor="text1"/>
          <w:highlight w:val="none"/>
          <w14:textFill>
            <w14:solidFill>
              <w14:schemeClr w14:val="tx1"/>
            </w14:solidFill>
          </w14:textFill>
        </w:rPr>
        <w:t>投标人为个体工商户的，应提交个体工商户营业执照；</w:t>
      </w:r>
    </w:p>
    <w:p>
      <w:pPr>
        <w:shd w:val="clear"/>
        <w:adjustRightInd w:val="0"/>
        <w:snapToGrid w:val="0"/>
        <w:spacing w:before="156" w:beforeLines="50" w:line="360" w:lineRule="auto"/>
        <w:ind w:firstLine="420" w:firstLineChars="200"/>
        <w:rPr>
          <w:rFonts w:asciiTheme="minorEastAsia" w:hAnsi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（4）</w:t>
      </w:r>
      <w:r>
        <w:rPr>
          <w:rFonts w:hint="eastAsia" w:asciiTheme="minorEastAsia" w:hAnsiTheme="minorEastAsia"/>
          <w:color w:val="000000" w:themeColor="text1"/>
          <w:highlight w:val="none"/>
          <w14:textFill>
            <w14:solidFill>
              <w14:schemeClr w14:val="tx1"/>
            </w14:solidFill>
          </w14:textFill>
        </w:rPr>
        <w:t>投标人为自然人的，应提交自然人的身份证明。</w:t>
      </w:r>
    </w:p>
    <w:p>
      <w:pPr>
        <w:shd w:val="clear"/>
        <w:adjustRightInd w:val="0"/>
        <w:snapToGrid w:val="0"/>
        <w:spacing w:before="156" w:beforeLines="50" w:line="360" w:lineRule="auto"/>
        <w:ind w:firstLine="420" w:firstLineChars="200"/>
        <w:rPr>
          <w:rFonts w:asciiTheme="minorEastAsia" w:hAnsiTheme="minorEastAsia"/>
          <w:color w:val="000000" w:themeColor="text1"/>
          <w:highlight w:val="none"/>
          <w14:textFill>
            <w14:solidFill>
              <w14:schemeClr w14:val="tx1"/>
            </w14:solidFill>
          </w14:textFill>
        </w:rPr>
      </w:pPr>
    </w:p>
    <w:p>
      <w:pPr>
        <w:widowControl/>
        <w:shd w:val="clear"/>
        <w:jc w:val="left"/>
        <w:rPr>
          <w:rFonts w:ascii="黑体" w:hAnsi="仿宋" w:eastAsia="黑体" w:cs="宋体"/>
          <w:bCs/>
          <w:color w:val="000000" w:themeColor="text1"/>
          <w:szCs w:val="21"/>
          <w:highlight w:val="none"/>
          <w14:textFill>
            <w14:solidFill>
              <w14:schemeClr w14:val="tx1"/>
            </w14:solidFill>
          </w14:textFill>
        </w:rPr>
      </w:pPr>
      <w:r>
        <w:rPr>
          <w:rFonts w:ascii="黑体" w:hAnsi="仿宋" w:cs="宋体"/>
          <w:b/>
          <w:color w:val="000000" w:themeColor="text1"/>
          <w:szCs w:val="21"/>
          <w:highlight w:val="none"/>
          <w14:textFill>
            <w14:solidFill>
              <w14:schemeClr w14:val="tx1"/>
            </w14:solidFill>
          </w14:textFill>
        </w:rPr>
        <w:br w:type="page"/>
      </w:r>
    </w:p>
    <w:p>
      <w:pPr>
        <w:pStyle w:val="10"/>
        <w:shd w:val="clear"/>
        <w:adjustRightInd w:val="0"/>
        <w:snapToGrid w:val="0"/>
        <w:spacing w:before="156" w:beforeLines="50" w:after="0" w:line="360" w:lineRule="auto"/>
        <w:rPr>
          <w:rFonts w:ascii="黑体" w:hAnsi="仿宋" w:cs="宋体"/>
          <w:b w:val="0"/>
          <w:color w:val="000000" w:themeColor="text1"/>
          <w:sz w:val="21"/>
          <w:szCs w:val="21"/>
          <w:highlight w:val="none"/>
          <w14:textFill>
            <w14:solidFill>
              <w14:schemeClr w14:val="tx1"/>
            </w14:solidFill>
          </w14:textFill>
        </w:rPr>
      </w:pPr>
      <w:bookmarkStart w:id="77" w:name="_Toc5736"/>
      <w:bookmarkStart w:id="78" w:name="_Toc7527"/>
      <w:bookmarkStart w:id="79" w:name="_Toc12080"/>
      <w:bookmarkStart w:id="80" w:name="_Toc30081"/>
      <w:r>
        <w:rPr>
          <w:rFonts w:hint="eastAsia" w:ascii="黑体" w:hAnsi="仿宋" w:cs="宋体"/>
          <w:b w:val="0"/>
          <w:color w:val="000000" w:themeColor="text1"/>
          <w:sz w:val="21"/>
          <w:szCs w:val="21"/>
          <w:highlight w:val="none"/>
          <w14:textFill>
            <w14:solidFill>
              <w14:schemeClr w14:val="tx1"/>
            </w14:solidFill>
          </w14:textFill>
        </w:rPr>
        <w:t>附件4-2湖南省政府采购供应商资格承诺函(格式)</w:t>
      </w:r>
      <w:bookmarkEnd w:id="77"/>
      <w:bookmarkEnd w:id="78"/>
      <w:bookmarkEnd w:id="79"/>
      <w:bookmarkEnd w:id="80"/>
    </w:p>
    <w:p>
      <w:pPr>
        <w:widowControl/>
        <w:shd w:val="clear"/>
        <w:adjustRightInd w:val="0"/>
        <w:snapToGrid w:val="0"/>
        <w:spacing w:before="468" w:beforeLines="150" w:line="360" w:lineRule="auto"/>
        <w:jc w:val="center"/>
        <w:rPr>
          <w:rFonts w:ascii="宋体" w:hAnsi="宋体" w:cs="宋体"/>
          <w:color w:val="000000" w:themeColor="text1"/>
          <w:szCs w:val="21"/>
          <w:highlight w:val="none"/>
          <w14:textFill>
            <w14:solidFill>
              <w14:schemeClr w14:val="tx1"/>
            </w14:solidFill>
          </w14:textFill>
        </w:rPr>
      </w:pPr>
      <w:r>
        <w:rPr>
          <w:rFonts w:hint="eastAsia" w:ascii="黑体" w:hAnsi="仿宋" w:eastAsia="黑体" w:cs="宋体"/>
          <w:b/>
          <w:color w:val="000000" w:themeColor="text1"/>
          <w:sz w:val="28"/>
          <w:szCs w:val="28"/>
          <w:highlight w:val="none"/>
          <w14:textFill>
            <w14:solidFill>
              <w14:schemeClr w14:val="tx1"/>
            </w14:solidFill>
          </w14:textFill>
        </w:rPr>
        <w:t>湖南省政府采购供应商资格承诺函(格式)</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按照《政府采购促进中小企业发展管理办法》(财库〔2020〕46号),本公司企业规模为: 大型口中型口小型□微型□。</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□本公司自愿入驻湖南省政府采购电子卖场,遵守《湖南省政府采购电子卖场管理办法》(湘财购〔2019〕27号),如违反承诺,同意金融机构将增信保证划缴国库(非电子卖场采购活动项目不需勾选)。</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公司(单位)名称(盖章)：</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机构代码、注册登记机构、日期、有效期、注册资本、地 址、经济行业、经济性质</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法定代表人(负责人)姓名(签字)、身份证号、手机号:</w:t>
      </w:r>
    </w:p>
    <w:p>
      <w:pPr>
        <w:widowControl/>
        <w:shd w:val="clear"/>
        <w:spacing w:before="156" w:beforeLines="50"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授权代表人姓名(签字)、身份证号、手机号:</w:t>
      </w:r>
    </w:p>
    <w:p>
      <w:pPr>
        <w:widowControl/>
        <w:shd w:val="clear"/>
        <w:jc w:val="left"/>
        <w:rPr>
          <w:rFonts w:ascii="黑体" w:hAnsi="仿宋" w:eastAsia="黑体" w:cs="宋体"/>
          <w:bCs/>
          <w:color w:val="000000" w:themeColor="text1"/>
          <w:szCs w:val="21"/>
          <w:highlight w:val="none"/>
          <w14:textFill>
            <w14:solidFill>
              <w14:schemeClr w14:val="tx1"/>
            </w14:solidFill>
          </w14:textFill>
        </w:rPr>
      </w:pPr>
      <w:r>
        <w:rPr>
          <w:rFonts w:ascii="黑体" w:hAnsi="仿宋" w:cs="宋体"/>
          <w:b/>
          <w:color w:val="000000" w:themeColor="text1"/>
          <w:szCs w:val="21"/>
          <w:highlight w:val="none"/>
          <w14:textFill>
            <w14:solidFill>
              <w14:schemeClr w14:val="tx1"/>
            </w14:solidFill>
          </w14:textFill>
        </w:rPr>
        <w:br w:type="page"/>
      </w:r>
    </w:p>
    <w:p>
      <w:pPr>
        <w:pStyle w:val="10"/>
        <w:shd w:val="clear"/>
        <w:rPr>
          <w:rFonts w:ascii="黑体" w:hAnsi="仿宋" w:cs="宋体"/>
          <w:b w:val="0"/>
          <w:color w:val="000000" w:themeColor="text1"/>
          <w:sz w:val="21"/>
          <w:szCs w:val="21"/>
          <w:highlight w:val="none"/>
          <w14:textFill>
            <w14:solidFill>
              <w14:schemeClr w14:val="tx1"/>
            </w14:solidFill>
          </w14:textFill>
        </w:rPr>
      </w:pPr>
      <w:bookmarkStart w:id="81" w:name="_Toc12647"/>
      <w:bookmarkStart w:id="82" w:name="_Toc8353"/>
      <w:bookmarkStart w:id="83" w:name="_Toc4441"/>
      <w:bookmarkStart w:id="84" w:name="_Toc2943"/>
      <w:r>
        <w:rPr>
          <w:rFonts w:hint="eastAsia" w:ascii="黑体" w:hAnsi="仿宋" w:cs="宋体"/>
          <w:b w:val="0"/>
          <w:color w:val="000000" w:themeColor="text1"/>
          <w:sz w:val="21"/>
          <w:szCs w:val="21"/>
          <w:highlight w:val="none"/>
          <w14:textFill>
            <w14:solidFill>
              <w14:schemeClr w14:val="tx1"/>
            </w14:solidFill>
          </w14:textFill>
        </w:rPr>
        <w:t>附件4-3 符合特定资格条件证明材料或者情况说明</w:t>
      </w:r>
      <w:bookmarkEnd w:id="81"/>
      <w:bookmarkEnd w:id="82"/>
      <w:bookmarkEnd w:id="83"/>
      <w:bookmarkEnd w:id="84"/>
    </w:p>
    <w:p>
      <w:pPr>
        <w:widowControl/>
        <w:shd w:val="clear"/>
        <w:adjustRightInd w:val="0"/>
        <w:snapToGrid w:val="0"/>
        <w:spacing w:line="360" w:lineRule="auto"/>
        <w:jc w:val="center"/>
        <w:rPr>
          <w:rFonts w:ascii="黑体" w:hAnsi="仿宋" w:eastAsia="黑体" w:cs="宋体"/>
          <w:b/>
          <w:color w:val="000000" w:themeColor="text1"/>
          <w:sz w:val="28"/>
          <w:szCs w:val="28"/>
          <w:highlight w:val="none"/>
          <w14:textFill>
            <w14:solidFill>
              <w14:schemeClr w14:val="tx1"/>
            </w14:solidFill>
          </w14:textFill>
        </w:rPr>
      </w:pPr>
      <w:r>
        <w:rPr>
          <w:rFonts w:hint="eastAsia" w:ascii="黑体" w:hAnsi="仿宋" w:eastAsia="黑体" w:cs="宋体"/>
          <w:b/>
          <w:color w:val="000000" w:themeColor="text1"/>
          <w:sz w:val="28"/>
          <w:szCs w:val="28"/>
          <w:highlight w:val="none"/>
          <w14:textFill>
            <w14:solidFill>
              <w14:schemeClr w14:val="tx1"/>
            </w14:solidFill>
          </w14:textFill>
        </w:rPr>
        <w:t>符合特定资格条件证明材料或者情况说明</w:t>
      </w:r>
    </w:p>
    <w:p>
      <w:pPr>
        <w:widowControl/>
        <w:shd w:val="clear"/>
        <w:adjustRightInd w:val="0"/>
        <w:snapToGrid w:val="0"/>
        <w:spacing w:line="360" w:lineRule="auto"/>
        <w:ind w:firstLine="560" w:firstLineChars="200"/>
        <w:jc w:val="left"/>
        <w:rPr>
          <w:rFonts w:ascii="黑体" w:hAnsi="仿宋" w:eastAsia="黑体" w:cs="宋体"/>
          <w:color w:val="000000" w:themeColor="text1"/>
          <w:sz w:val="28"/>
          <w:szCs w:val="28"/>
          <w:highlight w:val="none"/>
          <w14:textFill>
            <w14:solidFill>
              <w14:schemeClr w14:val="tx1"/>
            </w14:solidFill>
          </w14:textFill>
        </w:rPr>
      </w:pPr>
    </w:p>
    <w:p>
      <w:pPr>
        <w:widowControl/>
        <w:shd w:val="clear"/>
        <w:adjustRightInd w:val="0"/>
        <w:snapToGrid w:val="0"/>
        <w:spacing w:line="360" w:lineRule="auto"/>
        <w:ind w:firstLine="420" w:firstLineChars="200"/>
        <w:jc w:val="left"/>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注：按第二章第</w:t>
      </w:r>
      <w:r>
        <w:rPr>
          <w:rFonts w:cs="宋体" w:asciiTheme="minorEastAsia" w:hAnsiTheme="minorEastAsia" w:eastAsiaTheme="minorEastAsia"/>
          <w:color w:val="000000" w:themeColor="text1"/>
          <w:szCs w:val="21"/>
          <w:highlight w:val="none"/>
          <w14:textFill>
            <w14:solidFill>
              <w14:schemeClr w14:val="tx1"/>
            </w14:solidFill>
          </w14:textFill>
        </w:rPr>
        <w:t>1</w:t>
      </w:r>
      <w:r>
        <w:rPr>
          <w:rFonts w:hint="eastAsia" w:cs="宋体" w:asciiTheme="minorEastAsia" w:hAnsiTheme="minorEastAsia" w:eastAsiaTheme="minorEastAsia"/>
          <w:color w:val="000000" w:themeColor="text1"/>
          <w:szCs w:val="21"/>
          <w:highlight w:val="none"/>
          <w14:textFill>
            <w14:solidFill>
              <w14:schemeClr w14:val="tx1"/>
            </w14:solidFill>
          </w14:textFill>
        </w:rPr>
        <w:t>4</w:t>
      </w:r>
      <w:r>
        <w:rPr>
          <w:rFonts w:cs="宋体" w:asciiTheme="minorEastAsia" w:hAnsiTheme="minorEastAsia" w:eastAsiaTheme="minorEastAsia"/>
          <w:color w:val="000000" w:themeColor="text1"/>
          <w:szCs w:val="21"/>
          <w:highlight w:val="none"/>
          <w14:textFill>
            <w14:solidFill>
              <w14:schemeClr w14:val="tx1"/>
            </w14:solidFill>
          </w14:textFill>
        </w:rPr>
        <w:t>.1</w:t>
      </w:r>
      <w:r>
        <w:rPr>
          <w:rFonts w:hint="eastAsia" w:asciiTheme="minorEastAsia" w:hAnsiTheme="minorEastAsia"/>
          <w:b/>
          <w:color w:val="000000" w:themeColor="text1"/>
          <w:szCs w:val="21"/>
          <w:highlight w:val="none"/>
          <w14:textFill>
            <w14:solidFill>
              <w14:schemeClr w14:val="tx1"/>
            </w14:solidFill>
          </w14:textFill>
        </w:rPr>
        <w:t>【投标须知前附表】</w:t>
      </w:r>
      <w:r>
        <w:rPr>
          <w:rFonts w:hint="eastAsia" w:cs="宋体" w:asciiTheme="minorEastAsia" w:hAnsiTheme="minorEastAsia" w:eastAsiaTheme="minorEastAsia"/>
          <w:color w:val="000000" w:themeColor="text1"/>
          <w:szCs w:val="21"/>
          <w:highlight w:val="none"/>
          <w14:textFill>
            <w14:solidFill>
              <w14:schemeClr w14:val="tx1"/>
            </w14:solidFill>
          </w14:textFill>
        </w:rPr>
        <w:t>要求提供。</w:t>
      </w:r>
    </w:p>
    <w:p>
      <w:pPr>
        <w:widowControl/>
        <w:shd w:val="clear"/>
        <w:jc w:val="left"/>
        <w:rPr>
          <w:rFonts w:ascii="黑体" w:eastAsia="黑体"/>
          <w:color w:val="000000" w:themeColor="text1"/>
          <w:sz w:val="32"/>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pPr>
        <w:shd w:val="clear"/>
        <w:adjustRightInd w:val="0"/>
        <w:snapToGrid w:val="0"/>
        <w:spacing w:line="360" w:lineRule="auto"/>
        <w:jc w:val="center"/>
        <w:rPr>
          <w:rFonts w:ascii="黑体" w:eastAsia="黑体"/>
          <w:color w:val="000000" w:themeColor="text1"/>
          <w:sz w:val="32"/>
          <w:szCs w:val="32"/>
          <w:highlight w:val="none"/>
          <w14:textFill>
            <w14:solidFill>
              <w14:schemeClr w14:val="tx1"/>
            </w14:solidFill>
          </w14:textFill>
        </w:rPr>
      </w:pPr>
    </w:p>
    <w:p>
      <w:pPr>
        <w:shd w:val="clear"/>
        <w:adjustRightInd w:val="0"/>
        <w:snapToGrid w:val="0"/>
        <w:spacing w:line="360" w:lineRule="auto"/>
        <w:jc w:val="center"/>
        <w:rPr>
          <w:rFonts w:ascii="黑体" w:eastAsia="黑体"/>
          <w:color w:val="000000" w:themeColor="text1"/>
          <w:sz w:val="32"/>
          <w:szCs w:val="32"/>
          <w:highlight w:val="none"/>
          <w14:textFill>
            <w14:solidFill>
              <w14:schemeClr w14:val="tx1"/>
            </w14:solidFill>
          </w14:textFill>
        </w:rPr>
      </w:pPr>
    </w:p>
    <w:p>
      <w:pPr>
        <w:pStyle w:val="25"/>
        <w:shd w:val="clear"/>
        <w:adjustRightInd w:val="0"/>
        <w:snapToGrid w:val="0"/>
        <w:spacing w:line="360" w:lineRule="auto"/>
        <w:jc w:val="center"/>
        <w:rPr>
          <w:rFonts w:ascii="华文中宋" w:hAnsi="华文中宋" w:eastAsia="华文中宋"/>
          <w:bCs/>
          <w:color w:val="000000" w:themeColor="text1"/>
          <w:sz w:val="72"/>
          <w:szCs w:val="72"/>
          <w:highlight w:val="none"/>
          <w14:textFill>
            <w14:solidFill>
              <w14:schemeClr w14:val="tx1"/>
            </w14:solidFill>
          </w14:textFill>
        </w:rPr>
      </w:pPr>
      <w:r>
        <w:rPr>
          <w:rFonts w:hint="eastAsia" w:ascii="华文中宋" w:hAnsi="华文中宋" w:eastAsia="华文中宋"/>
          <w:bCs/>
          <w:color w:val="000000" w:themeColor="text1"/>
          <w:sz w:val="72"/>
          <w:szCs w:val="72"/>
          <w:highlight w:val="none"/>
          <w14:textFill>
            <w14:solidFill>
              <w14:schemeClr w14:val="tx1"/>
            </w14:solidFill>
          </w14:textFill>
        </w:rPr>
        <w:t>政府采购</w:t>
      </w:r>
    </w:p>
    <w:p>
      <w:pPr>
        <w:shd w:val="clear"/>
        <w:adjustRightInd w:val="0"/>
        <w:snapToGrid w:val="0"/>
        <w:spacing w:line="360" w:lineRule="auto"/>
        <w:jc w:val="center"/>
        <w:rPr>
          <w:rFonts w:asciiTheme="minorEastAsia" w:hAnsiTheme="minorEastAsia" w:eastAsiaTheme="minorEastAsia"/>
          <w:b/>
          <w:bCs/>
          <w:color w:val="000000" w:themeColor="text1"/>
          <w:sz w:val="84"/>
          <w:szCs w:val="84"/>
          <w:highlight w:val="none"/>
          <w14:textFill>
            <w14:solidFill>
              <w14:schemeClr w14:val="tx1"/>
            </w14:solidFill>
          </w14:textFill>
        </w:rPr>
      </w:pPr>
      <w:r>
        <w:rPr>
          <w:rFonts w:hint="eastAsia" w:asciiTheme="minorEastAsia" w:hAnsiTheme="minorEastAsia" w:eastAsiaTheme="minorEastAsia"/>
          <w:b/>
          <w:bCs/>
          <w:color w:val="000000" w:themeColor="text1"/>
          <w:sz w:val="84"/>
          <w:szCs w:val="84"/>
          <w:highlight w:val="none"/>
          <w14:textFill>
            <w14:solidFill>
              <w14:schemeClr w14:val="tx1"/>
            </w14:solidFill>
          </w14:textFill>
        </w:rPr>
        <w:t>投 标 文 件</w:t>
      </w:r>
    </w:p>
    <w:p>
      <w:pPr>
        <w:pStyle w:val="8"/>
        <w:shd w:val="clear"/>
        <w:adjustRightInd w:val="0"/>
        <w:snapToGrid w:val="0"/>
        <w:jc w:val="center"/>
        <w:rPr>
          <w:rFonts w:ascii="黑体" w:hAnsi="黑体" w:eastAsia="黑体"/>
          <w:color w:val="000000" w:themeColor="text1"/>
          <w:sz w:val="44"/>
          <w:szCs w:val="44"/>
          <w:highlight w:val="none"/>
          <w14:textFill>
            <w14:solidFill>
              <w14:schemeClr w14:val="tx1"/>
            </w14:solidFill>
          </w14:textFill>
        </w:rPr>
      </w:pPr>
      <w:bookmarkStart w:id="85" w:name="_Toc20028"/>
      <w:bookmarkStart w:id="86" w:name="_Toc27237"/>
      <w:bookmarkStart w:id="87" w:name="_Toc14626"/>
      <w:bookmarkStart w:id="88" w:name="_Toc10532"/>
      <w:r>
        <w:rPr>
          <w:rFonts w:hint="eastAsia" w:ascii="黑体" w:hAnsi="黑体" w:eastAsia="黑体"/>
          <w:color w:val="000000" w:themeColor="text1"/>
          <w:sz w:val="44"/>
          <w:szCs w:val="44"/>
          <w:highlight w:val="none"/>
          <w14:textFill>
            <w14:solidFill>
              <w14:schemeClr w14:val="tx1"/>
            </w14:solidFill>
          </w14:textFill>
        </w:rPr>
        <w:t>第二部分 商务技术文件</w:t>
      </w:r>
      <w:bookmarkEnd w:id="85"/>
      <w:bookmarkEnd w:id="86"/>
      <w:bookmarkEnd w:id="87"/>
      <w:bookmarkEnd w:id="88"/>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14:textFill>
            <w14:solidFill>
              <w14:schemeClr w14:val="tx1"/>
            </w14:solidFill>
          </w14:textFill>
        </w:rPr>
      </w:pPr>
    </w:p>
    <w:p>
      <w:pPr>
        <w:pStyle w:val="26"/>
        <w:shd w:val="clear"/>
        <w:rPr>
          <w:rFonts w:asciiTheme="minorEastAsia" w:hAnsiTheme="minorEastAsia" w:eastAsiaTheme="minorEastAsia"/>
          <w:b/>
          <w:bCs/>
          <w:color w:val="000000" w:themeColor="text1"/>
          <w:sz w:val="30"/>
          <w:szCs w:val="30"/>
          <w:highlight w:val="none"/>
          <w14:textFill>
            <w14:solidFill>
              <w14:schemeClr w14:val="tx1"/>
            </w14:solidFill>
          </w14:textFill>
        </w:rPr>
      </w:pPr>
    </w:p>
    <w:p>
      <w:pPr>
        <w:pStyle w:val="26"/>
        <w:shd w:val="clear"/>
        <w:rPr>
          <w:rFonts w:asciiTheme="minorEastAsia" w:hAnsiTheme="minorEastAsia" w:eastAsiaTheme="minorEastAsia"/>
          <w:b/>
          <w:bCs/>
          <w:color w:val="000000" w:themeColor="text1"/>
          <w:sz w:val="30"/>
          <w:szCs w:val="30"/>
          <w:highlight w:val="none"/>
          <w14:textFill>
            <w14:solidFill>
              <w14:schemeClr w14:val="tx1"/>
            </w14:solidFill>
          </w14:textFill>
        </w:rPr>
      </w:pP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采购项目名称:</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   购   人：</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政府采购编号:</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采购代理编号:</w:t>
      </w:r>
    </w:p>
    <w:p>
      <w:pPr>
        <w:pStyle w:val="25"/>
        <w:shd w:val="clear"/>
        <w:adjustRightInd w:val="0"/>
        <w:snapToGrid w:val="0"/>
        <w:spacing w:line="360" w:lineRule="auto"/>
        <w:ind w:firstLine="1988" w:firstLineChars="660"/>
        <w:rPr>
          <w:rFonts w:asciiTheme="minorEastAsia" w:hAnsiTheme="minorEastAsia" w:eastAsiaTheme="minorEastAsia"/>
          <w:b/>
          <w:bCs/>
          <w:color w:val="000000" w:themeColor="text1"/>
          <w:sz w:val="30"/>
          <w:szCs w:val="30"/>
          <w:highlight w:val="none"/>
          <w:u w:val="singl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采购代理机构：</w:t>
      </w:r>
    </w:p>
    <w:p>
      <w:pPr>
        <w:shd w:val="clear"/>
        <w:adjustRightInd w:val="0"/>
        <w:snapToGrid w:val="0"/>
        <w:spacing w:line="360" w:lineRule="auto"/>
        <w:rPr>
          <w:rFonts w:asciiTheme="minorEastAsia" w:hAnsiTheme="minorEastAsia" w:eastAsiaTheme="minorEastAsia"/>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color w:val="000000" w:themeColor="text1"/>
          <w:sz w:val="30"/>
          <w:szCs w:val="30"/>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color w:val="000000" w:themeColor="text1"/>
          <w:sz w:val="30"/>
          <w:szCs w:val="30"/>
          <w:highlight w:val="none"/>
          <w14:textFill>
            <w14:solidFill>
              <w14:schemeClr w14:val="tx1"/>
            </w14:solidFill>
          </w14:textFill>
        </w:rPr>
      </w:pPr>
    </w:p>
    <w:p>
      <w:pPr>
        <w:shd w:val="clear"/>
        <w:adjustRightInd w:val="0"/>
        <w:snapToGrid w:val="0"/>
        <w:spacing w:line="360" w:lineRule="auto"/>
        <w:ind w:left="1273" w:leftChars="606" w:firstLine="2"/>
        <w:rPr>
          <w:rFonts w:asciiTheme="minorEastAsia" w:hAnsiTheme="minorEastAsia" w:eastAsiaTheme="minorEastAsia"/>
          <w:color w:val="000000" w:themeColor="text1"/>
          <w:sz w:val="32"/>
          <w:szCs w:val="32"/>
          <w:highlight w:val="none"/>
          <w:u w:val="singl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投标人：</w:t>
      </w:r>
    </w:p>
    <w:p>
      <w:pPr>
        <w:shd w:val="clear"/>
        <w:adjustRightInd w:val="0"/>
        <w:snapToGrid w:val="0"/>
        <w:spacing w:line="360" w:lineRule="auto"/>
        <w:jc w:val="center"/>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年  月  日</w:t>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89" w:name="_Toc20041"/>
      <w:bookmarkStart w:id="90" w:name="_Toc25095"/>
      <w:bookmarkStart w:id="91" w:name="_Toc18209"/>
      <w:bookmarkStart w:id="92" w:name="_Toc20658"/>
      <w:r>
        <w:rPr>
          <w:rFonts w:hint="eastAsia" w:ascii="黑体" w:hAnsi="宋体" w:eastAsia="黑体"/>
          <w:color w:val="000000" w:themeColor="text1"/>
          <w:sz w:val="28"/>
          <w:szCs w:val="28"/>
          <w:highlight w:val="none"/>
          <w14:textFill>
            <w14:solidFill>
              <w14:schemeClr w14:val="tx1"/>
            </w14:solidFill>
          </w14:textFill>
        </w:rPr>
        <w:t>五</w:t>
      </w:r>
      <w:r>
        <w:rPr>
          <w:rFonts w:ascii="黑体" w:hAnsi="宋体" w:eastAsia="黑体"/>
          <w:color w:val="000000" w:themeColor="text1"/>
          <w:sz w:val="28"/>
          <w:szCs w:val="28"/>
          <w:highlight w:val="none"/>
          <w14:textFill>
            <w14:solidFill>
              <w14:schemeClr w14:val="tx1"/>
            </w14:solidFill>
          </w14:textFill>
        </w:rPr>
        <w:t>、</w:t>
      </w:r>
      <w:r>
        <w:rPr>
          <w:rFonts w:hint="eastAsia" w:ascii="黑体" w:hAnsi="宋体" w:eastAsia="黑体"/>
          <w:color w:val="000000" w:themeColor="text1"/>
          <w:sz w:val="28"/>
          <w:szCs w:val="28"/>
          <w:highlight w:val="none"/>
          <w14:textFill>
            <w14:solidFill>
              <w14:schemeClr w14:val="tx1"/>
            </w14:solidFill>
          </w14:textFill>
        </w:rPr>
        <w:t>投标函</w:t>
      </w:r>
      <w:bookmarkEnd w:id="89"/>
      <w:bookmarkEnd w:id="90"/>
      <w:bookmarkEnd w:id="91"/>
      <w:bookmarkEnd w:id="92"/>
    </w:p>
    <w:p>
      <w:pPr>
        <w:shd w:val="clear"/>
        <w:adjustRightInd w:val="0"/>
        <w:snapToGrid w:val="0"/>
        <w:spacing w:before="156" w:beforeLines="5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致：</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（采购人、采购代理机构）：</w:t>
      </w:r>
    </w:p>
    <w:p>
      <w:pPr>
        <w:shd w:val="clear"/>
        <w:adjustRightInd w:val="0"/>
        <w:snapToGrid w:val="0"/>
        <w:spacing w:before="156" w:beforeLines="50" w:line="360" w:lineRule="auto"/>
        <w:ind w:firstLine="435"/>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根据贵方为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（项目名称）的投标邀请（</w:t>
      </w:r>
      <w:r>
        <w:rPr>
          <w:rFonts w:hint="eastAsia" w:asciiTheme="minorEastAsia" w:hAnsiTheme="minorEastAsia" w:eastAsiaTheme="minorEastAsia"/>
          <w:color w:val="000000" w:themeColor="text1"/>
          <w:highlight w:val="none"/>
          <w14:textFill>
            <w14:solidFill>
              <w14:schemeClr w14:val="tx1"/>
            </w14:solidFill>
          </w14:textFill>
        </w:rPr>
        <w:t>政府</w:t>
      </w:r>
      <w:r>
        <w:rPr>
          <w:rFonts w:hint="eastAsia" w:asciiTheme="minorEastAsia" w:hAnsiTheme="minorEastAsia" w:eastAsiaTheme="minorEastAsia"/>
          <w:iCs/>
          <w:color w:val="000000" w:themeColor="text1"/>
          <w:highlight w:val="none"/>
          <w14:textFill>
            <w14:solidFill>
              <w14:schemeClr w14:val="tx1"/>
            </w14:solidFill>
          </w14:textFill>
        </w:rPr>
        <w:t>采购编号：</w:t>
      </w:r>
      <w:r>
        <w:rPr>
          <w:rFonts w:hint="eastAsia" w:asciiTheme="minorEastAsia" w:hAnsiTheme="minorEastAsia" w:eastAsiaTheme="minorEastAsia"/>
          <w:iCs/>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iCs/>
          <w:color w:val="000000" w:themeColor="text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14:textFill>
            <w14:solidFill>
              <w14:schemeClr w14:val="tx1"/>
            </w14:solidFill>
          </w14:textFill>
        </w:rPr>
        <w:t>采购代理编号：</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），签字代表</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（姓名、职务）经正式授权并代表投标人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（投标人名称）提交包含下述内容的电子投标文件一份至交易平台，参加采购项目第</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包投标，并在此声明，所递交的投标文件内容合法、完整、真实。</w:t>
      </w:r>
    </w:p>
    <w:p>
      <w:pPr>
        <w:shd w:val="clear"/>
        <w:adjustRightInd w:val="0"/>
        <w:snapToGrid w:val="0"/>
        <w:spacing w:before="156" w:beforeLines="50" w:line="360" w:lineRule="auto"/>
        <w:ind w:firstLine="422" w:firstLineChars="200"/>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第一部分 资格证明文件</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一、开标一览表</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二、投标保证金</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三、法定代表人（单位负责人）身份证明或授权委托书</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四、投标人提供的资格证明文件</w:t>
      </w:r>
    </w:p>
    <w:p>
      <w:pPr>
        <w:shd w:val="clear"/>
        <w:adjustRightInd w:val="0"/>
        <w:snapToGrid w:val="0"/>
        <w:spacing w:before="156" w:beforeLines="50" w:line="360" w:lineRule="auto"/>
        <w:ind w:firstLine="422" w:firstLineChars="200"/>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第二部分 商务技术文件</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五、投标函</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六、分项报价</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七、采购需求响应</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八、合同条款偏离表</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九、采购需求偏离表</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十、享受政府采购政策优惠的证明资料</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十一、投标货物符合招标文件规定的证明文件</w:t>
      </w:r>
    </w:p>
    <w:p>
      <w:pPr>
        <w:shd w:val="clear"/>
        <w:adjustRightInd w:val="0"/>
        <w:snapToGrid w:val="0"/>
        <w:spacing w:before="156" w:beforeLines="50" w:line="360" w:lineRule="auto"/>
        <w:ind w:firstLine="630" w:firstLineChars="3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十二、投标人认为需提供的其他资料</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在此，签字代表宣布同意如下：</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1、投标人严格按照招标文件的规定报价，见《开标一览表》。</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2、投标人将按招标文件的规定履行合同责任和义务。</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3、投标人已详细审查招标文件。我们完全理解并同意放弃对这方面有不明及误解的权力。</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4、本投标有效期为自招标文件规定的提交投标文件截止之日起</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个日历日。在投标有效期内，</w:t>
      </w:r>
      <w:r>
        <w:rPr>
          <w:rFonts w:hint="eastAsia" w:asciiTheme="minorEastAsia" w:hAnsiTheme="minorEastAsia" w:eastAsiaTheme="minorEastAsia"/>
          <w:color w:val="000000" w:themeColor="text1"/>
          <w:highlight w:val="none"/>
          <w14:textFill>
            <w14:solidFill>
              <w14:schemeClr w14:val="tx1"/>
            </w14:solidFill>
          </w14:textFill>
        </w:rPr>
        <w:t>投标人同意遵守本</w:t>
      </w:r>
      <w:r>
        <w:rPr>
          <w:rFonts w:hint="eastAsia" w:asciiTheme="minorEastAsia" w:hAnsiTheme="minorEastAsia" w:eastAsiaTheme="minorEastAsia"/>
          <w:color w:val="000000" w:themeColor="text1"/>
          <w:szCs w:val="21"/>
          <w:highlight w:val="none"/>
          <w14:textFill>
            <w14:solidFill>
              <w14:schemeClr w14:val="tx1"/>
            </w14:solidFill>
          </w14:textFill>
        </w:rPr>
        <w:t>投标</w:t>
      </w:r>
      <w:r>
        <w:rPr>
          <w:rFonts w:hint="eastAsia" w:asciiTheme="minorEastAsia" w:hAnsiTheme="minorEastAsia" w:eastAsiaTheme="minorEastAsia"/>
          <w:color w:val="000000" w:themeColor="text1"/>
          <w:highlight w:val="none"/>
          <w14:textFill>
            <w14:solidFill>
              <w14:schemeClr w14:val="tx1"/>
            </w14:solidFill>
          </w14:textFill>
        </w:rPr>
        <w:t>文件中的承诺且在此期限期满之前</w:t>
      </w:r>
      <w:r>
        <w:rPr>
          <w:rFonts w:hint="eastAsia" w:asciiTheme="minorEastAsia" w:hAnsiTheme="minorEastAsia" w:eastAsiaTheme="minorEastAsia"/>
          <w:color w:val="000000" w:themeColor="text1"/>
          <w:szCs w:val="21"/>
          <w:highlight w:val="none"/>
          <w14:textFill>
            <w14:solidFill>
              <w14:schemeClr w14:val="tx1"/>
            </w14:solidFill>
          </w14:textFill>
        </w:rPr>
        <w:t>投标</w:t>
      </w:r>
      <w:r>
        <w:rPr>
          <w:rFonts w:hint="eastAsia" w:asciiTheme="minorEastAsia" w:hAnsiTheme="minorEastAsia" w:eastAsiaTheme="minorEastAsia"/>
          <w:color w:val="000000" w:themeColor="text1"/>
          <w:highlight w:val="none"/>
          <w14:textFill>
            <w14:solidFill>
              <w14:schemeClr w14:val="tx1"/>
            </w14:solidFill>
          </w14:textFill>
        </w:rPr>
        <w:t>文件</w:t>
      </w:r>
      <w:r>
        <w:rPr>
          <w:rFonts w:hint="eastAsia" w:asciiTheme="minorEastAsia" w:hAnsiTheme="minorEastAsia" w:eastAsiaTheme="minorEastAsia"/>
          <w:color w:val="000000" w:themeColor="text1"/>
          <w:szCs w:val="21"/>
          <w:highlight w:val="none"/>
          <w14:textFill>
            <w14:solidFill>
              <w14:schemeClr w14:val="tx1"/>
            </w14:solidFill>
          </w14:textFill>
        </w:rPr>
        <w:t>对我方具有法律约束力</w:t>
      </w:r>
      <w:r>
        <w:rPr>
          <w:rFonts w:hint="eastAsia" w:asciiTheme="minorEastAsia" w:hAnsiTheme="minorEastAsia" w:eastAsiaTheme="minorEastAsia"/>
          <w:color w:val="000000" w:themeColor="text1"/>
          <w:highlight w:val="none"/>
          <w14:textFill>
            <w14:solidFill>
              <w14:schemeClr w14:val="tx1"/>
            </w14:solidFill>
          </w14:textFill>
        </w:rPr>
        <w:t>。</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5、</w:t>
      </w:r>
      <w:r>
        <w:rPr>
          <w:rFonts w:hint="eastAsia" w:asciiTheme="minorEastAsia" w:hAnsiTheme="minorEastAsia" w:eastAsiaTheme="minorEastAsia"/>
          <w:color w:val="000000" w:themeColor="text1"/>
          <w:szCs w:val="21"/>
          <w:highlight w:val="none"/>
          <w14:textFill>
            <w14:solidFill>
              <w14:schemeClr w14:val="tx1"/>
            </w14:solidFill>
          </w14:textFill>
        </w:rPr>
        <w:t>同意提供贵方可能要求的与其投标有关的一切数据或资料。</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6、与本投标有关的一切正式往来信函请寄：</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地址：</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；邮编：</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；电话：</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；电子邮箱：</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w:t>
      </w:r>
    </w:p>
    <w:p>
      <w:pPr>
        <w:shd w:val="clear"/>
        <w:adjustRightInd w:val="0"/>
        <w:snapToGrid w:val="0"/>
        <w:spacing w:before="156" w:beforeLines="50" w:line="360" w:lineRule="auto"/>
        <w:ind w:firstLine="420" w:firstLineChars="200"/>
        <w:rPr>
          <w:rFonts w:asciiTheme="minorEastAsia" w:hAnsiTheme="minorEastAsia" w:eastAsiaTheme="minorEastAsia"/>
          <w:color w:val="000000" w:themeColor="text1"/>
          <w:szCs w:val="21"/>
          <w:highlight w:val="none"/>
          <w14:textFill>
            <w14:solidFill>
              <w14:schemeClr w14:val="tx1"/>
            </w14:solidFill>
          </w14:textFill>
        </w:rPr>
      </w:pPr>
    </w:p>
    <w:p>
      <w:pPr>
        <w:pStyle w:val="25"/>
        <w:shd w:val="clear"/>
        <w:adjustRightInd w:val="0"/>
        <w:snapToGrid w:val="0"/>
        <w:spacing w:before="156" w:beforeLines="50" w:line="360" w:lineRule="auto"/>
        <w:rPr>
          <w:rFonts w:asciiTheme="minorEastAsia" w:hAnsiTheme="minorEastAsia" w:eastAsiaTheme="minorEastAsia"/>
          <w:color w:val="000000" w:themeColor="text1"/>
          <w:highlight w:val="none"/>
          <w14:textFill>
            <w14:solidFill>
              <w14:schemeClr w14:val="tx1"/>
            </w14:solidFill>
          </w14:textFill>
        </w:rPr>
      </w:pPr>
    </w:p>
    <w:p>
      <w:pPr>
        <w:pStyle w:val="25"/>
        <w:shd w:val="clear"/>
        <w:adjustRightInd w:val="0"/>
        <w:snapToGrid w:val="0"/>
        <w:spacing w:before="156" w:beforeLines="50"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投标人名称（盖单位电子章）：                       </w:t>
      </w:r>
    </w:p>
    <w:p>
      <w:pPr>
        <w:shd w:val="clear"/>
        <w:adjustRightInd w:val="0"/>
        <w:snapToGrid w:val="0"/>
        <w:spacing w:before="156" w:beforeLines="50"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Theme="minorEastAsia" w:hAnsiTheme="minorEastAsia" w:eastAsiaTheme="minorEastAsia"/>
          <w:color w:val="000000" w:themeColor="text1"/>
          <w:szCs w:val="21"/>
          <w:highlight w:val="none"/>
          <w14:textFill>
            <w14:solidFill>
              <w14:schemeClr w14:val="tx1"/>
            </w14:solidFill>
          </w14:textFill>
        </w:rPr>
        <w:t>或其授权的代理人（电子签字或电子印章）：</w:t>
      </w:r>
    </w:p>
    <w:p>
      <w:pPr>
        <w:shd w:val="clear"/>
        <w:adjustRightInd w:val="0"/>
        <w:snapToGrid w:val="0"/>
        <w:spacing w:before="156" w:beforeLines="50" w:line="360" w:lineRule="auto"/>
        <w:rPr>
          <w:rFonts w:ascii="黑体" w:hAnsi="宋体" w:eastAsia="黑体"/>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日期：年月日</w:t>
      </w:r>
      <w:r>
        <w:rPr>
          <w:rFonts w:ascii="黑体" w:hAnsi="宋体" w:eastAsia="黑体"/>
          <w:b/>
          <w:bCs/>
          <w:color w:val="000000" w:themeColor="text1"/>
          <w:sz w:val="28"/>
          <w:szCs w:val="28"/>
          <w:highlight w:val="none"/>
          <w14:textFill>
            <w14:solidFill>
              <w14:schemeClr w14:val="tx1"/>
            </w14:solidFill>
          </w14:textFill>
        </w:rPr>
        <w:br w:type="page"/>
      </w:r>
    </w:p>
    <w:p>
      <w:pPr>
        <w:pStyle w:val="9"/>
        <w:shd w:val="clear"/>
        <w:adjustRightInd w:val="0"/>
        <w:snapToGrid w:val="0"/>
        <w:spacing w:before="0" w:after="0" w:line="240" w:lineRule="auto"/>
        <w:jc w:val="center"/>
        <w:rPr>
          <w:rFonts w:ascii="黑体" w:hAnsi="宋体" w:eastAsia="黑体"/>
          <w:color w:val="000000" w:themeColor="text1"/>
          <w:sz w:val="28"/>
          <w:szCs w:val="28"/>
          <w:highlight w:val="none"/>
          <w14:textFill>
            <w14:solidFill>
              <w14:schemeClr w14:val="tx1"/>
            </w14:solidFill>
          </w14:textFill>
        </w:rPr>
      </w:pPr>
      <w:bookmarkStart w:id="93" w:name="_Toc4874"/>
      <w:bookmarkStart w:id="94" w:name="_Toc12999"/>
      <w:bookmarkStart w:id="95" w:name="_Toc14332"/>
      <w:bookmarkStart w:id="96" w:name="_Toc14130"/>
      <w:r>
        <w:rPr>
          <w:rFonts w:hint="eastAsia" w:ascii="黑体" w:hAnsi="宋体" w:eastAsia="黑体"/>
          <w:color w:val="000000" w:themeColor="text1"/>
          <w:sz w:val="28"/>
          <w:szCs w:val="28"/>
          <w:highlight w:val="none"/>
          <w14:textFill>
            <w14:solidFill>
              <w14:schemeClr w14:val="tx1"/>
            </w14:solidFill>
          </w14:textFill>
        </w:rPr>
        <w:t>六、分项报价</w:t>
      </w:r>
      <w:bookmarkEnd w:id="93"/>
      <w:bookmarkEnd w:id="94"/>
      <w:bookmarkEnd w:id="95"/>
      <w:bookmarkEnd w:id="96"/>
    </w:p>
    <w:p>
      <w:pPr>
        <w:pStyle w:val="10"/>
        <w:shd w:val="clear"/>
        <w:spacing w:line="240" w:lineRule="auto"/>
        <w:jc w:val="left"/>
        <w:rPr>
          <w:rFonts w:ascii="黑体" w:cs="微软雅黑" w:hAnsiTheme="minorEastAsia"/>
          <w:b w:val="0"/>
          <w:color w:val="000000" w:themeColor="text1"/>
          <w:sz w:val="21"/>
          <w:szCs w:val="21"/>
          <w:highlight w:val="none"/>
          <w14:textFill>
            <w14:solidFill>
              <w14:schemeClr w14:val="tx1"/>
            </w14:solidFill>
          </w14:textFill>
        </w:rPr>
      </w:pPr>
      <w:bookmarkStart w:id="97" w:name="_Toc28093"/>
      <w:bookmarkStart w:id="98" w:name="_Toc12218"/>
      <w:bookmarkStart w:id="99" w:name="_Toc15147"/>
      <w:bookmarkStart w:id="100" w:name="_Toc12695"/>
      <w:r>
        <w:rPr>
          <w:rFonts w:hint="eastAsia" w:ascii="黑体" w:hAnsi="华文中宋" w:cs="宋体"/>
          <w:b w:val="0"/>
          <w:bCs w:val="0"/>
          <w:color w:val="000000" w:themeColor="text1"/>
          <w:spacing w:val="6"/>
          <w:sz w:val="21"/>
          <w:szCs w:val="21"/>
          <w:highlight w:val="none"/>
          <w14:textFill>
            <w14:solidFill>
              <w14:schemeClr w14:val="tx1"/>
            </w14:solidFill>
          </w14:textFill>
        </w:rPr>
        <w:t xml:space="preserve">附件6-1 </w:t>
      </w:r>
      <w:r>
        <w:rPr>
          <w:rFonts w:hint="eastAsia" w:ascii="黑体" w:cs="微软雅黑" w:hAnsiTheme="minorEastAsia"/>
          <w:b w:val="0"/>
          <w:color w:val="000000" w:themeColor="text1"/>
          <w:spacing w:val="-2"/>
          <w:sz w:val="21"/>
          <w:szCs w:val="21"/>
          <w:highlight w:val="none"/>
          <w14:textFill>
            <w14:solidFill>
              <w14:schemeClr w14:val="tx1"/>
            </w14:solidFill>
          </w14:textFill>
        </w:rPr>
        <w:t>分</w:t>
      </w:r>
      <w:r>
        <w:rPr>
          <w:rFonts w:hint="eastAsia" w:ascii="黑体" w:cs="微软雅黑" w:hAnsiTheme="minorEastAsia"/>
          <w:b w:val="0"/>
          <w:color w:val="000000" w:themeColor="text1"/>
          <w:sz w:val="21"/>
          <w:szCs w:val="21"/>
          <w:highlight w:val="none"/>
          <w14:textFill>
            <w14:solidFill>
              <w14:schemeClr w14:val="tx1"/>
            </w14:solidFill>
          </w14:textFill>
        </w:rPr>
        <w:t>项</w:t>
      </w:r>
      <w:r>
        <w:rPr>
          <w:rFonts w:hint="eastAsia" w:ascii="黑体" w:cs="微软雅黑" w:hAnsiTheme="minorEastAsia"/>
          <w:b w:val="0"/>
          <w:color w:val="000000" w:themeColor="text1"/>
          <w:spacing w:val="-2"/>
          <w:sz w:val="21"/>
          <w:szCs w:val="21"/>
          <w:highlight w:val="none"/>
          <w14:textFill>
            <w14:solidFill>
              <w14:schemeClr w14:val="tx1"/>
            </w14:solidFill>
          </w14:textFill>
        </w:rPr>
        <w:t>报</w:t>
      </w:r>
      <w:r>
        <w:rPr>
          <w:rFonts w:hint="eastAsia" w:ascii="黑体" w:cs="微软雅黑" w:hAnsiTheme="minorEastAsia"/>
          <w:b w:val="0"/>
          <w:color w:val="000000" w:themeColor="text1"/>
          <w:sz w:val="21"/>
          <w:szCs w:val="21"/>
          <w:highlight w:val="none"/>
          <w14:textFill>
            <w14:solidFill>
              <w14:schemeClr w14:val="tx1"/>
            </w14:solidFill>
          </w14:textFill>
        </w:rPr>
        <w:t>价说明</w:t>
      </w:r>
      <w:bookmarkEnd w:id="97"/>
      <w:bookmarkEnd w:id="98"/>
      <w:bookmarkEnd w:id="99"/>
      <w:bookmarkEnd w:id="100"/>
    </w:p>
    <w:p>
      <w:pPr>
        <w:shd w:val="clear"/>
        <w:autoSpaceDE w:val="0"/>
        <w:autoSpaceDN w:val="0"/>
        <w:adjustRightInd w:val="0"/>
        <w:snapToGrid w:val="0"/>
        <w:jc w:val="center"/>
        <w:rPr>
          <w:rFonts w:ascii="黑体" w:eastAsia="黑体" w:cs="微软雅黑" w:hAnsiTheme="minorEastAsia"/>
          <w:b/>
          <w:color w:val="000000" w:themeColor="text1"/>
          <w:kern w:val="0"/>
          <w:sz w:val="28"/>
          <w:szCs w:val="28"/>
          <w:highlight w:val="none"/>
          <w14:textFill>
            <w14:solidFill>
              <w14:schemeClr w14:val="tx1"/>
            </w14:solidFill>
          </w14:textFill>
        </w:rPr>
      </w:pPr>
      <w:r>
        <w:rPr>
          <w:rFonts w:hint="eastAsia" w:ascii="黑体" w:eastAsia="黑体" w:cs="微软雅黑" w:hAnsiTheme="minorEastAsia"/>
          <w:b/>
          <w:color w:val="000000" w:themeColor="text1"/>
          <w:spacing w:val="-2"/>
          <w:kern w:val="0"/>
          <w:sz w:val="28"/>
          <w:szCs w:val="28"/>
          <w:highlight w:val="none"/>
          <w14:textFill>
            <w14:solidFill>
              <w14:schemeClr w14:val="tx1"/>
            </w14:solidFill>
          </w14:textFill>
        </w:rPr>
        <w:t>分</w:t>
      </w:r>
      <w:r>
        <w:rPr>
          <w:rFonts w:hint="eastAsia" w:ascii="黑体" w:eastAsia="黑体" w:cs="微软雅黑" w:hAnsiTheme="minorEastAsia"/>
          <w:b/>
          <w:color w:val="000000" w:themeColor="text1"/>
          <w:kern w:val="0"/>
          <w:sz w:val="28"/>
          <w:szCs w:val="28"/>
          <w:highlight w:val="none"/>
          <w14:textFill>
            <w14:solidFill>
              <w14:schemeClr w14:val="tx1"/>
            </w14:solidFill>
          </w14:textFill>
        </w:rPr>
        <w:t>项</w:t>
      </w:r>
      <w:r>
        <w:rPr>
          <w:rFonts w:hint="eastAsia" w:ascii="黑体" w:eastAsia="黑体" w:cs="微软雅黑" w:hAnsiTheme="minorEastAsia"/>
          <w:b/>
          <w:color w:val="000000" w:themeColor="text1"/>
          <w:spacing w:val="-2"/>
          <w:kern w:val="0"/>
          <w:sz w:val="28"/>
          <w:szCs w:val="28"/>
          <w:highlight w:val="none"/>
          <w14:textFill>
            <w14:solidFill>
              <w14:schemeClr w14:val="tx1"/>
            </w14:solidFill>
          </w14:textFill>
        </w:rPr>
        <w:t>报</w:t>
      </w:r>
      <w:r>
        <w:rPr>
          <w:rFonts w:hint="eastAsia" w:ascii="黑体" w:eastAsia="黑体" w:cs="微软雅黑" w:hAnsiTheme="minorEastAsia"/>
          <w:b/>
          <w:color w:val="000000" w:themeColor="text1"/>
          <w:kern w:val="0"/>
          <w:sz w:val="28"/>
          <w:szCs w:val="28"/>
          <w:highlight w:val="none"/>
          <w14:textFill>
            <w14:solidFill>
              <w14:schemeClr w14:val="tx1"/>
            </w14:solidFill>
          </w14:textFill>
        </w:rPr>
        <w:t>价说明</w:t>
      </w:r>
    </w:p>
    <w:p>
      <w:pPr>
        <w:shd w:val="clear"/>
        <w:autoSpaceDE w:val="0"/>
        <w:autoSpaceDN w:val="0"/>
        <w:adjustRightInd w:val="0"/>
        <w:snapToGrid w:val="0"/>
        <w:jc w:val="left"/>
        <w:rPr>
          <w:rFonts w:cs="微软雅黑" w:asciiTheme="minorEastAsia" w:hAnsiTheme="minorEastAsia" w:eastAsiaTheme="minorEastAsia"/>
          <w:color w:val="000000" w:themeColor="text1"/>
          <w:kern w:val="0"/>
          <w:szCs w:val="21"/>
          <w:highlight w:val="none"/>
          <w14:textFill>
            <w14:solidFill>
              <w14:schemeClr w14:val="tx1"/>
            </w14:solidFill>
          </w14:textFill>
        </w:rPr>
      </w:pP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备注：投标人应按招标文件第二章相关要求，对本节</w:t>
      </w:r>
      <w:r>
        <w:rPr>
          <w:rFonts w:hint="eastAsia" w:asciiTheme="minorEastAsia" w:hAnsiTheme="minorEastAsia" w:eastAsiaTheme="minorEastAsia"/>
          <w:bCs/>
          <w:color w:val="000000" w:themeColor="text1"/>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分项报价明细表</w:t>
      </w:r>
      <w:r>
        <w:rPr>
          <w:rFonts w:hint="eastAsia" w:asciiTheme="minorEastAsia" w:hAnsiTheme="minorEastAsia" w:eastAsiaTheme="minorEastAsia"/>
          <w:bCs/>
          <w:color w:val="000000" w:themeColor="text1"/>
          <w:szCs w:val="21"/>
          <w:highlight w:val="none"/>
          <w14:textFill>
            <w14:solidFill>
              <w14:schemeClr w14:val="tx1"/>
            </w14:solidFill>
          </w14:textFill>
        </w:rPr>
        <w:t>”进行</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编制，并说明。</w:t>
      </w:r>
    </w:p>
    <w:p>
      <w:pPr>
        <w:shd w:val="clear"/>
        <w:rPr>
          <w:color w:val="000000" w:themeColor="text1"/>
          <w:highlight w:val="none"/>
          <w14:textFill>
            <w14:solidFill>
              <w14:schemeClr w14:val="tx1"/>
            </w14:solidFill>
          </w14:textFill>
        </w:rPr>
      </w:pPr>
    </w:p>
    <w:p>
      <w:pPr>
        <w:pStyle w:val="10"/>
        <w:shd w:val="clear"/>
        <w:spacing w:line="240" w:lineRule="auto"/>
        <w:jc w:val="left"/>
        <w:rPr>
          <w:rFonts w:ascii="黑体" w:cs="微软雅黑" w:hAnsiTheme="minorEastAsia"/>
          <w:b w:val="0"/>
          <w:color w:val="000000" w:themeColor="text1"/>
          <w:sz w:val="21"/>
          <w:szCs w:val="21"/>
          <w:highlight w:val="none"/>
          <w14:textFill>
            <w14:solidFill>
              <w14:schemeClr w14:val="tx1"/>
            </w14:solidFill>
          </w14:textFill>
        </w:rPr>
      </w:pPr>
      <w:bookmarkStart w:id="101" w:name="_Toc25373"/>
      <w:bookmarkStart w:id="102" w:name="_Toc1783"/>
      <w:bookmarkStart w:id="103" w:name="_Toc15829"/>
      <w:bookmarkStart w:id="104" w:name="_Toc8883"/>
      <w:r>
        <w:rPr>
          <w:rFonts w:hint="eastAsia" w:ascii="黑体" w:hAnsi="华文中宋" w:cs="宋体"/>
          <w:b w:val="0"/>
          <w:bCs w:val="0"/>
          <w:color w:val="000000" w:themeColor="text1"/>
          <w:spacing w:val="6"/>
          <w:sz w:val="21"/>
          <w:szCs w:val="21"/>
          <w:highlight w:val="none"/>
          <w14:textFill>
            <w14:solidFill>
              <w14:schemeClr w14:val="tx1"/>
            </w14:solidFill>
          </w14:textFill>
        </w:rPr>
        <w:t xml:space="preserve">附件6-2 </w:t>
      </w:r>
      <w:r>
        <w:rPr>
          <w:rFonts w:hint="eastAsia" w:ascii="黑体" w:cs="微软雅黑" w:hAnsiTheme="minorEastAsia"/>
          <w:b w:val="0"/>
          <w:color w:val="000000" w:themeColor="text1"/>
          <w:spacing w:val="-2"/>
          <w:position w:val="-3"/>
          <w:sz w:val="21"/>
          <w:szCs w:val="21"/>
          <w:highlight w:val="none"/>
          <w14:textFill>
            <w14:solidFill>
              <w14:schemeClr w14:val="tx1"/>
            </w14:solidFill>
          </w14:textFill>
        </w:rPr>
        <w:t>分</w:t>
      </w:r>
      <w:r>
        <w:rPr>
          <w:rFonts w:hint="eastAsia" w:ascii="黑体" w:cs="微软雅黑" w:hAnsiTheme="minorEastAsia"/>
          <w:b w:val="0"/>
          <w:color w:val="000000" w:themeColor="text1"/>
          <w:position w:val="-3"/>
          <w:sz w:val="21"/>
          <w:szCs w:val="21"/>
          <w:highlight w:val="none"/>
          <w14:textFill>
            <w14:solidFill>
              <w14:schemeClr w14:val="tx1"/>
            </w14:solidFill>
          </w14:textFill>
        </w:rPr>
        <w:t>项</w:t>
      </w:r>
      <w:r>
        <w:rPr>
          <w:rFonts w:hint="eastAsia" w:ascii="黑体" w:cs="微软雅黑" w:hAnsiTheme="minorEastAsia"/>
          <w:b w:val="0"/>
          <w:color w:val="000000" w:themeColor="text1"/>
          <w:spacing w:val="-2"/>
          <w:position w:val="-3"/>
          <w:sz w:val="21"/>
          <w:szCs w:val="21"/>
          <w:highlight w:val="none"/>
          <w14:textFill>
            <w14:solidFill>
              <w14:schemeClr w14:val="tx1"/>
            </w14:solidFill>
          </w14:textFill>
        </w:rPr>
        <w:t>报</w:t>
      </w:r>
      <w:r>
        <w:rPr>
          <w:rFonts w:hint="eastAsia" w:ascii="黑体" w:cs="微软雅黑" w:hAnsiTheme="minorEastAsia"/>
          <w:b w:val="0"/>
          <w:color w:val="000000" w:themeColor="text1"/>
          <w:position w:val="-3"/>
          <w:sz w:val="21"/>
          <w:szCs w:val="21"/>
          <w:highlight w:val="none"/>
          <w14:textFill>
            <w14:solidFill>
              <w14:schemeClr w14:val="tx1"/>
            </w14:solidFill>
          </w14:textFill>
        </w:rPr>
        <w:t>价明细表</w:t>
      </w:r>
      <w:bookmarkEnd w:id="101"/>
      <w:bookmarkEnd w:id="102"/>
      <w:bookmarkEnd w:id="103"/>
      <w:bookmarkEnd w:id="104"/>
    </w:p>
    <w:p>
      <w:pPr>
        <w:shd w:val="clear"/>
        <w:adjustRightInd w:val="0"/>
        <w:snapToGrid w:val="0"/>
        <w:jc w:val="center"/>
        <w:rPr>
          <w:rFonts w:ascii="黑体" w:eastAsia="黑体" w:cs="微软雅黑" w:hAnsiTheme="minorEastAsia"/>
          <w:b/>
          <w:color w:val="0000FF"/>
          <w:kern w:val="0"/>
          <w:position w:val="-3"/>
          <w:sz w:val="28"/>
          <w:szCs w:val="28"/>
          <w:highlight w:val="none"/>
        </w:rPr>
      </w:pPr>
      <w:r>
        <w:rPr>
          <w:rFonts w:hint="eastAsia" w:ascii="黑体" w:eastAsia="黑体" w:cs="微软雅黑" w:hAnsiTheme="minorEastAsia"/>
          <w:b/>
          <w:color w:val="0000FF"/>
          <w:spacing w:val="-2"/>
          <w:kern w:val="0"/>
          <w:position w:val="-3"/>
          <w:sz w:val="28"/>
          <w:szCs w:val="28"/>
          <w:highlight w:val="none"/>
        </w:rPr>
        <w:t>分</w:t>
      </w:r>
      <w:r>
        <w:rPr>
          <w:rFonts w:hint="eastAsia" w:ascii="黑体" w:eastAsia="黑体" w:cs="微软雅黑" w:hAnsiTheme="minorEastAsia"/>
          <w:b/>
          <w:color w:val="0000FF"/>
          <w:kern w:val="0"/>
          <w:position w:val="-3"/>
          <w:sz w:val="28"/>
          <w:szCs w:val="28"/>
          <w:highlight w:val="none"/>
        </w:rPr>
        <w:t>项</w:t>
      </w:r>
      <w:r>
        <w:rPr>
          <w:rFonts w:hint="eastAsia" w:ascii="黑体" w:eastAsia="黑体" w:cs="微软雅黑" w:hAnsiTheme="minorEastAsia"/>
          <w:b/>
          <w:color w:val="0000FF"/>
          <w:spacing w:val="-2"/>
          <w:kern w:val="0"/>
          <w:position w:val="-3"/>
          <w:sz w:val="28"/>
          <w:szCs w:val="28"/>
          <w:highlight w:val="none"/>
        </w:rPr>
        <w:t>报</w:t>
      </w:r>
      <w:r>
        <w:rPr>
          <w:rFonts w:hint="eastAsia" w:ascii="黑体" w:eastAsia="黑体" w:cs="微软雅黑" w:hAnsiTheme="minorEastAsia"/>
          <w:b/>
          <w:color w:val="0000FF"/>
          <w:kern w:val="0"/>
          <w:position w:val="-3"/>
          <w:sz w:val="28"/>
          <w:szCs w:val="28"/>
          <w:highlight w:val="none"/>
        </w:rPr>
        <w:t>价明细表</w:t>
      </w:r>
    </w:p>
    <w:p>
      <w:pPr>
        <w:pStyle w:val="10"/>
        <w:shd w:val="clear"/>
        <w:spacing w:before="0" w:after="0" w:line="240" w:lineRule="exact"/>
        <w:jc w:val="left"/>
        <w:rPr>
          <w:rFonts w:cs="微软雅黑" w:asciiTheme="minorEastAsia" w:hAnsiTheme="minorEastAsia" w:eastAsiaTheme="minorEastAsia"/>
          <w:b w:val="0"/>
          <w:bCs w:val="0"/>
          <w:color w:val="0000FF"/>
          <w:sz w:val="21"/>
          <w:szCs w:val="21"/>
          <w:highlight w:val="none"/>
        </w:rPr>
      </w:pPr>
    </w:p>
    <w:p>
      <w:pPr>
        <w:pStyle w:val="10"/>
        <w:shd w:val="clear"/>
        <w:spacing w:before="0" w:after="0" w:line="240" w:lineRule="exact"/>
        <w:jc w:val="left"/>
        <w:rPr>
          <w:rFonts w:cs="微软雅黑" w:asciiTheme="minorEastAsia" w:hAnsiTheme="minorEastAsia" w:eastAsiaTheme="minorEastAsia"/>
          <w:b w:val="0"/>
          <w:bCs w:val="0"/>
          <w:color w:val="0000FF"/>
          <w:sz w:val="21"/>
          <w:szCs w:val="21"/>
          <w:highlight w:val="none"/>
        </w:rPr>
      </w:pPr>
      <w:r>
        <w:rPr>
          <w:rFonts w:hint="eastAsia" w:cs="微软雅黑" w:asciiTheme="minorEastAsia" w:hAnsiTheme="minorEastAsia" w:eastAsiaTheme="minorEastAsia"/>
          <w:b w:val="0"/>
          <w:bCs w:val="0"/>
          <w:color w:val="0000FF"/>
          <w:sz w:val="21"/>
          <w:szCs w:val="21"/>
          <w:highlight w:val="none"/>
        </w:rPr>
        <w:t>政府采购计划编号：                    项目名称：</w:t>
      </w:r>
    </w:p>
    <w:p>
      <w:pPr>
        <w:pStyle w:val="10"/>
        <w:shd w:val="clear"/>
        <w:spacing w:before="0" w:after="0" w:line="240" w:lineRule="exact"/>
        <w:jc w:val="left"/>
        <w:rPr>
          <w:rFonts w:cs="微软雅黑" w:asciiTheme="minorEastAsia" w:hAnsiTheme="minorEastAsia" w:eastAsiaTheme="minorEastAsia"/>
          <w:b w:val="0"/>
          <w:bCs w:val="0"/>
          <w:color w:val="0000FF"/>
          <w:sz w:val="21"/>
          <w:szCs w:val="21"/>
          <w:highlight w:val="none"/>
        </w:rPr>
      </w:pPr>
      <w:r>
        <w:rPr>
          <w:rFonts w:hint="eastAsia" w:cs="微软雅黑" w:asciiTheme="minorEastAsia" w:hAnsiTheme="minorEastAsia" w:eastAsiaTheme="minorEastAsia"/>
          <w:b w:val="0"/>
          <w:bCs w:val="0"/>
          <w:color w:val="0000FF"/>
          <w:sz w:val="21"/>
          <w:szCs w:val="21"/>
          <w:highlight w:val="none"/>
        </w:rPr>
        <w:t>包号：                                包名称：</w:t>
      </w:r>
    </w:p>
    <w:tbl>
      <w:tblPr>
        <w:tblStyle w:val="47"/>
        <w:tblW w:w="8884" w:type="dxa"/>
        <w:jc w:val="center"/>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329"/>
        <w:gridCol w:w="1383"/>
        <w:gridCol w:w="2130"/>
        <w:gridCol w:w="1199"/>
        <w:gridCol w:w="1096"/>
        <w:gridCol w:w="909"/>
        <w:gridCol w:w="918"/>
        <w:gridCol w:w="920"/>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87" w:hRule="atLeast"/>
          <w:jc w:val="center"/>
        </w:trPr>
        <w:tc>
          <w:tcPr>
            <w:tcW w:w="1712" w:type="dxa"/>
            <w:gridSpan w:val="2"/>
            <w:vMerge w:val="restart"/>
            <w:tcBorders>
              <w:bottom w:val="single" w:color="000000" w:sz="6" w:space="0"/>
              <w:right w:val="single" w:color="000000" w:sz="6" w:space="0"/>
            </w:tcBorders>
          </w:tcPr>
          <w:p>
            <w:pPr>
              <w:pStyle w:val="144"/>
              <w:shd w:val="clear"/>
              <w:spacing w:before="10"/>
              <w:rPr>
                <w:color w:val="0000FF"/>
                <w:sz w:val="15"/>
                <w:highlight w:val="none"/>
              </w:rPr>
            </w:pPr>
          </w:p>
          <w:p>
            <w:pPr>
              <w:pStyle w:val="144"/>
              <w:shd w:val="clear"/>
              <w:ind w:left="229"/>
              <w:rPr>
                <w:color w:val="0000FF"/>
                <w:sz w:val="21"/>
                <w:highlight w:val="none"/>
              </w:rPr>
            </w:pPr>
            <w:r>
              <w:rPr>
                <w:rFonts w:hint="eastAsia"/>
                <w:color w:val="0000FF"/>
                <w:sz w:val="21"/>
                <w:highlight w:val="none"/>
              </w:rPr>
              <w:t>标的名称</w:t>
            </w:r>
          </w:p>
        </w:tc>
        <w:tc>
          <w:tcPr>
            <w:tcW w:w="2130" w:type="dxa"/>
            <w:vMerge w:val="restart"/>
            <w:tcBorders>
              <w:left w:val="single" w:color="000000" w:sz="6" w:space="0"/>
              <w:bottom w:val="single" w:color="000000" w:sz="6" w:space="0"/>
              <w:right w:val="single" w:color="000000" w:sz="4" w:space="0"/>
            </w:tcBorders>
          </w:tcPr>
          <w:p>
            <w:pPr>
              <w:pStyle w:val="144"/>
              <w:shd w:val="clear"/>
              <w:spacing w:before="5"/>
              <w:ind w:left="174" w:right="31"/>
              <w:jc w:val="center"/>
              <w:rPr>
                <w:color w:val="0000FF"/>
                <w:sz w:val="21"/>
                <w:highlight w:val="none"/>
              </w:rPr>
            </w:pPr>
            <w:r>
              <w:rPr>
                <w:color w:val="0000FF"/>
                <w:sz w:val="21"/>
                <w:highlight w:val="none"/>
              </w:rPr>
              <w:t xml:space="preserve">规格型号 </w:t>
            </w:r>
          </w:p>
          <w:p>
            <w:pPr>
              <w:pStyle w:val="144"/>
              <w:shd w:val="clear"/>
              <w:spacing w:before="139"/>
              <w:ind w:left="175" w:right="31"/>
              <w:jc w:val="center"/>
              <w:rPr>
                <w:color w:val="0000FF"/>
                <w:sz w:val="21"/>
                <w:highlight w:val="none"/>
              </w:rPr>
            </w:pPr>
            <w:r>
              <w:rPr>
                <w:color w:val="0000FF"/>
                <w:sz w:val="21"/>
                <w:highlight w:val="none"/>
              </w:rPr>
              <w:t>（</w:t>
            </w:r>
            <w:r>
              <w:rPr>
                <w:color w:val="0000FF"/>
                <w:spacing w:val="-2"/>
                <w:sz w:val="21"/>
                <w:highlight w:val="none"/>
              </w:rPr>
              <w:t>或项目特征描述</w:t>
            </w:r>
            <w:r>
              <w:rPr>
                <w:color w:val="0000FF"/>
                <w:spacing w:val="-5"/>
                <w:sz w:val="21"/>
                <w:highlight w:val="none"/>
              </w:rPr>
              <w:t>）</w:t>
            </w:r>
          </w:p>
        </w:tc>
        <w:tc>
          <w:tcPr>
            <w:tcW w:w="1199" w:type="dxa"/>
            <w:vMerge w:val="restart"/>
            <w:tcBorders>
              <w:left w:val="single" w:color="000000" w:sz="4" w:space="0"/>
              <w:bottom w:val="single" w:color="000000" w:sz="6" w:space="0"/>
              <w:right w:val="single" w:color="000000" w:sz="6" w:space="0"/>
            </w:tcBorders>
          </w:tcPr>
          <w:p>
            <w:pPr>
              <w:pStyle w:val="144"/>
              <w:shd w:val="clear"/>
              <w:spacing w:before="10"/>
              <w:rPr>
                <w:color w:val="0000FF"/>
                <w:sz w:val="15"/>
                <w:highlight w:val="none"/>
              </w:rPr>
            </w:pPr>
          </w:p>
          <w:p>
            <w:pPr>
              <w:pStyle w:val="144"/>
              <w:shd w:val="clear"/>
              <w:ind w:left="133"/>
              <w:rPr>
                <w:color w:val="0000FF"/>
                <w:sz w:val="21"/>
                <w:highlight w:val="none"/>
              </w:rPr>
            </w:pPr>
            <w:r>
              <w:rPr>
                <w:color w:val="0000FF"/>
                <w:sz w:val="21"/>
                <w:highlight w:val="none"/>
              </w:rPr>
              <w:t xml:space="preserve">品牌/产地 </w:t>
            </w:r>
          </w:p>
        </w:tc>
        <w:tc>
          <w:tcPr>
            <w:tcW w:w="1096" w:type="dxa"/>
            <w:vMerge w:val="restart"/>
            <w:tcBorders>
              <w:left w:val="single" w:color="000000" w:sz="6" w:space="0"/>
              <w:bottom w:val="single" w:color="000000" w:sz="6" w:space="0"/>
              <w:right w:val="single" w:color="000000" w:sz="4" w:space="0"/>
            </w:tcBorders>
          </w:tcPr>
          <w:p>
            <w:pPr>
              <w:pStyle w:val="144"/>
              <w:shd w:val="clear"/>
              <w:spacing w:before="9"/>
              <w:rPr>
                <w:color w:val="0000FF"/>
                <w:sz w:val="15"/>
                <w:highlight w:val="none"/>
              </w:rPr>
            </w:pPr>
          </w:p>
          <w:p>
            <w:pPr>
              <w:pStyle w:val="144"/>
              <w:shd w:val="clear"/>
              <w:ind w:left="84" w:right="-58"/>
              <w:rPr>
                <w:color w:val="0000FF"/>
                <w:sz w:val="21"/>
                <w:highlight w:val="none"/>
              </w:rPr>
            </w:pPr>
            <w:r>
              <w:rPr>
                <w:color w:val="0000FF"/>
                <w:position w:val="1"/>
                <w:sz w:val="21"/>
                <w:highlight w:val="none"/>
              </w:rPr>
              <w:t>数量/</w:t>
            </w:r>
            <w:r>
              <w:rPr>
                <w:color w:val="0000FF"/>
                <w:spacing w:val="-3"/>
                <w:position w:val="1"/>
                <w:sz w:val="21"/>
                <w:highlight w:val="none"/>
              </w:rPr>
              <w:t>单位</w:t>
            </w:r>
          </w:p>
        </w:tc>
        <w:tc>
          <w:tcPr>
            <w:tcW w:w="1827" w:type="dxa"/>
            <w:gridSpan w:val="2"/>
            <w:tcBorders>
              <w:left w:val="single" w:color="000000" w:sz="4" w:space="0"/>
              <w:bottom w:val="single" w:color="000000" w:sz="6" w:space="0"/>
              <w:right w:val="single" w:color="000000" w:sz="6" w:space="0"/>
            </w:tcBorders>
          </w:tcPr>
          <w:p>
            <w:pPr>
              <w:pStyle w:val="144"/>
              <w:shd w:val="clear"/>
              <w:spacing w:before="5"/>
              <w:ind w:left="393"/>
              <w:rPr>
                <w:color w:val="0000FF"/>
                <w:sz w:val="21"/>
                <w:highlight w:val="none"/>
              </w:rPr>
            </w:pPr>
            <w:r>
              <w:rPr>
                <w:color w:val="0000FF"/>
                <w:sz w:val="21"/>
                <w:highlight w:val="none"/>
              </w:rPr>
              <w:t xml:space="preserve">金额（元） </w:t>
            </w:r>
          </w:p>
        </w:tc>
        <w:tc>
          <w:tcPr>
            <w:tcW w:w="920" w:type="dxa"/>
            <w:vMerge w:val="restart"/>
            <w:tcBorders>
              <w:left w:val="single" w:color="000000" w:sz="6" w:space="0"/>
              <w:bottom w:val="single" w:color="000000" w:sz="6" w:space="0"/>
            </w:tcBorders>
          </w:tcPr>
          <w:p>
            <w:pPr>
              <w:pStyle w:val="144"/>
              <w:shd w:val="clear"/>
              <w:spacing w:before="10"/>
              <w:rPr>
                <w:color w:val="0000FF"/>
                <w:sz w:val="15"/>
                <w:highlight w:val="none"/>
              </w:rPr>
            </w:pPr>
          </w:p>
          <w:p>
            <w:pPr>
              <w:pStyle w:val="144"/>
              <w:shd w:val="clear"/>
              <w:ind w:left="249"/>
              <w:rPr>
                <w:color w:val="0000FF"/>
                <w:sz w:val="21"/>
                <w:highlight w:val="none"/>
              </w:rPr>
            </w:pPr>
            <w:r>
              <w:rPr>
                <w:color w:val="0000FF"/>
                <w:sz w:val="21"/>
                <w:highlight w:val="none"/>
              </w:rPr>
              <w:t xml:space="preserve">备注 </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7" w:hRule="atLeast"/>
          <w:jc w:val="center"/>
        </w:trPr>
        <w:tc>
          <w:tcPr>
            <w:tcW w:w="1712" w:type="dxa"/>
            <w:gridSpan w:val="2"/>
            <w:vMerge w:val="continue"/>
            <w:tcBorders>
              <w:top w:val="nil"/>
              <w:bottom w:val="single" w:color="000000" w:sz="6" w:space="0"/>
              <w:right w:val="single" w:color="000000" w:sz="6" w:space="0"/>
            </w:tcBorders>
          </w:tcPr>
          <w:p>
            <w:pPr>
              <w:shd w:val="clear"/>
              <w:rPr>
                <w:color w:val="0000FF"/>
                <w:sz w:val="2"/>
                <w:szCs w:val="2"/>
                <w:highlight w:val="none"/>
              </w:rPr>
            </w:pPr>
          </w:p>
        </w:tc>
        <w:tc>
          <w:tcPr>
            <w:tcW w:w="2130" w:type="dxa"/>
            <w:vMerge w:val="continue"/>
            <w:tcBorders>
              <w:top w:val="nil"/>
              <w:left w:val="single" w:color="000000" w:sz="6" w:space="0"/>
              <w:bottom w:val="single" w:color="000000" w:sz="6" w:space="0"/>
              <w:right w:val="single" w:color="000000" w:sz="4" w:space="0"/>
            </w:tcBorders>
          </w:tcPr>
          <w:p>
            <w:pPr>
              <w:shd w:val="clear"/>
              <w:rPr>
                <w:color w:val="0000FF"/>
                <w:sz w:val="2"/>
                <w:szCs w:val="2"/>
                <w:highlight w:val="none"/>
              </w:rPr>
            </w:pPr>
          </w:p>
        </w:tc>
        <w:tc>
          <w:tcPr>
            <w:tcW w:w="1199" w:type="dxa"/>
            <w:vMerge w:val="continue"/>
            <w:tcBorders>
              <w:top w:val="nil"/>
              <w:left w:val="single" w:color="000000" w:sz="4" w:space="0"/>
              <w:bottom w:val="single" w:color="000000" w:sz="6" w:space="0"/>
              <w:right w:val="single" w:color="000000" w:sz="6" w:space="0"/>
            </w:tcBorders>
          </w:tcPr>
          <w:p>
            <w:pPr>
              <w:shd w:val="clear"/>
              <w:rPr>
                <w:color w:val="0000FF"/>
                <w:sz w:val="2"/>
                <w:szCs w:val="2"/>
                <w:highlight w:val="none"/>
              </w:rPr>
            </w:pPr>
          </w:p>
        </w:tc>
        <w:tc>
          <w:tcPr>
            <w:tcW w:w="1096" w:type="dxa"/>
            <w:vMerge w:val="continue"/>
            <w:tcBorders>
              <w:top w:val="nil"/>
              <w:left w:val="single" w:color="000000" w:sz="6" w:space="0"/>
              <w:bottom w:val="single" w:color="000000" w:sz="6" w:space="0"/>
              <w:right w:val="single" w:color="000000" w:sz="4" w:space="0"/>
            </w:tcBorders>
          </w:tcPr>
          <w:p>
            <w:pPr>
              <w:shd w:val="clear"/>
              <w:rPr>
                <w:color w:val="0000FF"/>
                <w:sz w:val="2"/>
                <w:szCs w:val="2"/>
                <w:highlight w:val="none"/>
              </w:rPr>
            </w:pPr>
          </w:p>
        </w:tc>
        <w:tc>
          <w:tcPr>
            <w:tcW w:w="909" w:type="dxa"/>
            <w:tcBorders>
              <w:top w:val="single" w:color="000000" w:sz="6" w:space="0"/>
              <w:left w:val="single" w:color="000000" w:sz="4" w:space="0"/>
              <w:bottom w:val="single" w:color="000000" w:sz="6" w:space="0"/>
              <w:right w:val="single" w:color="000000" w:sz="4" w:space="0"/>
            </w:tcBorders>
          </w:tcPr>
          <w:p>
            <w:pPr>
              <w:pStyle w:val="144"/>
              <w:shd w:val="clear"/>
              <w:spacing w:before="1"/>
              <w:ind w:left="253"/>
              <w:rPr>
                <w:color w:val="0000FF"/>
                <w:sz w:val="21"/>
                <w:highlight w:val="none"/>
              </w:rPr>
            </w:pPr>
            <w:r>
              <w:rPr>
                <w:color w:val="0000FF"/>
                <w:sz w:val="21"/>
                <w:highlight w:val="none"/>
              </w:rPr>
              <w:t>单价</w:t>
            </w:r>
          </w:p>
        </w:tc>
        <w:tc>
          <w:tcPr>
            <w:tcW w:w="918" w:type="dxa"/>
            <w:tcBorders>
              <w:top w:val="single" w:color="000000" w:sz="6" w:space="0"/>
              <w:left w:val="single" w:color="000000" w:sz="4" w:space="0"/>
              <w:bottom w:val="single" w:color="000000" w:sz="6" w:space="0"/>
              <w:right w:val="single" w:color="000000" w:sz="6" w:space="0"/>
            </w:tcBorders>
          </w:tcPr>
          <w:p>
            <w:pPr>
              <w:pStyle w:val="144"/>
              <w:shd w:val="clear"/>
              <w:spacing w:before="1"/>
              <w:ind w:left="291"/>
              <w:rPr>
                <w:color w:val="0000FF"/>
                <w:sz w:val="21"/>
                <w:highlight w:val="none"/>
              </w:rPr>
            </w:pPr>
            <w:r>
              <w:rPr>
                <w:color w:val="0000FF"/>
                <w:sz w:val="21"/>
                <w:highlight w:val="none"/>
              </w:rPr>
              <w:t xml:space="preserve">小计 </w:t>
            </w:r>
          </w:p>
        </w:tc>
        <w:tc>
          <w:tcPr>
            <w:tcW w:w="920" w:type="dxa"/>
            <w:vMerge w:val="continue"/>
            <w:tcBorders>
              <w:top w:val="nil"/>
              <w:left w:val="single" w:color="000000" w:sz="6" w:space="0"/>
              <w:bottom w:val="single" w:color="000000" w:sz="6" w:space="0"/>
            </w:tcBorders>
          </w:tcPr>
          <w:p>
            <w:pPr>
              <w:shd w:val="clear"/>
              <w:rPr>
                <w:color w:val="0000FF"/>
                <w:sz w:val="2"/>
                <w:szCs w:val="2"/>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49"/>
              <w:ind w:left="105" w:right="-15"/>
              <w:rPr>
                <w:color w:val="0000FF"/>
                <w:sz w:val="21"/>
                <w:highlight w:val="none"/>
              </w:rPr>
            </w:pPr>
            <w:r>
              <w:rPr>
                <w:color w:val="0000FF"/>
                <w:sz w:val="21"/>
                <w:highlight w:val="none"/>
              </w:rPr>
              <w:t xml:space="preserve">1 </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6"/>
              <w:ind w:right="56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6"/>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6"/>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6" w:space="0"/>
            </w:tcBorders>
          </w:tcPr>
          <w:p>
            <w:pPr>
              <w:pStyle w:val="144"/>
              <w:shd w:val="clear"/>
              <w:spacing w:before="6"/>
              <w:ind w:left="7"/>
              <w:rPr>
                <w:color w:val="0000FF"/>
                <w:sz w:val="21"/>
                <w:highlight w:val="none"/>
              </w:rPr>
            </w:pPr>
          </w:p>
        </w:tc>
        <w:tc>
          <w:tcPr>
            <w:tcW w:w="909" w:type="dxa"/>
            <w:tcBorders>
              <w:top w:val="single" w:color="000000" w:sz="6" w:space="0"/>
              <w:left w:val="single" w:color="000000" w:sz="6" w:space="0"/>
              <w:bottom w:val="single" w:color="000000" w:sz="6" w:space="0"/>
              <w:right w:val="single" w:color="000000" w:sz="6" w:space="0"/>
            </w:tcBorders>
          </w:tcPr>
          <w:p>
            <w:pPr>
              <w:pStyle w:val="144"/>
              <w:shd w:val="clear"/>
              <w:spacing w:before="6"/>
              <w:ind w:left="1"/>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6"/>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6"/>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02"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63"/>
              <w:ind w:left="105" w:right="-15"/>
              <w:rPr>
                <w:color w:val="0000FF"/>
                <w:sz w:val="21"/>
                <w:highlight w:val="none"/>
              </w:rPr>
            </w:pPr>
            <w:r>
              <w:rPr>
                <w:color w:val="0000FF"/>
                <w:sz w:val="21"/>
                <w:highlight w:val="none"/>
              </w:rPr>
              <w:t xml:space="preserve">2 </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1"/>
              <w:ind w:right="56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1"/>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6" w:space="0"/>
            </w:tcBorders>
          </w:tcPr>
          <w:p>
            <w:pPr>
              <w:pStyle w:val="144"/>
              <w:shd w:val="clear"/>
              <w:spacing w:before="1"/>
              <w:ind w:left="7"/>
              <w:rPr>
                <w:color w:val="0000FF"/>
                <w:sz w:val="21"/>
                <w:highlight w:val="none"/>
              </w:rPr>
            </w:pPr>
          </w:p>
        </w:tc>
        <w:tc>
          <w:tcPr>
            <w:tcW w:w="909" w:type="dxa"/>
            <w:tcBorders>
              <w:top w:val="single" w:color="000000" w:sz="6" w:space="0"/>
              <w:left w:val="single" w:color="000000" w:sz="6" w:space="0"/>
              <w:bottom w:val="single" w:color="000000" w:sz="6" w:space="0"/>
              <w:right w:val="single" w:color="000000" w:sz="6" w:space="0"/>
            </w:tcBorders>
          </w:tcPr>
          <w:p>
            <w:pPr>
              <w:pStyle w:val="144"/>
              <w:shd w:val="clear"/>
              <w:spacing w:before="1"/>
              <w:ind w:left="1"/>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1"/>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1"/>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7"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63"/>
              <w:ind w:left="105" w:right="-15"/>
              <w:rPr>
                <w:color w:val="0000FF"/>
                <w:sz w:val="21"/>
                <w:highlight w:val="none"/>
              </w:rPr>
            </w:pPr>
            <w:r>
              <w:rPr>
                <w:color w:val="0000FF"/>
                <w:sz w:val="21"/>
                <w:highlight w:val="none"/>
              </w:rPr>
              <w:t xml:space="preserve">3 </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1"/>
              <w:ind w:right="56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1"/>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6" w:space="0"/>
            </w:tcBorders>
          </w:tcPr>
          <w:p>
            <w:pPr>
              <w:pStyle w:val="144"/>
              <w:shd w:val="clear"/>
              <w:spacing w:before="1"/>
              <w:ind w:left="7"/>
              <w:rPr>
                <w:color w:val="0000FF"/>
                <w:sz w:val="21"/>
                <w:highlight w:val="none"/>
              </w:rPr>
            </w:pPr>
          </w:p>
        </w:tc>
        <w:tc>
          <w:tcPr>
            <w:tcW w:w="909" w:type="dxa"/>
            <w:tcBorders>
              <w:top w:val="single" w:color="000000" w:sz="6" w:space="0"/>
              <w:left w:val="single" w:color="000000" w:sz="6" w:space="0"/>
              <w:bottom w:val="single" w:color="000000" w:sz="6" w:space="0"/>
              <w:right w:val="single" w:color="000000" w:sz="6" w:space="0"/>
            </w:tcBorders>
          </w:tcPr>
          <w:p>
            <w:pPr>
              <w:pStyle w:val="144"/>
              <w:shd w:val="clear"/>
              <w:spacing w:before="1"/>
              <w:ind w:left="1"/>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1"/>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1"/>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02"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63"/>
              <w:ind w:left="105" w:right="-15"/>
              <w:rPr>
                <w:color w:val="0000FF"/>
                <w:sz w:val="21"/>
                <w:highlight w:val="none"/>
              </w:rPr>
            </w:pPr>
            <w:r>
              <w:rPr>
                <w:color w:val="0000FF"/>
                <w:sz w:val="21"/>
                <w:highlight w:val="none"/>
              </w:rPr>
              <w:t xml:space="preserve">4 </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1"/>
              <w:ind w:right="56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1"/>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4" w:space="0"/>
            </w:tcBorders>
          </w:tcPr>
          <w:p>
            <w:pPr>
              <w:pStyle w:val="144"/>
              <w:shd w:val="clear"/>
              <w:spacing w:before="1"/>
              <w:ind w:left="7"/>
              <w:rPr>
                <w:color w:val="0000FF"/>
                <w:sz w:val="21"/>
                <w:highlight w:val="none"/>
              </w:rPr>
            </w:pPr>
          </w:p>
        </w:tc>
        <w:tc>
          <w:tcPr>
            <w:tcW w:w="90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1"/>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1"/>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8"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63"/>
              <w:ind w:left="105" w:right="-15"/>
              <w:rPr>
                <w:color w:val="0000FF"/>
                <w:sz w:val="21"/>
                <w:highlight w:val="none"/>
              </w:rPr>
            </w:pPr>
            <w:r>
              <w:rPr>
                <w:color w:val="0000FF"/>
                <w:sz w:val="21"/>
                <w:highlight w:val="none"/>
              </w:rPr>
              <w:t xml:space="preserve">5 </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1"/>
              <w:ind w:right="56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1"/>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4" w:space="0"/>
            </w:tcBorders>
          </w:tcPr>
          <w:p>
            <w:pPr>
              <w:pStyle w:val="144"/>
              <w:shd w:val="clear"/>
              <w:spacing w:before="1"/>
              <w:ind w:left="7"/>
              <w:rPr>
                <w:color w:val="0000FF"/>
                <w:sz w:val="21"/>
                <w:highlight w:val="none"/>
              </w:rPr>
            </w:pPr>
          </w:p>
        </w:tc>
        <w:tc>
          <w:tcPr>
            <w:tcW w:w="90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1"/>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1"/>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7" w:hRule="atLeast"/>
          <w:jc w:val="center"/>
        </w:trPr>
        <w:tc>
          <w:tcPr>
            <w:tcW w:w="329" w:type="dxa"/>
            <w:tcBorders>
              <w:top w:val="single" w:color="000000" w:sz="6" w:space="0"/>
              <w:bottom w:val="single" w:color="000000" w:sz="6" w:space="0"/>
              <w:right w:val="single" w:color="000000" w:sz="6" w:space="0"/>
            </w:tcBorders>
          </w:tcPr>
          <w:p>
            <w:pPr>
              <w:pStyle w:val="144"/>
              <w:shd w:val="clear"/>
              <w:spacing w:before="77"/>
              <w:ind w:left="52"/>
              <w:rPr>
                <w:rFonts w:ascii="Times New Roman" w:hAnsi="Times New Roman"/>
                <w:color w:val="0000FF"/>
                <w:sz w:val="21"/>
                <w:highlight w:val="none"/>
              </w:rPr>
            </w:pPr>
            <w:r>
              <w:rPr>
                <w:rFonts w:ascii="Times New Roman" w:hAnsi="Times New Roman"/>
                <w:color w:val="0000FF"/>
                <w:sz w:val="21"/>
                <w:highlight w:val="none"/>
              </w:rPr>
              <w:t>…</w:t>
            </w:r>
          </w:p>
        </w:tc>
        <w:tc>
          <w:tcPr>
            <w:tcW w:w="1383" w:type="dxa"/>
            <w:tcBorders>
              <w:top w:val="single" w:color="000000" w:sz="6" w:space="0"/>
              <w:left w:val="single" w:color="000000" w:sz="6" w:space="0"/>
              <w:bottom w:val="single" w:color="000000" w:sz="6" w:space="0"/>
              <w:right w:val="single" w:color="000000" w:sz="6" w:space="0"/>
            </w:tcBorders>
          </w:tcPr>
          <w:p>
            <w:pPr>
              <w:pStyle w:val="144"/>
              <w:shd w:val="clear"/>
              <w:spacing w:before="1"/>
              <w:ind w:right="559"/>
              <w:jc w:val="right"/>
              <w:rPr>
                <w:color w:val="0000FF"/>
                <w:sz w:val="21"/>
                <w:highlight w:val="none"/>
              </w:rPr>
            </w:pPr>
          </w:p>
        </w:tc>
        <w:tc>
          <w:tcPr>
            <w:tcW w:w="2130" w:type="dxa"/>
            <w:tcBorders>
              <w:top w:val="single" w:color="000000" w:sz="6" w:space="0"/>
              <w:left w:val="single" w:color="000000" w:sz="6" w:space="0"/>
              <w:bottom w:val="single" w:color="000000" w:sz="6" w:space="0"/>
              <w:right w:val="single" w:color="000000" w:sz="4" w:space="0"/>
            </w:tcBorders>
          </w:tcPr>
          <w:p>
            <w:pPr>
              <w:pStyle w:val="144"/>
              <w:shd w:val="clear"/>
              <w:spacing w:before="1"/>
              <w:ind w:left="9"/>
              <w:rPr>
                <w:color w:val="0000FF"/>
                <w:sz w:val="21"/>
                <w:highlight w:val="none"/>
              </w:rPr>
            </w:pPr>
          </w:p>
        </w:tc>
        <w:tc>
          <w:tcPr>
            <w:tcW w:w="119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1096" w:type="dxa"/>
            <w:tcBorders>
              <w:top w:val="single" w:color="000000" w:sz="6" w:space="0"/>
              <w:left w:val="single" w:color="000000" w:sz="6" w:space="0"/>
              <w:bottom w:val="single" w:color="000000" w:sz="6" w:space="0"/>
              <w:right w:val="single" w:color="000000" w:sz="4" w:space="0"/>
            </w:tcBorders>
          </w:tcPr>
          <w:p>
            <w:pPr>
              <w:pStyle w:val="144"/>
              <w:shd w:val="clear"/>
              <w:spacing w:before="1"/>
              <w:ind w:left="7"/>
              <w:rPr>
                <w:color w:val="0000FF"/>
                <w:sz w:val="21"/>
                <w:highlight w:val="none"/>
              </w:rPr>
            </w:pPr>
          </w:p>
        </w:tc>
        <w:tc>
          <w:tcPr>
            <w:tcW w:w="909" w:type="dxa"/>
            <w:tcBorders>
              <w:top w:val="single" w:color="000000" w:sz="6" w:space="0"/>
              <w:left w:val="single" w:color="000000" w:sz="4" w:space="0"/>
              <w:bottom w:val="single" w:color="000000" w:sz="6" w:space="0"/>
              <w:right w:val="single" w:color="000000" w:sz="6" w:space="0"/>
            </w:tcBorders>
          </w:tcPr>
          <w:p>
            <w:pPr>
              <w:pStyle w:val="144"/>
              <w:shd w:val="clear"/>
              <w:spacing w:before="1"/>
              <w:ind w:left="4"/>
              <w:rPr>
                <w:color w:val="0000FF"/>
                <w:sz w:val="21"/>
                <w:highlight w:val="none"/>
              </w:rPr>
            </w:pPr>
          </w:p>
        </w:tc>
        <w:tc>
          <w:tcPr>
            <w:tcW w:w="918" w:type="dxa"/>
            <w:tcBorders>
              <w:top w:val="single" w:color="000000" w:sz="6" w:space="0"/>
              <w:left w:val="single" w:color="000000" w:sz="6" w:space="0"/>
              <w:bottom w:val="single" w:color="000000" w:sz="6" w:space="0"/>
              <w:right w:val="single" w:color="000000" w:sz="6" w:space="0"/>
            </w:tcBorders>
          </w:tcPr>
          <w:p>
            <w:pPr>
              <w:pStyle w:val="144"/>
              <w:shd w:val="clear"/>
              <w:spacing w:before="1"/>
              <w:ind w:left="5"/>
              <w:rPr>
                <w:color w:val="0000FF"/>
                <w:sz w:val="21"/>
                <w:highlight w:val="none"/>
              </w:rPr>
            </w:pPr>
          </w:p>
        </w:tc>
        <w:tc>
          <w:tcPr>
            <w:tcW w:w="920" w:type="dxa"/>
            <w:tcBorders>
              <w:top w:val="single" w:color="000000" w:sz="6" w:space="0"/>
              <w:left w:val="single" w:color="000000" w:sz="6" w:space="0"/>
              <w:bottom w:val="single" w:color="000000" w:sz="6" w:space="0"/>
            </w:tcBorders>
          </w:tcPr>
          <w:p>
            <w:pPr>
              <w:pStyle w:val="144"/>
              <w:shd w:val="clear"/>
              <w:spacing w:before="1"/>
              <w:ind w:left="4"/>
              <w:rPr>
                <w:color w:val="0000FF"/>
                <w:sz w:val="21"/>
                <w:highlight w:val="none"/>
              </w:rPr>
            </w:pP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02" w:hRule="atLeast"/>
          <w:jc w:val="center"/>
        </w:trPr>
        <w:tc>
          <w:tcPr>
            <w:tcW w:w="7046" w:type="dxa"/>
            <w:gridSpan w:val="6"/>
            <w:tcBorders>
              <w:top w:val="single" w:color="000000" w:sz="6" w:space="0"/>
              <w:right w:val="single" w:color="000000" w:sz="6" w:space="0"/>
            </w:tcBorders>
          </w:tcPr>
          <w:p>
            <w:pPr>
              <w:pStyle w:val="144"/>
              <w:shd w:val="clear"/>
              <w:spacing w:before="5"/>
              <w:ind w:left="2706" w:right="2596"/>
              <w:jc w:val="center"/>
              <w:rPr>
                <w:color w:val="0000FF"/>
                <w:sz w:val="21"/>
                <w:highlight w:val="none"/>
              </w:rPr>
            </w:pPr>
            <w:r>
              <w:rPr>
                <w:color w:val="0000FF"/>
                <w:sz w:val="21"/>
                <w:highlight w:val="none"/>
              </w:rPr>
              <w:t>投标报价（元）：</w:t>
            </w:r>
          </w:p>
        </w:tc>
        <w:tc>
          <w:tcPr>
            <w:tcW w:w="918" w:type="dxa"/>
            <w:tcBorders>
              <w:top w:val="single" w:color="000000" w:sz="6" w:space="0"/>
              <w:left w:val="single" w:color="000000" w:sz="6" w:space="0"/>
              <w:right w:val="single" w:color="000000" w:sz="6" w:space="0"/>
            </w:tcBorders>
          </w:tcPr>
          <w:p>
            <w:pPr>
              <w:pStyle w:val="144"/>
              <w:shd w:val="clear"/>
              <w:spacing w:before="5"/>
              <w:ind w:left="5"/>
              <w:rPr>
                <w:color w:val="0000FF"/>
                <w:sz w:val="21"/>
                <w:highlight w:val="none"/>
              </w:rPr>
            </w:pPr>
          </w:p>
        </w:tc>
        <w:tc>
          <w:tcPr>
            <w:tcW w:w="920" w:type="dxa"/>
            <w:tcBorders>
              <w:top w:val="single" w:color="000000" w:sz="6" w:space="0"/>
              <w:left w:val="single" w:color="000000" w:sz="6" w:space="0"/>
            </w:tcBorders>
          </w:tcPr>
          <w:p>
            <w:pPr>
              <w:pStyle w:val="144"/>
              <w:shd w:val="clear"/>
              <w:spacing w:before="5"/>
              <w:ind w:left="4"/>
              <w:rPr>
                <w:color w:val="0000FF"/>
                <w:sz w:val="21"/>
                <w:highlight w:val="none"/>
              </w:rPr>
            </w:pPr>
          </w:p>
        </w:tc>
      </w:tr>
    </w:tbl>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备注：</w:t>
      </w:r>
      <w:r>
        <w:rPr>
          <w:rFonts w:hint="eastAsia" w:ascii="宋体" w:hAnsi="宋体"/>
          <w:color w:val="000000" w:themeColor="text1"/>
          <w:szCs w:val="21"/>
          <w:highlight w:val="none"/>
          <w14:textFill>
            <w14:solidFill>
              <w14:schemeClr w14:val="tx1"/>
            </w14:solidFill>
          </w14:textFill>
        </w:rPr>
        <w:t>1.</w:t>
      </w:r>
      <w:r>
        <w:rPr>
          <w:rFonts w:hint="eastAsia" w:ascii="宋体" w:hAnsi="宋体"/>
          <w:b/>
          <w:color w:val="000000" w:themeColor="text1"/>
          <w:szCs w:val="21"/>
          <w:highlight w:val="none"/>
          <w14:textFill>
            <w14:solidFill>
              <w14:schemeClr w14:val="tx1"/>
            </w14:solidFill>
          </w14:textFill>
        </w:rPr>
        <w:t>本表应对应</w:t>
      </w:r>
      <w:r>
        <w:rPr>
          <w:rFonts w:hint="eastAsia" w:ascii="宋体" w:hAnsi="宋体"/>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开标一览表</w:t>
      </w:r>
      <w:r>
        <w:rPr>
          <w:rFonts w:hint="eastAsia" w:ascii="宋体" w:hAnsi="宋体"/>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，按包填写</w:t>
      </w:r>
      <w:r>
        <w:rPr>
          <w:rFonts w:hint="eastAsia" w:ascii="宋体" w:hAnsi="宋体"/>
          <w:color w:val="000000" w:themeColor="text1"/>
          <w:szCs w:val="21"/>
          <w:highlight w:val="none"/>
          <w14:textFill>
            <w14:solidFill>
              <w14:schemeClr w14:val="tx1"/>
            </w14:solidFill>
          </w14:textFill>
        </w:rPr>
        <w:t>。投标人如果不提供分项报价明细表，其</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2.不得填写“免费”或“赠与”，也不得进行“零”报价，否则</w:t>
      </w:r>
      <w:r>
        <w:rPr>
          <w:rFonts w:hint="eastAsia" w:ascii="宋体" w:hAnsi="宋体"/>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3.如果开标一览表内容与本表内容不一致的，以开标一览表内容为准。</w:t>
      </w: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bCs/>
          <w:color w:val="000000" w:themeColor="text1"/>
          <w:szCs w:val="21"/>
          <w:highlight w:val="none"/>
          <w14:textFill>
            <w14:solidFill>
              <w14:schemeClr w14:val="tx1"/>
            </w14:solidFill>
          </w14:textFill>
        </w:rPr>
        <w:t>投标人在投标截止时间前修改“开标一览表”中的投标报价的，应按第二章第14.7款规定修改本表相应内容。否则，</w:t>
      </w:r>
      <w:r>
        <w:rPr>
          <w:rFonts w:hint="eastAsia" w:ascii="宋体" w:hAnsi="宋体"/>
          <w:color w:val="000000" w:themeColor="text1"/>
          <w:szCs w:val="21"/>
          <w:highlight w:val="none"/>
          <w14:textFill>
            <w14:solidFill>
              <w14:schemeClr w14:val="tx1"/>
            </w14:solidFill>
          </w14:textFill>
        </w:rPr>
        <w:t>本表相应内容按投标报价修改的相同比例进行调整。</w:t>
      </w:r>
    </w:p>
    <w:p>
      <w:pPr>
        <w:shd w:val="clear"/>
        <w:rPr>
          <w:color w:val="000000" w:themeColor="text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投标人名称（盖单位电子章）： </w:t>
      </w:r>
    </w:p>
    <w:p>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法定代表人（单位负责人）或其授权的代理人（电子签字或电子印章）：       </w:t>
      </w:r>
    </w:p>
    <w:p>
      <w:pPr>
        <w:shd w:val="clea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 期 ： 年 月 日</w:t>
      </w:r>
    </w:p>
    <w:p>
      <w:pPr>
        <w:shd w:val="clear"/>
        <w:adjustRightInd w:val="0"/>
        <w:snapToGrid w:val="0"/>
        <w:jc w:val="center"/>
        <w:rPr>
          <w:rFonts w:ascii="黑体" w:eastAsia="黑体" w:cs="微软雅黑" w:hAnsiTheme="minorEastAsia"/>
          <w:b/>
          <w:color w:val="000000" w:themeColor="text1"/>
          <w:spacing w:val="-2"/>
          <w:kern w:val="0"/>
          <w:position w:val="-3"/>
          <w:sz w:val="28"/>
          <w:szCs w:val="28"/>
          <w:highlight w:val="none"/>
          <w14:textFill>
            <w14:solidFill>
              <w14:schemeClr w14:val="tx1"/>
            </w14:solidFill>
          </w14:textFill>
        </w:rPr>
      </w:pPr>
    </w:p>
    <w:p>
      <w:pPr>
        <w:shd w:val="clear"/>
        <w:adjustRightInd w:val="0"/>
        <w:snapToGrid w:val="0"/>
        <w:jc w:val="center"/>
        <w:rPr>
          <w:rFonts w:ascii="黑体" w:eastAsia="黑体" w:cs="微软雅黑" w:hAnsiTheme="minorEastAsia"/>
          <w:b/>
          <w:color w:val="000000" w:themeColor="text1"/>
          <w:spacing w:val="-2"/>
          <w:kern w:val="0"/>
          <w:position w:val="-3"/>
          <w:sz w:val="28"/>
          <w:szCs w:val="28"/>
          <w:highlight w:val="none"/>
          <w14:textFill>
            <w14:solidFill>
              <w14:schemeClr w14:val="tx1"/>
            </w14:solidFill>
          </w14:textFill>
        </w:rPr>
      </w:pPr>
    </w:p>
    <w:p>
      <w:pPr>
        <w:shd w:val="clear"/>
        <w:adjustRightInd w:val="0"/>
        <w:snapToGrid w:val="0"/>
        <w:jc w:val="center"/>
        <w:rPr>
          <w:rFonts w:ascii="黑体" w:eastAsia="黑体" w:cs="微软雅黑" w:hAnsiTheme="minorEastAsia"/>
          <w:b/>
          <w:color w:val="000000" w:themeColor="text1"/>
          <w:spacing w:val="-2"/>
          <w:kern w:val="0"/>
          <w:position w:val="-3"/>
          <w:sz w:val="28"/>
          <w:szCs w:val="28"/>
          <w:highlight w:val="none"/>
          <w14:textFill>
            <w14:solidFill>
              <w14:schemeClr w14:val="tx1"/>
            </w14:solidFill>
          </w14:textFill>
        </w:rPr>
      </w:pPr>
    </w:p>
    <w:p>
      <w:pPr>
        <w:shd w:val="clear"/>
        <w:adjustRightInd w:val="0"/>
        <w:snapToGrid w:val="0"/>
        <w:jc w:val="center"/>
        <w:rPr>
          <w:rFonts w:ascii="黑体" w:eastAsia="黑体" w:cs="微软雅黑" w:hAnsiTheme="minorEastAsia"/>
          <w:b/>
          <w:color w:val="000000" w:themeColor="text1"/>
          <w:spacing w:val="-2"/>
          <w:kern w:val="0"/>
          <w:position w:val="-3"/>
          <w:sz w:val="28"/>
          <w:szCs w:val="28"/>
          <w:highlight w:val="none"/>
          <w14:textFill>
            <w14:solidFill>
              <w14:schemeClr w14:val="tx1"/>
            </w14:solidFill>
          </w14:textFill>
        </w:rPr>
      </w:pPr>
    </w:p>
    <w:p>
      <w:pPr>
        <w:shd w:val="clear"/>
        <w:adjustRightInd w:val="0"/>
        <w:snapToGrid w:val="0"/>
        <w:jc w:val="center"/>
        <w:rPr>
          <w:rFonts w:ascii="黑体" w:eastAsia="黑体" w:cs="微软雅黑" w:hAnsiTheme="minorEastAsia"/>
          <w:b/>
          <w:color w:val="000000" w:themeColor="text1"/>
          <w:spacing w:val="-2"/>
          <w:kern w:val="0"/>
          <w:position w:val="-3"/>
          <w:sz w:val="28"/>
          <w:szCs w:val="28"/>
          <w:highlight w:val="none"/>
          <w14:textFill>
            <w14:solidFill>
              <w14:schemeClr w14:val="tx1"/>
            </w14:solidFill>
          </w14:textFill>
        </w:rPr>
      </w:pPr>
    </w:p>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sectPr>
          <w:headerReference r:id="rId9" w:type="default"/>
          <w:footerReference r:id="rId10" w:type="default"/>
          <w:footerReference r:id="rId11" w:type="even"/>
          <w:pgSz w:w="11906" w:h="16838"/>
          <w:pgMar w:top="1474" w:right="1474" w:bottom="1474" w:left="1588" w:header="851" w:footer="992" w:gutter="0"/>
          <w:pgNumType w:fmt="decimal"/>
          <w:cols w:space="720" w:num="1"/>
          <w:docGrid w:type="lines" w:linePitch="312" w:charSpace="0"/>
        </w:sectPr>
      </w:pP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105" w:name="_Toc16399"/>
      <w:bookmarkStart w:id="106" w:name="_Toc29586"/>
      <w:bookmarkStart w:id="107" w:name="_Toc11578"/>
      <w:bookmarkStart w:id="108" w:name="_Toc1005"/>
      <w:r>
        <w:rPr>
          <w:rFonts w:hint="eastAsia" w:ascii="黑体" w:hAnsi="宋体" w:eastAsia="黑体"/>
          <w:color w:val="000000" w:themeColor="text1"/>
          <w:sz w:val="28"/>
          <w:szCs w:val="28"/>
          <w:highlight w:val="none"/>
          <w14:textFill>
            <w14:solidFill>
              <w14:schemeClr w14:val="tx1"/>
            </w14:solidFill>
          </w14:textFill>
        </w:rPr>
        <w:t>七、采购需求响应</w:t>
      </w:r>
      <w:bookmarkEnd w:id="105"/>
      <w:bookmarkEnd w:id="106"/>
      <w:bookmarkEnd w:id="107"/>
      <w:bookmarkEnd w:id="108"/>
    </w:p>
    <w:p>
      <w:pPr>
        <w:shd w:val="clear"/>
        <w:adjustRightInd w:val="0"/>
        <w:snapToGrid w:val="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p>
    <w:p>
      <w:pPr>
        <w:shd w:val="clear"/>
        <w:adjustRightInd w:val="0"/>
        <w:snapToGrid w:val="0"/>
        <w:spacing w:line="360" w:lineRule="auto"/>
        <w:rPr>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编制说明</w:t>
      </w:r>
      <w:r>
        <w:rPr>
          <w:rFonts w:hint="eastAsia" w:asciiTheme="minorEastAsia" w:hAnsiTheme="minorEastAsia" w:eastAsiaTheme="minorEastAsia"/>
          <w:bCs/>
          <w:color w:val="000000" w:themeColor="text1"/>
          <w:szCs w:val="21"/>
          <w:highlight w:val="none"/>
          <w14:textFill>
            <w14:solidFill>
              <w14:schemeClr w14:val="tx1"/>
            </w14:solidFill>
          </w14:textFill>
        </w:rPr>
        <w:t>：</w:t>
      </w:r>
      <w:r>
        <w:rPr>
          <w:rFonts w:hint="eastAsia"/>
          <w:b/>
          <w:color w:val="000000" w:themeColor="text1"/>
          <w:highlight w:val="none"/>
          <w14:textFill>
            <w14:solidFill>
              <w14:schemeClr w14:val="tx1"/>
            </w14:solidFill>
          </w14:textFill>
        </w:rPr>
        <w:t>投标人应按招标文件第五章采购需求自行编写采购需求响应文件（其内容可包括，且不限于详细的技术指标和性能、售后服务和技术服务的组织及保证措施等，格式自拟）。</w:t>
      </w:r>
    </w:p>
    <w:p>
      <w:pPr>
        <w:pStyle w:val="28"/>
        <w:shd w:val="clear"/>
        <w:adjustRightInd w:val="0"/>
        <w:snapToGrid w:val="0"/>
        <w:spacing w:line="360" w:lineRule="auto"/>
        <w:ind w:left="-88" w:leftChars="-42"/>
        <w:rPr>
          <w:rFonts w:ascii="宋体" w:hAnsi="宋体"/>
          <w:bCs/>
          <w:color w:val="000000" w:themeColor="text1"/>
          <w:sz w:val="21"/>
          <w:szCs w:val="2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pStyle w:val="28"/>
        <w:shd w:val="clear"/>
        <w:tabs>
          <w:tab w:val="left" w:pos="6208"/>
        </w:tabs>
        <w:adjustRightInd w:val="0"/>
        <w:snapToGrid w:val="0"/>
        <w:spacing w:line="360" w:lineRule="auto"/>
        <w:ind w:left="-88" w:leftChars="-42"/>
        <w:rPr>
          <w:rFonts w:ascii="宋体" w:hAnsi="宋体"/>
          <w:bCs/>
          <w:color w:val="000000" w:themeColor="text1"/>
          <w:sz w:val="2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line="360" w:lineRule="auto"/>
        <w:rPr>
          <w:rFonts w:ascii="宋体" w:hAnsi="宋体"/>
          <w:color w:val="000000" w:themeColor="text1"/>
          <w:szCs w:val="21"/>
          <w:highlight w:val="none"/>
          <w:u w:val="singl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或其授权的代理人（电子签字或电子印章）：</w:t>
      </w: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日期：年月日</w:t>
      </w:r>
    </w:p>
    <w:p>
      <w:pPr>
        <w:shd w:val="clear"/>
        <w:rPr>
          <w:color w:val="000000" w:themeColor="text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pStyle w:val="10"/>
        <w:shd w:val="clear"/>
        <w:adjustRightInd w:val="0"/>
        <w:snapToGrid w:val="0"/>
        <w:spacing w:before="156" w:beforeLines="50" w:after="0" w:line="360" w:lineRule="auto"/>
        <w:rPr>
          <w:rFonts w:ascii="黑体" w:hAnsi="黑体"/>
          <w:b w:val="0"/>
          <w:color w:val="000000" w:themeColor="text1"/>
          <w:sz w:val="21"/>
          <w:szCs w:val="21"/>
          <w:highlight w:val="none"/>
          <w14:textFill>
            <w14:solidFill>
              <w14:schemeClr w14:val="tx1"/>
            </w14:solidFill>
          </w14:textFill>
        </w:rPr>
      </w:pPr>
      <w:bookmarkStart w:id="109" w:name="_Toc24573"/>
      <w:bookmarkStart w:id="110" w:name="_Toc24652"/>
      <w:bookmarkStart w:id="111" w:name="_Toc32309"/>
      <w:bookmarkStart w:id="112" w:name="_Toc6749"/>
      <w:r>
        <w:rPr>
          <w:rFonts w:hint="eastAsia" w:ascii="黑体" w:hAnsi="黑体" w:cs="宋体"/>
          <w:b w:val="0"/>
          <w:color w:val="000000" w:themeColor="text1"/>
          <w:spacing w:val="6"/>
          <w:sz w:val="21"/>
          <w:szCs w:val="21"/>
          <w:highlight w:val="none"/>
          <w14:textFill>
            <w14:solidFill>
              <w14:schemeClr w14:val="tx1"/>
            </w14:solidFill>
          </w14:textFill>
        </w:rPr>
        <w:t>附件7-1 响应</w:t>
      </w:r>
      <w:r>
        <w:rPr>
          <w:rFonts w:hint="eastAsia" w:ascii="黑体" w:hAnsi="黑体"/>
          <w:b w:val="0"/>
          <w:color w:val="000000" w:themeColor="text1"/>
          <w:sz w:val="21"/>
          <w:szCs w:val="21"/>
          <w:highlight w:val="none"/>
          <w14:textFill>
            <w14:solidFill>
              <w14:schemeClr w14:val="tx1"/>
            </w14:solidFill>
          </w14:textFill>
        </w:rPr>
        <w:t>-览表</w:t>
      </w:r>
      <w:bookmarkEnd w:id="109"/>
      <w:bookmarkEnd w:id="110"/>
      <w:bookmarkEnd w:id="111"/>
      <w:bookmarkEnd w:id="112"/>
    </w:p>
    <w:p>
      <w:pPr>
        <w:shd w:val="clear"/>
        <w:adjustRightInd w:val="0"/>
        <w:snapToGrid w:val="0"/>
        <w:spacing w:before="156" w:beforeLines="50" w:line="360" w:lineRule="auto"/>
        <w:jc w:val="center"/>
        <w:rPr>
          <w:rFonts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响应-览表</w:t>
      </w:r>
    </w:p>
    <w:p>
      <w:pPr>
        <w:shd w:val="clear"/>
        <w:jc w:val="center"/>
        <w:rPr>
          <w:rFonts w:asciiTheme="minorEastAsia" w:hAnsiTheme="minorEastAsia" w:eastAsiaTheme="minorEastAsia"/>
          <w:color w:val="000000" w:themeColor="text1"/>
          <w:szCs w:val="21"/>
          <w:highlight w:val="none"/>
          <w14:textFill>
            <w14:solidFill>
              <w14:schemeClr w14:val="tx1"/>
            </w14:solidFill>
          </w14:textFill>
        </w:rPr>
      </w:pPr>
    </w:p>
    <w:tbl>
      <w:tblPr>
        <w:tblStyle w:val="47"/>
        <w:tblW w:w="9424" w:type="dxa"/>
        <w:tblInd w:w="-364"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55"/>
        <w:gridCol w:w="864"/>
        <w:gridCol w:w="2100"/>
        <w:gridCol w:w="2382"/>
        <w:gridCol w:w="992"/>
        <w:gridCol w:w="1134"/>
        <w:gridCol w:w="129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07" w:hRule="atLeast"/>
        </w:trPr>
        <w:tc>
          <w:tcPr>
            <w:tcW w:w="655" w:type="dxa"/>
            <w:vAlign w:val="center"/>
          </w:tcPr>
          <w:p>
            <w:pPr>
              <w:shd w:val="clea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包号 </w:t>
            </w:r>
          </w:p>
        </w:tc>
        <w:tc>
          <w:tcPr>
            <w:tcW w:w="864" w:type="dxa"/>
            <w:tcBorders>
              <w:right w:val="single" w:color="auto" w:sz="4" w:space="0"/>
            </w:tcBorders>
            <w:vAlign w:val="center"/>
          </w:tcPr>
          <w:p>
            <w:pPr>
              <w:shd w:val="clea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包名称</w:t>
            </w:r>
          </w:p>
        </w:tc>
        <w:tc>
          <w:tcPr>
            <w:tcW w:w="2100" w:type="dxa"/>
            <w:tcBorders>
              <w:left w:val="single" w:color="auto" w:sz="4" w:space="0"/>
            </w:tcBorders>
            <w:vAlign w:val="center"/>
          </w:tcPr>
          <w:p>
            <w:pPr>
              <w:shd w:val="clea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标的名称</w:t>
            </w:r>
          </w:p>
        </w:tc>
        <w:tc>
          <w:tcPr>
            <w:tcW w:w="2382" w:type="dxa"/>
            <w:vAlign w:val="center"/>
          </w:tcPr>
          <w:p>
            <w:pPr>
              <w:shd w:val="clea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主要技术参数或规格</w:t>
            </w:r>
          </w:p>
        </w:tc>
        <w:tc>
          <w:tcPr>
            <w:tcW w:w="992" w:type="dxa"/>
            <w:vAlign w:val="center"/>
          </w:tcPr>
          <w:p>
            <w:pPr>
              <w:shd w:val="clea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134" w:type="dxa"/>
            <w:vAlign w:val="center"/>
          </w:tcPr>
          <w:p>
            <w:pPr>
              <w:shd w:val="clea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节能产品</w:t>
            </w:r>
          </w:p>
        </w:tc>
        <w:tc>
          <w:tcPr>
            <w:tcW w:w="1297" w:type="dxa"/>
            <w:vAlign w:val="center"/>
          </w:tcPr>
          <w:p>
            <w:pPr>
              <w:shd w:val="clea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55" w:type="dxa"/>
          </w:tcPr>
          <w:p>
            <w:pPr>
              <w:shd w:val="clear"/>
              <w:rPr>
                <w:color w:val="000000" w:themeColor="text1"/>
                <w:szCs w:val="21"/>
                <w:highlight w:val="none"/>
                <w14:textFill>
                  <w14:solidFill>
                    <w14:schemeClr w14:val="tx1"/>
                  </w14:solidFill>
                </w14:textFill>
              </w:rPr>
            </w:pPr>
          </w:p>
        </w:tc>
        <w:tc>
          <w:tcPr>
            <w:tcW w:w="864" w:type="dxa"/>
            <w:tcBorders>
              <w:right w:val="single" w:color="auto" w:sz="4" w:space="0"/>
            </w:tcBorders>
          </w:tcPr>
          <w:p>
            <w:pPr>
              <w:shd w:val="clear"/>
              <w:rPr>
                <w:color w:val="000000" w:themeColor="text1"/>
                <w:szCs w:val="21"/>
                <w:highlight w:val="none"/>
                <w14:textFill>
                  <w14:solidFill>
                    <w14:schemeClr w14:val="tx1"/>
                  </w14:solidFill>
                </w14:textFill>
              </w:rPr>
            </w:pPr>
          </w:p>
        </w:tc>
        <w:tc>
          <w:tcPr>
            <w:tcW w:w="2100" w:type="dxa"/>
            <w:tcBorders>
              <w:left w:val="single" w:color="auto" w:sz="4" w:space="0"/>
            </w:tcBorders>
          </w:tcPr>
          <w:p>
            <w:pPr>
              <w:shd w:val="clear"/>
              <w:rPr>
                <w:color w:val="000000" w:themeColor="text1"/>
                <w:szCs w:val="21"/>
                <w:highlight w:val="none"/>
                <w14:textFill>
                  <w14:solidFill>
                    <w14:schemeClr w14:val="tx1"/>
                  </w14:solidFill>
                </w14:textFill>
              </w:rPr>
            </w:pPr>
          </w:p>
        </w:tc>
        <w:tc>
          <w:tcPr>
            <w:tcW w:w="2382" w:type="dxa"/>
          </w:tcPr>
          <w:p>
            <w:pPr>
              <w:shd w:val="clear"/>
              <w:rPr>
                <w:color w:val="000000" w:themeColor="text1"/>
                <w:szCs w:val="21"/>
                <w:highlight w:val="none"/>
                <w14:textFill>
                  <w14:solidFill>
                    <w14:schemeClr w14:val="tx1"/>
                  </w14:solidFill>
                </w14:textFill>
              </w:rPr>
            </w:pPr>
          </w:p>
        </w:tc>
        <w:tc>
          <w:tcPr>
            <w:tcW w:w="992" w:type="dxa"/>
          </w:tcPr>
          <w:p>
            <w:pPr>
              <w:shd w:val="clear"/>
              <w:rPr>
                <w:color w:val="000000" w:themeColor="text1"/>
                <w:szCs w:val="21"/>
                <w:highlight w:val="none"/>
                <w14:textFill>
                  <w14:solidFill>
                    <w14:schemeClr w14:val="tx1"/>
                  </w14:solidFill>
                </w14:textFill>
              </w:rPr>
            </w:pPr>
          </w:p>
        </w:tc>
        <w:tc>
          <w:tcPr>
            <w:tcW w:w="1134" w:type="dxa"/>
            <w:tcBorders>
              <w:bottom w:val="single" w:color="auto" w:sz="4" w:space="0"/>
            </w:tcBorders>
          </w:tcPr>
          <w:p>
            <w:pPr>
              <w:shd w:val="clear"/>
              <w:rPr>
                <w:color w:val="000000" w:themeColor="text1"/>
                <w:szCs w:val="21"/>
                <w:highlight w:val="none"/>
                <w14:textFill>
                  <w14:solidFill>
                    <w14:schemeClr w14:val="tx1"/>
                  </w14:solidFill>
                </w14:textFill>
              </w:rPr>
            </w:pPr>
          </w:p>
        </w:tc>
        <w:tc>
          <w:tcPr>
            <w:tcW w:w="1297" w:type="dxa"/>
          </w:tcPr>
          <w:p>
            <w:pPr>
              <w:shd w:val="clear"/>
              <w:rPr>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55" w:type="dxa"/>
          </w:tcPr>
          <w:p>
            <w:pPr>
              <w:shd w:val="clear"/>
              <w:rPr>
                <w:color w:val="000000" w:themeColor="text1"/>
                <w:szCs w:val="21"/>
                <w:highlight w:val="none"/>
                <w14:textFill>
                  <w14:solidFill>
                    <w14:schemeClr w14:val="tx1"/>
                  </w14:solidFill>
                </w14:textFill>
              </w:rPr>
            </w:pPr>
          </w:p>
        </w:tc>
        <w:tc>
          <w:tcPr>
            <w:tcW w:w="864" w:type="dxa"/>
            <w:tcBorders>
              <w:right w:val="single" w:color="auto" w:sz="4" w:space="0"/>
            </w:tcBorders>
          </w:tcPr>
          <w:p>
            <w:pPr>
              <w:shd w:val="clear"/>
              <w:rPr>
                <w:color w:val="000000" w:themeColor="text1"/>
                <w:szCs w:val="21"/>
                <w:highlight w:val="none"/>
                <w14:textFill>
                  <w14:solidFill>
                    <w14:schemeClr w14:val="tx1"/>
                  </w14:solidFill>
                </w14:textFill>
              </w:rPr>
            </w:pPr>
          </w:p>
        </w:tc>
        <w:tc>
          <w:tcPr>
            <w:tcW w:w="2100" w:type="dxa"/>
            <w:tcBorders>
              <w:left w:val="single" w:color="auto" w:sz="4" w:space="0"/>
            </w:tcBorders>
          </w:tcPr>
          <w:p>
            <w:pPr>
              <w:shd w:val="clear"/>
              <w:rPr>
                <w:color w:val="000000" w:themeColor="text1"/>
                <w:szCs w:val="21"/>
                <w:highlight w:val="none"/>
                <w14:textFill>
                  <w14:solidFill>
                    <w14:schemeClr w14:val="tx1"/>
                  </w14:solidFill>
                </w14:textFill>
              </w:rPr>
            </w:pPr>
          </w:p>
        </w:tc>
        <w:tc>
          <w:tcPr>
            <w:tcW w:w="2382" w:type="dxa"/>
          </w:tcPr>
          <w:p>
            <w:pPr>
              <w:shd w:val="clear"/>
              <w:rPr>
                <w:color w:val="000000" w:themeColor="text1"/>
                <w:szCs w:val="21"/>
                <w:highlight w:val="none"/>
                <w14:textFill>
                  <w14:solidFill>
                    <w14:schemeClr w14:val="tx1"/>
                  </w14:solidFill>
                </w14:textFill>
              </w:rPr>
            </w:pPr>
          </w:p>
        </w:tc>
        <w:tc>
          <w:tcPr>
            <w:tcW w:w="992" w:type="dxa"/>
          </w:tcPr>
          <w:p>
            <w:pPr>
              <w:shd w:val="clear"/>
              <w:rPr>
                <w:color w:val="000000" w:themeColor="text1"/>
                <w:szCs w:val="21"/>
                <w:highlight w:val="none"/>
                <w14:textFill>
                  <w14:solidFill>
                    <w14:schemeClr w14:val="tx1"/>
                  </w14:solidFill>
                </w14:textFill>
              </w:rPr>
            </w:pPr>
          </w:p>
        </w:tc>
        <w:tc>
          <w:tcPr>
            <w:tcW w:w="1134" w:type="dxa"/>
            <w:tcBorders>
              <w:top w:val="single" w:color="auto" w:sz="4" w:space="0"/>
              <w:bottom w:val="single" w:color="auto" w:sz="4" w:space="0"/>
            </w:tcBorders>
          </w:tcPr>
          <w:p>
            <w:pPr>
              <w:shd w:val="clear"/>
              <w:rPr>
                <w:color w:val="000000" w:themeColor="text1"/>
                <w:szCs w:val="21"/>
                <w:highlight w:val="none"/>
                <w14:textFill>
                  <w14:solidFill>
                    <w14:schemeClr w14:val="tx1"/>
                  </w14:solidFill>
                </w14:textFill>
              </w:rPr>
            </w:pPr>
          </w:p>
        </w:tc>
        <w:tc>
          <w:tcPr>
            <w:tcW w:w="1297" w:type="dxa"/>
          </w:tcPr>
          <w:p>
            <w:pPr>
              <w:shd w:val="clear"/>
              <w:rPr>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55" w:type="dxa"/>
          </w:tcPr>
          <w:p>
            <w:pPr>
              <w:shd w:val="clear"/>
              <w:rPr>
                <w:color w:val="000000" w:themeColor="text1"/>
                <w:szCs w:val="21"/>
                <w:highlight w:val="none"/>
                <w14:textFill>
                  <w14:solidFill>
                    <w14:schemeClr w14:val="tx1"/>
                  </w14:solidFill>
                </w14:textFill>
              </w:rPr>
            </w:pPr>
          </w:p>
        </w:tc>
        <w:tc>
          <w:tcPr>
            <w:tcW w:w="864" w:type="dxa"/>
            <w:tcBorders>
              <w:right w:val="single" w:color="auto" w:sz="4" w:space="0"/>
            </w:tcBorders>
          </w:tcPr>
          <w:p>
            <w:pPr>
              <w:shd w:val="clear"/>
              <w:rPr>
                <w:color w:val="000000" w:themeColor="text1"/>
                <w:szCs w:val="21"/>
                <w:highlight w:val="none"/>
                <w14:textFill>
                  <w14:solidFill>
                    <w14:schemeClr w14:val="tx1"/>
                  </w14:solidFill>
                </w14:textFill>
              </w:rPr>
            </w:pPr>
          </w:p>
        </w:tc>
        <w:tc>
          <w:tcPr>
            <w:tcW w:w="2100" w:type="dxa"/>
            <w:tcBorders>
              <w:left w:val="single" w:color="auto" w:sz="4" w:space="0"/>
            </w:tcBorders>
          </w:tcPr>
          <w:p>
            <w:pPr>
              <w:shd w:val="clear"/>
              <w:rPr>
                <w:color w:val="000000" w:themeColor="text1"/>
                <w:szCs w:val="21"/>
                <w:highlight w:val="none"/>
                <w14:textFill>
                  <w14:solidFill>
                    <w14:schemeClr w14:val="tx1"/>
                  </w14:solidFill>
                </w14:textFill>
              </w:rPr>
            </w:pPr>
          </w:p>
        </w:tc>
        <w:tc>
          <w:tcPr>
            <w:tcW w:w="2382" w:type="dxa"/>
          </w:tcPr>
          <w:p>
            <w:pPr>
              <w:shd w:val="clear"/>
              <w:rPr>
                <w:color w:val="000000" w:themeColor="text1"/>
                <w:szCs w:val="21"/>
                <w:highlight w:val="none"/>
                <w14:textFill>
                  <w14:solidFill>
                    <w14:schemeClr w14:val="tx1"/>
                  </w14:solidFill>
                </w14:textFill>
              </w:rPr>
            </w:pPr>
          </w:p>
        </w:tc>
        <w:tc>
          <w:tcPr>
            <w:tcW w:w="992" w:type="dxa"/>
          </w:tcPr>
          <w:p>
            <w:pPr>
              <w:shd w:val="clear"/>
              <w:rPr>
                <w:color w:val="000000" w:themeColor="text1"/>
                <w:szCs w:val="21"/>
                <w:highlight w:val="none"/>
                <w14:textFill>
                  <w14:solidFill>
                    <w14:schemeClr w14:val="tx1"/>
                  </w14:solidFill>
                </w14:textFill>
              </w:rPr>
            </w:pPr>
          </w:p>
        </w:tc>
        <w:tc>
          <w:tcPr>
            <w:tcW w:w="1134" w:type="dxa"/>
            <w:tcBorders>
              <w:top w:val="single" w:color="auto" w:sz="4" w:space="0"/>
              <w:bottom w:val="single" w:color="auto" w:sz="4" w:space="0"/>
            </w:tcBorders>
          </w:tcPr>
          <w:p>
            <w:pPr>
              <w:shd w:val="clear"/>
              <w:rPr>
                <w:color w:val="000000" w:themeColor="text1"/>
                <w:szCs w:val="21"/>
                <w:highlight w:val="none"/>
                <w14:textFill>
                  <w14:solidFill>
                    <w14:schemeClr w14:val="tx1"/>
                  </w14:solidFill>
                </w14:textFill>
              </w:rPr>
            </w:pPr>
          </w:p>
        </w:tc>
        <w:tc>
          <w:tcPr>
            <w:tcW w:w="1297" w:type="dxa"/>
          </w:tcPr>
          <w:p>
            <w:pPr>
              <w:shd w:val="clear"/>
              <w:rPr>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55" w:type="dxa"/>
          </w:tcPr>
          <w:p>
            <w:pPr>
              <w:shd w:val="clear"/>
              <w:rPr>
                <w:color w:val="000000" w:themeColor="text1"/>
                <w:szCs w:val="21"/>
                <w:highlight w:val="none"/>
                <w14:textFill>
                  <w14:solidFill>
                    <w14:schemeClr w14:val="tx1"/>
                  </w14:solidFill>
                </w14:textFill>
              </w:rPr>
            </w:pPr>
          </w:p>
        </w:tc>
        <w:tc>
          <w:tcPr>
            <w:tcW w:w="864" w:type="dxa"/>
            <w:tcBorders>
              <w:right w:val="single" w:color="auto" w:sz="4" w:space="0"/>
            </w:tcBorders>
          </w:tcPr>
          <w:p>
            <w:pPr>
              <w:shd w:val="clear"/>
              <w:rPr>
                <w:color w:val="000000" w:themeColor="text1"/>
                <w:szCs w:val="21"/>
                <w:highlight w:val="none"/>
                <w14:textFill>
                  <w14:solidFill>
                    <w14:schemeClr w14:val="tx1"/>
                  </w14:solidFill>
                </w14:textFill>
              </w:rPr>
            </w:pPr>
          </w:p>
        </w:tc>
        <w:tc>
          <w:tcPr>
            <w:tcW w:w="2100" w:type="dxa"/>
            <w:tcBorders>
              <w:left w:val="single" w:color="auto" w:sz="4" w:space="0"/>
            </w:tcBorders>
          </w:tcPr>
          <w:p>
            <w:pPr>
              <w:shd w:val="clear"/>
              <w:rPr>
                <w:color w:val="000000" w:themeColor="text1"/>
                <w:szCs w:val="21"/>
                <w:highlight w:val="none"/>
                <w14:textFill>
                  <w14:solidFill>
                    <w14:schemeClr w14:val="tx1"/>
                  </w14:solidFill>
                </w14:textFill>
              </w:rPr>
            </w:pPr>
          </w:p>
        </w:tc>
        <w:tc>
          <w:tcPr>
            <w:tcW w:w="2382" w:type="dxa"/>
          </w:tcPr>
          <w:p>
            <w:pPr>
              <w:shd w:val="clear"/>
              <w:rPr>
                <w:color w:val="000000" w:themeColor="text1"/>
                <w:szCs w:val="21"/>
                <w:highlight w:val="none"/>
                <w14:textFill>
                  <w14:solidFill>
                    <w14:schemeClr w14:val="tx1"/>
                  </w14:solidFill>
                </w14:textFill>
              </w:rPr>
            </w:pPr>
          </w:p>
        </w:tc>
        <w:tc>
          <w:tcPr>
            <w:tcW w:w="992" w:type="dxa"/>
          </w:tcPr>
          <w:p>
            <w:pPr>
              <w:shd w:val="clear"/>
              <w:rPr>
                <w:color w:val="000000" w:themeColor="text1"/>
                <w:szCs w:val="21"/>
                <w:highlight w:val="none"/>
                <w14:textFill>
                  <w14:solidFill>
                    <w14:schemeClr w14:val="tx1"/>
                  </w14:solidFill>
                </w14:textFill>
              </w:rPr>
            </w:pPr>
          </w:p>
        </w:tc>
        <w:tc>
          <w:tcPr>
            <w:tcW w:w="1134" w:type="dxa"/>
            <w:tcBorders>
              <w:top w:val="single" w:color="auto" w:sz="4" w:space="0"/>
              <w:bottom w:val="single" w:color="auto" w:sz="4" w:space="0"/>
            </w:tcBorders>
          </w:tcPr>
          <w:p>
            <w:pPr>
              <w:shd w:val="clear"/>
              <w:rPr>
                <w:color w:val="000000" w:themeColor="text1"/>
                <w:szCs w:val="21"/>
                <w:highlight w:val="none"/>
                <w14:textFill>
                  <w14:solidFill>
                    <w14:schemeClr w14:val="tx1"/>
                  </w14:solidFill>
                </w14:textFill>
              </w:rPr>
            </w:pPr>
          </w:p>
        </w:tc>
        <w:tc>
          <w:tcPr>
            <w:tcW w:w="1297" w:type="dxa"/>
          </w:tcPr>
          <w:p>
            <w:pPr>
              <w:shd w:val="clear"/>
              <w:rPr>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655" w:type="dxa"/>
          </w:tcPr>
          <w:p>
            <w:pPr>
              <w:shd w:val="clear"/>
              <w:rPr>
                <w:color w:val="000000" w:themeColor="text1"/>
                <w:szCs w:val="21"/>
                <w:highlight w:val="none"/>
                <w14:textFill>
                  <w14:solidFill>
                    <w14:schemeClr w14:val="tx1"/>
                  </w14:solidFill>
                </w14:textFill>
              </w:rPr>
            </w:pPr>
          </w:p>
        </w:tc>
        <w:tc>
          <w:tcPr>
            <w:tcW w:w="864" w:type="dxa"/>
            <w:tcBorders>
              <w:right w:val="single" w:color="auto" w:sz="4" w:space="0"/>
            </w:tcBorders>
          </w:tcPr>
          <w:p>
            <w:pPr>
              <w:shd w:val="clear"/>
              <w:rPr>
                <w:color w:val="000000" w:themeColor="text1"/>
                <w:szCs w:val="21"/>
                <w:highlight w:val="none"/>
                <w14:textFill>
                  <w14:solidFill>
                    <w14:schemeClr w14:val="tx1"/>
                  </w14:solidFill>
                </w14:textFill>
              </w:rPr>
            </w:pPr>
          </w:p>
        </w:tc>
        <w:tc>
          <w:tcPr>
            <w:tcW w:w="2100" w:type="dxa"/>
            <w:tcBorders>
              <w:left w:val="single" w:color="auto" w:sz="4" w:space="0"/>
            </w:tcBorders>
          </w:tcPr>
          <w:p>
            <w:pPr>
              <w:shd w:val="clear"/>
              <w:rPr>
                <w:color w:val="000000" w:themeColor="text1"/>
                <w:szCs w:val="21"/>
                <w:highlight w:val="none"/>
                <w14:textFill>
                  <w14:solidFill>
                    <w14:schemeClr w14:val="tx1"/>
                  </w14:solidFill>
                </w14:textFill>
              </w:rPr>
            </w:pPr>
          </w:p>
        </w:tc>
        <w:tc>
          <w:tcPr>
            <w:tcW w:w="2382" w:type="dxa"/>
          </w:tcPr>
          <w:p>
            <w:pPr>
              <w:shd w:val="clear"/>
              <w:rPr>
                <w:color w:val="000000" w:themeColor="text1"/>
                <w:szCs w:val="21"/>
                <w:highlight w:val="none"/>
                <w14:textFill>
                  <w14:solidFill>
                    <w14:schemeClr w14:val="tx1"/>
                  </w14:solidFill>
                </w14:textFill>
              </w:rPr>
            </w:pPr>
          </w:p>
        </w:tc>
        <w:tc>
          <w:tcPr>
            <w:tcW w:w="992" w:type="dxa"/>
          </w:tcPr>
          <w:p>
            <w:pPr>
              <w:shd w:val="clear"/>
              <w:rPr>
                <w:color w:val="000000" w:themeColor="text1"/>
                <w:szCs w:val="21"/>
                <w:highlight w:val="none"/>
                <w14:textFill>
                  <w14:solidFill>
                    <w14:schemeClr w14:val="tx1"/>
                  </w14:solidFill>
                </w14:textFill>
              </w:rPr>
            </w:pPr>
          </w:p>
        </w:tc>
        <w:tc>
          <w:tcPr>
            <w:tcW w:w="1134" w:type="dxa"/>
            <w:tcBorders>
              <w:top w:val="single" w:color="auto" w:sz="4" w:space="0"/>
            </w:tcBorders>
          </w:tcPr>
          <w:p>
            <w:pPr>
              <w:shd w:val="clear"/>
              <w:rPr>
                <w:color w:val="000000" w:themeColor="text1"/>
                <w:szCs w:val="21"/>
                <w:highlight w:val="none"/>
                <w14:textFill>
                  <w14:solidFill>
                    <w14:schemeClr w14:val="tx1"/>
                  </w14:solidFill>
                </w14:textFill>
              </w:rPr>
            </w:pPr>
          </w:p>
        </w:tc>
        <w:tc>
          <w:tcPr>
            <w:tcW w:w="1297" w:type="dxa"/>
          </w:tcPr>
          <w:p>
            <w:pPr>
              <w:shd w:val="clear"/>
              <w:rPr>
                <w:color w:val="000000" w:themeColor="text1"/>
                <w:szCs w:val="21"/>
                <w:highlight w:val="none"/>
                <w14:textFill>
                  <w14:solidFill>
                    <w14:schemeClr w14:val="tx1"/>
                  </w14:solidFill>
                </w14:textFill>
              </w:rPr>
            </w:pPr>
          </w:p>
        </w:tc>
      </w:tr>
    </w:tbl>
    <w:p>
      <w:pPr>
        <w:shd w:val="clear"/>
        <w:adjustRightInd w:val="0"/>
        <w:snapToGrid w:val="0"/>
        <w:spacing w:line="360" w:lineRule="auto"/>
        <w:rPr>
          <w:color w:val="000000" w:themeColor="text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黑体" w:hAnsi="宋体" w:eastAsia="黑体"/>
          <w:color w:val="000000" w:themeColor="text1"/>
          <w:sz w:val="28"/>
          <w:szCs w:val="28"/>
          <w:highlight w:val="none"/>
          <w14:textFill>
            <w14:solidFill>
              <w14:schemeClr w14:val="tx1"/>
            </w14:solidFill>
          </w14:textFill>
        </w:rPr>
        <w:sectPr>
          <w:headerReference r:id="rId13" w:type="first"/>
          <w:headerReference r:id="rId12" w:type="even"/>
          <w:pgSz w:w="11906" w:h="16838"/>
          <w:pgMar w:top="1474" w:right="1474" w:bottom="1474" w:left="1588" w:header="851" w:footer="992" w:gutter="0"/>
          <w:pgNumType w:fmt="decimal"/>
          <w:cols w:space="720" w:num="1"/>
          <w:docGrid w:type="lines" w:linePitch="312" w:charSpace="0"/>
        </w:sectPr>
      </w:pPr>
    </w:p>
    <w:p>
      <w:pPr>
        <w:pStyle w:val="9"/>
        <w:shd w:val="clear"/>
        <w:adjustRightInd w:val="0"/>
        <w:snapToGrid w:val="0"/>
        <w:spacing w:before="156" w:beforeLines="50" w:after="0" w:line="360" w:lineRule="auto"/>
        <w:jc w:val="center"/>
        <w:rPr>
          <w:rFonts w:ascii="黑体" w:hAnsi="黑体" w:eastAsia="黑体"/>
          <w:color w:val="000000" w:themeColor="text1"/>
          <w:sz w:val="28"/>
          <w:szCs w:val="28"/>
          <w:highlight w:val="none"/>
          <w14:textFill>
            <w14:solidFill>
              <w14:schemeClr w14:val="tx1"/>
            </w14:solidFill>
          </w14:textFill>
        </w:rPr>
      </w:pPr>
      <w:bookmarkStart w:id="113" w:name="_Toc19077"/>
      <w:bookmarkStart w:id="114" w:name="_Toc4175"/>
      <w:bookmarkStart w:id="115" w:name="_Toc24499"/>
      <w:bookmarkStart w:id="116" w:name="_Toc27989"/>
      <w:r>
        <w:rPr>
          <w:rFonts w:hint="eastAsia" w:ascii="黑体" w:hAnsi="黑体" w:eastAsia="黑体"/>
          <w:color w:val="000000" w:themeColor="text1"/>
          <w:sz w:val="28"/>
          <w:szCs w:val="28"/>
          <w:highlight w:val="none"/>
          <w14:textFill>
            <w14:solidFill>
              <w14:schemeClr w14:val="tx1"/>
            </w14:solidFill>
          </w14:textFill>
        </w:rPr>
        <w:t>八、合同条款偏离表</w:t>
      </w:r>
      <w:bookmarkEnd w:id="113"/>
      <w:bookmarkEnd w:id="114"/>
      <w:bookmarkEnd w:id="115"/>
      <w:bookmarkEnd w:id="116"/>
    </w:p>
    <w:p>
      <w:pPr>
        <w:shd w:val="clear"/>
        <w:adjustRightInd w:val="0"/>
        <w:snapToGrid w:val="0"/>
        <w:spacing w:before="156" w:beforeLines="50"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宋体" w:hAnsi="宋体"/>
          <w:color w:val="000000" w:themeColor="text1"/>
          <w:spacing w:val="28"/>
          <w:szCs w:val="21"/>
          <w:highlight w:val="none"/>
          <w14:textFill>
            <w14:solidFill>
              <w14:schemeClr w14:val="tx1"/>
            </w14:solidFill>
          </w14:textFill>
        </w:rPr>
        <w:t>政府采购计划编号</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项目名称：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____            ______</w:t>
      </w:r>
    </w:p>
    <w:p>
      <w:pPr>
        <w:shd w:val="clear"/>
        <w:adjustRightInd w:val="0"/>
        <w:snapToGrid w:val="0"/>
        <w:spacing w:before="50" w:line="360" w:lineRule="auto"/>
        <w:rPr>
          <w:rFonts w:ascii="宋体" w:hAnsi="宋体"/>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包           号：</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__    ________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包名称：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___             _______</w:t>
      </w:r>
    </w:p>
    <w:tbl>
      <w:tblPr>
        <w:tblStyle w:val="4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序</w:t>
            </w:r>
            <w:r>
              <w:rPr>
                <w:rFonts w:hint="eastAsia" w:asciiTheme="minorEastAsia" w:hAnsiTheme="minorEastAsia" w:eastAsiaTheme="minorEastAsia"/>
                <w:color w:val="000000" w:themeColor="text1"/>
                <w:szCs w:val="21"/>
                <w:highlight w:val="none"/>
                <w14:textFill>
                  <w14:solidFill>
                    <w14:schemeClr w14:val="tx1"/>
                  </w14:solidFill>
                </w14:textFill>
              </w:rPr>
              <w:t>号</w:t>
            </w: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招标文件章节</w:t>
            </w:r>
            <w:r>
              <w:rPr>
                <w:rFonts w:hint="eastAsia" w:asciiTheme="minorEastAsia" w:hAnsiTheme="minorEastAsia" w:eastAsiaTheme="minorEastAsia"/>
                <w:bCs/>
                <w:color w:val="000000" w:themeColor="text1"/>
                <w:szCs w:val="21"/>
                <w:highlight w:val="none"/>
                <w14:textFill>
                  <w14:solidFill>
                    <w14:schemeClr w14:val="tx1"/>
                  </w14:solidFill>
                </w14:textFill>
              </w:rPr>
              <w:t>条</w:t>
            </w:r>
            <w:r>
              <w:rPr>
                <w:rFonts w:hint="eastAsia" w:asciiTheme="minorEastAsia" w:hAnsiTheme="minorEastAsia" w:eastAsiaTheme="minorEastAsia"/>
                <w:color w:val="000000" w:themeColor="text1"/>
                <w:szCs w:val="21"/>
                <w:highlight w:val="none"/>
                <w14:textFill>
                  <w14:solidFill>
                    <w14:schemeClr w14:val="tx1"/>
                  </w14:solidFill>
                </w14:textFill>
              </w:rPr>
              <w:t>款号</w:t>
            </w: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招标文件要求</w:t>
            </w:r>
          </w:p>
        </w:tc>
        <w:tc>
          <w:tcPr>
            <w:tcW w:w="2082" w:type="dxa"/>
            <w:tcBorders>
              <w:right w:val="single" w:color="auto" w:sz="4" w:space="0"/>
            </w:tcBorders>
            <w:vAlign w:val="center"/>
          </w:tcPr>
          <w:p>
            <w:pPr>
              <w:shd w:val="clear"/>
              <w:adjustRightInd w:val="0"/>
              <w:snapToGrid w:val="0"/>
              <w:spacing w:before="50"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投标文件的应答</w:t>
            </w: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Pr>
          <w:p>
            <w:pPr>
              <w:shd w:val="clear"/>
              <w:adjustRightInd w:val="0"/>
              <w:snapToGrid w:val="0"/>
              <w:spacing w:before="50" w:line="360" w:lineRule="auto"/>
              <w:rPr>
                <w:color w:val="000000" w:themeColor="text1"/>
                <w:highlight w:val="none"/>
                <w14:textFill>
                  <w14:solidFill>
                    <w14:schemeClr w14:val="tx1"/>
                  </w14:solidFill>
                </w14:textFill>
              </w:rPr>
            </w:pPr>
          </w:p>
        </w:tc>
        <w:tc>
          <w:tcPr>
            <w:tcW w:w="2082" w:type="dxa"/>
            <w:tcBorders>
              <w:right w:val="single" w:color="auto" w:sz="4" w:space="0"/>
            </w:tcBorders>
          </w:tcPr>
          <w:p>
            <w:pPr>
              <w:shd w:val="clear"/>
              <w:adjustRightInd w:val="0"/>
              <w:snapToGrid w:val="0"/>
              <w:spacing w:before="50" w:line="360" w:lineRule="auto"/>
              <w:rPr>
                <w:color w:val="000000" w:themeColor="text1"/>
                <w:highlight w:val="none"/>
                <w14:textFill>
                  <w14:solidFill>
                    <w14:schemeClr w14:val="tx1"/>
                  </w14:solidFill>
                </w14:textFill>
              </w:rPr>
            </w:pPr>
          </w:p>
        </w:tc>
        <w:tc>
          <w:tcPr>
            <w:tcW w:w="1942" w:type="dxa"/>
            <w:tcBorders>
              <w:left w:val="single" w:color="auto" w:sz="4" w:space="0"/>
            </w:tcBorders>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082"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42"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4024" w:type="dxa"/>
            <w:gridSpan w:val="2"/>
            <w:vAlign w:val="center"/>
          </w:tcPr>
          <w:p>
            <w:pPr>
              <w:shd w:val="clear"/>
              <w:adjustRightInd w:val="0"/>
              <w:snapToGrid w:val="0"/>
              <w:spacing w:before="50" w:line="360" w:lineRule="auto"/>
              <w:ind w:firstLine="422" w:firstLineChars="200"/>
              <w:jc w:val="left"/>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投标人保证：除本合同条款偏离表列出的偏离外，我单位对招标文件的其他商务、合同条款完全响应，无偏离。</w:t>
            </w:r>
          </w:p>
        </w:tc>
      </w:tr>
    </w:tbl>
    <w:p>
      <w:pPr>
        <w:shd w:val="clear"/>
        <w:adjustRightInd w:val="0"/>
        <w:snapToGrid w:val="0"/>
        <w:spacing w:before="50" w:line="360" w:lineRule="auto"/>
        <w:ind w:left="-88" w:leftChars="-42"/>
        <w:rPr>
          <w:rFonts w:ascii="宋体" w:hAnsi="宋体"/>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备注</w:t>
      </w:r>
      <w:r>
        <w:rPr>
          <w:rFonts w:hint="eastAsia" w:asciiTheme="minorEastAsia" w:hAnsiTheme="minorEastAsia" w:eastAsiaTheme="minorEastAsia"/>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投标人应根据招标文件第六章</w:t>
      </w:r>
      <w:r>
        <w:rPr>
          <w:rFonts w:hint="eastAsia" w:ascii="华文宋体" w:hAnsi="华文宋体" w:eastAsia="华文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政府采购合同</w:t>
      </w:r>
      <w:r>
        <w:rPr>
          <w:rFonts w:hint="eastAsia" w:ascii="华文宋体" w:hAnsi="华文宋体" w:eastAsia="华文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填写本表；</w:t>
      </w:r>
    </w:p>
    <w:p>
      <w:pPr>
        <w:shd w:val="clear"/>
        <w:adjustRightInd w:val="0"/>
        <w:snapToGrid w:val="0"/>
        <w:spacing w:before="50" w:line="360" w:lineRule="auto"/>
        <w:ind w:left="-88" w:leftChars="-42" w:firstLine="420" w:firstLineChars="200"/>
        <w:rPr>
          <w:rFonts w:ascii="宋体" w:hAnsi="宋体"/>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w:t>
      </w:r>
      <w:r>
        <w:rPr>
          <w:rFonts w:hint="eastAsia" w:ascii="宋体" w:hAnsi="宋体"/>
          <w:b/>
          <w:color w:val="000000" w:themeColor="text1"/>
          <w:szCs w:val="21"/>
          <w:highlight w:val="none"/>
          <w14:textFill>
            <w14:solidFill>
              <w14:schemeClr w14:val="tx1"/>
            </w14:solidFill>
          </w14:textFill>
        </w:rPr>
        <w:t>投标人如果对招标文件第六章“政府采购合同”的响应有偏离，应将偏离条款逐条如实应答，并作出说明；</w:t>
      </w:r>
    </w:p>
    <w:p>
      <w:pPr>
        <w:shd w:val="clea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如不提供此表，则视为投标人不满足招标文件第六章的所有条款要求，</w:t>
      </w:r>
      <w:r>
        <w:rPr>
          <w:rFonts w:hint="eastAsia" w:asciiTheme="minorEastAsia" w:hAnsiTheme="minorEastAsia" w:eastAsiaTheme="minorEastAsia"/>
          <w:color w:val="000000" w:themeColor="text1"/>
          <w:szCs w:val="21"/>
          <w:highlight w:val="none"/>
          <w14:textFill>
            <w14:solidFill>
              <w14:schemeClr w14:val="tx1"/>
            </w14:solidFill>
          </w14:textFill>
        </w:rPr>
        <w:t>其</w:t>
      </w:r>
      <w:r>
        <w:rPr>
          <w:rFonts w:hint="eastAsia" w:asciiTheme="minorEastAsia" w:hAnsiTheme="minorEastAsia" w:eastAsiaTheme="minorEastAsia"/>
          <w:b/>
          <w:color w:val="000000" w:themeColor="text1"/>
          <w:szCs w:val="21"/>
          <w:highlight w:val="none"/>
          <w14:textFill>
            <w14:solidFill>
              <w14:schemeClr w14:val="tx1"/>
            </w14:solidFill>
          </w14:textFill>
        </w:rPr>
        <w:t>投标无效</w:t>
      </w:r>
      <w:r>
        <w:rPr>
          <w:rFonts w:hint="eastAsia" w:ascii="宋体" w:hAnsi="宋体"/>
          <w:color w:val="000000" w:themeColor="text1"/>
          <w:szCs w:val="21"/>
          <w:highlight w:val="none"/>
          <w14:textFill>
            <w14:solidFill>
              <w14:schemeClr w14:val="tx1"/>
            </w14:solidFill>
          </w14:textFill>
        </w:rPr>
        <w:t>。</w:t>
      </w:r>
    </w:p>
    <w:p>
      <w:pPr>
        <w:shd w:val="clear"/>
        <w:adjustRightInd w:val="0"/>
        <w:snapToGrid w:val="0"/>
        <w:spacing w:before="50" w:line="360" w:lineRule="auto"/>
        <w:ind w:left="-88" w:leftChars="-42" w:firstLine="420" w:firstLineChars="200"/>
        <w:rPr>
          <w:rFonts w:ascii="宋体" w:hAnsi="宋体"/>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shd w:val="clear"/>
        <w:adjustRightInd w:val="0"/>
        <w:snapToGrid w:val="0"/>
        <w:spacing w:before="50" w:line="360" w:lineRule="auto"/>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或其授权的代理人（电子签字或电子印章）：</w:t>
      </w:r>
    </w:p>
    <w:p>
      <w:pPr>
        <w:shd w:val="clear"/>
        <w:adjustRightInd w:val="0"/>
        <w:snapToGrid w:val="0"/>
        <w:spacing w:before="50" w:line="360" w:lineRule="auto"/>
        <w:rPr>
          <w:rFonts w:ascii="黑体" w:hAnsi="宋体" w:eastAsia="黑体"/>
          <w:b/>
          <w:bCs/>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期：年月日</w:t>
      </w:r>
      <w:r>
        <w:rPr>
          <w:rFonts w:ascii="黑体" w:hAnsi="宋体" w:eastAsia="黑体"/>
          <w:color w:val="000000" w:themeColor="text1"/>
          <w:sz w:val="28"/>
          <w:szCs w:val="28"/>
          <w:highlight w:val="none"/>
          <w14:textFill>
            <w14:solidFill>
              <w14:schemeClr w14:val="tx1"/>
            </w14:solidFill>
          </w14:textFill>
        </w:rPr>
        <w:br w:type="page"/>
      </w:r>
    </w:p>
    <w:p>
      <w:pPr>
        <w:pStyle w:val="9"/>
        <w:shd w:val="clear"/>
        <w:adjustRightInd w:val="0"/>
        <w:snapToGrid w:val="0"/>
        <w:spacing w:before="156" w:beforeLines="5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117" w:name="_Toc6774"/>
      <w:bookmarkStart w:id="118" w:name="_Toc4287"/>
      <w:bookmarkStart w:id="119" w:name="_Toc11542"/>
      <w:bookmarkStart w:id="120" w:name="_Toc6624"/>
      <w:r>
        <w:rPr>
          <w:rFonts w:hint="eastAsia" w:ascii="黑体" w:hAnsi="宋体" w:eastAsia="黑体"/>
          <w:color w:val="000000" w:themeColor="text1"/>
          <w:sz w:val="28"/>
          <w:szCs w:val="28"/>
          <w:highlight w:val="none"/>
          <w14:textFill>
            <w14:solidFill>
              <w14:schemeClr w14:val="tx1"/>
            </w14:solidFill>
          </w14:textFill>
        </w:rPr>
        <w:t>九、采购需求偏离表</w:t>
      </w:r>
      <w:bookmarkEnd w:id="117"/>
      <w:bookmarkEnd w:id="118"/>
      <w:bookmarkEnd w:id="119"/>
      <w:bookmarkEnd w:id="120"/>
    </w:p>
    <w:p>
      <w:pPr>
        <w:shd w:val="clear"/>
        <w:adjustRightInd w:val="0"/>
        <w:snapToGrid w:val="0"/>
        <w:spacing w:before="156" w:beforeLines="50"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宋体" w:hAnsi="宋体"/>
          <w:color w:val="000000" w:themeColor="text1"/>
          <w:spacing w:val="28"/>
          <w:szCs w:val="21"/>
          <w:highlight w:val="none"/>
          <w14:textFill>
            <w14:solidFill>
              <w14:schemeClr w14:val="tx1"/>
            </w14:solidFill>
          </w14:textFill>
        </w:rPr>
        <w:t>政府采购计划编号</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项目名称：</w:t>
      </w:r>
      <w:r>
        <w:rPr>
          <w:rFonts w:hint="eastAsia" w:ascii="宋体" w:hAnsi="宋体"/>
          <w:color w:val="000000" w:themeColor="text1"/>
          <w:szCs w:val="21"/>
          <w:highlight w:val="none"/>
          <w:u w:val="single"/>
          <w14:textFill>
            <w14:solidFill>
              <w14:schemeClr w14:val="tx1"/>
            </w14:solidFill>
          </w14:textFill>
        </w:rPr>
        <w:t xml:space="preserve">                   </w:t>
      </w:r>
    </w:p>
    <w:p>
      <w:pPr>
        <w:shd w:val="clear"/>
        <w:adjustRightInd w:val="0"/>
        <w:snapToGrid w:val="0"/>
        <w:spacing w:before="156" w:beforeLines="50" w:line="360" w:lineRule="auto"/>
        <w:rPr>
          <w:rFonts w:ascii="宋体" w:hAnsi="宋体"/>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包           号：</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包名称：</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p>
    <w:tbl>
      <w:tblPr>
        <w:tblStyle w:val="47"/>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序</w:t>
            </w:r>
            <w:r>
              <w:rPr>
                <w:rFonts w:hint="eastAsia" w:asciiTheme="minorEastAsia" w:hAnsiTheme="minorEastAsia" w:eastAsiaTheme="minorEastAsia"/>
                <w:color w:val="000000" w:themeColor="text1"/>
                <w:szCs w:val="21"/>
                <w:highlight w:val="none"/>
                <w14:textFill>
                  <w14:solidFill>
                    <w14:schemeClr w14:val="tx1"/>
                  </w14:solidFill>
                </w14:textFill>
              </w:rPr>
              <w:t>号</w:t>
            </w: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招标文件章节</w:t>
            </w:r>
            <w:r>
              <w:rPr>
                <w:rFonts w:hint="eastAsia" w:asciiTheme="minorEastAsia" w:hAnsiTheme="minorEastAsia" w:eastAsiaTheme="minorEastAsia"/>
                <w:bCs/>
                <w:color w:val="000000" w:themeColor="text1"/>
                <w:szCs w:val="21"/>
                <w:highlight w:val="none"/>
                <w14:textFill>
                  <w14:solidFill>
                    <w14:schemeClr w14:val="tx1"/>
                  </w14:solidFill>
                </w14:textFill>
              </w:rPr>
              <w:t>条</w:t>
            </w:r>
            <w:r>
              <w:rPr>
                <w:rFonts w:hint="eastAsia" w:asciiTheme="minorEastAsia" w:hAnsiTheme="minorEastAsia" w:eastAsiaTheme="minorEastAsia"/>
                <w:color w:val="000000" w:themeColor="text1"/>
                <w:szCs w:val="21"/>
                <w:highlight w:val="none"/>
                <w14:textFill>
                  <w14:solidFill>
                    <w14:schemeClr w14:val="tx1"/>
                  </w14:solidFill>
                </w14:textFill>
              </w:rPr>
              <w:t>款号</w:t>
            </w:r>
          </w:p>
        </w:tc>
        <w:tc>
          <w:tcPr>
            <w:tcW w:w="1985" w:type="dxa"/>
            <w:tcBorders>
              <w:right w:val="single" w:color="auto" w:sz="4" w:space="0"/>
            </w:tcBorders>
          </w:tcPr>
          <w:p>
            <w:pPr>
              <w:shd w:val="clear"/>
              <w:adjustRightInd w:val="0"/>
              <w:snapToGrid w:val="0"/>
              <w:spacing w:before="50"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招标文件要求</w:t>
            </w:r>
          </w:p>
        </w:tc>
        <w:tc>
          <w:tcPr>
            <w:tcW w:w="2126" w:type="dxa"/>
            <w:tcBorders>
              <w:left w:val="single" w:color="auto" w:sz="4" w:space="0"/>
            </w:tcBorders>
          </w:tcPr>
          <w:p>
            <w:pPr>
              <w:shd w:val="clear"/>
              <w:adjustRightInd w:val="0"/>
              <w:snapToGrid w:val="0"/>
              <w:spacing w:before="50"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投标文件应答</w:t>
            </w: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26" w:type="dxa"/>
            <w:tcBorders>
              <w:lef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756"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410" w:type="dxa"/>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1985" w:type="dxa"/>
            <w:tcBorders>
              <w:right w:val="single" w:color="auto" w:sz="4" w:space="0"/>
            </w:tcBorders>
            <w:vAlign w:val="center"/>
          </w:tcPr>
          <w:p>
            <w:pPr>
              <w:shd w:val="clear"/>
              <w:adjustRightInd w:val="0"/>
              <w:snapToGrid w:val="0"/>
              <w:spacing w:before="50" w:line="360" w:lineRule="auto"/>
              <w:ind w:left="-88" w:leftChars="-42"/>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3882" w:type="dxa"/>
            <w:gridSpan w:val="2"/>
            <w:tcBorders>
              <w:left w:val="single" w:color="auto" w:sz="4" w:space="0"/>
            </w:tcBorders>
            <w:vAlign w:val="center"/>
          </w:tcPr>
          <w:p>
            <w:pPr>
              <w:shd w:val="clear"/>
              <w:adjustRightInd w:val="0"/>
              <w:snapToGrid w:val="0"/>
              <w:spacing w:before="50" w:line="360" w:lineRule="auto"/>
              <w:ind w:firstLine="422"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投标人保证：除本采购需求偏离表列出的偏离外，我单位对招标文件的其他采购需求条款完全响应，无偏离。</w:t>
            </w:r>
          </w:p>
        </w:tc>
      </w:tr>
    </w:tbl>
    <w:p>
      <w:pPr>
        <w:shd w:val="clear"/>
        <w:adjustRightInd w:val="0"/>
        <w:snapToGrid w:val="0"/>
        <w:spacing w:before="50" w:line="360" w:lineRule="auto"/>
        <w:ind w:left="-88" w:leftChars="-42"/>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备注</w:t>
      </w:r>
      <w:r>
        <w:rPr>
          <w:rFonts w:hint="eastAsia" w:asciiTheme="minorEastAsia" w:hAnsiTheme="minorEastAsia" w:eastAsiaTheme="minorEastAsia"/>
          <w:color w:val="000000" w:themeColor="text1"/>
          <w:szCs w:val="21"/>
          <w:highlight w:val="none"/>
          <w14:textFill>
            <w14:solidFill>
              <w14:schemeClr w14:val="tx1"/>
            </w14:solidFill>
          </w14:textFill>
        </w:rPr>
        <w:t>：（1）投标人应根据招标文件第五章“采购需求”填写本表；</w:t>
      </w:r>
    </w:p>
    <w:p>
      <w:pPr>
        <w:shd w:val="clear"/>
        <w:adjustRightInd w:val="0"/>
        <w:snapToGrid w:val="0"/>
        <w:spacing w:before="50" w:line="360" w:lineRule="auto"/>
        <w:ind w:left="-88" w:leftChars="-42" w:firstLine="420" w:firstLineChars="200"/>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（2）</w:t>
      </w:r>
      <w:r>
        <w:rPr>
          <w:rFonts w:hint="eastAsia" w:asciiTheme="minorEastAsia" w:hAnsiTheme="minorEastAsia" w:eastAsiaTheme="minorEastAsia"/>
          <w:b/>
          <w:color w:val="000000" w:themeColor="text1"/>
          <w:szCs w:val="21"/>
          <w:highlight w:val="none"/>
          <w14:textFill>
            <w14:solidFill>
              <w14:schemeClr w14:val="tx1"/>
            </w14:solidFill>
          </w14:textFill>
        </w:rPr>
        <w:t>投标人如果对招标文件第五章“采购需求”的响应有偏离，应将偏离条款逐条如实应答，并作出说明；</w:t>
      </w:r>
    </w:p>
    <w:p>
      <w:pPr>
        <w:shd w:val="clear"/>
        <w:adjustRightInd w:val="0"/>
        <w:snapToGrid w:val="0"/>
        <w:spacing w:before="50" w:line="360" w:lineRule="auto"/>
        <w:ind w:left="-88" w:leftChars="-42"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（3）如不提供此表，则视为投标人不满足招标文件第五章的所有条款要求，其</w:t>
      </w:r>
      <w:r>
        <w:rPr>
          <w:rFonts w:hint="eastAsia" w:asciiTheme="minorEastAsia" w:hAnsiTheme="minorEastAsia" w:eastAsiaTheme="minorEastAsia"/>
          <w:b/>
          <w:color w:val="000000" w:themeColor="text1"/>
          <w:szCs w:val="21"/>
          <w:highlight w:val="none"/>
          <w14:textFill>
            <w14:solidFill>
              <w14:schemeClr w14:val="tx1"/>
            </w14:solidFill>
          </w14:textFill>
        </w:rPr>
        <w:t>投标无效</w:t>
      </w:r>
      <w:r>
        <w:rPr>
          <w:rFonts w:hint="eastAsia" w:asciiTheme="minorEastAsia" w:hAnsiTheme="minorEastAsia" w:eastAsiaTheme="minorEastAsia"/>
          <w:color w:val="000000" w:themeColor="text1"/>
          <w:szCs w:val="21"/>
          <w:highlight w:val="none"/>
          <w14:textFill>
            <w14:solidFill>
              <w14:schemeClr w14:val="tx1"/>
            </w14:solidFill>
          </w14:textFill>
        </w:rPr>
        <w:t>。</w:t>
      </w:r>
    </w:p>
    <w:p>
      <w:pPr>
        <w:shd w:val="clear"/>
        <w:adjustRightInd w:val="0"/>
        <w:snapToGrid w:val="0"/>
        <w:spacing w:before="50" w:line="360" w:lineRule="auto"/>
        <w:ind w:left="-88" w:leftChars="-42"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pPr>
        <w:shd w:val="clear"/>
        <w:adjustRightInd w:val="0"/>
        <w:snapToGrid w:val="0"/>
        <w:spacing w:before="50" w:line="360" w:lineRule="auto"/>
        <w:ind w:left="-88" w:leftChars="-42" w:firstLine="420" w:firstLineChars="20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（5）本表偏离表与本章第七节“采购需求响应”不一致时，以“采购需求响应”为准。</w:t>
      </w:r>
    </w:p>
    <w:p>
      <w:pPr>
        <w:shd w:val="clear"/>
        <w:adjustRightInd w:val="0"/>
        <w:snapToGrid w:val="0"/>
        <w:spacing w:before="50" w:line="360" w:lineRule="auto"/>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或其授权的代理人（电子签字或电子印章）：</w:t>
      </w:r>
    </w:p>
    <w:p>
      <w:pPr>
        <w:shd w:val="clear"/>
        <w:adjustRightInd w:val="0"/>
        <w:snapToGrid w:val="0"/>
        <w:spacing w:before="5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期：年月日</w:t>
      </w:r>
    </w:p>
    <w:p>
      <w:pPr>
        <w:pStyle w:val="9"/>
        <w:shd w:val="clear"/>
        <w:adjustRightInd w:val="0"/>
        <w:snapToGrid w:val="0"/>
        <w:spacing w:before="0" w:after="0" w:line="360" w:lineRule="auto"/>
        <w:jc w:val="center"/>
        <w:rPr>
          <w:rFonts w:ascii="宋体" w:hAnsi="宋体"/>
          <w:color w:val="000000" w:themeColor="text1"/>
          <w:szCs w:val="21"/>
          <w:highlight w:val="none"/>
          <w14:textFill>
            <w14:solidFill>
              <w14:schemeClr w14:val="tx1"/>
            </w14:solidFill>
          </w14:textFill>
        </w:rPr>
        <w:sectPr>
          <w:pgSz w:w="11906" w:h="16838"/>
          <w:pgMar w:top="1474" w:right="1474" w:bottom="1474" w:left="1474" w:header="851" w:footer="992" w:gutter="0"/>
          <w:pgNumType w:fmt="decimal"/>
          <w:cols w:space="720" w:num="1"/>
          <w:docGrid w:type="lines" w:linePitch="312" w:charSpace="0"/>
        </w:sectPr>
      </w:pPr>
      <w:r>
        <w:rPr>
          <w:rFonts w:ascii="宋体" w:hAnsi="宋体"/>
          <w:color w:val="000000" w:themeColor="text1"/>
          <w:szCs w:val="21"/>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121" w:name="_Toc29698"/>
      <w:bookmarkStart w:id="122" w:name="_Toc26854"/>
      <w:bookmarkStart w:id="123" w:name="_Toc13702"/>
      <w:bookmarkStart w:id="124" w:name="_Toc12256"/>
      <w:r>
        <w:rPr>
          <w:rFonts w:hint="eastAsia" w:ascii="宋体" w:hAnsi="宋体"/>
          <w:color w:val="000000" w:themeColor="text1"/>
          <w:szCs w:val="21"/>
          <w:highlight w:val="none"/>
          <w14:textFill>
            <w14:solidFill>
              <w14:schemeClr w14:val="tx1"/>
            </w14:solidFill>
          </w14:textFill>
        </w:rPr>
        <w:t>十</w:t>
      </w:r>
      <w:r>
        <w:rPr>
          <w:rFonts w:hint="eastAsia" w:ascii="黑体" w:hAnsi="宋体" w:eastAsia="黑体"/>
          <w:color w:val="000000" w:themeColor="text1"/>
          <w:sz w:val="28"/>
          <w:szCs w:val="28"/>
          <w:highlight w:val="none"/>
          <w14:textFill>
            <w14:solidFill>
              <w14:schemeClr w14:val="tx1"/>
            </w14:solidFill>
          </w14:textFill>
        </w:rPr>
        <w:t>、享受政府采购政策优惠的证明资料</w:t>
      </w:r>
      <w:bookmarkEnd w:id="121"/>
      <w:bookmarkEnd w:id="122"/>
      <w:bookmarkEnd w:id="123"/>
      <w:bookmarkEnd w:id="124"/>
    </w:p>
    <w:p>
      <w:pPr>
        <w:shd w:val="clea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p>
    <w:p>
      <w:pPr>
        <w:shd w:val="clear"/>
        <w:adjustRightInd w:val="0"/>
        <w:snapToGrid w:val="0"/>
        <w:spacing w:line="360" w:lineRule="auto"/>
        <w:ind w:firstLine="444" w:firstLineChars="200"/>
        <w:rPr>
          <w:rFonts w:cs="宋体" w:asciiTheme="minorEastAsia" w:hAnsiTheme="minorEastAsia" w:eastAsiaTheme="minorEastAsia"/>
          <w:bCs/>
          <w:color w:val="000000" w:themeColor="text1"/>
          <w:spacing w:val="6"/>
          <w:kern w:val="0"/>
          <w:szCs w:val="21"/>
          <w:highlight w:val="none"/>
          <w14:textFill>
            <w14:solidFill>
              <w14:schemeClr w14:val="tx1"/>
            </w14:solidFill>
          </w14:textFill>
        </w:rPr>
      </w:pPr>
      <w:r>
        <w:rPr>
          <w:rFonts w:hint="eastAsia" w:cs="宋体" w:asciiTheme="minorEastAsia" w:hAnsiTheme="minorEastAsia" w:eastAsiaTheme="minorEastAsia"/>
          <w:bCs/>
          <w:color w:val="000000" w:themeColor="text1"/>
          <w:spacing w:val="6"/>
          <w:kern w:val="0"/>
          <w:szCs w:val="21"/>
          <w:highlight w:val="none"/>
          <w14:textFill>
            <w14:solidFill>
              <w14:schemeClr w14:val="tx1"/>
            </w14:solidFill>
          </w14:textFill>
        </w:rPr>
        <w:t>投标人符合第二章第36.6款要求的，应提供下列证明资料，并填写相关数据。否则，评审时不予以考虑。</w:t>
      </w:r>
    </w:p>
    <w:p>
      <w:pPr>
        <w:shd w:val="clea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p>
    <w:p>
      <w:pPr>
        <w:pStyle w:val="10"/>
        <w:shd w:val="clear"/>
        <w:rPr>
          <w:rFonts w:ascii="黑体" w:hAnsi="华文中宋" w:cs="宋体"/>
          <w:b w:val="0"/>
          <w:bCs w:val="0"/>
          <w:color w:val="000000" w:themeColor="text1"/>
          <w:spacing w:val="6"/>
          <w:sz w:val="21"/>
          <w:szCs w:val="21"/>
          <w:highlight w:val="none"/>
          <w14:textFill>
            <w14:solidFill>
              <w14:schemeClr w14:val="tx1"/>
            </w14:solidFill>
          </w14:textFill>
        </w:rPr>
      </w:pPr>
      <w:bookmarkStart w:id="125" w:name="_Toc23391"/>
      <w:bookmarkStart w:id="126" w:name="_Toc4539"/>
      <w:bookmarkStart w:id="127" w:name="_Toc27887"/>
      <w:bookmarkStart w:id="128" w:name="_Toc27575"/>
      <w:r>
        <w:rPr>
          <w:rFonts w:hint="eastAsia" w:ascii="黑体" w:hAnsi="华文中宋" w:cs="宋体"/>
          <w:b w:val="0"/>
          <w:bCs w:val="0"/>
          <w:color w:val="000000" w:themeColor="text1"/>
          <w:spacing w:val="6"/>
          <w:sz w:val="21"/>
          <w:szCs w:val="21"/>
          <w:highlight w:val="none"/>
          <w14:textFill>
            <w14:solidFill>
              <w14:schemeClr w14:val="tx1"/>
            </w14:solidFill>
          </w14:textFill>
        </w:rPr>
        <w:t>附件10-1</w:t>
      </w:r>
      <w:bookmarkEnd w:id="125"/>
      <w:bookmarkEnd w:id="126"/>
      <w:bookmarkEnd w:id="127"/>
      <w:bookmarkEnd w:id="128"/>
      <w:r>
        <w:rPr>
          <w:rFonts w:hint="eastAsia" w:ascii="黑体" w:hAnsi="宋体"/>
          <w:b w:val="0"/>
          <w:bCs w:val="0"/>
          <w:color w:val="000000" w:themeColor="text1"/>
          <w:sz w:val="21"/>
          <w:szCs w:val="21"/>
          <w:highlight w:val="none"/>
          <w14:textFill>
            <w14:solidFill>
              <w14:schemeClr w14:val="tx1"/>
            </w14:solidFill>
          </w14:textFill>
        </w:rPr>
        <w:t>中小企业声明函</w:t>
      </w:r>
    </w:p>
    <w:p>
      <w:pPr>
        <w:widowControl/>
        <w:shd w:val="clear"/>
        <w:adjustRightInd w:val="0"/>
        <w:snapToGrid w:val="0"/>
        <w:spacing w:line="360" w:lineRule="auto"/>
        <w:jc w:val="center"/>
        <w:rPr>
          <w:rFonts w:ascii="黑体" w:hAnsi="黑体" w:eastAsia="黑体" w:cs="宋体"/>
          <w:b/>
          <w:bCs/>
          <w:color w:val="000000" w:themeColor="text1"/>
          <w:spacing w:val="6"/>
          <w:kern w:val="0"/>
          <w:sz w:val="28"/>
          <w:szCs w:val="28"/>
          <w:highlight w:val="none"/>
          <w14:textFill>
            <w14:solidFill>
              <w14:schemeClr w14:val="tx1"/>
            </w14:solidFill>
          </w14:textFill>
        </w:rPr>
      </w:pPr>
      <w:r>
        <w:rPr>
          <w:rFonts w:hint="eastAsia" w:ascii="黑体" w:hAnsi="黑体" w:eastAsia="黑体" w:cs="黑体"/>
          <w:b/>
          <w:bCs/>
          <w:color w:val="000000" w:themeColor="text1"/>
          <w:spacing w:val="6"/>
          <w:kern w:val="0"/>
          <w:sz w:val="28"/>
          <w:szCs w:val="28"/>
          <w:highlight w:val="none"/>
          <w14:textFill>
            <w14:solidFill>
              <w14:schemeClr w14:val="tx1"/>
            </w14:solidFill>
          </w14:textFill>
        </w:rPr>
        <w:t>中小企业声明函（货物类）</w:t>
      </w:r>
    </w:p>
    <w:p>
      <w:pPr>
        <w:widowControl/>
        <w:shd w:val="clear"/>
        <w:adjustRightInd w:val="0"/>
        <w:snapToGrid w:val="0"/>
        <w:spacing w:line="360" w:lineRule="auto"/>
        <w:jc w:val="center"/>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b/>
          <w:color w:val="000000" w:themeColor="text1"/>
          <w:spacing w:val="6"/>
          <w:kern w:val="0"/>
          <w:szCs w:val="21"/>
          <w:highlight w:val="none"/>
          <w14:textFill>
            <w14:solidFill>
              <w14:schemeClr w14:val="tx1"/>
            </w14:solidFill>
          </w14:textFill>
        </w:rPr>
        <w:t>(不满足以下条件的无需填写)</w:t>
      </w:r>
    </w:p>
    <w:p>
      <w:pPr>
        <w:widowControl/>
        <w:shd w:val="clea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kern w:val="0"/>
          <w:szCs w:val="21"/>
          <w:highlight w:val="none"/>
          <w:u w:val="single"/>
          <w:lang w:bidi="ar"/>
          <w14:textFill>
            <w14:solidFill>
              <w14:schemeClr w14:val="tx1"/>
            </w14:solidFill>
          </w14:textFill>
        </w:rPr>
        <w:t>（单位名称）</w:t>
      </w:r>
      <w:r>
        <w:rPr>
          <w:rFonts w:hint="eastAsia" w:ascii="宋体" w:hAnsi="宋体" w:cs="宋体"/>
          <w:color w:val="000000" w:themeColor="text1"/>
          <w:kern w:val="0"/>
          <w:szCs w:val="21"/>
          <w:highlight w:val="none"/>
          <w:lang w:bidi="ar"/>
          <w14:textFill>
            <w14:solidFill>
              <w14:schemeClr w14:val="tx1"/>
            </w14:solidFill>
          </w14:textFill>
        </w:rPr>
        <w:t>的</w:t>
      </w:r>
      <w:r>
        <w:rPr>
          <w:rFonts w:hint="eastAsia" w:ascii="宋体" w:hAnsi="宋体" w:cs="宋体"/>
          <w:color w:val="000000" w:themeColor="text1"/>
          <w:kern w:val="0"/>
          <w:szCs w:val="21"/>
          <w:highlight w:val="none"/>
          <w:u w:val="single"/>
          <w:lang w:bidi="ar"/>
          <w14:textFill>
            <w14:solidFill>
              <w14:schemeClr w14:val="tx1"/>
            </w14:solidFill>
          </w14:textFill>
        </w:rPr>
        <w:t>（项目名称）</w:t>
      </w:r>
      <w:r>
        <w:rPr>
          <w:rFonts w:hint="eastAsia" w:ascii="宋体" w:hAnsi="宋体" w:cs="宋体"/>
          <w:color w:val="000000" w:themeColor="text1"/>
          <w:kern w:val="0"/>
          <w:szCs w:val="21"/>
          <w:highlight w:val="none"/>
          <w:lang w:bidi="ar"/>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p>
    <w:p>
      <w:pPr>
        <w:widowControl/>
        <w:shd w:val="clea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1. </w:t>
      </w:r>
      <w:r>
        <w:rPr>
          <w:rFonts w:hint="eastAsia" w:ascii="宋体" w:hAnsi="宋体" w:cs="宋体"/>
          <w:color w:val="000000" w:themeColor="text1"/>
          <w:kern w:val="0"/>
          <w:szCs w:val="21"/>
          <w:highlight w:val="none"/>
          <w:u w:val="single"/>
          <w:lang w:bidi="ar"/>
          <w14:textFill>
            <w14:solidFill>
              <w14:schemeClr w14:val="tx1"/>
            </w14:solidFill>
          </w14:textFill>
        </w:rPr>
        <w:t xml:space="preserve">（标的名称） </w:t>
      </w:r>
      <w:r>
        <w:rPr>
          <w:rFonts w:hint="eastAsia" w:ascii="宋体" w:hAnsi="宋体" w:cs="宋体"/>
          <w:color w:val="000000" w:themeColor="text1"/>
          <w:kern w:val="0"/>
          <w:szCs w:val="21"/>
          <w:highlight w:val="none"/>
          <w:lang w:bidi="ar"/>
          <w14:textFill>
            <w14:solidFill>
              <w14:schemeClr w14:val="tx1"/>
            </w14:solidFill>
          </w14:textFill>
        </w:rPr>
        <w:t>，属于</w:t>
      </w:r>
      <w:r>
        <w:rPr>
          <w:rFonts w:hint="eastAsia" w:ascii="宋体" w:hAnsi="宋体" w:cs="宋体"/>
          <w:color w:val="000000" w:themeColor="text1"/>
          <w:kern w:val="0"/>
          <w:szCs w:val="21"/>
          <w:highlight w:val="none"/>
          <w:u w:val="single"/>
          <w:lang w:bidi="ar"/>
          <w14:textFill>
            <w14:solidFill>
              <w14:schemeClr w14:val="tx1"/>
            </w14:solidFill>
          </w14:textFill>
        </w:rPr>
        <w:t>（采购文件中明确的所属行业）</w:t>
      </w:r>
      <w:r>
        <w:rPr>
          <w:rFonts w:hint="eastAsia" w:ascii="宋体" w:hAnsi="宋体" w:cs="宋体"/>
          <w:color w:val="000000" w:themeColor="text1"/>
          <w:kern w:val="0"/>
          <w:szCs w:val="21"/>
          <w:highlight w:val="none"/>
          <w:lang w:bidi="ar"/>
          <w14:textFill>
            <w14:solidFill>
              <w14:schemeClr w14:val="tx1"/>
            </w14:solidFill>
          </w14:textFill>
        </w:rPr>
        <w:t>行业；制造商为</w:t>
      </w:r>
      <w:r>
        <w:rPr>
          <w:rFonts w:hint="eastAsia" w:ascii="宋体" w:hAnsi="宋体" w:cs="宋体"/>
          <w:color w:val="000000" w:themeColor="text1"/>
          <w:kern w:val="0"/>
          <w:szCs w:val="21"/>
          <w:highlight w:val="none"/>
          <w:u w:val="single"/>
          <w:lang w:bidi="ar"/>
          <w14:textFill>
            <w14:solidFill>
              <w14:schemeClr w14:val="tx1"/>
            </w14:solidFill>
          </w14:textFill>
        </w:rPr>
        <w:t>（企业名称）</w:t>
      </w:r>
      <w:r>
        <w:rPr>
          <w:rFonts w:hint="eastAsia" w:ascii="宋体" w:hAnsi="宋体" w:cs="宋体"/>
          <w:color w:val="000000" w:themeColor="text1"/>
          <w:kern w:val="0"/>
          <w:szCs w:val="21"/>
          <w:highlight w:val="none"/>
          <w:lang w:bidi="ar"/>
          <w14:textFill>
            <w14:solidFill>
              <w14:schemeClr w14:val="tx1"/>
            </w14:solidFill>
          </w14:textFill>
        </w:rPr>
        <w:t>，从业人员</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人，营业收入为</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万元，资产总额为</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万元，属于</w:t>
      </w:r>
      <w:r>
        <w:rPr>
          <w:rFonts w:hint="eastAsia" w:ascii="宋体" w:hAnsi="宋体" w:cs="宋体"/>
          <w:color w:val="000000" w:themeColor="text1"/>
          <w:kern w:val="0"/>
          <w:szCs w:val="21"/>
          <w:highlight w:val="none"/>
          <w:u w:val="single"/>
          <w:lang w:bidi="ar"/>
          <w14:textFill>
            <w14:solidFill>
              <w14:schemeClr w14:val="tx1"/>
            </w14:solidFill>
          </w14:textFill>
        </w:rPr>
        <w:t>（中型企业、小型企业、微型企业）</w:t>
      </w:r>
      <w:r>
        <w:rPr>
          <w:rFonts w:hint="eastAsia" w:ascii="宋体" w:hAnsi="宋体" w:cs="宋体"/>
          <w:color w:val="000000" w:themeColor="text1"/>
          <w:kern w:val="0"/>
          <w:szCs w:val="21"/>
          <w:highlight w:val="none"/>
          <w:lang w:bidi="ar"/>
          <w14:textFill>
            <w14:solidFill>
              <w14:schemeClr w14:val="tx1"/>
            </w14:solidFill>
          </w14:textFill>
        </w:rPr>
        <w:t xml:space="preserve">； </w:t>
      </w:r>
    </w:p>
    <w:p>
      <w:pPr>
        <w:widowControl/>
        <w:shd w:val="clea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2. </w:t>
      </w:r>
      <w:r>
        <w:rPr>
          <w:rFonts w:hint="eastAsia" w:ascii="宋体" w:hAnsi="宋体" w:cs="宋体"/>
          <w:color w:val="000000" w:themeColor="text1"/>
          <w:kern w:val="0"/>
          <w:szCs w:val="21"/>
          <w:highlight w:val="none"/>
          <w:u w:val="single"/>
          <w:lang w:bidi="ar"/>
          <w14:textFill>
            <w14:solidFill>
              <w14:schemeClr w14:val="tx1"/>
            </w14:solidFill>
          </w14:textFill>
        </w:rPr>
        <w:t xml:space="preserve">（标的名称） </w:t>
      </w:r>
      <w:r>
        <w:rPr>
          <w:rFonts w:hint="eastAsia" w:ascii="宋体" w:hAnsi="宋体" w:cs="宋体"/>
          <w:color w:val="000000" w:themeColor="text1"/>
          <w:kern w:val="0"/>
          <w:szCs w:val="21"/>
          <w:highlight w:val="none"/>
          <w:lang w:bidi="ar"/>
          <w14:textFill>
            <w14:solidFill>
              <w14:schemeClr w14:val="tx1"/>
            </w14:solidFill>
          </w14:textFill>
        </w:rPr>
        <w:t>，属于</w:t>
      </w:r>
      <w:r>
        <w:rPr>
          <w:rFonts w:hint="eastAsia" w:ascii="宋体" w:hAnsi="宋体" w:cs="宋体"/>
          <w:color w:val="000000" w:themeColor="text1"/>
          <w:kern w:val="0"/>
          <w:szCs w:val="21"/>
          <w:highlight w:val="none"/>
          <w:u w:val="single"/>
          <w:lang w:bidi="ar"/>
          <w14:textFill>
            <w14:solidFill>
              <w14:schemeClr w14:val="tx1"/>
            </w14:solidFill>
          </w14:textFill>
        </w:rPr>
        <w:t>（采购文件中明确的所属行业）</w:t>
      </w:r>
      <w:r>
        <w:rPr>
          <w:rFonts w:hint="eastAsia" w:ascii="宋体" w:hAnsi="宋体" w:cs="宋体"/>
          <w:color w:val="000000" w:themeColor="text1"/>
          <w:kern w:val="0"/>
          <w:szCs w:val="21"/>
          <w:highlight w:val="none"/>
          <w:lang w:bidi="ar"/>
          <w14:textFill>
            <w14:solidFill>
              <w14:schemeClr w14:val="tx1"/>
            </w14:solidFill>
          </w14:textFill>
        </w:rPr>
        <w:t>行业；制造商为</w:t>
      </w:r>
      <w:r>
        <w:rPr>
          <w:rFonts w:hint="eastAsia" w:ascii="宋体" w:hAnsi="宋体" w:cs="宋体"/>
          <w:color w:val="000000" w:themeColor="text1"/>
          <w:kern w:val="0"/>
          <w:szCs w:val="21"/>
          <w:highlight w:val="none"/>
          <w:u w:val="single"/>
          <w:lang w:bidi="ar"/>
          <w14:textFill>
            <w14:solidFill>
              <w14:schemeClr w14:val="tx1"/>
            </w14:solidFill>
          </w14:textFill>
        </w:rPr>
        <w:t>（企业名称）</w:t>
      </w:r>
      <w:r>
        <w:rPr>
          <w:rFonts w:hint="eastAsia" w:ascii="宋体" w:hAnsi="宋体" w:cs="宋体"/>
          <w:color w:val="000000" w:themeColor="text1"/>
          <w:kern w:val="0"/>
          <w:szCs w:val="21"/>
          <w:highlight w:val="none"/>
          <w:lang w:bidi="ar"/>
          <w14:textFill>
            <w14:solidFill>
              <w14:schemeClr w14:val="tx1"/>
            </w14:solidFill>
          </w14:textFill>
        </w:rPr>
        <w:t>，从业人员</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人，营业收入为</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万元，资产总额为</w:t>
      </w:r>
      <w:r>
        <w:rPr>
          <w:rFonts w:hint="eastAsia" w:ascii="宋体" w:hAnsi="宋体" w:cs="宋体"/>
          <w:color w:val="000000" w:themeColor="text1"/>
          <w:kern w:val="0"/>
          <w:szCs w:val="21"/>
          <w:highlight w:val="none"/>
          <w:u w:val="single"/>
          <w:lang w:bidi="ar"/>
          <w14:textFill>
            <w14:solidFill>
              <w14:schemeClr w14:val="tx1"/>
            </w14:solidFill>
          </w14:textFill>
        </w:rPr>
        <w:t xml:space="preserve">       </w:t>
      </w:r>
      <w:r>
        <w:rPr>
          <w:rFonts w:hint="eastAsia" w:ascii="宋体" w:hAnsi="宋体" w:cs="宋体"/>
          <w:color w:val="000000" w:themeColor="text1"/>
          <w:kern w:val="0"/>
          <w:szCs w:val="21"/>
          <w:highlight w:val="none"/>
          <w:lang w:bidi="ar"/>
          <w14:textFill>
            <w14:solidFill>
              <w14:schemeClr w14:val="tx1"/>
            </w14:solidFill>
          </w14:textFill>
        </w:rPr>
        <w:t>万元，属于</w:t>
      </w:r>
      <w:r>
        <w:rPr>
          <w:rFonts w:hint="eastAsia" w:ascii="宋体" w:hAnsi="宋体" w:cs="宋体"/>
          <w:color w:val="000000" w:themeColor="text1"/>
          <w:kern w:val="0"/>
          <w:szCs w:val="21"/>
          <w:highlight w:val="none"/>
          <w:u w:val="single"/>
          <w:lang w:bidi="ar"/>
          <w14:textFill>
            <w14:solidFill>
              <w14:schemeClr w14:val="tx1"/>
            </w14:solidFill>
          </w14:textFill>
        </w:rPr>
        <w:t>（中型企业、小型企业、微型企业）</w:t>
      </w:r>
      <w:r>
        <w:rPr>
          <w:rFonts w:hint="eastAsia" w:ascii="宋体" w:hAnsi="宋体" w:cs="宋体"/>
          <w:color w:val="000000" w:themeColor="text1"/>
          <w:kern w:val="0"/>
          <w:szCs w:val="21"/>
          <w:highlight w:val="none"/>
          <w:lang w:bidi="ar"/>
          <w14:textFill>
            <w14:solidFill>
              <w14:schemeClr w14:val="tx1"/>
            </w14:solidFill>
          </w14:textFill>
        </w:rPr>
        <w:t xml:space="preserve">；  </w:t>
      </w:r>
    </w:p>
    <w:p>
      <w:pPr>
        <w:widowControl/>
        <w:shd w:val="clea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w:t>
      </w:r>
    </w:p>
    <w:p>
      <w:pPr>
        <w:widowControl/>
        <w:shd w:val="clea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p>
    <w:p>
      <w:pPr>
        <w:widowControl/>
        <w:shd w:val="clear"/>
        <w:adjustRightInd w:val="0"/>
        <w:snapToGrid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p>
    <w:p>
      <w:pPr>
        <w:widowControl/>
        <w:shd w:val="clear"/>
        <w:adjustRightInd w:val="0"/>
        <w:snapToGrid w:val="0"/>
        <w:spacing w:line="360" w:lineRule="auto"/>
        <w:ind w:firstLine="420" w:firstLineChars="200"/>
        <w:jc w:val="center"/>
        <w:rPr>
          <w:rFonts w:ascii="宋体" w:hAnsi="宋体" w:cs="宋体"/>
          <w:color w:val="000000" w:themeColor="text1"/>
          <w:kern w:val="0"/>
          <w:szCs w:val="21"/>
          <w:highlight w:val="none"/>
          <w14:textFill>
            <w14:solidFill>
              <w14:schemeClr w14:val="tx1"/>
            </w14:solidFill>
          </w14:textFill>
        </w:rPr>
      </w:pPr>
    </w:p>
    <w:p>
      <w:pPr>
        <w:widowControl/>
        <w:shd w:val="clear"/>
        <w:adjustRightInd w:val="0"/>
        <w:snapToGrid w:val="0"/>
        <w:spacing w:line="360" w:lineRule="auto"/>
        <w:ind w:firstLine="444" w:firstLineChars="200"/>
        <w:jc w:val="center"/>
        <w:rPr>
          <w:rFonts w:ascii="宋体" w:hAnsi="宋体" w:cs="宋体"/>
          <w:color w:val="000000" w:themeColor="text1"/>
          <w:spacing w:val="6"/>
          <w:kern w:val="0"/>
          <w:szCs w:val="21"/>
          <w:highlight w:val="none"/>
          <w:u w:val="singl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 xml:space="preserve">             投标人名称（盖单位电子章）：</w:t>
      </w:r>
    </w:p>
    <w:p>
      <w:pPr>
        <w:widowControl/>
        <w:shd w:val="clear"/>
        <w:adjustRightInd w:val="0"/>
        <w:snapToGrid w:val="0"/>
        <w:spacing w:line="360" w:lineRule="auto"/>
        <w:ind w:firstLine="444" w:firstLineChars="200"/>
        <w:jc w:val="center"/>
        <w:rPr>
          <w:rFonts w:ascii="宋体" w:hAnsi="宋体" w:cs="宋体"/>
          <w:color w:val="000000" w:themeColor="text1"/>
          <w:spacing w:val="6"/>
          <w:kern w:val="0"/>
          <w:szCs w:val="21"/>
          <w:highlight w:val="none"/>
          <w:u w:val="single"/>
          <w14:textFill>
            <w14:solidFill>
              <w14:schemeClr w14:val="tx1"/>
            </w14:solidFill>
          </w14:textFill>
        </w:rPr>
      </w:pPr>
      <w:r>
        <w:rPr>
          <w:rFonts w:hint="eastAsia" w:ascii="宋体" w:hAnsi="宋体" w:cs="宋体"/>
          <w:color w:val="000000" w:themeColor="text1"/>
          <w:spacing w:val="6"/>
          <w:kern w:val="0"/>
          <w:szCs w:val="21"/>
          <w:highlight w:val="none"/>
          <w14:textFill>
            <w14:solidFill>
              <w14:schemeClr w14:val="tx1"/>
            </w14:solidFill>
          </w14:textFill>
        </w:rPr>
        <w:t xml:space="preserve">                   日 期：</w:t>
      </w:r>
    </w:p>
    <w:p>
      <w:pPr>
        <w:widowControl/>
        <w:shd w:val="clear"/>
        <w:adjustRightInd w:val="0"/>
        <w:snapToGrid w:val="0"/>
        <w:spacing w:line="360" w:lineRule="auto"/>
        <w:ind w:firstLine="446" w:firstLineChars="200"/>
        <w:jc w:val="center"/>
        <w:rPr>
          <w:rFonts w:cs="宋体" w:asciiTheme="minorEastAsia" w:hAnsiTheme="minorEastAsia" w:eastAsiaTheme="minorEastAsia"/>
          <w:b/>
          <w:color w:val="000000" w:themeColor="text1"/>
          <w:spacing w:val="6"/>
          <w:kern w:val="0"/>
          <w:szCs w:val="21"/>
          <w:highlight w:val="none"/>
          <w:u w:val="single"/>
          <w14:textFill>
            <w14:solidFill>
              <w14:schemeClr w14:val="tx1"/>
            </w14:solidFill>
          </w14:textFill>
        </w:rPr>
      </w:pPr>
    </w:p>
    <w:p>
      <w:pPr>
        <w:widowControl/>
        <w:shd w:val="clear"/>
        <w:ind w:firstLine="420" w:firstLineChars="200"/>
        <w:jc w:val="left"/>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注：1.属于专门面向中小企业采购的政府采购货物类项目，投标人应按本声明函内容和格式如实声明采购标的制造商的企业规模，未提供本声明函或不符合《政府采购促进中小企业发展管理办法》（财库﹝2020﹞46 号）规定的，其</w:t>
      </w:r>
      <w:r>
        <w:rPr>
          <w:rFonts w:hint="eastAsia" w:ascii="宋体" w:hAnsi="宋体" w:cs="宋体"/>
          <w:b/>
          <w:bCs/>
          <w:color w:val="000000" w:themeColor="text1"/>
          <w:kern w:val="0"/>
          <w:szCs w:val="21"/>
          <w:highlight w:val="none"/>
          <w:lang w:bidi="ar"/>
          <w14:textFill>
            <w14:solidFill>
              <w14:schemeClr w14:val="tx1"/>
            </w14:solidFill>
          </w14:textFill>
        </w:rPr>
        <w:t>投标无效。</w:t>
      </w:r>
    </w:p>
    <w:p>
      <w:pPr>
        <w:widowControl/>
        <w:shd w:val="clear"/>
        <w:ind w:firstLine="420" w:firstLineChars="200"/>
        <w:jc w:val="left"/>
        <w:rPr>
          <w:rFonts w:ascii="黑体" w:hAnsi="华文中宋" w:eastAsia="黑体" w:cs="宋体"/>
          <w:bCs/>
          <w:color w:val="000000" w:themeColor="text1"/>
          <w:spacing w:val="6"/>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2.从业人员、营业收入、资产总额填报上一年度数据，无上一年度数据的新成立企业可不填报。</w:t>
      </w:r>
    </w:p>
    <w:p>
      <w:pPr>
        <w:widowControl/>
        <w:shd w:val="clear"/>
        <w:adjustRightInd w:val="0"/>
        <w:snapToGrid w:val="0"/>
        <w:spacing w:line="360" w:lineRule="auto"/>
        <w:ind w:firstLine="446" w:firstLineChars="200"/>
        <w:jc w:val="left"/>
        <w:rPr>
          <w:rFonts w:cs="宋体" w:asciiTheme="minorEastAsia" w:hAnsiTheme="minorEastAsia" w:eastAsiaTheme="minorEastAsia"/>
          <w:b/>
          <w:bCs/>
          <w:color w:val="000000" w:themeColor="text1"/>
          <w:spacing w:val="6"/>
          <w:kern w:val="0"/>
          <w:szCs w:val="21"/>
          <w:highlight w:val="none"/>
          <w14:textFill>
            <w14:solidFill>
              <w14:schemeClr w14:val="tx1"/>
            </w14:solidFill>
          </w14:textFill>
        </w:rPr>
      </w:pPr>
    </w:p>
    <w:p>
      <w:pPr>
        <w:widowControl/>
        <w:shd w:val="clear"/>
        <w:jc w:val="left"/>
        <w:rPr>
          <w:rFonts w:cs="宋体" w:asciiTheme="minorEastAsia" w:hAnsiTheme="minorEastAsia" w:eastAsiaTheme="minorEastAsia"/>
          <w:b/>
          <w:bCs/>
          <w:color w:val="000000" w:themeColor="text1"/>
          <w:spacing w:val="6"/>
          <w:kern w:val="0"/>
          <w:szCs w:val="21"/>
          <w:highlight w:val="none"/>
          <w14:textFill>
            <w14:solidFill>
              <w14:schemeClr w14:val="tx1"/>
            </w14:solidFill>
          </w14:textFill>
        </w:rPr>
      </w:pPr>
    </w:p>
    <w:p>
      <w:pPr>
        <w:widowControl/>
        <w:shd w:val="clear"/>
        <w:adjustRightInd w:val="0"/>
        <w:snapToGrid w:val="0"/>
        <w:spacing w:line="360" w:lineRule="auto"/>
        <w:ind w:firstLine="446" w:firstLineChars="200"/>
        <w:jc w:val="left"/>
        <w:rPr>
          <w:rFonts w:cs="宋体" w:asciiTheme="minorEastAsia" w:hAnsiTheme="minorEastAsia" w:eastAsiaTheme="minorEastAsia"/>
          <w:b/>
          <w:bCs/>
          <w:color w:val="000000" w:themeColor="text1"/>
          <w:spacing w:val="6"/>
          <w:kern w:val="0"/>
          <w:szCs w:val="21"/>
          <w:highlight w:val="none"/>
          <w14:textFill>
            <w14:solidFill>
              <w14:schemeClr w14:val="tx1"/>
            </w14:solidFill>
          </w14:textFill>
        </w:rPr>
      </w:pPr>
    </w:p>
    <w:p>
      <w:pPr>
        <w:pStyle w:val="10"/>
        <w:shd w:val="clear"/>
        <w:rPr>
          <w:rFonts w:ascii="黑体" w:hAnsi="黑体"/>
          <w:b w:val="0"/>
          <w:bCs w:val="0"/>
          <w:color w:val="000000" w:themeColor="text1"/>
          <w:sz w:val="2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br w:type="page"/>
      </w:r>
      <w:bookmarkStart w:id="129" w:name="_Toc82155492"/>
      <w:bookmarkStart w:id="130" w:name="_Toc14340"/>
      <w:bookmarkStart w:id="131" w:name="_Toc62206227"/>
      <w:bookmarkStart w:id="132" w:name="_Toc22201164"/>
      <w:r>
        <w:rPr>
          <w:rFonts w:hint="eastAsia" w:ascii="黑体" w:hAnsi="黑体" w:cs="宋体"/>
          <w:b w:val="0"/>
          <w:bCs w:val="0"/>
          <w:color w:val="000000" w:themeColor="text1"/>
          <w:sz w:val="21"/>
          <w:szCs w:val="21"/>
          <w:highlight w:val="none"/>
          <w14:textFill>
            <w14:solidFill>
              <w14:schemeClr w14:val="tx1"/>
            </w14:solidFill>
          </w14:textFill>
        </w:rPr>
        <w:t xml:space="preserve">附件10-2 </w:t>
      </w:r>
      <w:r>
        <w:rPr>
          <w:rFonts w:hint="eastAsia" w:ascii="黑体" w:hAnsi="黑体"/>
          <w:b w:val="0"/>
          <w:bCs w:val="0"/>
          <w:color w:val="000000" w:themeColor="text1"/>
          <w:sz w:val="21"/>
          <w:szCs w:val="21"/>
          <w:highlight w:val="none"/>
          <w14:textFill>
            <w14:solidFill>
              <w14:schemeClr w14:val="tx1"/>
            </w14:solidFill>
          </w14:textFill>
        </w:rPr>
        <w:t>残疾人福利性单位声明函</w:t>
      </w:r>
      <w:bookmarkEnd w:id="129"/>
      <w:bookmarkEnd w:id="130"/>
      <w:bookmarkEnd w:id="131"/>
      <w:bookmarkEnd w:id="132"/>
    </w:p>
    <w:p>
      <w:pPr>
        <w:shd w:val="clear"/>
        <w:adjustRightInd w:val="0"/>
        <w:snapToGrid w:val="0"/>
        <w:spacing w:line="360" w:lineRule="auto"/>
        <w:jc w:val="center"/>
        <w:rPr>
          <w:rFonts w:ascii="黑体" w:hAnsi="黑体" w:eastAsia="黑体"/>
          <w:b/>
          <w:color w:val="000000" w:themeColor="text1"/>
          <w:spacing w:val="6"/>
          <w:sz w:val="28"/>
          <w:szCs w:val="28"/>
          <w:highlight w:val="none"/>
          <w14:textFill>
            <w14:solidFill>
              <w14:schemeClr w14:val="tx1"/>
            </w14:solidFill>
          </w14:textFill>
        </w:rPr>
      </w:pPr>
      <w:r>
        <w:rPr>
          <w:rFonts w:hint="eastAsia" w:ascii="黑体" w:hAnsi="黑体" w:eastAsia="黑体"/>
          <w:b/>
          <w:color w:val="000000" w:themeColor="text1"/>
          <w:spacing w:val="6"/>
          <w:sz w:val="28"/>
          <w:szCs w:val="28"/>
          <w:highlight w:val="none"/>
          <w14:textFill>
            <w14:solidFill>
              <w14:schemeClr w14:val="tx1"/>
            </w14:solidFill>
          </w14:textFill>
        </w:rPr>
        <w:t>残疾人福利性单位声明函</w:t>
      </w:r>
    </w:p>
    <w:p>
      <w:pPr>
        <w:shd w:val="clear"/>
        <w:adjustRightInd w:val="0"/>
        <w:snapToGrid w:val="0"/>
        <w:spacing w:line="360" w:lineRule="auto"/>
        <w:ind w:firstLine="446" w:firstLineChars="200"/>
        <w:rPr>
          <w:rFonts w:ascii="宋体" w:hAnsi="宋体"/>
          <w:b/>
          <w:color w:val="000000" w:themeColor="text1"/>
          <w:spacing w:val="6"/>
          <w:szCs w:val="21"/>
          <w:highlight w:val="none"/>
          <w14:textFill>
            <w14:solidFill>
              <w14:schemeClr w14:val="tx1"/>
            </w14:solidFill>
          </w14:textFill>
        </w:rPr>
      </w:pPr>
    </w:p>
    <w:p>
      <w:pPr>
        <w:shd w:val="clea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本单位郑重声明，根据《财政部民政部中国残疾人联合会关于促进残疾人就业政府采购政策的通知》（财库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〔2017〕141</w:t>
      </w:r>
      <w:r>
        <w:rPr>
          <w:rFonts w:hint="eastAsia" w:ascii="宋体" w:hAnsi="宋体"/>
          <w:color w:val="000000" w:themeColor="text1"/>
          <w:spacing w:val="6"/>
          <w:szCs w:val="21"/>
          <w:highlight w:val="none"/>
          <w14:textFill>
            <w14:solidFill>
              <w14:schemeClr w14:val="tx1"/>
            </w14:solidFill>
          </w14:textFill>
        </w:rPr>
        <w:t>号）的规定，本单位为符合条件的残疾人福利性单位，且本单位参加</w:t>
      </w:r>
      <w:r>
        <w:rPr>
          <w:rFonts w:hint="eastAsia"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单位的</w:t>
      </w:r>
      <w:r>
        <w:rPr>
          <w:rFonts w:hint="eastAsia" w:ascii="宋体" w:hAnsi="宋体"/>
          <w:color w:val="000000" w:themeColor="text1"/>
          <w:spacing w:val="6"/>
          <w:szCs w:val="21"/>
          <w:highlight w:val="none"/>
          <w:u w:val="single"/>
          <w14:textFill>
            <w14:solidFill>
              <w14:schemeClr w14:val="tx1"/>
            </w14:solidFill>
          </w14:textFill>
        </w:rPr>
        <w:t xml:space="preserve">           </w:t>
      </w:r>
      <w:r>
        <w:rPr>
          <w:rFonts w:hint="eastAsia" w:ascii="宋体" w:hAnsi="宋体"/>
          <w:color w:val="000000" w:themeColor="text1"/>
          <w:spacing w:val="6"/>
          <w:szCs w:val="21"/>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pPr>
        <w:shd w:val="clea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本单位对上述声明的真实性负责。如有虚假，将依法承担相应责任。</w:t>
      </w:r>
    </w:p>
    <w:p>
      <w:pPr>
        <w:shd w:val="clea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pPr>
        <w:shd w:val="clear"/>
        <w:adjustRightInd w:val="0"/>
        <w:snapToGrid w:val="0"/>
        <w:spacing w:line="360" w:lineRule="auto"/>
        <w:ind w:firstLine="444" w:firstLineChars="200"/>
        <w:rPr>
          <w:rFonts w:ascii="宋体" w:hAnsi="宋体"/>
          <w:color w:val="000000" w:themeColor="text1"/>
          <w:spacing w:val="6"/>
          <w:szCs w:val="21"/>
          <w:highlight w:val="none"/>
          <w14:textFill>
            <w14:solidFill>
              <w14:schemeClr w14:val="tx1"/>
            </w14:solidFill>
          </w14:textFill>
        </w:rPr>
      </w:pPr>
    </w:p>
    <w:p>
      <w:pPr>
        <w:shd w:val="clea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单位名称（盖章）：</w:t>
      </w:r>
    </w:p>
    <w:p>
      <w:pPr>
        <w:shd w:val="clear"/>
        <w:tabs>
          <w:tab w:val="left" w:pos="4860"/>
        </w:tabs>
        <w:adjustRightInd w:val="0"/>
        <w:snapToGrid w:val="0"/>
        <w:spacing w:line="360" w:lineRule="auto"/>
        <w:ind w:right="1560" w:firstLine="444" w:firstLineChars="200"/>
        <w:jc w:val="center"/>
        <w:rPr>
          <w:rFonts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日  期：</w:t>
      </w:r>
    </w:p>
    <w:p>
      <w:pPr>
        <w:widowControl/>
        <w:shd w:val="clear"/>
        <w:jc w:val="left"/>
        <w:rPr>
          <w:rFonts w:ascii="宋体" w:hAnsi="宋体" w:cs="宋体"/>
          <w:color w:val="000000" w:themeColor="text1"/>
          <w:spacing w:val="6"/>
          <w:kern w:val="0"/>
          <w:szCs w:val="21"/>
          <w:highlight w:val="none"/>
          <w14:textFill>
            <w14:solidFill>
              <w14:schemeClr w14:val="tx1"/>
            </w14:solidFill>
          </w14:textFill>
        </w:rPr>
      </w:pPr>
    </w:p>
    <w:p>
      <w:pPr>
        <w:pStyle w:val="10"/>
        <w:shd w:val="clear"/>
        <w:rPr>
          <w:rFonts w:ascii="黑体" w:hAnsi="黑体"/>
          <w:color w:val="000000" w:themeColor="text1"/>
          <w:sz w:val="21"/>
          <w:szCs w:val="21"/>
          <w:highlight w:val="none"/>
          <w14:textFill>
            <w14:solidFill>
              <w14:schemeClr w14:val="tx1"/>
            </w14:solidFill>
          </w14:textFill>
        </w:rPr>
      </w:pPr>
      <w:bookmarkStart w:id="133" w:name="_Toc62206228"/>
      <w:bookmarkStart w:id="134" w:name="_Toc82155493"/>
      <w:bookmarkStart w:id="135" w:name="_Toc22201165"/>
      <w:bookmarkStart w:id="136" w:name="_Toc31153"/>
      <w:r>
        <w:rPr>
          <w:rFonts w:hint="eastAsia" w:ascii="黑体" w:hAnsi="黑体" w:cs="宋体"/>
          <w:b w:val="0"/>
          <w:bCs w:val="0"/>
          <w:color w:val="000000" w:themeColor="text1"/>
          <w:sz w:val="21"/>
          <w:szCs w:val="21"/>
          <w:highlight w:val="none"/>
          <w14:textFill>
            <w14:solidFill>
              <w14:schemeClr w14:val="tx1"/>
            </w14:solidFill>
          </w14:textFill>
        </w:rPr>
        <w:t xml:space="preserve">附件10-3 </w:t>
      </w:r>
      <w:r>
        <w:rPr>
          <w:rFonts w:hint="eastAsia" w:ascii="黑体" w:hAnsi="黑体"/>
          <w:b w:val="0"/>
          <w:bCs w:val="0"/>
          <w:color w:val="000000" w:themeColor="text1"/>
          <w:sz w:val="21"/>
          <w:szCs w:val="21"/>
          <w:highlight w:val="none"/>
          <w14:textFill>
            <w14:solidFill>
              <w14:schemeClr w14:val="tx1"/>
            </w14:solidFill>
          </w14:textFill>
        </w:rPr>
        <w:t>监狱企业证明资料</w:t>
      </w:r>
      <w:bookmarkEnd w:id="133"/>
      <w:bookmarkEnd w:id="134"/>
      <w:bookmarkEnd w:id="135"/>
      <w:bookmarkEnd w:id="136"/>
    </w:p>
    <w:p>
      <w:pPr>
        <w:shd w:val="clear"/>
        <w:adjustRightInd w:val="0"/>
        <w:snapToGrid w:val="0"/>
        <w:spacing w:line="360" w:lineRule="auto"/>
        <w:jc w:val="center"/>
        <w:rPr>
          <w:rFonts w:ascii="黑体" w:hAnsi="宋体"/>
          <w:b/>
          <w:color w:val="000000" w:themeColor="text1"/>
          <w:sz w:val="28"/>
          <w:szCs w:val="28"/>
          <w:highlight w:val="none"/>
          <w14:textFill>
            <w14:solidFill>
              <w14:schemeClr w14:val="tx1"/>
            </w14:solidFill>
          </w14:textFill>
        </w:rPr>
      </w:pPr>
      <w:r>
        <w:rPr>
          <w:rFonts w:hint="eastAsia" w:ascii="黑体" w:hAnsi="宋体"/>
          <w:b/>
          <w:color w:val="000000" w:themeColor="text1"/>
          <w:sz w:val="28"/>
          <w:szCs w:val="28"/>
          <w:highlight w:val="none"/>
          <w14:textFill>
            <w14:solidFill>
              <w14:schemeClr w14:val="tx1"/>
            </w14:solidFill>
          </w14:textFill>
        </w:rPr>
        <w:t>监狱企业证明资料</w:t>
      </w:r>
    </w:p>
    <w:p>
      <w:pPr>
        <w:shd w:val="clear"/>
        <w:adjustRightInd w:val="0"/>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注</w:t>
      </w:r>
      <w:r>
        <w:rPr>
          <w:rFonts w:hint="eastAsia" w:ascii="宋体" w:hAnsi="宋体" w:cs="宋体"/>
          <w:bCs/>
          <w:color w:val="000000" w:themeColor="text1"/>
          <w:spacing w:val="6"/>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按</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财政部司法部关于政府采购支持监狱企业发展有关问题的通知</w:t>
      </w:r>
      <w:r>
        <w:rPr>
          <w:rFonts w:hint="eastAsia" w:ascii="宋体" w:hAnsi="宋体"/>
          <w:color w:val="000000" w:themeColor="text1"/>
          <w:spacing w:val="6"/>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(财库〔2014〕68号)文件规定提供证明文件。</w:t>
      </w:r>
    </w:p>
    <w:p>
      <w:pPr>
        <w:shd w:val="clear"/>
        <w:adjustRightInd w:val="0"/>
        <w:snapToGrid w:val="0"/>
        <w:spacing w:line="360" w:lineRule="auto"/>
        <w:rPr>
          <w:rFonts w:ascii="黑体" w:hAnsi="华文中宋" w:eastAsia="黑体" w:cs="宋体"/>
          <w:bCs/>
          <w:color w:val="000000" w:themeColor="text1"/>
          <w:spacing w:val="6"/>
          <w:kern w:val="0"/>
          <w:szCs w:val="2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pStyle w:val="10"/>
        <w:shd w:val="clear"/>
        <w:rPr>
          <w:rFonts w:ascii="黑体" w:hAnsi="宋体"/>
          <w:b w:val="0"/>
          <w:bCs w:val="0"/>
          <w:color w:val="000000" w:themeColor="text1"/>
          <w:sz w:val="21"/>
          <w:szCs w:val="21"/>
          <w:highlight w:val="none"/>
          <w14:textFill>
            <w14:solidFill>
              <w14:schemeClr w14:val="tx1"/>
            </w14:solidFill>
          </w14:textFill>
        </w:rPr>
      </w:pPr>
      <w:bookmarkStart w:id="137" w:name="_Toc24815"/>
      <w:r>
        <w:rPr>
          <w:rFonts w:hint="eastAsia" w:ascii="黑体" w:hAnsi="华文中宋" w:cs="宋体"/>
          <w:b w:val="0"/>
          <w:bCs w:val="0"/>
          <w:color w:val="000000" w:themeColor="text1"/>
          <w:spacing w:val="6"/>
          <w:sz w:val="21"/>
          <w:szCs w:val="21"/>
          <w:highlight w:val="none"/>
          <w14:textFill>
            <w14:solidFill>
              <w14:schemeClr w14:val="tx1"/>
            </w14:solidFill>
          </w14:textFill>
        </w:rPr>
        <w:t xml:space="preserve">附件10-4 </w:t>
      </w:r>
      <w:r>
        <w:rPr>
          <w:rFonts w:hint="eastAsia" w:ascii="黑体" w:hAnsi="宋体"/>
          <w:b w:val="0"/>
          <w:bCs w:val="0"/>
          <w:color w:val="000000" w:themeColor="text1"/>
          <w:sz w:val="21"/>
          <w:szCs w:val="21"/>
          <w:highlight w:val="none"/>
          <w14:textFill>
            <w14:solidFill>
              <w14:schemeClr w14:val="tx1"/>
            </w14:solidFill>
          </w14:textFill>
        </w:rPr>
        <w:t>强制采购或者优先采购产品的证明材料</w:t>
      </w:r>
      <w:bookmarkEnd w:id="137"/>
    </w:p>
    <w:p>
      <w:pPr>
        <w:shd w:val="clear"/>
        <w:adjustRightInd w:val="0"/>
        <w:snapToGrid w:val="0"/>
        <w:spacing w:line="360" w:lineRule="auto"/>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强制采购或者优先采购产品</w:t>
      </w:r>
      <w:r>
        <w:rPr>
          <w:rFonts w:hint="eastAsia" w:ascii="黑体" w:hAnsi="黑体" w:eastAsia="黑体"/>
          <w:b/>
          <w:bCs/>
          <w:color w:val="000000" w:themeColor="text1"/>
          <w:sz w:val="28"/>
          <w:szCs w:val="28"/>
          <w:highlight w:val="none"/>
          <w14:textFill>
            <w14:solidFill>
              <w14:schemeClr w14:val="tx1"/>
            </w14:solidFill>
          </w14:textFill>
        </w:rPr>
        <w:t>的</w:t>
      </w:r>
      <w:r>
        <w:rPr>
          <w:rFonts w:hint="eastAsia" w:ascii="黑体" w:hAnsi="黑体" w:eastAsia="黑体"/>
          <w:b/>
          <w:color w:val="000000" w:themeColor="text1"/>
          <w:sz w:val="28"/>
          <w:szCs w:val="28"/>
          <w:highlight w:val="none"/>
          <w14:textFill>
            <w14:solidFill>
              <w14:schemeClr w14:val="tx1"/>
            </w14:solidFill>
          </w14:textFill>
        </w:rPr>
        <w:t>证明材料</w:t>
      </w:r>
    </w:p>
    <w:p>
      <w:pPr>
        <w:shd w:val="clea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宋体" w:hAnsi="宋体"/>
          <w:b/>
          <w:color w:val="000000" w:themeColor="text1"/>
          <w:spacing w:val="6"/>
          <w:szCs w:val="21"/>
          <w:highlight w:val="none"/>
          <w14:textFill>
            <w14:solidFill>
              <w14:schemeClr w14:val="tx1"/>
            </w14:solidFill>
          </w14:textFill>
        </w:rPr>
        <w:t>(不属于强制采购或者优先采购产品的无需提供)</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注：投标人提供的产品</w:t>
      </w:r>
      <w:r>
        <w:rPr>
          <w:rFonts w:hint="eastAsia" w:ascii="宋体" w:hAnsi="宋体"/>
          <w:bCs/>
          <w:color w:val="000000" w:themeColor="text1"/>
          <w:szCs w:val="21"/>
          <w:highlight w:val="none"/>
          <w14:textFill>
            <w14:solidFill>
              <w14:schemeClr w14:val="tx1"/>
            </w14:solidFill>
          </w14:textFill>
        </w:rPr>
        <w:t>属于强制采购或者优先采购的</w:t>
      </w:r>
      <w:r>
        <w:rPr>
          <w:rFonts w:hint="eastAsia" w:ascii="宋体" w:hAnsi="宋体"/>
          <w:color w:val="000000" w:themeColor="text1"/>
          <w:szCs w:val="21"/>
          <w:highlight w:val="none"/>
          <w14:textFill>
            <w14:solidFill>
              <w14:schemeClr w14:val="tx1"/>
            </w14:solidFill>
          </w14:textFill>
        </w:rPr>
        <w:t>，应按第二章第33.6款规定提供证明材料和本章本节附页2“优先采购产品清单”，并加盖投标人单位章。</w:t>
      </w:r>
    </w:p>
    <w:p>
      <w:pPr>
        <w:shd w:val="clear"/>
        <w:adjustRightInd w:val="0"/>
        <w:snapToGrid w:val="0"/>
        <w:spacing w:line="360" w:lineRule="auto"/>
        <w:ind w:firstLine="420" w:firstLineChars="200"/>
        <w:jc w:val="left"/>
        <w:rPr>
          <w:rFonts w:ascii="宋体" w:hAnsi="宋体"/>
          <w:color w:val="000000" w:themeColor="text1"/>
          <w:szCs w:val="21"/>
          <w:highlight w:val="none"/>
          <w14:textFill>
            <w14:solidFill>
              <w14:schemeClr w14:val="tx1"/>
            </w14:solidFill>
          </w14:textFill>
        </w:rPr>
      </w:pPr>
    </w:p>
    <w:p>
      <w:pPr>
        <w:shd w:val="clear"/>
        <w:rPr>
          <w:color w:val="000000" w:themeColor="text1"/>
          <w:highlight w:val="none"/>
          <w14:textFill>
            <w14:solidFill>
              <w14:schemeClr w14:val="tx1"/>
            </w14:solidFill>
          </w14:textFill>
        </w:rPr>
      </w:pPr>
    </w:p>
    <w:p>
      <w:pPr>
        <w:pStyle w:val="10"/>
        <w:shd w:val="clear"/>
        <w:adjustRightInd w:val="0"/>
        <w:snapToGrid w:val="0"/>
        <w:spacing w:before="156" w:beforeLines="50" w:after="0" w:line="360" w:lineRule="auto"/>
        <w:jc w:val="left"/>
        <w:rPr>
          <w:rFonts w:ascii="黑体" w:hAnsi="宋体"/>
          <w:b w:val="0"/>
          <w:color w:val="000000" w:themeColor="text1"/>
          <w:sz w:val="21"/>
          <w:szCs w:val="21"/>
          <w:highlight w:val="none"/>
          <w14:textFill>
            <w14:solidFill>
              <w14:schemeClr w14:val="tx1"/>
            </w14:solidFill>
          </w14:textFill>
        </w:rPr>
      </w:pPr>
      <w:bookmarkStart w:id="138" w:name="_Toc7976"/>
      <w:bookmarkStart w:id="139" w:name="_Toc10006"/>
      <w:bookmarkStart w:id="140" w:name="_Toc5695"/>
      <w:bookmarkStart w:id="141" w:name="_Toc88"/>
      <w:r>
        <w:rPr>
          <w:rFonts w:hint="eastAsia" w:ascii="黑体" w:hAnsi="华文中宋" w:cs="宋体"/>
          <w:b w:val="0"/>
          <w:bCs w:val="0"/>
          <w:color w:val="000000" w:themeColor="text1"/>
          <w:spacing w:val="6"/>
          <w:sz w:val="21"/>
          <w:szCs w:val="21"/>
          <w:highlight w:val="none"/>
          <w14:textFill>
            <w14:solidFill>
              <w14:schemeClr w14:val="tx1"/>
            </w14:solidFill>
          </w14:textFill>
        </w:rPr>
        <w:t>附页 1</w:t>
      </w:r>
      <w:bookmarkEnd w:id="138"/>
      <w:bookmarkEnd w:id="139"/>
      <w:bookmarkEnd w:id="140"/>
      <w:bookmarkEnd w:id="141"/>
      <w:r>
        <w:rPr>
          <w:rFonts w:hint="eastAsia" w:ascii="黑体" w:hAnsi="宋体"/>
          <w:b w:val="0"/>
          <w:color w:val="000000" w:themeColor="text1"/>
          <w:sz w:val="21"/>
          <w:szCs w:val="21"/>
          <w:highlight w:val="none"/>
          <w14:textFill>
            <w14:solidFill>
              <w14:schemeClr w14:val="tx1"/>
            </w14:solidFill>
          </w14:textFill>
        </w:rPr>
        <w:t>优先采购产品清单</w:t>
      </w:r>
    </w:p>
    <w:p>
      <w:pPr>
        <w:shd w:val="clear"/>
        <w:adjustRightInd w:val="0"/>
        <w:snapToGrid w:val="0"/>
        <w:spacing w:line="360" w:lineRule="auto"/>
        <w:jc w:val="center"/>
        <w:rPr>
          <w:rFonts w:ascii="宋体" w:hAnsi="宋体"/>
          <w:b/>
          <w:color w:val="000000" w:themeColor="text1"/>
          <w:spacing w:val="6"/>
          <w:szCs w:val="21"/>
          <w:highlight w:val="none"/>
          <w14:textFill>
            <w14:solidFill>
              <w14:schemeClr w14:val="tx1"/>
            </w14:solidFill>
          </w14:textFill>
        </w:rPr>
      </w:pPr>
      <w:r>
        <w:rPr>
          <w:rFonts w:hint="eastAsia" w:ascii="黑体" w:hAnsi="宋体" w:eastAsia="黑体"/>
          <w:b/>
          <w:color w:val="000000" w:themeColor="text1"/>
          <w:sz w:val="28"/>
          <w:szCs w:val="28"/>
          <w:highlight w:val="none"/>
          <w14:textFill>
            <w14:solidFill>
              <w14:schemeClr w14:val="tx1"/>
            </w14:solidFill>
          </w14:textFill>
        </w:rPr>
        <w:t>优先采购产品清单</w:t>
      </w: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政府采购计划编号：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项目名称：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       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包名称：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tbl>
      <w:tblPr>
        <w:tblStyle w:val="47"/>
        <w:tblW w:w="874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729"/>
        <w:gridCol w:w="1127"/>
        <w:gridCol w:w="1410"/>
        <w:gridCol w:w="1972"/>
        <w:gridCol w:w="18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8740" w:type="dxa"/>
            <w:gridSpan w:val="6"/>
            <w:vAlign w:val="center"/>
          </w:tcPr>
          <w:p>
            <w:pPr>
              <w:widowControl/>
              <w:shd w:val="clear"/>
              <w:adjustRightInd w:val="0"/>
              <w:snapToGrid w:val="0"/>
              <w:spacing w:line="360" w:lineRule="auto"/>
              <w:ind w:firstLine="480" w:firstLineChars="200"/>
              <w:jc w:val="left"/>
              <w:rPr>
                <w:rFonts w:ascii="黑体" w:hAnsi="黑体" w:eastAsia="黑体"/>
                <w:color w:val="000000" w:themeColor="text1"/>
                <w:kern w:val="0"/>
                <w:sz w:val="24"/>
                <w:highlight w:val="none"/>
                <w14:textFill>
                  <w14:solidFill>
                    <w14:schemeClr w14:val="tx1"/>
                  </w14:solidFill>
                </w14:textFill>
              </w:rPr>
            </w:pPr>
            <w:r>
              <w:rPr>
                <w:rFonts w:hint="eastAsia" w:ascii="黑体" w:hAnsi="宋体" w:eastAsia="黑体"/>
                <w:color w:val="000000" w:themeColor="text1"/>
                <w:kern w:val="0"/>
                <w:sz w:val="24"/>
                <w:highlight w:val="none"/>
                <w14:textFill>
                  <w14:solidFill>
                    <w14:schemeClr w14:val="tx1"/>
                  </w14:solidFill>
                </w14:textFill>
              </w:rPr>
              <w:t>以下为投标人提供的政府采购优先采购产品，投标人对本表的真实性负责。如有虚假，将依法承担相应责任。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67"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1</w:t>
            </w:r>
          </w:p>
        </w:tc>
        <w:tc>
          <w:tcPr>
            <w:tcW w:w="1729"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2</w:t>
            </w:r>
          </w:p>
        </w:tc>
        <w:tc>
          <w:tcPr>
            <w:tcW w:w="1127" w:type="dxa"/>
            <w:tcBorders>
              <w:right w:val="single" w:color="auto" w:sz="4" w:space="0"/>
            </w:tcBorders>
            <w:vAlign w:val="center"/>
          </w:tcPr>
          <w:p>
            <w:pPr>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3</w:t>
            </w:r>
          </w:p>
        </w:tc>
        <w:tc>
          <w:tcPr>
            <w:tcW w:w="1410" w:type="dxa"/>
            <w:tcBorders>
              <w:left w:val="single" w:color="auto" w:sz="4" w:space="0"/>
            </w:tcBorders>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4</w:t>
            </w:r>
          </w:p>
        </w:tc>
        <w:tc>
          <w:tcPr>
            <w:tcW w:w="1972"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5</w:t>
            </w:r>
          </w:p>
        </w:tc>
        <w:tc>
          <w:tcPr>
            <w:tcW w:w="1835"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667"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序号</w:t>
            </w:r>
          </w:p>
        </w:tc>
        <w:tc>
          <w:tcPr>
            <w:tcW w:w="1729"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货物名称</w:t>
            </w:r>
          </w:p>
        </w:tc>
        <w:tc>
          <w:tcPr>
            <w:tcW w:w="1127" w:type="dxa"/>
            <w:tcBorders>
              <w:right w:val="single" w:color="auto" w:sz="4" w:space="0"/>
            </w:tcBorders>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规格型号</w:t>
            </w:r>
          </w:p>
        </w:tc>
        <w:tc>
          <w:tcPr>
            <w:tcW w:w="1410" w:type="dxa"/>
            <w:tcBorders>
              <w:left w:val="single" w:color="auto" w:sz="4" w:space="0"/>
            </w:tcBorders>
            <w:vAlign w:val="center"/>
          </w:tcPr>
          <w:p>
            <w:pPr>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价格（元）</w:t>
            </w:r>
          </w:p>
        </w:tc>
        <w:tc>
          <w:tcPr>
            <w:tcW w:w="1972"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货物制造商名称</w:t>
            </w:r>
          </w:p>
        </w:tc>
        <w:tc>
          <w:tcPr>
            <w:tcW w:w="1835" w:type="dxa"/>
            <w:vAlign w:val="center"/>
          </w:tcPr>
          <w:p>
            <w:pPr>
              <w:widowControl/>
              <w:shd w:val="clear"/>
              <w:adjustRightInd w:val="0"/>
              <w:snapToGrid w:val="0"/>
              <w:spacing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政策功能编码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729"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127" w:type="dxa"/>
            <w:tcBorders>
              <w:righ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835" w:type="dxa"/>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29"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c>
          <w:tcPr>
            <w:tcW w:w="1127" w:type="dxa"/>
            <w:tcBorders>
              <w:righ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c>
          <w:tcPr>
            <w:tcW w:w="1835" w:type="dxa"/>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729"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127" w:type="dxa"/>
            <w:tcBorders>
              <w:righ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c>
          <w:tcPr>
            <w:tcW w:w="1835" w:type="dxa"/>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29"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c>
          <w:tcPr>
            <w:tcW w:w="1127" w:type="dxa"/>
            <w:tcBorders>
              <w:righ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c>
          <w:tcPr>
            <w:tcW w:w="1835" w:type="dxa"/>
          </w:tcPr>
          <w:p>
            <w:pPr>
              <w:shd w:val="clear"/>
              <w:adjustRightInd w:val="0"/>
              <w:snapToGrid w:val="0"/>
              <w:spacing w:line="360" w:lineRule="auto"/>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8740" w:type="dxa"/>
            <w:gridSpan w:val="6"/>
            <w:vAlign w:val="center"/>
          </w:tcPr>
          <w:p>
            <w:pPr>
              <w:shd w:val="clear"/>
              <w:adjustRightInd w:val="0"/>
              <w:snapToGrid w:val="0"/>
              <w:spacing w:line="360" w:lineRule="auto"/>
              <w:jc w:val="lef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两型产品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6" w:hRule="atLeast"/>
        </w:trPr>
        <w:tc>
          <w:tcPr>
            <w:tcW w:w="667"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729"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127" w:type="dxa"/>
            <w:tcBorders>
              <w:right w:val="single" w:color="auto" w:sz="4" w:space="0"/>
            </w:tcBorders>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835" w:type="dxa"/>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0" w:hRule="atLeast"/>
        </w:trPr>
        <w:tc>
          <w:tcPr>
            <w:tcW w:w="667"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1729"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127" w:type="dxa"/>
            <w:tcBorders>
              <w:right w:val="single" w:color="auto" w:sz="4" w:space="0"/>
            </w:tcBorders>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410" w:type="dxa"/>
            <w:tcBorders>
              <w:left w:val="single" w:color="auto" w:sz="4" w:space="0"/>
            </w:tcBorders>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p>
        </w:tc>
        <w:tc>
          <w:tcPr>
            <w:tcW w:w="1972" w:type="dxa"/>
            <w:vAlign w:val="center"/>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835" w:type="dxa"/>
          </w:tcPr>
          <w:p>
            <w:pPr>
              <w:shd w:val="clear"/>
              <w:adjustRightInd w:val="0"/>
              <w:snapToGrid w:val="0"/>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r>
    </w:tbl>
    <w:p>
      <w:pPr>
        <w:shd w:val="clear"/>
        <w:rPr>
          <w:color w:val="000000" w:themeColor="text1"/>
          <w:highlight w:val="none"/>
          <w14:textFill>
            <w14:solidFill>
              <w14:schemeClr w14:val="tx1"/>
            </w14:solidFill>
          </w14:textFill>
        </w:rPr>
      </w:pPr>
    </w:p>
    <w:p>
      <w:pPr>
        <w:shd w:val="clea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w:t>
      </w:r>
      <w:r>
        <w:rPr>
          <w:rFonts w:hint="eastAsia" w:ascii="宋体" w:hAnsi="宋体"/>
          <w:bCs/>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本表用于计算政府采购优先采购产品（节能产品或环境标志产品或两型产品）的政府采购政策加分或者价格扣除。</w:t>
      </w:r>
    </w:p>
    <w:p>
      <w:pPr>
        <w:shd w:val="clear"/>
        <w:adjustRightInd w:val="0"/>
        <w:snapToGrid w:val="0"/>
        <w:spacing w:line="360" w:lineRule="auto"/>
        <w:ind w:firstLine="630" w:firstLineChars="3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2.栏目4“价格”为综合单价，包含货物所有隐含的内容，如运输费、保险费、管理费和利润等。</w:t>
      </w:r>
    </w:p>
    <w:p>
      <w:pPr>
        <w:shd w:val="clear"/>
        <w:adjustRightInd w:val="0"/>
        <w:snapToGrid w:val="0"/>
        <w:spacing w:line="360" w:lineRule="auto"/>
        <w:ind w:firstLine="630" w:firstLineChars="3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3.栏目6“政策功能编码”是指货物的中国环境标志认证证书编号、中国节能标志认证证书号、湖南两型产品编号（货物同时属于节能产品、环境标志产品、两型产品的，只须填写一种）。</w:t>
      </w:r>
    </w:p>
    <w:p>
      <w:pPr>
        <w:shd w:val="clear"/>
        <w:adjustRightInd w:val="0"/>
        <w:snapToGrid w:val="0"/>
        <w:spacing w:line="360" w:lineRule="auto"/>
        <w:ind w:firstLine="630" w:firstLineChars="3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4.投标人在投标截止时间前修改“开标一览表”中的投标报价的，应按第二章第13.7款规定修改本表相应内容。否则，评审时涉及本表所有优惠不予以考虑。</w:t>
      </w:r>
    </w:p>
    <w:p>
      <w:pPr>
        <w:shd w:val="clear"/>
        <w:adjustRightInd w:val="0"/>
        <w:snapToGrid w:val="0"/>
        <w:spacing w:line="360" w:lineRule="auto"/>
        <w:ind w:firstLine="630" w:firstLineChars="300"/>
        <w:rPr>
          <w:rFonts w:ascii="宋体" w:hAnsi="宋体"/>
          <w:color w:val="000000" w:themeColor="text1"/>
          <w:szCs w:val="21"/>
          <w:highlight w:val="none"/>
          <w14:textFill>
            <w14:solidFill>
              <w14:schemeClr w14:val="tx1"/>
            </w14:solidFill>
          </w14:textFill>
        </w:rPr>
      </w:pP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投标人名称（盖单位电子章）：</w:t>
      </w:r>
    </w:p>
    <w:p>
      <w:pPr>
        <w:shd w:val="clear"/>
        <w:adjustRightInd w:val="0"/>
        <w:snapToGrid w:val="0"/>
        <w:spacing w:line="360" w:lineRule="auto"/>
        <w:rPr>
          <w:rFonts w:ascii="宋体" w:hAnsi="宋体"/>
          <w:color w:val="000000" w:themeColor="text1"/>
          <w:szCs w:val="21"/>
          <w:highlight w:val="none"/>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定</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代</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表</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人</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单</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位</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负</w:t>
      </w:r>
      <w:r>
        <w:rPr>
          <w:rFonts w:hint="eastAsia" w:cs="微软雅黑" w:asciiTheme="minorEastAsia" w:hAnsiTheme="minorEastAsia" w:eastAsiaTheme="minorEastAsia"/>
          <w:color w:val="000000" w:themeColor="text1"/>
          <w:kern w:val="0"/>
          <w:szCs w:val="21"/>
          <w:highlight w:val="none"/>
          <w14:textFill>
            <w14:solidFill>
              <w14:schemeClr w14:val="tx1"/>
            </w14:solidFill>
          </w14:textFill>
        </w:rPr>
        <w:t>责人</w:t>
      </w:r>
      <w:r>
        <w:rPr>
          <w:rFonts w:hint="eastAsia" w:cs="微软雅黑" w:asciiTheme="minorEastAsia" w:hAnsiTheme="minorEastAsia" w:eastAsiaTheme="minorEastAsia"/>
          <w:color w:val="000000" w:themeColor="text1"/>
          <w:spacing w:val="-2"/>
          <w:kern w:val="0"/>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或其委托代理人（电子签字或电子印章）：</w:t>
      </w:r>
    </w:p>
    <w:p>
      <w:pPr>
        <w:shd w:val="clear"/>
        <w:adjustRightInd w:val="0"/>
        <w:snapToGrid w:val="0"/>
        <w:spacing w:line="360" w:lineRule="auto"/>
        <w:rPr>
          <w:rFonts w:ascii="黑体" w:hAnsi="华文中宋" w:eastAsia="黑体" w:cs="宋体"/>
          <w:color w:val="000000" w:themeColor="text1"/>
          <w:spacing w:val="6"/>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日期：年月日</w:t>
      </w:r>
      <w:r>
        <w:rPr>
          <w:rFonts w:ascii="黑体" w:hAnsi="华文中宋" w:cs="宋体"/>
          <w:b/>
          <w:bCs/>
          <w:color w:val="000000" w:themeColor="text1"/>
          <w:spacing w:val="6"/>
          <w:kern w:val="0"/>
          <w:szCs w:val="21"/>
          <w:highlight w:val="none"/>
          <w14:textFill>
            <w14:solidFill>
              <w14:schemeClr w14:val="tx1"/>
            </w14:solidFill>
          </w14:textFill>
        </w:rPr>
        <w:br w:type="page"/>
      </w:r>
    </w:p>
    <w:p>
      <w:pPr>
        <w:widowControl/>
        <w:shd w:val="clear"/>
        <w:jc w:val="left"/>
        <w:rPr>
          <w:rFonts w:ascii="黑体" w:hAnsi="华文中宋" w:eastAsia="黑体" w:cs="宋体"/>
          <w:color w:val="000000" w:themeColor="text1"/>
          <w:spacing w:val="6"/>
          <w:kern w:val="0"/>
          <w:szCs w:val="21"/>
          <w:highlight w:val="none"/>
          <w14:textFill>
            <w14:solidFill>
              <w14:schemeClr w14:val="tx1"/>
            </w14:solidFill>
          </w14:textFill>
        </w:rPr>
      </w:pP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142" w:name="_Toc15246"/>
      <w:bookmarkStart w:id="143" w:name="_Toc5404"/>
      <w:bookmarkStart w:id="144" w:name="_Toc9432"/>
      <w:bookmarkStart w:id="145" w:name="_Toc13650"/>
      <w:r>
        <w:rPr>
          <w:rFonts w:hint="eastAsia" w:ascii="黑体" w:hAnsi="宋体" w:eastAsia="黑体"/>
          <w:color w:val="000000" w:themeColor="text1"/>
          <w:sz w:val="28"/>
          <w:szCs w:val="28"/>
          <w:highlight w:val="none"/>
          <w14:textFill>
            <w14:solidFill>
              <w14:schemeClr w14:val="tx1"/>
            </w14:solidFill>
          </w14:textFill>
        </w:rPr>
        <w:t>十一、投标货物符合招标文件规定的证明文件</w:t>
      </w:r>
      <w:bookmarkEnd w:id="142"/>
      <w:bookmarkEnd w:id="143"/>
      <w:bookmarkEnd w:id="144"/>
      <w:bookmarkEnd w:id="145"/>
    </w:p>
    <w:p>
      <w:pPr>
        <w:shd w:val="clear"/>
        <w:adjustRightInd w:val="0"/>
        <w:snapToGrid w:val="0"/>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pPr>
        <w:shd w:val="clear"/>
        <w:adjustRightInd w:val="0"/>
        <w:snapToGrid w:val="0"/>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备注：提供第五章规定的证明材料。</w:t>
      </w:r>
    </w:p>
    <w:p>
      <w:pPr>
        <w:widowControl/>
        <w:shd w:val="clear"/>
        <w:jc w:val="left"/>
        <w:rPr>
          <w:rFonts w:ascii="黑体" w:eastAsia="黑体"/>
          <w:color w:val="000000" w:themeColor="text1"/>
          <w:sz w:val="28"/>
          <w:szCs w:val="28"/>
          <w:highlight w:val="none"/>
          <w14:textFill>
            <w14:solidFill>
              <w14:schemeClr w14:val="tx1"/>
            </w14:solidFill>
          </w14:textFill>
        </w:rPr>
      </w:pPr>
      <w:r>
        <w:rPr>
          <w:rFonts w:ascii="黑体" w:eastAsia="黑体"/>
          <w:b/>
          <w:bCs/>
          <w:color w:val="000000" w:themeColor="text1"/>
          <w:sz w:val="28"/>
          <w:szCs w:val="28"/>
          <w:highlight w:val="none"/>
          <w14:textFill>
            <w14:solidFill>
              <w14:schemeClr w14:val="tx1"/>
            </w14:solidFill>
          </w14:textFill>
        </w:rPr>
        <w:br w:type="page"/>
      </w:r>
    </w:p>
    <w:p>
      <w:pPr>
        <w:pStyle w:val="9"/>
        <w:shd w:val="clear"/>
        <w:adjustRightInd w:val="0"/>
        <w:snapToGrid w:val="0"/>
        <w:spacing w:before="0" w:after="0" w:line="360" w:lineRule="auto"/>
        <w:jc w:val="center"/>
        <w:rPr>
          <w:rFonts w:ascii="黑体" w:hAnsi="宋体" w:eastAsia="黑体"/>
          <w:color w:val="000000" w:themeColor="text1"/>
          <w:sz w:val="28"/>
          <w:szCs w:val="28"/>
          <w:highlight w:val="none"/>
          <w14:textFill>
            <w14:solidFill>
              <w14:schemeClr w14:val="tx1"/>
            </w14:solidFill>
          </w14:textFill>
        </w:rPr>
      </w:pPr>
      <w:bookmarkStart w:id="146" w:name="_Toc21779"/>
      <w:bookmarkStart w:id="147" w:name="_Toc17311"/>
      <w:bookmarkStart w:id="148" w:name="_Toc27730"/>
      <w:bookmarkStart w:id="149" w:name="_Toc28562"/>
      <w:r>
        <w:rPr>
          <w:rFonts w:hint="eastAsia" w:ascii="黑体" w:hAnsi="宋体" w:eastAsia="黑体"/>
          <w:color w:val="000000" w:themeColor="text1"/>
          <w:sz w:val="28"/>
          <w:szCs w:val="28"/>
          <w:highlight w:val="none"/>
          <w14:textFill>
            <w14:solidFill>
              <w14:schemeClr w14:val="tx1"/>
            </w14:solidFill>
          </w14:textFill>
        </w:rPr>
        <w:t>十二、投标人认为需提供的其他资料</w:t>
      </w:r>
      <w:bookmarkEnd w:id="146"/>
      <w:bookmarkEnd w:id="147"/>
      <w:bookmarkEnd w:id="148"/>
      <w:bookmarkEnd w:id="149"/>
    </w:p>
    <w:p>
      <w:pPr>
        <w:shd w:val="clear"/>
        <w:adjustRightInd w:val="0"/>
        <w:snapToGrid w:val="0"/>
        <w:spacing w:before="156" w:beforeLines="50" w:line="360" w:lineRule="auto"/>
        <w:rPr>
          <w:rFonts w:asciiTheme="minorEastAsia" w:hAnsiTheme="minorEastAsia" w:eastAsiaTheme="minorEastAsia"/>
          <w:color w:val="000000" w:themeColor="text1"/>
          <w:highlight w:val="none"/>
          <w14:textFill>
            <w14:solidFill>
              <w14:schemeClr w14:val="tx1"/>
            </w14:solidFill>
          </w14:textFill>
        </w:rPr>
      </w:pPr>
    </w:p>
    <w:p>
      <w:pPr>
        <w:shd w:val="clear"/>
        <w:adjustRightInd w:val="0"/>
        <w:snapToGrid w:val="0"/>
        <w:spacing w:before="156" w:beforeLines="50"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备注：投标人认为需提供的其他资料包括：</w:t>
      </w:r>
    </w:p>
    <w:p>
      <w:pPr>
        <w:shd w:val="clear"/>
        <w:adjustRightInd w:val="0"/>
        <w:snapToGrid w:val="0"/>
        <w:spacing w:before="156"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1.招标文件第四章评标方法及标准要求的其他相关资料；</w:t>
      </w:r>
    </w:p>
    <w:p>
      <w:pPr>
        <w:shd w:val="clear"/>
        <w:adjustRightInd w:val="0"/>
        <w:snapToGrid w:val="0"/>
        <w:spacing w:before="156" w:beforeLines="50"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2.招标文件第五章采购需求要求的其他资料。</w:t>
      </w:r>
    </w:p>
    <w:p>
      <w:pPr>
        <w:widowControl/>
        <w:shd w:val="clear"/>
        <w:jc w:val="left"/>
        <w:rPr>
          <w:rFonts w:ascii="黑体" w:hAnsi="宋体" w:eastAsia="黑体"/>
          <w:b/>
          <w:bCs/>
          <w:color w:val="000000" w:themeColor="text1"/>
          <w:sz w:val="28"/>
          <w:szCs w:val="28"/>
          <w:highlight w:val="none"/>
          <w14:textFill>
            <w14:solidFill>
              <w14:schemeClr w14:val="tx1"/>
            </w14:solidFill>
          </w14:textFill>
        </w:rPr>
      </w:pPr>
    </w:p>
    <w:sectPr>
      <w:headerReference r:id="rId14" w:type="default"/>
      <w:pgSz w:w="11906" w:h="16838"/>
      <w:pgMar w:top="1446" w:right="1157" w:bottom="1457" w:left="1015" w:header="850"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Helvetica">
    <w:altName w:val="Arial"/>
    <w:panose1 w:val="020B0604020202020204"/>
    <w:charset w:val="00"/>
    <w:family w:val="swiss"/>
    <w:pitch w:val="default"/>
    <w:sig w:usb0="00000000" w:usb1="00000000" w:usb2="00000009" w:usb3="00000000" w:csb0="000001FF" w:csb1="00000000"/>
  </w:font>
  <w:font w:name="方正小标宋简体">
    <w:altName w:val="黑体"/>
    <w:panose1 w:val="02000000000000000000"/>
    <w:charset w:val="86"/>
    <w:family w:val="auto"/>
    <w:pitch w:val="default"/>
    <w:sig w:usb0="00000000" w:usb1="00000000"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华文宋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6" w:space="1"/>
      </w:pBdr>
      <w:jc w:val="center"/>
    </w:pP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1"/>
      </w:rPr>
    </w:pPr>
    <w:r>
      <w:fldChar w:fldCharType="begin"/>
    </w:r>
    <w:r>
      <w:rPr>
        <w:rStyle w:val="51"/>
      </w:rPr>
      <w:instrText xml:space="preserve">PAGE  </w:instrText>
    </w:r>
    <w:r>
      <w:fldChar w:fldCharType="end"/>
    </w:r>
  </w:p>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6" w:space="1"/>
      </w:pBdr>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6" w:space="1"/>
      </w:pBdr>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end"/>
    </w:r>
  </w:p>
  <w:p>
    <w:pPr>
      <w:pStyle w:val="3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rPr>
        <w:rFonts w:hint="eastAsia" w:eastAsia="宋体"/>
        <w:lang w:eastAsia="zh-CN"/>
      </w:rPr>
    </w:pPr>
    <w:r>
      <w:rPr>
        <w:rFonts w:hint="eastAsia"/>
        <w:lang w:eastAsia="zh-CN"/>
      </w:rPr>
      <w:t>岳阳市建筑固废资源化再利用项目机制砂设备采购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ascii="宋体" w:hAnsi="宋体"/>
        <w:szCs w:val="21"/>
      </w:rPr>
    </w:pPr>
  </w:p>
  <w:p>
    <w:pPr>
      <w:pStyle w:val="32"/>
      <w:jc w:val="both"/>
      <w:rPr>
        <w:rFonts w:hint="eastAsia" w:eastAsia="宋体"/>
        <w:lang w:eastAsia="zh-CN"/>
      </w:rPr>
    </w:pPr>
    <w:r>
      <w:rPr>
        <w:rFonts w:hint="eastAsia" w:ascii="宋体" w:hAnsi="宋体"/>
        <w:szCs w:val="21"/>
        <w:lang w:eastAsia="zh-CN"/>
      </w:rPr>
      <w:t>岳阳市建筑固废资源化再利用项目机制砂设备采购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AE1F9"/>
    <w:multiLevelType w:val="singleLevel"/>
    <w:tmpl w:val="90DAE1F9"/>
    <w:lvl w:ilvl="0" w:tentative="0">
      <w:start w:val="1"/>
      <w:numFmt w:val="chineseCounting"/>
      <w:suff w:val="space"/>
      <w:lvlText w:val="第%1部分"/>
      <w:lvlJc w:val="left"/>
      <w:rPr>
        <w:rFonts w:hint="eastAsia"/>
      </w:rPr>
    </w:lvl>
  </w:abstractNum>
  <w:abstractNum w:abstractNumId="1">
    <w:nsid w:val="B39E4175"/>
    <w:multiLevelType w:val="singleLevel"/>
    <w:tmpl w:val="B39E4175"/>
    <w:lvl w:ilvl="0" w:tentative="0">
      <w:start w:val="1"/>
      <w:numFmt w:val="decimal"/>
      <w:suff w:val="nothing"/>
      <w:lvlText w:val="%1、"/>
      <w:lvlJc w:val="left"/>
    </w:lvl>
  </w:abstractNum>
  <w:abstractNum w:abstractNumId="2">
    <w:nsid w:val="C59897EB"/>
    <w:multiLevelType w:val="singleLevel"/>
    <w:tmpl w:val="C59897EB"/>
    <w:lvl w:ilvl="0" w:tentative="0">
      <w:start w:val="3"/>
      <w:numFmt w:val="decimal"/>
      <w:suff w:val="nothing"/>
      <w:lvlText w:val="%1、"/>
      <w:lvlJc w:val="left"/>
    </w:lvl>
  </w:abstractNum>
  <w:abstractNum w:abstractNumId="3">
    <w:nsid w:val="F09FA89D"/>
    <w:multiLevelType w:val="singleLevel"/>
    <w:tmpl w:val="F09FA89D"/>
    <w:lvl w:ilvl="0" w:tentative="0">
      <w:start w:val="2"/>
      <w:numFmt w:val="decimal"/>
      <w:suff w:val="nothing"/>
      <w:lvlText w:val="%1、"/>
      <w:lvlJc w:val="left"/>
    </w:lvl>
  </w:abstractNum>
  <w:abstractNum w:abstractNumId="4">
    <w:nsid w:val="1C4A7868"/>
    <w:multiLevelType w:val="singleLevel"/>
    <w:tmpl w:val="1C4A7868"/>
    <w:lvl w:ilvl="0" w:tentative="0">
      <w:start w:val="1"/>
      <w:numFmt w:val="decimal"/>
      <w:suff w:val="nothing"/>
      <w:lvlText w:val="%1、"/>
      <w:lvlJc w:val="left"/>
    </w:lvl>
  </w:abstractNum>
  <w:abstractNum w:abstractNumId="5">
    <w:nsid w:val="2496CD20"/>
    <w:multiLevelType w:val="singleLevel"/>
    <w:tmpl w:val="2496CD20"/>
    <w:lvl w:ilvl="0" w:tentative="0">
      <w:start w:val="2"/>
      <w:numFmt w:val="chineseCounting"/>
      <w:suff w:val="nothing"/>
      <w:lvlText w:val="%1、"/>
      <w:lvlJc w:val="left"/>
      <w:rPr>
        <w:rFonts w:hint="eastAsia"/>
      </w:rPr>
    </w:lvl>
  </w:abstractNum>
  <w:abstractNum w:abstractNumId="6">
    <w:nsid w:val="35E840E5"/>
    <w:multiLevelType w:val="multilevel"/>
    <w:tmpl w:val="35E840E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DAD5D3D"/>
    <w:multiLevelType w:val="multilevel"/>
    <w:tmpl w:val="3DAD5D3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1766F52"/>
    <w:multiLevelType w:val="multilevel"/>
    <w:tmpl w:val="51766F5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2"/>
  </w:num>
  <w:num w:numId="3">
    <w:abstractNumId w:val="1"/>
  </w:num>
  <w:num w:numId="4">
    <w:abstractNumId w:val="4"/>
  </w:num>
  <w:num w:numId="5">
    <w:abstractNumId w:val="6"/>
  </w:num>
  <w:num w:numId="6">
    <w:abstractNumId w:val="8"/>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2OTdlOTM2MjA2MTllMDAyODUzYTQ5YTE1YmUyYmUifQ=="/>
  </w:docVars>
  <w:rsids>
    <w:rsidRoot w:val="007434B4"/>
    <w:rsid w:val="000013FE"/>
    <w:rsid w:val="0000186F"/>
    <w:rsid w:val="00001A03"/>
    <w:rsid w:val="000037DE"/>
    <w:rsid w:val="0001024D"/>
    <w:rsid w:val="00010382"/>
    <w:rsid w:val="0001087B"/>
    <w:rsid w:val="00011857"/>
    <w:rsid w:val="0001310B"/>
    <w:rsid w:val="00013466"/>
    <w:rsid w:val="00013574"/>
    <w:rsid w:val="00013923"/>
    <w:rsid w:val="00017581"/>
    <w:rsid w:val="00017649"/>
    <w:rsid w:val="00017F9C"/>
    <w:rsid w:val="00022FDC"/>
    <w:rsid w:val="0002404C"/>
    <w:rsid w:val="000252F0"/>
    <w:rsid w:val="00025EED"/>
    <w:rsid w:val="000260CC"/>
    <w:rsid w:val="00027717"/>
    <w:rsid w:val="00031705"/>
    <w:rsid w:val="000333AE"/>
    <w:rsid w:val="000356C7"/>
    <w:rsid w:val="000358FA"/>
    <w:rsid w:val="00037B3D"/>
    <w:rsid w:val="00040247"/>
    <w:rsid w:val="00040313"/>
    <w:rsid w:val="00040E14"/>
    <w:rsid w:val="00043E01"/>
    <w:rsid w:val="0004524C"/>
    <w:rsid w:val="00045B4B"/>
    <w:rsid w:val="00046881"/>
    <w:rsid w:val="000508AD"/>
    <w:rsid w:val="0005168D"/>
    <w:rsid w:val="00053BE1"/>
    <w:rsid w:val="00053C94"/>
    <w:rsid w:val="00057421"/>
    <w:rsid w:val="00061310"/>
    <w:rsid w:val="00061914"/>
    <w:rsid w:val="00063D23"/>
    <w:rsid w:val="00065B0D"/>
    <w:rsid w:val="000662FC"/>
    <w:rsid w:val="000677C7"/>
    <w:rsid w:val="00067D62"/>
    <w:rsid w:val="00072573"/>
    <w:rsid w:val="0007343D"/>
    <w:rsid w:val="000745C1"/>
    <w:rsid w:val="0007473A"/>
    <w:rsid w:val="00074CB8"/>
    <w:rsid w:val="00076502"/>
    <w:rsid w:val="000775DD"/>
    <w:rsid w:val="00080119"/>
    <w:rsid w:val="00082346"/>
    <w:rsid w:val="000841E5"/>
    <w:rsid w:val="0008479E"/>
    <w:rsid w:val="00087CA6"/>
    <w:rsid w:val="00091751"/>
    <w:rsid w:val="000917F5"/>
    <w:rsid w:val="00092E61"/>
    <w:rsid w:val="00093D94"/>
    <w:rsid w:val="0009483A"/>
    <w:rsid w:val="00094FEB"/>
    <w:rsid w:val="000A0601"/>
    <w:rsid w:val="000A0657"/>
    <w:rsid w:val="000A0CD6"/>
    <w:rsid w:val="000A2631"/>
    <w:rsid w:val="000A2B0D"/>
    <w:rsid w:val="000A4283"/>
    <w:rsid w:val="000A6AFA"/>
    <w:rsid w:val="000B07FC"/>
    <w:rsid w:val="000B150D"/>
    <w:rsid w:val="000B1637"/>
    <w:rsid w:val="000B1715"/>
    <w:rsid w:val="000B2722"/>
    <w:rsid w:val="000B320F"/>
    <w:rsid w:val="000B3A4F"/>
    <w:rsid w:val="000B538A"/>
    <w:rsid w:val="000B5D7D"/>
    <w:rsid w:val="000B67D9"/>
    <w:rsid w:val="000B6EA7"/>
    <w:rsid w:val="000B7DF1"/>
    <w:rsid w:val="000C245B"/>
    <w:rsid w:val="000C2AE6"/>
    <w:rsid w:val="000C312D"/>
    <w:rsid w:val="000C354A"/>
    <w:rsid w:val="000C3BCA"/>
    <w:rsid w:val="000C40DE"/>
    <w:rsid w:val="000C4FD9"/>
    <w:rsid w:val="000C52A0"/>
    <w:rsid w:val="000C6B2C"/>
    <w:rsid w:val="000C6F5A"/>
    <w:rsid w:val="000D04C8"/>
    <w:rsid w:val="000D0E5E"/>
    <w:rsid w:val="000D1018"/>
    <w:rsid w:val="000D2A3F"/>
    <w:rsid w:val="000D5249"/>
    <w:rsid w:val="000D58F0"/>
    <w:rsid w:val="000D6421"/>
    <w:rsid w:val="000D6514"/>
    <w:rsid w:val="000E1791"/>
    <w:rsid w:val="000E3571"/>
    <w:rsid w:val="000E46D9"/>
    <w:rsid w:val="000E4E95"/>
    <w:rsid w:val="000E50DD"/>
    <w:rsid w:val="000E7417"/>
    <w:rsid w:val="000E741F"/>
    <w:rsid w:val="000F1A45"/>
    <w:rsid w:val="000F1AF9"/>
    <w:rsid w:val="000F21C8"/>
    <w:rsid w:val="000F2B29"/>
    <w:rsid w:val="000F2BB1"/>
    <w:rsid w:val="000F4155"/>
    <w:rsid w:val="000F44CB"/>
    <w:rsid w:val="000F5099"/>
    <w:rsid w:val="000F5866"/>
    <w:rsid w:val="000F74AB"/>
    <w:rsid w:val="001047E3"/>
    <w:rsid w:val="00105A9C"/>
    <w:rsid w:val="00106446"/>
    <w:rsid w:val="00110B4B"/>
    <w:rsid w:val="00111596"/>
    <w:rsid w:val="00111CC9"/>
    <w:rsid w:val="00112032"/>
    <w:rsid w:val="00113388"/>
    <w:rsid w:val="00113C61"/>
    <w:rsid w:val="00114318"/>
    <w:rsid w:val="0011569B"/>
    <w:rsid w:val="001228FD"/>
    <w:rsid w:val="001238BC"/>
    <w:rsid w:val="00124410"/>
    <w:rsid w:val="0012510B"/>
    <w:rsid w:val="00125769"/>
    <w:rsid w:val="00125F48"/>
    <w:rsid w:val="00131028"/>
    <w:rsid w:val="0013172D"/>
    <w:rsid w:val="00132924"/>
    <w:rsid w:val="00134894"/>
    <w:rsid w:val="001413DF"/>
    <w:rsid w:val="00141BEE"/>
    <w:rsid w:val="0014220A"/>
    <w:rsid w:val="00144141"/>
    <w:rsid w:val="001443BC"/>
    <w:rsid w:val="0014699B"/>
    <w:rsid w:val="00146D14"/>
    <w:rsid w:val="00146EB7"/>
    <w:rsid w:val="00153C89"/>
    <w:rsid w:val="001617E9"/>
    <w:rsid w:val="00162366"/>
    <w:rsid w:val="00162F23"/>
    <w:rsid w:val="00163AAA"/>
    <w:rsid w:val="00164661"/>
    <w:rsid w:val="00167763"/>
    <w:rsid w:val="001708E8"/>
    <w:rsid w:val="001728CA"/>
    <w:rsid w:val="00173D83"/>
    <w:rsid w:val="00173FFE"/>
    <w:rsid w:val="00175FE2"/>
    <w:rsid w:val="0017741D"/>
    <w:rsid w:val="00181A2A"/>
    <w:rsid w:val="00181D2E"/>
    <w:rsid w:val="00182D9F"/>
    <w:rsid w:val="001846F2"/>
    <w:rsid w:val="001850A4"/>
    <w:rsid w:val="001851A9"/>
    <w:rsid w:val="00185B43"/>
    <w:rsid w:val="00187DB6"/>
    <w:rsid w:val="00190C8F"/>
    <w:rsid w:val="00192075"/>
    <w:rsid w:val="001924BD"/>
    <w:rsid w:val="00193EE7"/>
    <w:rsid w:val="00197153"/>
    <w:rsid w:val="00197441"/>
    <w:rsid w:val="001A053D"/>
    <w:rsid w:val="001A101A"/>
    <w:rsid w:val="001A2566"/>
    <w:rsid w:val="001A3AA5"/>
    <w:rsid w:val="001A3AFC"/>
    <w:rsid w:val="001A561A"/>
    <w:rsid w:val="001A58C6"/>
    <w:rsid w:val="001B2294"/>
    <w:rsid w:val="001B313B"/>
    <w:rsid w:val="001B4F01"/>
    <w:rsid w:val="001B5907"/>
    <w:rsid w:val="001B6F4A"/>
    <w:rsid w:val="001C274B"/>
    <w:rsid w:val="001C319E"/>
    <w:rsid w:val="001C3EC1"/>
    <w:rsid w:val="001C5444"/>
    <w:rsid w:val="001D0919"/>
    <w:rsid w:val="001D0F5F"/>
    <w:rsid w:val="001D26DC"/>
    <w:rsid w:val="001D300D"/>
    <w:rsid w:val="001D302B"/>
    <w:rsid w:val="001D5B75"/>
    <w:rsid w:val="001E3D6A"/>
    <w:rsid w:val="001E4458"/>
    <w:rsid w:val="001E59F7"/>
    <w:rsid w:val="001F1819"/>
    <w:rsid w:val="001F4878"/>
    <w:rsid w:val="001F513F"/>
    <w:rsid w:val="001F526E"/>
    <w:rsid w:val="001F5B18"/>
    <w:rsid w:val="001F7A1C"/>
    <w:rsid w:val="001F7AFA"/>
    <w:rsid w:val="002008A9"/>
    <w:rsid w:val="00200C39"/>
    <w:rsid w:val="002018AB"/>
    <w:rsid w:val="002023F0"/>
    <w:rsid w:val="0020308E"/>
    <w:rsid w:val="00203EA6"/>
    <w:rsid w:val="002049F8"/>
    <w:rsid w:val="00205025"/>
    <w:rsid w:val="00210F21"/>
    <w:rsid w:val="0021139E"/>
    <w:rsid w:val="002120B7"/>
    <w:rsid w:val="0021498F"/>
    <w:rsid w:val="0021548B"/>
    <w:rsid w:val="00215D98"/>
    <w:rsid w:val="00221240"/>
    <w:rsid w:val="00221BE4"/>
    <w:rsid w:val="00223541"/>
    <w:rsid w:val="002240A4"/>
    <w:rsid w:val="0023235C"/>
    <w:rsid w:val="00232836"/>
    <w:rsid w:val="00235123"/>
    <w:rsid w:val="0023554B"/>
    <w:rsid w:val="00236C48"/>
    <w:rsid w:val="0024057D"/>
    <w:rsid w:val="002414D4"/>
    <w:rsid w:val="002419D0"/>
    <w:rsid w:val="00242270"/>
    <w:rsid w:val="00242A62"/>
    <w:rsid w:val="002444EA"/>
    <w:rsid w:val="00245EF6"/>
    <w:rsid w:val="0025131F"/>
    <w:rsid w:val="00253669"/>
    <w:rsid w:val="00254043"/>
    <w:rsid w:val="00255AC7"/>
    <w:rsid w:val="00256A84"/>
    <w:rsid w:val="002579E4"/>
    <w:rsid w:val="00261AC6"/>
    <w:rsid w:val="00262EA5"/>
    <w:rsid w:val="00262FCB"/>
    <w:rsid w:val="00263878"/>
    <w:rsid w:val="002643E5"/>
    <w:rsid w:val="00264EB2"/>
    <w:rsid w:val="00265009"/>
    <w:rsid w:val="00265BE6"/>
    <w:rsid w:val="00265E1A"/>
    <w:rsid w:val="002663DF"/>
    <w:rsid w:val="0026705D"/>
    <w:rsid w:val="00267881"/>
    <w:rsid w:val="00267C83"/>
    <w:rsid w:val="002716ED"/>
    <w:rsid w:val="002721FF"/>
    <w:rsid w:val="00272498"/>
    <w:rsid w:val="00276AC4"/>
    <w:rsid w:val="0027767A"/>
    <w:rsid w:val="002815E4"/>
    <w:rsid w:val="0028240A"/>
    <w:rsid w:val="00283A43"/>
    <w:rsid w:val="0028486F"/>
    <w:rsid w:val="00285A81"/>
    <w:rsid w:val="00285F61"/>
    <w:rsid w:val="002868A8"/>
    <w:rsid w:val="00287359"/>
    <w:rsid w:val="00290DAB"/>
    <w:rsid w:val="00291C24"/>
    <w:rsid w:val="00292441"/>
    <w:rsid w:val="00292F73"/>
    <w:rsid w:val="00293A07"/>
    <w:rsid w:val="00297284"/>
    <w:rsid w:val="00297B75"/>
    <w:rsid w:val="002A0C4E"/>
    <w:rsid w:val="002A1672"/>
    <w:rsid w:val="002A22D6"/>
    <w:rsid w:val="002A253A"/>
    <w:rsid w:val="002A3505"/>
    <w:rsid w:val="002A4598"/>
    <w:rsid w:val="002A65E2"/>
    <w:rsid w:val="002A7BBC"/>
    <w:rsid w:val="002B15AC"/>
    <w:rsid w:val="002B1662"/>
    <w:rsid w:val="002B3839"/>
    <w:rsid w:val="002B469A"/>
    <w:rsid w:val="002B51EA"/>
    <w:rsid w:val="002B61B1"/>
    <w:rsid w:val="002C1AB9"/>
    <w:rsid w:val="002C2061"/>
    <w:rsid w:val="002C2D6E"/>
    <w:rsid w:val="002C363B"/>
    <w:rsid w:val="002C465A"/>
    <w:rsid w:val="002C6E3F"/>
    <w:rsid w:val="002D0233"/>
    <w:rsid w:val="002D13DD"/>
    <w:rsid w:val="002D2F30"/>
    <w:rsid w:val="002D5641"/>
    <w:rsid w:val="002D61AB"/>
    <w:rsid w:val="002D6A0A"/>
    <w:rsid w:val="002E236F"/>
    <w:rsid w:val="002E273F"/>
    <w:rsid w:val="002E28E9"/>
    <w:rsid w:val="002E346E"/>
    <w:rsid w:val="002E36ED"/>
    <w:rsid w:val="002E61AD"/>
    <w:rsid w:val="002F08D1"/>
    <w:rsid w:val="002F1C4E"/>
    <w:rsid w:val="002F2CA3"/>
    <w:rsid w:val="002F4865"/>
    <w:rsid w:val="002F654F"/>
    <w:rsid w:val="002F7B60"/>
    <w:rsid w:val="003009CE"/>
    <w:rsid w:val="00300C8F"/>
    <w:rsid w:val="00304B00"/>
    <w:rsid w:val="00306A74"/>
    <w:rsid w:val="003107CD"/>
    <w:rsid w:val="00313325"/>
    <w:rsid w:val="00313A4D"/>
    <w:rsid w:val="00313F34"/>
    <w:rsid w:val="00314D70"/>
    <w:rsid w:val="00314DB9"/>
    <w:rsid w:val="00321E2F"/>
    <w:rsid w:val="0032557C"/>
    <w:rsid w:val="00331031"/>
    <w:rsid w:val="003350FF"/>
    <w:rsid w:val="00335CCE"/>
    <w:rsid w:val="00335FD1"/>
    <w:rsid w:val="003401C3"/>
    <w:rsid w:val="00340374"/>
    <w:rsid w:val="003405EA"/>
    <w:rsid w:val="00340A1C"/>
    <w:rsid w:val="00340B45"/>
    <w:rsid w:val="00342E44"/>
    <w:rsid w:val="00342EA3"/>
    <w:rsid w:val="00347DC8"/>
    <w:rsid w:val="00350118"/>
    <w:rsid w:val="00350642"/>
    <w:rsid w:val="0035087B"/>
    <w:rsid w:val="00352E5D"/>
    <w:rsid w:val="00353D3F"/>
    <w:rsid w:val="00354E41"/>
    <w:rsid w:val="003563EA"/>
    <w:rsid w:val="0035647A"/>
    <w:rsid w:val="00356C0C"/>
    <w:rsid w:val="0036003D"/>
    <w:rsid w:val="00361E5C"/>
    <w:rsid w:val="00363E91"/>
    <w:rsid w:val="00365849"/>
    <w:rsid w:val="0036754C"/>
    <w:rsid w:val="00367761"/>
    <w:rsid w:val="003716F6"/>
    <w:rsid w:val="00371F00"/>
    <w:rsid w:val="00372394"/>
    <w:rsid w:val="003723EC"/>
    <w:rsid w:val="00372E6F"/>
    <w:rsid w:val="00373228"/>
    <w:rsid w:val="003759A5"/>
    <w:rsid w:val="0037765F"/>
    <w:rsid w:val="0037789B"/>
    <w:rsid w:val="003779F0"/>
    <w:rsid w:val="00381353"/>
    <w:rsid w:val="003822E5"/>
    <w:rsid w:val="00382317"/>
    <w:rsid w:val="00383E27"/>
    <w:rsid w:val="00384F53"/>
    <w:rsid w:val="00385B02"/>
    <w:rsid w:val="00387315"/>
    <w:rsid w:val="00390203"/>
    <w:rsid w:val="00391805"/>
    <w:rsid w:val="003966A4"/>
    <w:rsid w:val="003A246B"/>
    <w:rsid w:val="003A2C11"/>
    <w:rsid w:val="003A4099"/>
    <w:rsid w:val="003A48A3"/>
    <w:rsid w:val="003A4D32"/>
    <w:rsid w:val="003A56B4"/>
    <w:rsid w:val="003A7D94"/>
    <w:rsid w:val="003B074C"/>
    <w:rsid w:val="003B099D"/>
    <w:rsid w:val="003B1302"/>
    <w:rsid w:val="003B652C"/>
    <w:rsid w:val="003B65C0"/>
    <w:rsid w:val="003B7843"/>
    <w:rsid w:val="003C0A14"/>
    <w:rsid w:val="003C1256"/>
    <w:rsid w:val="003C1404"/>
    <w:rsid w:val="003C193D"/>
    <w:rsid w:val="003C2F63"/>
    <w:rsid w:val="003C604E"/>
    <w:rsid w:val="003C7688"/>
    <w:rsid w:val="003C7A73"/>
    <w:rsid w:val="003D16A0"/>
    <w:rsid w:val="003D2368"/>
    <w:rsid w:val="003D2A6B"/>
    <w:rsid w:val="003D4669"/>
    <w:rsid w:val="003D475A"/>
    <w:rsid w:val="003D5168"/>
    <w:rsid w:val="003D5E2A"/>
    <w:rsid w:val="003D7E33"/>
    <w:rsid w:val="003E01DA"/>
    <w:rsid w:val="003E0880"/>
    <w:rsid w:val="003E3CBC"/>
    <w:rsid w:val="003E44E8"/>
    <w:rsid w:val="003E5316"/>
    <w:rsid w:val="003E587C"/>
    <w:rsid w:val="003E63DA"/>
    <w:rsid w:val="003E6E9A"/>
    <w:rsid w:val="003E77E5"/>
    <w:rsid w:val="003F0052"/>
    <w:rsid w:val="003F080A"/>
    <w:rsid w:val="003F1CA7"/>
    <w:rsid w:val="003F7A5C"/>
    <w:rsid w:val="00400ACB"/>
    <w:rsid w:val="00401EA9"/>
    <w:rsid w:val="00403331"/>
    <w:rsid w:val="004047E0"/>
    <w:rsid w:val="00405498"/>
    <w:rsid w:val="0040556F"/>
    <w:rsid w:val="00405C57"/>
    <w:rsid w:val="0040634B"/>
    <w:rsid w:val="0040642E"/>
    <w:rsid w:val="00406717"/>
    <w:rsid w:val="00406F15"/>
    <w:rsid w:val="0040769F"/>
    <w:rsid w:val="004112B7"/>
    <w:rsid w:val="004117C4"/>
    <w:rsid w:val="0041189C"/>
    <w:rsid w:val="00412EDA"/>
    <w:rsid w:val="00413ED6"/>
    <w:rsid w:val="0041533B"/>
    <w:rsid w:val="00415978"/>
    <w:rsid w:val="004160F0"/>
    <w:rsid w:val="00416A2C"/>
    <w:rsid w:val="00416A3A"/>
    <w:rsid w:val="00417107"/>
    <w:rsid w:val="004237B8"/>
    <w:rsid w:val="00423AB0"/>
    <w:rsid w:val="004241CA"/>
    <w:rsid w:val="00426D1D"/>
    <w:rsid w:val="0043056E"/>
    <w:rsid w:val="00431DCD"/>
    <w:rsid w:val="00432EDE"/>
    <w:rsid w:val="004346A4"/>
    <w:rsid w:val="00434E74"/>
    <w:rsid w:val="00436879"/>
    <w:rsid w:val="00437DC8"/>
    <w:rsid w:val="0044006B"/>
    <w:rsid w:val="00440E17"/>
    <w:rsid w:val="00441DE0"/>
    <w:rsid w:val="004438EC"/>
    <w:rsid w:val="00446471"/>
    <w:rsid w:val="004470BD"/>
    <w:rsid w:val="00447F68"/>
    <w:rsid w:val="004545B3"/>
    <w:rsid w:val="004604E5"/>
    <w:rsid w:val="00460668"/>
    <w:rsid w:val="004611C1"/>
    <w:rsid w:val="0046306C"/>
    <w:rsid w:val="0046496F"/>
    <w:rsid w:val="00465AF5"/>
    <w:rsid w:val="004661B0"/>
    <w:rsid w:val="004674C3"/>
    <w:rsid w:val="00470775"/>
    <w:rsid w:val="00473A7F"/>
    <w:rsid w:val="00474576"/>
    <w:rsid w:val="00477E58"/>
    <w:rsid w:val="00481E00"/>
    <w:rsid w:val="00484599"/>
    <w:rsid w:val="00484DBE"/>
    <w:rsid w:val="004851C5"/>
    <w:rsid w:val="00485F0D"/>
    <w:rsid w:val="004929AF"/>
    <w:rsid w:val="00493879"/>
    <w:rsid w:val="00494A80"/>
    <w:rsid w:val="004950E9"/>
    <w:rsid w:val="004A774F"/>
    <w:rsid w:val="004A7AE5"/>
    <w:rsid w:val="004A7AFF"/>
    <w:rsid w:val="004B501F"/>
    <w:rsid w:val="004B5D6F"/>
    <w:rsid w:val="004B6A9B"/>
    <w:rsid w:val="004C0A57"/>
    <w:rsid w:val="004C1A48"/>
    <w:rsid w:val="004C3A21"/>
    <w:rsid w:val="004C3F0B"/>
    <w:rsid w:val="004C4320"/>
    <w:rsid w:val="004C4797"/>
    <w:rsid w:val="004C6C6E"/>
    <w:rsid w:val="004C780E"/>
    <w:rsid w:val="004D368B"/>
    <w:rsid w:val="004D4549"/>
    <w:rsid w:val="004D5ACE"/>
    <w:rsid w:val="004E0B8E"/>
    <w:rsid w:val="004E15FF"/>
    <w:rsid w:val="004E1894"/>
    <w:rsid w:val="004E1B32"/>
    <w:rsid w:val="004E2882"/>
    <w:rsid w:val="004E2CF6"/>
    <w:rsid w:val="004E651D"/>
    <w:rsid w:val="004E6F94"/>
    <w:rsid w:val="004E7578"/>
    <w:rsid w:val="004F3090"/>
    <w:rsid w:val="004F3836"/>
    <w:rsid w:val="004F4346"/>
    <w:rsid w:val="004F4D75"/>
    <w:rsid w:val="00502086"/>
    <w:rsid w:val="00504154"/>
    <w:rsid w:val="005057CC"/>
    <w:rsid w:val="00505858"/>
    <w:rsid w:val="00505F80"/>
    <w:rsid w:val="005064EC"/>
    <w:rsid w:val="00507E86"/>
    <w:rsid w:val="005115F3"/>
    <w:rsid w:val="00512BF2"/>
    <w:rsid w:val="00515B9E"/>
    <w:rsid w:val="00515EB7"/>
    <w:rsid w:val="00520518"/>
    <w:rsid w:val="00520CD4"/>
    <w:rsid w:val="0052205A"/>
    <w:rsid w:val="00523D1E"/>
    <w:rsid w:val="0052537E"/>
    <w:rsid w:val="00525F48"/>
    <w:rsid w:val="0052611C"/>
    <w:rsid w:val="0053124A"/>
    <w:rsid w:val="00532CE9"/>
    <w:rsid w:val="00533FFC"/>
    <w:rsid w:val="0053539D"/>
    <w:rsid w:val="005361E0"/>
    <w:rsid w:val="00540302"/>
    <w:rsid w:val="00540570"/>
    <w:rsid w:val="00545154"/>
    <w:rsid w:val="00547B5A"/>
    <w:rsid w:val="00550151"/>
    <w:rsid w:val="00550282"/>
    <w:rsid w:val="005550DD"/>
    <w:rsid w:val="00560F77"/>
    <w:rsid w:val="00563557"/>
    <w:rsid w:val="005635C8"/>
    <w:rsid w:val="00564B12"/>
    <w:rsid w:val="005665E1"/>
    <w:rsid w:val="005701BB"/>
    <w:rsid w:val="005709B5"/>
    <w:rsid w:val="00570BB9"/>
    <w:rsid w:val="00572418"/>
    <w:rsid w:val="00572EF3"/>
    <w:rsid w:val="00573BE5"/>
    <w:rsid w:val="00574301"/>
    <w:rsid w:val="00574806"/>
    <w:rsid w:val="00574963"/>
    <w:rsid w:val="005752A3"/>
    <w:rsid w:val="00575CB7"/>
    <w:rsid w:val="00576332"/>
    <w:rsid w:val="005771C5"/>
    <w:rsid w:val="005779C0"/>
    <w:rsid w:val="005824F4"/>
    <w:rsid w:val="00583F70"/>
    <w:rsid w:val="00584D05"/>
    <w:rsid w:val="0058523D"/>
    <w:rsid w:val="00587C00"/>
    <w:rsid w:val="00587E4F"/>
    <w:rsid w:val="0059449D"/>
    <w:rsid w:val="005953E4"/>
    <w:rsid w:val="005A50A0"/>
    <w:rsid w:val="005A6D02"/>
    <w:rsid w:val="005B03C3"/>
    <w:rsid w:val="005B0840"/>
    <w:rsid w:val="005B0C96"/>
    <w:rsid w:val="005B1244"/>
    <w:rsid w:val="005B252C"/>
    <w:rsid w:val="005B3314"/>
    <w:rsid w:val="005C043C"/>
    <w:rsid w:val="005C2305"/>
    <w:rsid w:val="005C2DE6"/>
    <w:rsid w:val="005C36C3"/>
    <w:rsid w:val="005C4C3C"/>
    <w:rsid w:val="005C5098"/>
    <w:rsid w:val="005C58EB"/>
    <w:rsid w:val="005C5C18"/>
    <w:rsid w:val="005C6B10"/>
    <w:rsid w:val="005D088D"/>
    <w:rsid w:val="005D0FB8"/>
    <w:rsid w:val="005D1F21"/>
    <w:rsid w:val="005D392F"/>
    <w:rsid w:val="005D78A2"/>
    <w:rsid w:val="005E1C52"/>
    <w:rsid w:val="005E2E68"/>
    <w:rsid w:val="005E33D2"/>
    <w:rsid w:val="005E4BD2"/>
    <w:rsid w:val="005E50F3"/>
    <w:rsid w:val="005F1B70"/>
    <w:rsid w:val="005F2D4C"/>
    <w:rsid w:val="005F37D4"/>
    <w:rsid w:val="005F42D2"/>
    <w:rsid w:val="005F4DD9"/>
    <w:rsid w:val="005F6815"/>
    <w:rsid w:val="00601EF9"/>
    <w:rsid w:val="0060238A"/>
    <w:rsid w:val="00603AAF"/>
    <w:rsid w:val="00605007"/>
    <w:rsid w:val="00605DEF"/>
    <w:rsid w:val="00607BBD"/>
    <w:rsid w:val="006108AB"/>
    <w:rsid w:val="00610DCD"/>
    <w:rsid w:val="00610E53"/>
    <w:rsid w:val="006119B8"/>
    <w:rsid w:val="00615990"/>
    <w:rsid w:val="00616BBC"/>
    <w:rsid w:val="00616BF1"/>
    <w:rsid w:val="00617730"/>
    <w:rsid w:val="00620808"/>
    <w:rsid w:val="006209E0"/>
    <w:rsid w:val="006217E3"/>
    <w:rsid w:val="00621A67"/>
    <w:rsid w:val="00621EDB"/>
    <w:rsid w:val="00623F7E"/>
    <w:rsid w:val="0062497C"/>
    <w:rsid w:val="00636643"/>
    <w:rsid w:val="00637F16"/>
    <w:rsid w:val="00640A47"/>
    <w:rsid w:val="0064267E"/>
    <w:rsid w:val="006430FF"/>
    <w:rsid w:val="00643967"/>
    <w:rsid w:val="00645CCF"/>
    <w:rsid w:val="006461D6"/>
    <w:rsid w:val="006463AC"/>
    <w:rsid w:val="00647F9D"/>
    <w:rsid w:val="0065038B"/>
    <w:rsid w:val="00653B74"/>
    <w:rsid w:val="006569FD"/>
    <w:rsid w:val="0066096D"/>
    <w:rsid w:val="0066100B"/>
    <w:rsid w:val="00662EE0"/>
    <w:rsid w:val="00676087"/>
    <w:rsid w:val="00677156"/>
    <w:rsid w:val="006779A1"/>
    <w:rsid w:val="006807B3"/>
    <w:rsid w:val="006813A4"/>
    <w:rsid w:val="00681F77"/>
    <w:rsid w:val="00682BA0"/>
    <w:rsid w:val="00682E7A"/>
    <w:rsid w:val="0068390A"/>
    <w:rsid w:val="006855D3"/>
    <w:rsid w:val="00686D35"/>
    <w:rsid w:val="00690243"/>
    <w:rsid w:val="0069139A"/>
    <w:rsid w:val="0069219F"/>
    <w:rsid w:val="0069372C"/>
    <w:rsid w:val="006944EB"/>
    <w:rsid w:val="00694C2D"/>
    <w:rsid w:val="006A1B12"/>
    <w:rsid w:val="006A2D0E"/>
    <w:rsid w:val="006A34AC"/>
    <w:rsid w:val="006A50E4"/>
    <w:rsid w:val="006A7371"/>
    <w:rsid w:val="006B1602"/>
    <w:rsid w:val="006B4795"/>
    <w:rsid w:val="006B5791"/>
    <w:rsid w:val="006B5C9A"/>
    <w:rsid w:val="006B7B54"/>
    <w:rsid w:val="006C0536"/>
    <w:rsid w:val="006C0F76"/>
    <w:rsid w:val="006C23C2"/>
    <w:rsid w:val="006C33AC"/>
    <w:rsid w:val="006C3D4B"/>
    <w:rsid w:val="006C5C39"/>
    <w:rsid w:val="006C68B1"/>
    <w:rsid w:val="006D2054"/>
    <w:rsid w:val="006D3A6D"/>
    <w:rsid w:val="006D4F91"/>
    <w:rsid w:val="006D6ADB"/>
    <w:rsid w:val="006D7341"/>
    <w:rsid w:val="006D7352"/>
    <w:rsid w:val="006E0419"/>
    <w:rsid w:val="006E2157"/>
    <w:rsid w:val="006E45CC"/>
    <w:rsid w:val="006E4AF5"/>
    <w:rsid w:val="006E63DE"/>
    <w:rsid w:val="006E64C6"/>
    <w:rsid w:val="006E70D1"/>
    <w:rsid w:val="006F137B"/>
    <w:rsid w:val="006F1DC1"/>
    <w:rsid w:val="006F2292"/>
    <w:rsid w:val="006F33C0"/>
    <w:rsid w:val="006F3844"/>
    <w:rsid w:val="006F3B2C"/>
    <w:rsid w:val="006F4901"/>
    <w:rsid w:val="006F6D52"/>
    <w:rsid w:val="007001BB"/>
    <w:rsid w:val="0070110A"/>
    <w:rsid w:val="00704082"/>
    <w:rsid w:val="00705B51"/>
    <w:rsid w:val="00707DAE"/>
    <w:rsid w:val="00710C2B"/>
    <w:rsid w:val="00713C8C"/>
    <w:rsid w:val="0071593B"/>
    <w:rsid w:val="00715D5A"/>
    <w:rsid w:val="00722CFC"/>
    <w:rsid w:val="00725683"/>
    <w:rsid w:val="007257D4"/>
    <w:rsid w:val="00726F2B"/>
    <w:rsid w:val="00727194"/>
    <w:rsid w:val="007328FB"/>
    <w:rsid w:val="00732F1A"/>
    <w:rsid w:val="007360FB"/>
    <w:rsid w:val="007369A0"/>
    <w:rsid w:val="00737DBF"/>
    <w:rsid w:val="00740E6A"/>
    <w:rsid w:val="0074150C"/>
    <w:rsid w:val="007434B4"/>
    <w:rsid w:val="00744360"/>
    <w:rsid w:val="0074479F"/>
    <w:rsid w:val="00745685"/>
    <w:rsid w:val="00746586"/>
    <w:rsid w:val="00747779"/>
    <w:rsid w:val="00747DDA"/>
    <w:rsid w:val="00747F03"/>
    <w:rsid w:val="00751F7C"/>
    <w:rsid w:val="007553E8"/>
    <w:rsid w:val="00755F77"/>
    <w:rsid w:val="007567BC"/>
    <w:rsid w:val="007568EE"/>
    <w:rsid w:val="007606C3"/>
    <w:rsid w:val="00760E64"/>
    <w:rsid w:val="00761F02"/>
    <w:rsid w:val="0076675E"/>
    <w:rsid w:val="0076684A"/>
    <w:rsid w:val="007677C8"/>
    <w:rsid w:val="0077276B"/>
    <w:rsid w:val="00772BAC"/>
    <w:rsid w:val="007741AD"/>
    <w:rsid w:val="00775065"/>
    <w:rsid w:val="00780CB0"/>
    <w:rsid w:val="00781B8D"/>
    <w:rsid w:val="00781BF2"/>
    <w:rsid w:val="00783119"/>
    <w:rsid w:val="00787713"/>
    <w:rsid w:val="00787B90"/>
    <w:rsid w:val="007936B7"/>
    <w:rsid w:val="007938A2"/>
    <w:rsid w:val="00793C99"/>
    <w:rsid w:val="0079531F"/>
    <w:rsid w:val="00795D1A"/>
    <w:rsid w:val="007967C8"/>
    <w:rsid w:val="00796F45"/>
    <w:rsid w:val="007972B8"/>
    <w:rsid w:val="007A3ABD"/>
    <w:rsid w:val="007A646C"/>
    <w:rsid w:val="007A69F1"/>
    <w:rsid w:val="007A6EC0"/>
    <w:rsid w:val="007A782E"/>
    <w:rsid w:val="007B4A00"/>
    <w:rsid w:val="007B55DC"/>
    <w:rsid w:val="007C0045"/>
    <w:rsid w:val="007C08E9"/>
    <w:rsid w:val="007C196E"/>
    <w:rsid w:val="007C2C9D"/>
    <w:rsid w:val="007C302F"/>
    <w:rsid w:val="007C4610"/>
    <w:rsid w:val="007C5C1F"/>
    <w:rsid w:val="007C76F3"/>
    <w:rsid w:val="007D071A"/>
    <w:rsid w:val="007D1483"/>
    <w:rsid w:val="007D23C8"/>
    <w:rsid w:val="007D27A0"/>
    <w:rsid w:val="007D3EE3"/>
    <w:rsid w:val="007D405F"/>
    <w:rsid w:val="007D460B"/>
    <w:rsid w:val="007D57AF"/>
    <w:rsid w:val="007D6E84"/>
    <w:rsid w:val="007D7812"/>
    <w:rsid w:val="007E0993"/>
    <w:rsid w:val="007E0D44"/>
    <w:rsid w:val="007E1DC0"/>
    <w:rsid w:val="007E4969"/>
    <w:rsid w:val="007E613F"/>
    <w:rsid w:val="007F29F7"/>
    <w:rsid w:val="007F2E72"/>
    <w:rsid w:val="007F5C7E"/>
    <w:rsid w:val="007F6ECA"/>
    <w:rsid w:val="007F7E4E"/>
    <w:rsid w:val="00801A75"/>
    <w:rsid w:val="00801AF9"/>
    <w:rsid w:val="00802329"/>
    <w:rsid w:val="00802BE2"/>
    <w:rsid w:val="00802E2B"/>
    <w:rsid w:val="008031EC"/>
    <w:rsid w:val="008041E9"/>
    <w:rsid w:val="00805E68"/>
    <w:rsid w:val="00805FC8"/>
    <w:rsid w:val="00807527"/>
    <w:rsid w:val="00810E0C"/>
    <w:rsid w:val="008137E0"/>
    <w:rsid w:val="00813A91"/>
    <w:rsid w:val="00813B9C"/>
    <w:rsid w:val="00814F1A"/>
    <w:rsid w:val="00817C54"/>
    <w:rsid w:val="008203BE"/>
    <w:rsid w:val="008205E0"/>
    <w:rsid w:val="00820A0A"/>
    <w:rsid w:val="00820C24"/>
    <w:rsid w:val="00823DBE"/>
    <w:rsid w:val="00824B7E"/>
    <w:rsid w:val="00826A07"/>
    <w:rsid w:val="00831BEF"/>
    <w:rsid w:val="00832224"/>
    <w:rsid w:val="00833685"/>
    <w:rsid w:val="008348A7"/>
    <w:rsid w:val="00835778"/>
    <w:rsid w:val="008368A0"/>
    <w:rsid w:val="00840AB2"/>
    <w:rsid w:val="008417A5"/>
    <w:rsid w:val="00845390"/>
    <w:rsid w:val="00846C2C"/>
    <w:rsid w:val="0085129C"/>
    <w:rsid w:val="00852675"/>
    <w:rsid w:val="008526AF"/>
    <w:rsid w:val="00852853"/>
    <w:rsid w:val="00853659"/>
    <w:rsid w:val="00860E07"/>
    <w:rsid w:val="008613AD"/>
    <w:rsid w:val="00862AC9"/>
    <w:rsid w:val="00862E2B"/>
    <w:rsid w:val="00865FEB"/>
    <w:rsid w:val="00871C5C"/>
    <w:rsid w:val="00874C18"/>
    <w:rsid w:val="00874F0B"/>
    <w:rsid w:val="0088016F"/>
    <w:rsid w:val="008801ED"/>
    <w:rsid w:val="00880277"/>
    <w:rsid w:val="0088062D"/>
    <w:rsid w:val="008817AB"/>
    <w:rsid w:val="008821CE"/>
    <w:rsid w:val="00882419"/>
    <w:rsid w:val="00882F88"/>
    <w:rsid w:val="00886FAE"/>
    <w:rsid w:val="00887570"/>
    <w:rsid w:val="008915B0"/>
    <w:rsid w:val="00892913"/>
    <w:rsid w:val="00892BA0"/>
    <w:rsid w:val="00892D2C"/>
    <w:rsid w:val="00893531"/>
    <w:rsid w:val="008961A9"/>
    <w:rsid w:val="00897720"/>
    <w:rsid w:val="008978AE"/>
    <w:rsid w:val="00897ACD"/>
    <w:rsid w:val="008A1CC1"/>
    <w:rsid w:val="008A558F"/>
    <w:rsid w:val="008A64F6"/>
    <w:rsid w:val="008A6C2A"/>
    <w:rsid w:val="008B064A"/>
    <w:rsid w:val="008B4C1D"/>
    <w:rsid w:val="008B4ECD"/>
    <w:rsid w:val="008B5974"/>
    <w:rsid w:val="008B685F"/>
    <w:rsid w:val="008B6CB7"/>
    <w:rsid w:val="008C008E"/>
    <w:rsid w:val="008C2834"/>
    <w:rsid w:val="008C2C82"/>
    <w:rsid w:val="008C2DE1"/>
    <w:rsid w:val="008C33F3"/>
    <w:rsid w:val="008C3A07"/>
    <w:rsid w:val="008C40EB"/>
    <w:rsid w:val="008C41AF"/>
    <w:rsid w:val="008C47C2"/>
    <w:rsid w:val="008C52EB"/>
    <w:rsid w:val="008C5902"/>
    <w:rsid w:val="008C5988"/>
    <w:rsid w:val="008C5E6D"/>
    <w:rsid w:val="008C7DE5"/>
    <w:rsid w:val="008D0C02"/>
    <w:rsid w:val="008D25EE"/>
    <w:rsid w:val="008D2E07"/>
    <w:rsid w:val="008D3FC4"/>
    <w:rsid w:val="008D41FC"/>
    <w:rsid w:val="008D499A"/>
    <w:rsid w:val="008D4A08"/>
    <w:rsid w:val="008D5A64"/>
    <w:rsid w:val="008E1829"/>
    <w:rsid w:val="008E1B2E"/>
    <w:rsid w:val="008E3C1A"/>
    <w:rsid w:val="008E4017"/>
    <w:rsid w:val="008E6DFB"/>
    <w:rsid w:val="008F393A"/>
    <w:rsid w:val="008F587E"/>
    <w:rsid w:val="008F63FC"/>
    <w:rsid w:val="008F64D6"/>
    <w:rsid w:val="0090312E"/>
    <w:rsid w:val="00904FDD"/>
    <w:rsid w:val="009069C0"/>
    <w:rsid w:val="0090766C"/>
    <w:rsid w:val="00910FB9"/>
    <w:rsid w:val="0091102F"/>
    <w:rsid w:val="00914055"/>
    <w:rsid w:val="00915C2A"/>
    <w:rsid w:val="00916580"/>
    <w:rsid w:val="00917854"/>
    <w:rsid w:val="00917978"/>
    <w:rsid w:val="00917B30"/>
    <w:rsid w:val="0092010E"/>
    <w:rsid w:val="00920D81"/>
    <w:rsid w:val="00921556"/>
    <w:rsid w:val="0092181D"/>
    <w:rsid w:val="009226FF"/>
    <w:rsid w:val="009256D8"/>
    <w:rsid w:val="00926E98"/>
    <w:rsid w:val="009276BC"/>
    <w:rsid w:val="0093049E"/>
    <w:rsid w:val="0093169F"/>
    <w:rsid w:val="00932309"/>
    <w:rsid w:val="0093245B"/>
    <w:rsid w:val="00932D24"/>
    <w:rsid w:val="00934C42"/>
    <w:rsid w:val="00941D78"/>
    <w:rsid w:val="009438E2"/>
    <w:rsid w:val="009471C8"/>
    <w:rsid w:val="009477E4"/>
    <w:rsid w:val="00951E05"/>
    <w:rsid w:val="00956364"/>
    <w:rsid w:val="00956792"/>
    <w:rsid w:val="009576E2"/>
    <w:rsid w:val="00957CF2"/>
    <w:rsid w:val="00960A4D"/>
    <w:rsid w:val="00960AEF"/>
    <w:rsid w:val="00962287"/>
    <w:rsid w:val="00964404"/>
    <w:rsid w:val="00966A87"/>
    <w:rsid w:val="00966D3E"/>
    <w:rsid w:val="00967FBE"/>
    <w:rsid w:val="009703A7"/>
    <w:rsid w:val="0097053B"/>
    <w:rsid w:val="009716E8"/>
    <w:rsid w:val="00974D37"/>
    <w:rsid w:val="009764A4"/>
    <w:rsid w:val="0098151F"/>
    <w:rsid w:val="009822F0"/>
    <w:rsid w:val="009864CF"/>
    <w:rsid w:val="009868D4"/>
    <w:rsid w:val="00986F14"/>
    <w:rsid w:val="00991EB4"/>
    <w:rsid w:val="00992BAF"/>
    <w:rsid w:val="00993871"/>
    <w:rsid w:val="009942F0"/>
    <w:rsid w:val="00995A97"/>
    <w:rsid w:val="00996B4D"/>
    <w:rsid w:val="00996D0D"/>
    <w:rsid w:val="0099752F"/>
    <w:rsid w:val="009A30BF"/>
    <w:rsid w:val="009A3F9F"/>
    <w:rsid w:val="009A5E9C"/>
    <w:rsid w:val="009A74DD"/>
    <w:rsid w:val="009A7525"/>
    <w:rsid w:val="009B06BC"/>
    <w:rsid w:val="009B1F47"/>
    <w:rsid w:val="009B327E"/>
    <w:rsid w:val="009B339A"/>
    <w:rsid w:val="009B4683"/>
    <w:rsid w:val="009B511D"/>
    <w:rsid w:val="009B5603"/>
    <w:rsid w:val="009B56E8"/>
    <w:rsid w:val="009B6335"/>
    <w:rsid w:val="009B6438"/>
    <w:rsid w:val="009C39BD"/>
    <w:rsid w:val="009C45B1"/>
    <w:rsid w:val="009C641A"/>
    <w:rsid w:val="009C773C"/>
    <w:rsid w:val="009D223D"/>
    <w:rsid w:val="009D3491"/>
    <w:rsid w:val="009D65FC"/>
    <w:rsid w:val="009D7095"/>
    <w:rsid w:val="009E2415"/>
    <w:rsid w:val="009E2D32"/>
    <w:rsid w:val="009E4A6F"/>
    <w:rsid w:val="009E59E9"/>
    <w:rsid w:val="009E5BB5"/>
    <w:rsid w:val="009E6DBA"/>
    <w:rsid w:val="009F3C62"/>
    <w:rsid w:val="009F3F25"/>
    <w:rsid w:val="009F6627"/>
    <w:rsid w:val="00A0299A"/>
    <w:rsid w:val="00A0440E"/>
    <w:rsid w:val="00A05F7C"/>
    <w:rsid w:val="00A068BD"/>
    <w:rsid w:val="00A079C5"/>
    <w:rsid w:val="00A10DF5"/>
    <w:rsid w:val="00A121D3"/>
    <w:rsid w:val="00A14F25"/>
    <w:rsid w:val="00A2099A"/>
    <w:rsid w:val="00A20FB8"/>
    <w:rsid w:val="00A21F26"/>
    <w:rsid w:val="00A23F0B"/>
    <w:rsid w:val="00A27620"/>
    <w:rsid w:val="00A30F01"/>
    <w:rsid w:val="00A312B0"/>
    <w:rsid w:val="00A32EF8"/>
    <w:rsid w:val="00A33250"/>
    <w:rsid w:val="00A35162"/>
    <w:rsid w:val="00A35822"/>
    <w:rsid w:val="00A3740A"/>
    <w:rsid w:val="00A40786"/>
    <w:rsid w:val="00A40795"/>
    <w:rsid w:val="00A410EA"/>
    <w:rsid w:val="00A42EF0"/>
    <w:rsid w:val="00A44AA1"/>
    <w:rsid w:val="00A47B85"/>
    <w:rsid w:val="00A47D2E"/>
    <w:rsid w:val="00A47F0F"/>
    <w:rsid w:val="00A51B00"/>
    <w:rsid w:val="00A51D21"/>
    <w:rsid w:val="00A53A4C"/>
    <w:rsid w:val="00A560C6"/>
    <w:rsid w:val="00A572BD"/>
    <w:rsid w:val="00A57B0B"/>
    <w:rsid w:val="00A62B81"/>
    <w:rsid w:val="00A63272"/>
    <w:rsid w:val="00A64028"/>
    <w:rsid w:val="00A64FEE"/>
    <w:rsid w:val="00A67E2B"/>
    <w:rsid w:val="00A71D21"/>
    <w:rsid w:val="00A74B0D"/>
    <w:rsid w:val="00A74F07"/>
    <w:rsid w:val="00A759F3"/>
    <w:rsid w:val="00A76084"/>
    <w:rsid w:val="00A800B7"/>
    <w:rsid w:val="00A801A5"/>
    <w:rsid w:val="00A806A9"/>
    <w:rsid w:val="00A809FF"/>
    <w:rsid w:val="00A81C21"/>
    <w:rsid w:val="00A83F45"/>
    <w:rsid w:val="00A8567F"/>
    <w:rsid w:val="00A869D6"/>
    <w:rsid w:val="00A86ECE"/>
    <w:rsid w:val="00A905B1"/>
    <w:rsid w:val="00A90B18"/>
    <w:rsid w:val="00A92238"/>
    <w:rsid w:val="00A92883"/>
    <w:rsid w:val="00A93090"/>
    <w:rsid w:val="00A933B4"/>
    <w:rsid w:val="00A96972"/>
    <w:rsid w:val="00A979CB"/>
    <w:rsid w:val="00AA2FFA"/>
    <w:rsid w:val="00AA353A"/>
    <w:rsid w:val="00AA4545"/>
    <w:rsid w:val="00AA4C3B"/>
    <w:rsid w:val="00AA5080"/>
    <w:rsid w:val="00AA5473"/>
    <w:rsid w:val="00AA57EE"/>
    <w:rsid w:val="00AB5225"/>
    <w:rsid w:val="00AB621A"/>
    <w:rsid w:val="00AC0DE4"/>
    <w:rsid w:val="00AC14AF"/>
    <w:rsid w:val="00AC25B2"/>
    <w:rsid w:val="00AC46E7"/>
    <w:rsid w:val="00AC7D32"/>
    <w:rsid w:val="00AD0017"/>
    <w:rsid w:val="00AD0343"/>
    <w:rsid w:val="00AD28A2"/>
    <w:rsid w:val="00AD44DC"/>
    <w:rsid w:val="00AD5A5C"/>
    <w:rsid w:val="00AD7759"/>
    <w:rsid w:val="00AE0EF8"/>
    <w:rsid w:val="00AE137E"/>
    <w:rsid w:val="00AE43C4"/>
    <w:rsid w:val="00AE4454"/>
    <w:rsid w:val="00AE4D65"/>
    <w:rsid w:val="00AE5041"/>
    <w:rsid w:val="00AE754C"/>
    <w:rsid w:val="00AF0141"/>
    <w:rsid w:val="00AF1B80"/>
    <w:rsid w:val="00AF27A2"/>
    <w:rsid w:val="00AF6181"/>
    <w:rsid w:val="00AF78BA"/>
    <w:rsid w:val="00AF7B5E"/>
    <w:rsid w:val="00B00935"/>
    <w:rsid w:val="00B012BD"/>
    <w:rsid w:val="00B014E7"/>
    <w:rsid w:val="00B02A7E"/>
    <w:rsid w:val="00B02A8C"/>
    <w:rsid w:val="00B115CA"/>
    <w:rsid w:val="00B13996"/>
    <w:rsid w:val="00B15C5A"/>
    <w:rsid w:val="00B216C6"/>
    <w:rsid w:val="00B218D2"/>
    <w:rsid w:val="00B21BCE"/>
    <w:rsid w:val="00B221AB"/>
    <w:rsid w:val="00B22735"/>
    <w:rsid w:val="00B233A7"/>
    <w:rsid w:val="00B256F2"/>
    <w:rsid w:val="00B25B05"/>
    <w:rsid w:val="00B26607"/>
    <w:rsid w:val="00B27D90"/>
    <w:rsid w:val="00B31CB9"/>
    <w:rsid w:val="00B36AA3"/>
    <w:rsid w:val="00B37CD6"/>
    <w:rsid w:val="00B420B0"/>
    <w:rsid w:val="00B42258"/>
    <w:rsid w:val="00B42450"/>
    <w:rsid w:val="00B42C45"/>
    <w:rsid w:val="00B4323A"/>
    <w:rsid w:val="00B45413"/>
    <w:rsid w:val="00B46449"/>
    <w:rsid w:val="00B471AE"/>
    <w:rsid w:val="00B47A89"/>
    <w:rsid w:val="00B47F99"/>
    <w:rsid w:val="00B50B02"/>
    <w:rsid w:val="00B53341"/>
    <w:rsid w:val="00B53D89"/>
    <w:rsid w:val="00B551D4"/>
    <w:rsid w:val="00B575F0"/>
    <w:rsid w:val="00B61172"/>
    <w:rsid w:val="00B61262"/>
    <w:rsid w:val="00B618A0"/>
    <w:rsid w:val="00B629EE"/>
    <w:rsid w:val="00B6426D"/>
    <w:rsid w:val="00B64897"/>
    <w:rsid w:val="00B65534"/>
    <w:rsid w:val="00B661D4"/>
    <w:rsid w:val="00B703A8"/>
    <w:rsid w:val="00B70D74"/>
    <w:rsid w:val="00B716F8"/>
    <w:rsid w:val="00B7326F"/>
    <w:rsid w:val="00B75EF6"/>
    <w:rsid w:val="00B75F93"/>
    <w:rsid w:val="00B762A9"/>
    <w:rsid w:val="00B76AC4"/>
    <w:rsid w:val="00B77BB6"/>
    <w:rsid w:val="00B80B41"/>
    <w:rsid w:val="00B82AE8"/>
    <w:rsid w:val="00B8333A"/>
    <w:rsid w:val="00B83403"/>
    <w:rsid w:val="00B8443F"/>
    <w:rsid w:val="00B902DA"/>
    <w:rsid w:val="00B924B9"/>
    <w:rsid w:val="00B93D7E"/>
    <w:rsid w:val="00B96203"/>
    <w:rsid w:val="00B97BC0"/>
    <w:rsid w:val="00BA1190"/>
    <w:rsid w:val="00BA27AD"/>
    <w:rsid w:val="00BA2A64"/>
    <w:rsid w:val="00BA3DEF"/>
    <w:rsid w:val="00BB7E13"/>
    <w:rsid w:val="00BC23A2"/>
    <w:rsid w:val="00BC3413"/>
    <w:rsid w:val="00BC4CC0"/>
    <w:rsid w:val="00BC51EA"/>
    <w:rsid w:val="00BC5F46"/>
    <w:rsid w:val="00BC61E8"/>
    <w:rsid w:val="00BC62F1"/>
    <w:rsid w:val="00BC65C5"/>
    <w:rsid w:val="00BC6F2C"/>
    <w:rsid w:val="00BD3615"/>
    <w:rsid w:val="00BD4652"/>
    <w:rsid w:val="00BE0C22"/>
    <w:rsid w:val="00BE1802"/>
    <w:rsid w:val="00BE28ED"/>
    <w:rsid w:val="00BE3417"/>
    <w:rsid w:val="00BE3967"/>
    <w:rsid w:val="00BE4B06"/>
    <w:rsid w:val="00BE4EF1"/>
    <w:rsid w:val="00BE6CBA"/>
    <w:rsid w:val="00BF0168"/>
    <w:rsid w:val="00BF2869"/>
    <w:rsid w:val="00BF2A3D"/>
    <w:rsid w:val="00BF39C0"/>
    <w:rsid w:val="00BF39FE"/>
    <w:rsid w:val="00BF3DF7"/>
    <w:rsid w:val="00BF4C07"/>
    <w:rsid w:val="00BF7233"/>
    <w:rsid w:val="00BF79D5"/>
    <w:rsid w:val="00C00EE7"/>
    <w:rsid w:val="00C02977"/>
    <w:rsid w:val="00C0330A"/>
    <w:rsid w:val="00C04F00"/>
    <w:rsid w:val="00C10611"/>
    <w:rsid w:val="00C11D0C"/>
    <w:rsid w:val="00C11DB1"/>
    <w:rsid w:val="00C1232C"/>
    <w:rsid w:val="00C12F2F"/>
    <w:rsid w:val="00C15BA0"/>
    <w:rsid w:val="00C16F75"/>
    <w:rsid w:val="00C17281"/>
    <w:rsid w:val="00C23D8A"/>
    <w:rsid w:val="00C23E80"/>
    <w:rsid w:val="00C251FE"/>
    <w:rsid w:val="00C2755A"/>
    <w:rsid w:val="00C30134"/>
    <w:rsid w:val="00C315B1"/>
    <w:rsid w:val="00C3302E"/>
    <w:rsid w:val="00C33EC6"/>
    <w:rsid w:val="00C343EE"/>
    <w:rsid w:val="00C345F2"/>
    <w:rsid w:val="00C35288"/>
    <w:rsid w:val="00C40DA5"/>
    <w:rsid w:val="00C4109D"/>
    <w:rsid w:val="00C469CD"/>
    <w:rsid w:val="00C46B5A"/>
    <w:rsid w:val="00C475AC"/>
    <w:rsid w:val="00C5245A"/>
    <w:rsid w:val="00C53170"/>
    <w:rsid w:val="00C536AF"/>
    <w:rsid w:val="00C54739"/>
    <w:rsid w:val="00C54C6E"/>
    <w:rsid w:val="00C5696E"/>
    <w:rsid w:val="00C578FA"/>
    <w:rsid w:val="00C613C2"/>
    <w:rsid w:val="00C61777"/>
    <w:rsid w:val="00C62CE9"/>
    <w:rsid w:val="00C62FE6"/>
    <w:rsid w:val="00C63C78"/>
    <w:rsid w:val="00C63CB0"/>
    <w:rsid w:val="00C65169"/>
    <w:rsid w:val="00C67517"/>
    <w:rsid w:val="00C67694"/>
    <w:rsid w:val="00C67AF0"/>
    <w:rsid w:val="00C71E43"/>
    <w:rsid w:val="00C75910"/>
    <w:rsid w:val="00C7696B"/>
    <w:rsid w:val="00C77DF9"/>
    <w:rsid w:val="00C814BA"/>
    <w:rsid w:val="00C81682"/>
    <w:rsid w:val="00C81B0F"/>
    <w:rsid w:val="00C8238D"/>
    <w:rsid w:val="00C829F6"/>
    <w:rsid w:val="00C84BEE"/>
    <w:rsid w:val="00C84D95"/>
    <w:rsid w:val="00C859BE"/>
    <w:rsid w:val="00C86F99"/>
    <w:rsid w:val="00C91D4B"/>
    <w:rsid w:val="00C93184"/>
    <w:rsid w:val="00C94A69"/>
    <w:rsid w:val="00C9576D"/>
    <w:rsid w:val="00C957B6"/>
    <w:rsid w:val="00CA3F26"/>
    <w:rsid w:val="00CA6433"/>
    <w:rsid w:val="00CA752A"/>
    <w:rsid w:val="00CA7A3F"/>
    <w:rsid w:val="00CB003D"/>
    <w:rsid w:val="00CB0E79"/>
    <w:rsid w:val="00CB110F"/>
    <w:rsid w:val="00CB1BDE"/>
    <w:rsid w:val="00CB2E3C"/>
    <w:rsid w:val="00CB566F"/>
    <w:rsid w:val="00CB5AF2"/>
    <w:rsid w:val="00CB6099"/>
    <w:rsid w:val="00CB68B5"/>
    <w:rsid w:val="00CC1E37"/>
    <w:rsid w:val="00CC44EE"/>
    <w:rsid w:val="00CC479D"/>
    <w:rsid w:val="00CC4990"/>
    <w:rsid w:val="00CC60E8"/>
    <w:rsid w:val="00CC7237"/>
    <w:rsid w:val="00CC72C5"/>
    <w:rsid w:val="00CC754B"/>
    <w:rsid w:val="00CD13E8"/>
    <w:rsid w:val="00CD2906"/>
    <w:rsid w:val="00CD770B"/>
    <w:rsid w:val="00CE1CB5"/>
    <w:rsid w:val="00CE20E6"/>
    <w:rsid w:val="00CE3DFB"/>
    <w:rsid w:val="00CF3E93"/>
    <w:rsid w:val="00CF5178"/>
    <w:rsid w:val="00CF51C7"/>
    <w:rsid w:val="00CF565F"/>
    <w:rsid w:val="00CF6927"/>
    <w:rsid w:val="00CF702A"/>
    <w:rsid w:val="00D0186B"/>
    <w:rsid w:val="00D045AB"/>
    <w:rsid w:val="00D05CC8"/>
    <w:rsid w:val="00D06806"/>
    <w:rsid w:val="00D102D4"/>
    <w:rsid w:val="00D10882"/>
    <w:rsid w:val="00D1130C"/>
    <w:rsid w:val="00D11C1D"/>
    <w:rsid w:val="00D13355"/>
    <w:rsid w:val="00D139BC"/>
    <w:rsid w:val="00D153C1"/>
    <w:rsid w:val="00D1657F"/>
    <w:rsid w:val="00D17CB4"/>
    <w:rsid w:val="00D20FE9"/>
    <w:rsid w:val="00D21663"/>
    <w:rsid w:val="00D22CC9"/>
    <w:rsid w:val="00D24163"/>
    <w:rsid w:val="00D25618"/>
    <w:rsid w:val="00D25B6D"/>
    <w:rsid w:val="00D27066"/>
    <w:rsid w:val="00D270CB"/>
    <w:rsid w:val="00D2732B"/>
    <w:rsid w:val="00D305EC"/>
    <w:rsid w:val="00D32A90"/>
    <w:rsid w:val="00D32D49"/>
    <w:rsid w:val="00D333A4"/>
    <w:rsid w:val="00D3360B"/>
    <w:rsid w:val="00D358A0"/>
    <w:rsid w:val="00D366FB"/>
    <w:rsid w:val="00D43543"/>
    <w:rsid w:val="00D44937"/>
    <w:rsid w:val="00D46917"/>
    <w:rsid w:val="00D539C8"/>
    <w:rsid w:val="00D5467D"/>
    <w:rsid w:val="00D62DC7"/>
    <w:rsid w:val="00D6347E"/>
    <w:rsid w:val="00D66DC1"/>
    <w:rsid w:val="00D66F25"/>
    <w:rsid w:val="00D67984"/>
    <w:rsid w:val="00D679C2"/>
    <w:rsid w:val="00D71866"/>
    <w:rsid w:val="00D774C7"/>
    <w:rsid w:val="00D77501"/>
    <w:rsid w:val="00D82C72"/>
    <w:rsid w:val="00D835D3"/>
    <w:rsid w:val="00D83A2E"/>
    <w:rsid w:val="00D8453D"/>
    <w:rsid w:val="00D84D5F"/>
    <w:rsid w:val="00D854A2"/>
    <w:rsid w:val="00D85DC3"/>
    <w:rsid w:val="00D86957"/>
    <w:rsid w:val="00D86A93"/>
    <w:rsid w:val="00D87F54"/>
    <w:rsid w:val="00D90A72"/>
    <w:rsid w:val="00D94248"/>
    <w:rsid w:val="00D94FEB"/>
    <w:rsid w:val="00D962ED"/>
    <w:rsid w:val="00D96B28"/>
    <w:rsid w:val="00DA0D97"/>
    <w:rsid w:val="00DA2F07"/>
    <w:rsid w:val="00DA4AC8"/>
    <w:rsid w:val="00DA5DC0"/>
    <w:rsid w:val="00DA788C"/>
    <w:rsid w:val="00DB2595"/>
    <w:rsid w:val="00DB65C0"/>
    <w:rsid w:val="00DB74B1"/>
    <w:rsid w:val="00DC144A"/>
    <w:rsid w:val="00DC146F"/>
    <w:rsid w:val="00DC181C"/>
    <w:rsid w:val="00DC1BB1"/>
    <w:rsid w:val="00DC44D3"/>
    <w:rsid w:val="00DC4A83"/>
    <w:rsid w:val="00DD33A0"/>
    <w:rsid w:val="00DD579B"/>
    <w:rsid w:val="00DD5965"/>
    <w:rsid w:val="00DD6272"/>
    <w:rsid w:val="00DD790D"/>
    <w:rsid w:val="00DE0220"/>
    <w:rsid w:val="00DE2D8D"/>
    <w:rsid w:val="00DE34D0"/>
    <w:rsid w:val="00DE6364"/>
    <w:rsid w:val="00DE7D7D"/>
    <w:rsid w:val="00DF39D2"/>
    <w:rsid w:val="00DF3E27"/>
    <w:rsid w:val="00DF53AF"/>
    <w:rsid w:val="00DF759D"/>
    <w:rsid w:val="00DF7BAE"/>
    <w:rsid w:val="00E01138"/>
    <w:rsid w:val="00E01802"/>
    <w:rsid w:val="00E0313A"/>
    <w:rsid w:val="00E05BA4"/>
    <w:rsid w:val="00E05EE8"/>
    <w:rsid w:val="00E06DA8"/>
    <w:rsid w:val="00E07EB2"/>
    <w:rsid w:val="00E12D3B"/>
    <w:rsid w:val="00E13BD4"/>
    <w:rsid w:val="00E14283"/>
    <w:rsid w:val="00E15A39"/>
    <w:rsid w:val="00E2031E"/>
    <w:rsid w:val="00E23EBF"/>
    <w:rsid w:val="00E25115"/>
    <w:rsid w:val="00E25F5E"/>
    <w:rsid w:val="00E2648E"/>
    <w:rsid w:val="00E26F87"/>
    <w:rsid w:val="00E3015C"/>
    <w:rsid w:val="00E3127B"/>
    <w:rsid w:val="00E32F4F"/>
    <w:rsid w:val="00E3454D"/>
    <w:rsid w:val="00E34719"/>
    <w:rsid w:val="00E36870"/>
    <w:rsid w:val="00E372AE"/>
    <w:rsid w:val="00E42AE6"/>
    <w:rsid w:val="00E43872"/>
    <w:rsid w:val="00E43FD1"/>
    <w:rsid w:val="00E451F3"/>
    <w:rsid w:val="00E46551"/>
    <w:rsid w:val="00E46B09"/>
    <w:rsid w:val="00E50005"/>
    <w:rsid w:val="00E5009F"/>
    <w:rsid w:val="00E519F0"/>
    <w:rsid w:val="00E52BCA"/>
    <w:rsid w:val="00E54D53"/>
    <w:rsid w:val="00E554E8"/>
    <w:rsid w:val="00E61894"/>
    <w:rsid w:val="00E630EB"/>
    <w:rsid w:val="00E63140"/>
    <w:rsid w:val="00E633DC"/>
    <w:rsid w:val="00E65CD8"/>
    <w:rsid w:val="00E66603"/>
    <w:rsid w:val="00E70838"/>
    <w:rsid w:val="00E711EA"/>
    <w:rsid w:val="00E729EB"/>
    <w:rsid w:val="00E735A9"/>
    <w:rsid w:val="00E73ACF"/>
    <w:rsid w:val="00E80640"/>
    <w:rsid w:val="00E8157E"/>
    <w:rsid w:val="00E81736"/>
    <w:rsid w:val="00E8176E"/>
    <w:rsid w:val="00E81E3C"/>
    <w:rsid w:val="00E82BF0"/>
    <w:rsid w:val="00E82F1F"/>
    <w:rsid w:val="00E84D69"/>
    <w:rsid w:val="00E85C7C"/>
    <w:rsid w:val="00E85DC7"/>
    <w:rsid w:val="00E86488"/>
    <w:rsid w:val="00E912B1"/>
    <w:rsid w:val="00E9165A"/>
    <w:rsid w:val="00E9219E"/>
    <w:rsid w:val="00E979F7"/>
    <w:rsid w:val="00EA3000"/>
    <w:rsid w:val="00EA3936"/>
    <w:rsid w:val="00EA5CD1"/>
    <w:rsid w:val="00EA7CD0"/>
    <w:rsid w:val="00EB2020"/>
    <w:rsid w:val="00EB2E09"/>
    <w:rsid w:val="00EB62A9"/>
    <w:rsid w:val="00EC02BE"/>
    <w:rsid w:val="00EC3054"/>
    <w:rsid w:val="00EC35DE"/>
    <w:rsid w:val="00EC409F"/>
    <w:rsid w:val="00EC61F6"/>
    <w:rsid w:val="00EC6766"/>
    <w:rsid w:val="00EC7AE3"/>
    <w:rsid w:val="00EC7E08"/>
    <w:rsid w:val="00ED2563"/>
    <w:rsid w:val="00ED5FC2"/>
    <w:rsid w:val="00EE2D3E"/>
    <w:rsid w:val="00EE5590"/>
    <w:rsid w:val="00EE68FC"/>
    <w:rsid w:val="00EE7A5E"/>
    <w:rsid w:val="00EF11CE"/>
    <w:rsid w:val="00EF13FE"/>
    <w:rsid w:val="00EF1C07"/>
    <w:rsid w:val="00EF4F51"/>
    <w:rsid w:val="00EF5C95"/>
    <w:rsid w:val="00EF6960"/>
    <w:rsid w:val="00EF7D4C"/>
    <w:rsid w:val="00F01F0C"/>
    <w:rsid w:val="00F062AC"/>
    <w:rsid w:val="00F068A0"/>
    <w:rsid w:val="00F0745D"/>
    <w:rsid w:val="00F10886"/>
    <w:rsid w:val="00F10C63"/>
    <w:rsid w:val="00F121CB"/>
    <w:rsid w:val="00F17101"/>
    <w:rsid w:val="00F175F6"/>
    <w:rsid w:val="00F17AC1"/>
    <w:rsid w:val="00F20A25"/>
    <w:rsid w:val="00F20D6E"/>
    <w:rsid w:val="00F23521"/>
    <w:rsid w:val="00F25E05"/>
    <w:rsid w:val="00F314CA"/>
    <w:rsid w:val="00F32A62"/>
    <w:rsid w:val="00F34039"/>
    <w:rsid w:val="00F35350"/>
    <w:rsid w:val="00F35E37"/>
    <w:rsid w:val="00F4022D"/>
    <w:rsid w:val="00F40A22"/>
    <w:rsid w:val="00F4164F"/>
    <w:rsid w:val="00F435DD"/>
    <w:rsid w:val="00F43806"/>
    <w:rsid w:val="00F44A54"/>
    <w:rsid w:val="00F45B2C"/>
    <w:rsid w:val="00F46714"/>
    <w:rsid w:val="00F46DC9"/>
    <w:rsid w:val="00F504D0"/>
    <w:rsid w:val="00F55E9F"/>
    <w:rsid w:val="00F5645F"/>
    <w:rsid w:val="00F61362"/>
    <w:rsid w:val="00F61F2B"/>
    <w:rsid w:val="00F632F0"/>
    <w:rsid w:val="00F650C6"/>
    <w:rsid w:val="00F65174"/>
    <w:rsid w:val="00F670C5"/>
    <w:rsid w:val="00F675A5"/>
    <w:rsid w:val="00F7197C"/>
    <w:rsid w:val="00F7266E"/>
    <w:rsid w:val="00F74487"/>
    <w:rsid w:val="00F86665"/>
    <w:rsid w:val="00F86924"/>
    <w:rsid w:val="00F87873"/>
    <w:rsid w:val="00F90FD1"/>
    <w:rsid w:val="00F92E0D"/>
    <w:rsid w:val="00F951A8"/>
    <w:rsid w:val="00F97276"/>
    <w:rsid w:val="00F973B8"/>
    <w:rsid w:val="00F97D34"/>
    <w:rsid w:val="00FA2A7B"/>
    <w:rsid w:val="00FA33EA"/>
    <w:rsid w:val="00FA41E0"/>
    <w:rsid w:val="00FA4E6A"/>
    <w:rsid w:val="00FA7041"/>
    <w:rsid w:val="00FB1F32"/>
    <w:rsid w:val="00FB318C"/>
    <w:rsid w:val="00FB38C1"/>
    <w:rsid w:val="00FB4EEC"/>
    <w:rsid w:val="00FB580A"/>
    <w:rsid w:val="00FC2BFC"/>
    <w:rsid w:val="00FC2FEF"/>
    <w:rsid w:val="00FC43F2"/>
    <w:rsid w:val="00FC4E0A"/>
    <w:rsid w:val="00FC65CF"/>
    <w:rsid w:val="00FC7688"/>
    <w:rsid w:val="00FD0107"/>
    <w:rsid w:val="00FD0552"/>
    <w:rsid w:val="00FD1C5E"/>
    <w:rsid w:val="00FD52A5"/>
    <w:rsid w:val="00FD5B9A"/>
    <w:rsid w:val="00FD5BAB"/>
    <w:rsid w:val="00FD6621"/>
    <w:rsid w:val="00FE2EBF"/>
    <w:rsid w:val="00FE2FFD"/>
    <w:rsid w:val="00FE4CEE"/>
    <w:rsid w:val="00FF1535"/>
    <w:rsid w:val="00FF1921"/>
    <w:rsid w:val="00FF204F"/>
    <w:rsid w:val="00FF5CDC"/>
    <w:rsid w:val="00FF77B0"/>
    <w:rsid w:val="00FF77BF"/>
    <w:rsid w:val="00FF7E78"/>
    <w:rsid w:val="012F044B"/>
    <w:rsid w:val="013910A0"/>
    <w:rsid w:val="01B71576"/>
    <w:rsid w:val="01D55D76"/>
    <w:rsid w:val="023C7FD4"/>
    <w:rsid w:val="02FE20CD"/>
    <w:rsid w:val="030B2844"/>
    <w:rsid w:val="0353569A"/>
    <w:rsid w:val="04460984"/>
    <w:rsid w:val="04506958"/>
    <w:rsid w:val="04B86BAD"/>
    <w:rsid w:val="04D32ECC"/>
    <w:rsid w:val="05043E59"/>
    <w:rsid w:val="052467E4"/>
    <w:rsid w:val="05595E26"/>
    <w:rsid w:val="058D40EB"/>
    <w:rsid w:val="06B33FE8"/>
    <w:rsid w:val="06B6038C"/>
    <w:rsid w:val="070C1B62"/>
    <w:rsid w:val="074A69F7"/>
    <w:rsid w:val="077D564B"/>
    <w:rsid w:val="086E55FF"/>
    <w:rsid w:val="0922701E"/>
    <w:rsid w:val="0955113E"/>
    <w:rsid w:val="09561002"/>
    <w:rsid w:val="09E516E3"/>
    <w:rsid w:val="0A232D8A"/>
    <w:rsid w:val="0A375166"/>
    <w:rsid w:val="0A715A92"/>
    <w:rsid w:val="0AE02263"/>
    <w:rsid w:val="0B31791A"/>
    <w:rsid w:val="0B487BFD"/>
    <w:rsid w:val="0B9E091F"/>
    <w:rsid w:val="0C043D87"/>
    <w:rsid w:val="0C193E4B"/>
    <w:rsid w:val="0C242407"/>
    <w:rsid w:val="0C4C440E"/>
    <w:rsid w:val="0CAC27FF"/>
    <w:rsid w:val="0D681B14"/>
    <w:rsid w:val="0DD56AC6"/>
    <w:rsid w:val="0DEF567D"/>
    <w:rsid w:val="0E5057A7"/>
    <w:rsid w:val="0E77074F"/>
    <w:rsid w:val="0ED72A38"/>
    <w:rsid w:val="0F1D1197"/>
    <w:rsid w:val="0F25216F"/>
    <w:rsid w:val="0F525FB7"/>
    <w:rsid w:val="0F5472DE"/>
    <w:rsid w:val="0F7749AB"/>
    <w:rsid w:val="0FA230A8"/>
    <w:rsid w:val="0FA87ECE"/>
    <w:rsid w:val="0FAD0CC5"/>
    <w:rsid w:val="0FF52D01"/>
    <w:rsid w:val="10044E37"/>
    <w:rsid w:val="10083F3E"/>
    <w:rsid w:val="100C12D6"/>
    <w:rsid w:val="1037024A"/>
    <w:rsid w:val="10615A49"/>
    <w:rsid w:val="10B679AD"/>
    <w:rsid w:val="10D2645C"/>
    <w:rsid w:val="118964D1"/>
    <w:rsid w:val="11C83CE9"/>
    <w:rsid w:val="1224328A"/>
    <w:rsid w:val="12AB3C15"/>
    <w:rsid w:val="137E5EFF"/>
    <w:rsid w:val="13D1527E"/>
    <w:rsid w:val="14207BC2"/>
    <w:rsid w:val="143E58E9"/>
    <w:rsid w:val="144C0CAA"/>
    <w:rsid w:val="14D85525"/>
    <w:rsid w:val="150800C9"/>
    <w:rsid w:val="15750513"/>
    <w:rsid w:val="159A3457"/>
    <w:rsid w:val="15C714C2"/>
    <w:rsid w:val="16C6735C"/>
    <w:rsid w:val="170A457F"/>
    <w:rsid w:val="17C612CE"/>
    <w:rsid w:val="18B60AE0"/>
    <w:rsid w:val="18D23085"/>
    <w:rsid w:val="190D3B48"/>
    <w:rsid w:val="191A3199"/>
    <w:rsid w:val="191B5FB9"/>
    <w:rsid w:val="19EC193E"/>
    <w:rsid w:val="1A630069"/>
    <w:rsid w:val="1B052549"/>
    <w:rsid w:val="1B121246"/>
    <w:rsid w:val="1B5302C0"/>
    <w:rsid w:val="1BD702ED"/>
    <w:rsid w:val="1C27091F"/>
    <w:rsid w:val="1C984E41"/>
    <w:rsid w:val="1D0F4A92"/>
    <w:rsid w:val="1D10354F"/>
    <w:rsid w:val="1DA115C5"/>
    <w:rsid w:val="1DDA2BED"/>
    <w:rsid w:val="1DE87E12"/>
    <w:rsid w:val="1DFE6287"/>
    <w:rsid w:val="1E1B2B12"/>
    <w:rsid w:val="1F4161BA"/>
    <w:rsid w:val="1F9E2C50"/>
    <w:rsid w:val="200B3BED"/>
    <w:rsid w:val="2010515D"/>
    <w:rsid w:val="20196EDC"/>
    <w:rsid w:val="209B6913"/>
    <w:rsid w:val="20A718C3"/>
    <w:rsid w:val="20D57D40"/>
    <w:rsid w:val="20E93A54"/>
    <w:rsid w:val="21737CC2"/>
    <w:rsid w:val="221E0A69"/>
    <w:rsid w:val="2253090A"/>
    <w:rsid w:val="22BC4F06"/>
    <w:rsid w:val="22EF10CD"/>
    <w:rsid w:val="23050184"/>
    <w:rsid w:val="23232493"/>
    <w:rsid w:val="239E5B53"/>
    <w:rsid w:val="23F915EB"/>
    <w:rsid w:val="24F0235C"/>
    <w:rsid w:val="250E52B0"/>
    <w:rsid w:val="252B6AB6"/>
    <w:rsid w:val="25534B94"/>
    <w:rsid w:val="25643A69"/>
    <w:rsid w:val="25B05D4D"/>
    <w:rsid w:val="2625501D"/>
    <w:rsid w:val="263431F9"/>
    <w:rsid w:val="26980F33"/>
    <w:rsid w:val="26A4050D"/>
    <w:rsid w:val="26B63325"/>
    <w:rsid w:val="26C70AE5"/>
    <w:rsid w:val="27683AA6"/>
    <w:rsid w:val="28250CC6"/>
    <w:rsid w:val="2829487E"/>
    <w:rsid w:val="284C09E6"/>
    <w:rsid w:val="28741B2F"/>
    <w:rsid w:val="28EE7985"/>
    <w:rsid w:val="28FF0012"/>
    <w:rsid w:val="295604C2"/>
    <w:rsid w:val="297B49FB"/>
    <w:rsid w:val="299B3B6E"/>
    <w:rsid w:val="29B30E1A"/>
    <w:rsid w:val="29EF2C20"/>
    <w:rsid w:val="29F32CAA"/>
    <w:rsid w:val="2A0C4820"/>
    <w:rsid w:val="2A2306D6"/>
    <w:rsid w:val="2A36520C"/>
    <w:rsid w:val="2AA576F8"/>
    <w:rsid w:val="2B7807D7"/>
    <w:rsid w:val="2BB06763"/>
    <w:rsid w:val="2C137C81"/>
    <w:rsid w:val="2C2F2ADC"/>
    <w:rsid w:val="2CC45BE0"/>
    <w:rsid w:val="2CF9552F"/>
    <w:rsid w:val="2D4F6FA0"/>
    <w:rsid w:val="2D57287B"/>
    <w:rsid w:val="2D723114"/>
    <w:rsid w:val="2E1201A7"/>
    <w:rsid w:val="2E5408B1"/>
    <w:rsid w:val="2E75733D"/>
    <w:rsid w:val="2E923CE7"/>
    <w:rsid w:val="2EB411CC"/>
    <w:rsid w:val="2EBA46DE"/>
    <w:rsid w:val="2EF96FED"/>
    <w:rsid w:val="2EFB2258"/>
    <w:rsid w:val="2F84431E"/>
    <w:rsid w:val="2FCE033F"/>
    <w:rsid w:val="2FD57AFF"/>
    <w:rsid w:val="303247EE"/>
    <w:rsid w:val="30993AA1"/>
    <w:rsid w:val="30D34E0D"/>
    <w:rsid w:val="32B54268"/>
    <w:rsid w:val="333F13F4"/>
    <w:rsid w:val="33533315"/>
    <w:rsid w:val="340962A6"/>
    <w:rsid w:val="3417184D"/>
    <w:rsid w:val="344235D6"/>
    <w:rsid w:val="34BD147A"/>
    <w:rsid w:val="34C8264D"/>
    <w:rsid w:val="353A1619"/>
    <w:rsid w:val="35E132A1"/>
    <w:rsid w:val="36140BE8"/>
    <w:rsid w:val="36994677"/>
    <w:rsid w:val="36C14DBF"/>
    <w:rsid w:val="36EC7EB3"/>
    <w:rsid w:val="3710594F"/>
    <w:rsid w:val="37336181"/>
    <w:rsid w:val="374617A5"/>
    <w:rsid w:val="375D5510"/>
    <w:rsid w:val="378C2A74"/>
    <w:rsid w:val="379A68D8"/>
    <w:rsid w:val="37BE6E27"/>
    <w:rsid w:val="37E77E78"/>
    <w:rsid w:val="381415A9"/>
    <w:rsid w:val="386E6D0F"/>
    <w:rsid w:val="38E47142"/>
    <w:rsid w:val="39BB14A5"/>
    <w:rsid w:val="39CE6A60"/>
    <w:rsid w:val="39F17CF6"/>
    <w:rsid w:val="39F93328"/>
    <w:rsid w:val="3A0634DB"/>
    <w:rsid w:val="3A1F0811"/>
    <w:rsid w:val="3A905B51"/>
    <w:rsid w:val="3AF91C16"/>
    <w:rsid w:val="3AFD720A"/>
    <w:rsid w:val="3B077D08"/>
    <w:rsid w:val="3B216667"/>
    <w:rsid w:val="3B673A7D"/>
    <w:rsid w:val="3B7C4830"/>
    <w:rsid w:val="3B9F7BFE"/>
    <w:rsid w:val="3BA54BF1"/>
    <w:rsid w:val="3BC1394A"/>
    <w:rsid w:val="3C343279"/>
    <w:rsid w:val="3E4E5B2B"/>
    <w:rsid w:val="3EB72977"/>
    <w:rsid w:val="3ED854DE"/>
    <w:rsid w:val="3F927702"/>
    <w:rsid w:val="3FA87CDA"/>
    <w:rsid w:val="3FB12EA5"/>
    <w:rsid w:val="3FB652D0"/>
    <w:rsid w:val="3FC72D8E"/>
    <w:rsid w:val="401E2DB8"/>
    <w:rsid w:val="41041A87"/>
    <w:rsid w:val="41903EBE"/>
    <w:rsid w:val="41F477D5"/>
    <w:rsid w:val="42285333"/>
    <w:rsid w:val="42595963"/>
    <w:rsid w:val="427B0526"/>
    <w:rsid w:val="42CF2AAA"/>
    <w:rsid w:val="42D601B6"/>
    <w:rsid w:val="42EB2FD6"/>
    <w:rsid w:val="431C5C18"/>
    <w:rsid w:val="436458AA"/>
    <w:rsid w:val="43CB7D73"/>
    <w:rsid w:val="442D0617"/>
    <w:rsid w:val="44344F19"/>
    <w:rsid w:val="44784DF2"/>
    <w:rsid w:val="45EE4662"/>
    <w:rsid w:val="46741846"/>
    <w:rsid w:val="46B42D12"/>
    <w:rsid w:val="46C52C66"/>
    <w:rsid w:val="46DC6915"/>
    <w:rsid w:val="47507AB4"/>
    <w:rsid w:val="478B35E3"/>
    <w:rsid w:val="47A20D04"/>
    <w:rsid w:val="48F74706"/>
    <w:rsid w:val="49477653"/>
    <w:rsid w:val="496D29C8"/>
    <w:rsid w:val="49EF313E"/>
    <w:rsid w:val="49F2265D"/>
    <w:rsid w:val="4A114D72"/>
    <w:rsid w:val="4A2A54D9"/>
    <w:rsid w:val="4A5408FB"/>
    <w:rsid w:val="4AA46683"/>
    <w:rsid w:val="4ACE12CA"/>
    <w:rsid w:val="4B2D65BF"/>
    <w:rsid w:val="4B810772"/>
    <w:rsid w:val="4C0C7771"/>
    <w:rsid w:val="4C172E84"/>
    <w:rsid w:val="4C42016C"/>
    <w:rsid w:val="4C7D6914"/>
    <w:rsid w:val="4C8B75BA"/>
    <w:rsid w:val="4CA757A7"/>
    <w:rsid w:val="4D0B2CFA"/>
    <w:rsid w:val="4D7A5423"/>
    <w:rsid w:val="4E222B31"/>
    <w:rsid w:val="4E4E1AD3"/>
    <w:rsid w:val="4E6F7ED9"/>
    <w:rsid w:val="4E941A5E"/>
    <w:rsid w:val="4ED2744B"/>
    <w:rsid w:val="4EF7302E"/>
    <w:rsid w:val="4F630779"/>
    <w:rsid w:val="4F7C7C78"/>
    <w:rsid w:val="4F9A19D9"/>
    <w:rsid w:val="4FC36FBC"/>
    <w:rsid w:val="4FDB6FF1"/>
    <w:rsid w:val="501D7F57"/>
    <w:rsid w:val="50B30DEB"/>
    <w:rsid w:val="51190237"/>
    <w:rsid w:val="51235CA6"/>
    <w:rsid w:val="5126484D"/>
    <w:rsid w:val="51844B34"/>
    <w:rsid w:val="51D210B4"/>
    <w:rsid w:val="51EA0D86"/>
    <w:rsid w:val="523F7132"/>
    <w:rsid w:val="52902630"/>
    <w:rsid w:val="52B04009"/>
    <w:rsid w:val="54A13D14"/>
    <w:rsid w:val="54D576D6"/>
    <w:rsid w:val="5507617F"/>
    <w:rsid w:val="551B2132"/>
    <w:rsid w:val="555013F6"/>
    <w:rsid w:val="55834CD5"/>
    <w:rsid w:val="559A5D14"/>
    <w:rsid w:val="559D5EE4"/>
    <w:rsid w:val="55B41AF5"/>
    <w:rsid w:val="56B15042"/>
    <w:rsid w:val="57296619"/>
    <w:rsid w:val="572C03D8"/>
    <w:rsid w:val="572F33BD"/>
    <w:rsid w:val="579D6B7D"/>
    <w:rsid w:val="57A04676"/>
    <w:rsid w:val="57FE1198"/>
    <w:rsid w:val="581D7FA6"/>
    <w:rsid w:val="58332920"/>
    <w:rsid w:val="58465817"/>
    <w:rsid w:val="586D2561"/>
    <w:rsid w:val="58E9485F"/>
    <w:rsid w:val="596E1A64"/>
    <w:rsid w:val="59B71D6B"/>
    <w:rsid w:val="5AD7591E"/>
    <w:rsid w:val="5B260D1C"/>
    <w:rsid w:val="5B583C84"/>
    <w:rsid w:val="5B7F68A0"/>
    <w:rsid w:val="5BDB6005"/>
    <w:rsid w:val="5C0C2CFA"/>
    <w:rsid w:val="5C12560E"/>
    <w:rsid w:val="5CEB3FD9"/>
    <w:rsid w:val="5D0B568A"/>
    <w:rsid w:val="5D283554"/>
    <w:rsid w:val="5D42145A"/>
    <w:rsid w:val="5DAE73F2"/>
    <w:rsid w:val="5E845E14"/>
    <w:rsid w:val="5E9C2DA1"/>
    <w:rsid w:val="5F0E7242"/>
    <w:rsid w:val="5FA339A2"/>
    <w:rsid w:val="5FC548FB"/>
    <w:rsid w:val="5FD76A07"/>
    <w:rsid w:val="600E63A9"/>
    <w:rsid w:val="60232C7D"/>
    <w:rsid w:val="60375C2E"/>
    <w:rsid w:val="611258D9"/>
    <w:rsid w:val="613D0692"/>
    <w:rsid w:val="61CC600D"/>
    <w:rsid w:val="629E4F84"/>
    <w:rsid w:val="63131CC4"/>
    <w:rsid w:val="632F5E66"/>
    <w:rsid w:val="63D80168"/>
    <w:rsid w:val="63EE43EA"/>
    <w:rsid w:val="63FB0D03"/>
    <w:rsid w:val="64145311"/>
    <w:rsid w:val="64361733"/>
    <w:rsid w:val="647E5958"/>
    <w:rsid w:val="649F7553"/>
    <w:rsid w:val="64B259E8"/>
    <w:rsid w:val="64BB63F8"/>
    <w:rsid w:val="64C9409E"/>
    <w:rsid w:val="64D97FBE"/>
    <w:rsid w:val="64EF2844"/>
    <w:rsid w:val="65622D19"/>
    <w:rsid w:val="656A3451"/>
    <w:rsid w:val="656F7304"/>
    <w:rsid w:val="65B708DE"/>
    <w:rsid w:val="65F02C91"/>
    <w:rsid w:val="65F50EB7"/>
    <w:rsid w:val="664D683C"/>
    <w:rsid w:val="6676702E"/>
    <w:rsid w:val="66CA52C9"/>
    <w:rsid w:val="6751785F"/>
    <w:rsid w:val="67582114"/>
    <w:rsid w:val="675B6700"/>
    <w:rsid w:val="676C5FC2"/>
    <w:rsid w:val="6780567D"/>
    <w:rsid w:val="67C10C48"/>
    <w:rsid w:val="680802C2"/>
    <w:rsid w:val="68352BF1"/>
    <w:rsid w:val="68784033"/>
    <w:rsid w:val="68803037"/>
    <w:rsid w:val="68B458C4"/>
    <w:rsid w:val="68C012C7"/>
    <w:rsid w:val="69016C2F"/>
    <w:rsid w:val="69080BDE"/>
    <w:rsid w:val="69083ABB"/>
    <w:rsid w:val="69191A64"/>
    <w:rsid w:val="6987670C"/>
    <w:rsid w:val="69906697"/>
    <w:rsid w:val="69D507E2"/>
    <w:rsid w:val="6A1F1550"/>
    <w:rsid w:val="6A2F4547"/>
    <w:rsid w:val="6A31291F"/>
    <w:rsid w:val="6A497BD1"/>
    <w:rsid w:val="6A595D36"/>
    <w:rsid w:val="6A7D177A"/>
    <w:rsid w:val="6A817D97"/>
    <w:rsid w:val="6B9A6AF9"/>
    <w:rsid w:val="6BAC4983"/>
    <w:rsid w:val="6C475649"/>
    <w:rsid w:val="6C6F4377"/>
    <w:rsid w:val="6C7E67E5"/>
    <w:rsid w:val="6CFA6255"/>
    <w:rsid w:val="6D3A6F3B"/>
    <w:rsid w:val="6DE77D9E"/>
    <w:rsid w:val="6E4B6440"/>
    <w:rsid w:val="6EB87290"/>
    <w:rsid w:val="6EC008A6"/>
    <w:rsid w:val="6F4739A8"/>
    <w:rsid w:val="6F4E7959"/>
    <w:rsid w:val="6F894224"/>
    <w:rsid w:val="700C3D3F"/>
    <w:rsid w:val="70383787"/>
    <w:rsid w:val="70695D62"/>
    <w:rsid w:val="70A55E24"/>
    <w:rsid w:val="70C53F8B"/>
    <w:rsid w:val="70EA21D8"/>
    <w:rsid w:val="71704568"/>
    <w:rsid w:val="71791412"/>
    <w:rsid w:val="721B7C23"/>
    <w:rsid w:val="72891AEC"/>
    <w:rsid w:val="730211B9"/>
    <w:rsid w:val="73181744"/>
    <w:rsid w:val="736C180D"/>
    <w:rsid w:val="73DD7CAA"/>
    <w:rsid w:val="741A2E52"/>
    <w:rsid w:val="745F4D3E"/>
    <w:rsid w:val="749A62FC"/>
    <w:rsid w:val="74B14DAD"/>
    <w:rsid w:val="74ED70FF"/>
    <w:rsid w:val="750E30A4"/>
    <w:rsid w:val="75831CA0"/>
    <w:rsid w:val="75922DA4"/>
    <w:rsid w:val="760A4D90"/>
    <w:rsid w:val="770208BC"/>
    <w:rsid w:val="7846721B"/>
    <w:rsid w:val="78542439"/>
    <w:rsid w:val="78661195"/>
    <w:rsid w:val="78DF523C"/>
    <w:rsid w:val="78FA6830"/>
    <w:rsid w:val="793E5E52"/>
    <w:rsid w:val="794A2994"/>
    <w:rsid w:val="795036EB"/>
    <w:rsid w:val="7A0A57D4"/>
    <w:rsid w:val="7A19222E"/>
    <w:rsid w:val="7A361450"/>
    <w:rsid w:val="7ABA58A7"/>
    <w:rsid w:val="7AE94317"/>
    <w:rsid w:val="7B887FA2"/>
    <w:rsid w:val="7C33173B"/>
    <w:rsid w:val="7C4514C4"/>
    <w:rsid w:val="7C681D0C"/>
    <w:rsid w:val="7C9931B0"/>
    <w:rsid w:val="7CB72BA0"/>
    <w:rsid w:val="7D082996"/>
    <w:rsid w:val="7D20072F"/>
    <w:rsid w:val="7D7209E8"/>
    <w:rsid w:val="7D9655B2"/>
    <w:rsid w:val="7DF47138"/>
    <w:rsid w:val="7E3C33E1"/>
    <w:rsid w:val="7E80779E"/>
    <w:rsid w:val="7EEE6EF0"/>
    <w:rsid w:val="7F3D36B7"/>
    <w:rsid w:val="7F6A0F42"/>
    <w:rsid w:val="7FFD366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58"/>
    <w:qFormat/>
    <w:uiPriority w:val="0"/>
    <w:pPr>
      <w:keepNext/>
      <w:jc w:val="center"/>
      <w:outlineLvl w:val="0"/>
    </w:pPr>
    <w:rPr>
      <w:b/>
      <w:bCs/>
      <w:kern w:val="0"/>
      <w:sz w:val="24"/>
      <w:szCs w:val="20"/>
    </w:rPr>
  </w:style>
  <w:style w:type="paragraph" w:styleId="8">
    <w:name w:val="heading 2"/>
    <w:basedOn w:val="1"/>
    <w:next w:val="1"/>
    <w:link w:val="59"/>
    <w:qFormat/>
    <w:uiPriority w:val="0"/>
    <w:pPr>
      <w:keepNext/>
      <w:keepLines/>
      <w:spacing w:line="360" w:lineRule="auto"/>
      <w:outlineLvl w:val="1"/>
    </w:pPr>
    <w:rPr>
      <w:rFonts w:ascii="Arial" w:hAnsi="Arial"/>
      <w:b/>
      <w:bCs/>
      <w:kern w:val="0"/>
      <w:sz w:val="24"/>
      <w:szCs w:val="32"/>
    </w:rPr>
  </w:style>
  <w:style w:type="paragraph" w:styleId="9">
    <w:name w:val="heading 3"/>
    <w:basedOn w:val="1"/>
    <w:next w:val="1"/>
    <w:link w:val="60"/>
    <w:qFormat/>
    <w:uiPriority w:val="0"/>
    <w:pPr>
      <w:keepNext/>
      <w:keepLines/>
      <w:spacing w:before="260" w:after="260" w:line="416" w:lineRule="auto"/>
      <w:outlineLvl w:val="2"/>
    </w:pPr>
    <w:rPr>
      <w:b/>
      <w:bCs/>
      <w:kern w:val="0"/>
      <w:sz w:val="32"/>
      <w:szCs w:val="32"/>
    </w:rPr>
  </w:style>
  <w:style w:type="paragraph" w:styleId="10">
    <w:name w:val="heading 4"/>
    <w:basedOn w:val="1"/>
    <w:next w:val="1"/>
    <w:link w:val="61"/>
    <w:qFormat/>
    <w:uiPriority w:val="9"/>
    <w:pPr>
      <w:keepNext/>
      <w:keepLines/>
      <w:spacing w:before="280" w:after="290" w:line="376" w:lineRule="auto"/>
      <w:outlineLvl w:val="3"/>
    </w:pPr>
    <w:rPr>
      <w:rFonts w:ascii="Arial" w:hAnsi="Arial" w:eastAsia="黑体"/>
      <w:b/>
      <w:bCs/>
      <w:kern w:val="0"/>
      <w:sz w:val="28"/>
      <w:szCs w:val="28"/>
    </w:rPr>
  </w:style>
  <w:style w:type="paragraph" w:styleId="11">
    <w:name w:val="heading 5"/>
    <w:basedOn w:val="1"/>
    <w:next w:val="1"/>
    <w:link w:val="62"/>
    <w:qFormat/>
    <w:uiPriority w:val="9"/>
    <w:pPr>
      <w:keepNext/>
      <w:keepLines/>
      <w:adjustRightInd w:val="0"/>
      <w:spacing w:before="280" w:after="290" w:line="376" w:lineRule="atLeast"/>
      <w:jc w:val="left"/>
      <w:textAlignment w:val="baseline"/>
      <w:outlineLvl w:val="4"/>
    </w:pPr>
    <w:rPr>
      <w:b/>
      <w:bCs/>
      <w:kern w:val="0"/>
      <w:sz w:val="28"/>
      <w:szCs w:val="28"/>
    </w:rPr>
  </w:style>
  <w:style w:type="paragraph" w:styleId="12">
    <w:name w:val="heading 6"/>
    <w:basedOn w:val="1"/>
    <w:next w:val="1"/>
    <w:link w:val="63"/>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3">
    <w:name w:val="heading 7"/>
    <w:basedOn w:val="1"/>
    <w:next w:val="1"/>
    <w:link w:val="64"/>
    <w:qFormat/>
    <w:uiPriority w:val="9"/>
    <w:pPr>
      <w:keepNext/>
      <w:keepLines/>
      <w:adjustRightInd w:val="0"/>
      <w:spacing w:before="240" w:after="64" w:line="320" w:lineRule="atLeast"/>
      <w:jc w:val="left"/>
      <w:textAlignment w:val="baseline"/>
      <w:outlineLvl w:val="6"/>
    </w:pPr>
    <w:rPr>
      <w:b/>
      <w:bCs/>
      <w:kern w:val="0"/>
      <w:sz w:val="24"/>
    </w:rPr>
  </w:style>
  <w:style w:type="paragraph" w:styleId="14">
    <w:name w:val="heading 8"/>
    <w:basedOn w:val="1"/>
    <w:next w:val="1"/>
    <w:link w:val="65"/>
    <w:qFormat/>
    <w:uiPriority w:val="9"/>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5">
    <w:name w:val="heading 9"/>
    <w:basedOn w:val="1"/>
    <w:next w:val="1"/>
    <w:link w:val="66"/>
    <w:qFormat/>
    <w:uiPriority w:val="9"/>
    <w:pPr>
      <w:keepNext/>
      <w:keepLines/>
      <w:adjustRightInd w:val="0"/>
      <w:spacing w:before="240" w:after="64" w:line="320" w:lineRule="atLeast"/>
      <w:jc w:val="left"/>
      <w:textAlignment w:val="baseline"/>
      <w:outlineLvl w:val="8"/>
    </w:pPr>
    <w:rPr>
      <w:rFonts w:ascii="Arial" w:hAnsi="Arial" w:eastAsia="黑体"/>
      <w:kern w:val="0"/>
      <w:sz w:val="20"/>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link w:val="57"/>
    <w:qFormat/>
    <w:uiPriority w:val="0"/>
    <w:pPr>
      <w:spacing w:after="120"/>
    </w:pPr>
    <w:rPr>
      <w:kern w:val="0"/>
      <w:sz w:val="20"/>
    </w:r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6">
    <w:name w:val="toc 7"/>
    <w:basedOn w:val="1"/>
    <w:next w:val="1"/>
    <w:unhideWhenUsed/>
    <w:qFormat/>
    <w:uiPriority w:val="39"/>
    <w:pPr>
      <w:ind w:left="2520" w:leftChars="1200"/>
    </w:pPr>
    <w:rPr>
      <w:rFonts w:ascii="等线" w:hAnsi="等线" w:eastAsia="等线"/>
      <w:szCs w:val="22"/>
    </w:rPr>
  </w:style>
  <w:style w:type="paragraph" w:styleId="17">
    <w:name w:val="Normal Indent"/>
    <w:basedOn w:val="1"/>
    <w:qFormat/>
    <w:uiPriority w:val="0"/>
    <w:pPr>
      <w:widowControl/>
      <w:ind w:firstLine="420"/>
      <w:jc w:val="left"/>
    </w:pPr>
    <w:rPr>
      <w:kern w:val="0"/>
      <w:sz w:val="20"/>
      <w:szCs w:val="20"/>
    </w:rPr>
  </w:style>
  <w:style w:type="paragraph" w:styleId="18">
    <w:name w:val="Document Map"/>
    <w:basedOn w:val="1"/>
    <w:link w:val="67"/>
    <w:semiHidden/>
    <w:qFormat/>
    <w:uiPriority w:val="0"/>
    <w:pPr>
      <w:shd w:val="clear" w:color="auto" w:fill="000080"/>
    </w:pPr>
    <w:rPr>
      <w:kern w:val="0"/>
      <w:sz w:val="20"/>
    </w:rPr>
  </w:style>
  <w:style w:type="paragraph" w:styleId="19">
    <w:name w:val="annotation text"/>
    <w:basedOn w:val="1"/>
    <w:link w:val="68"/>
    <w:qFormat/>
    <w:uiPriority w:val="99"/>
    <w:pPr>
      <w:jc w:val="left"/>
    </w:pPr>
    <w:rPr>
      <w:kern w:val="0"/>
      <w:sz w:val="20"/>
    </w:rPr>
  </w:style>
  <w:style w:type="paragraph" w:styleId="20">
    <w:name w:val="Salutation"/>
    <w:basedOn w:val="1"/>
    <w:next w:val="1"/>
    <w:link w:val="69"/>
    <w:qFormat/>
    <w:uiPriority w:val="0"/>
    <w:rPr>
      <w:rFonts w:ascii="仿宋_GB2312" w:eastAsia="仿宋_GB2312"/>
      <w:kern w:val="0"/>
      <w:sz w:val="24"/>
    </w:rPr>
  </w:style>
  <w:style w:type="paragraph" w:styleId="21">
    <w:name w:val="Body Text Indent"/>
    <w:basedOn w:val="1"/>
    <w:link w:val="70"/>
    <w:qFormat/>
    <w:uiPriority w:val="0"/>
    <w:pPr>
      <w:spacing w:after="120"/>
      <w:ind w:left="420" w:leftChars="200"/>
    </w:pPr>
    <w:rPr>
      <w:kern w:val="0"/>
      <w:sz w:val="20"/>
    </w:r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unhideWhenUsed/>
    <w:qFormat/>
    <w:uiPriority w:val="39"/>
    <w:pPr>
      <w:ind w:left="1680" w:leftChars="800"/>
    </w:pPr>
    <w:rPr>
      <w:rFonts w:ascii="等线" w:hAnsi="等线" w:eastAsia="等线"/>
      <w:szCs w:val="22"/>
    </w:rPr>
  </w:style>
  <w:style w:type="paragraph" w:styleId="24">
    <w:name w:val="toc 3"/>
    <w:basedOn w:val="1"/>
    <w:next w:val="1"/>
    <w:unhideWhenUsed/>
    <w:qFormat/>
    <w:uiPriority w:val="39"/>
    <w:pPr>
      <w:spacing w:before="12" w:after="12" w:line="360" w:lineRule="auto"/>
    </w:pPr>
    <w:rPr>
      <w:rFonts w:ascii="等线" w:hAnsi="等线" w:eastAsia="等线"/>
      <w:szCs w:val="22"/>
    </w:rPr>
  </w:style>
  <w:style w:type="paragraph" w:styleId="25">
    <w:name w:val="Plain Text"/>
    <w:basedOn w:val="1"/>
    <w:next w:val="26"/>
    <w:link w:val="71"/>
    <w:qFormat/>
    <w:uiPriority w:val="0"/>
    <w:rPr>
      <w:rFonts w:ascii="宋体" w:hAnsi="Courier New"/>
      <w:kern w:val="0"/>
      <w:sz w:val="20"/>
      <w:szCs w:val="21"/>
    </w:rPr>
  </w:style>
  <w:style w:type="paragraph" w:customStyle="1" w:styleId="2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27">
    <w:name w:val="toc 8"/>
    <w:basedOn w:val="1"/>
    <w:next w:val="1"/>
    <w:unhideWhenUsed/>
    <w:qFormat/>
    <w:uiPriority w:val="39"/>
    <w:pPr>
      <w:ind w:left="2940" w:leftChars="1400"/>
    </w:pPr>
    <w:rPr>
      <w:rFonts w:ascii="等线" w:hAnsi="等线" w:eastAsia="等线"/>
      <w:szCs w:val="22"/>
    </w:rPr>
  </w:style>
  <w:style w:type="paragraph" w:styleId="28">
    <w:name w:val="Date"/>
    <w:basedOn w:val="1"/>
    <w:next w:val="1"/>
    <w:link w:val="72"/>
    <w:qFormat/>
    <w:uiPriority w:val="0"/>
    <w:rPr>
      <w:kern w:val="0"/>
      <w:sz w:val="24"/>
      <w:szCs w:val="20"/>
    </w:rPr>
  </w:style>
  <w:style w:type="paragraph" w:styleId="29">
    <w:name w:val="Body Text Indent 2"/>
    <w:basedOn w:val="1"/>
    <w:link w:val="73"/>
    <w:qFormat/>
    <w:uiPriority w:val="0"/>
    <w:pPr>
      <w:spacing w:after="120" w:line="480" w:lineRule="auto"/>
      <w:ind w:left="420" w:leftChars="200"/>
    </w:pPr>
    <w:rPr>
      <w:kern w:val="0"/>
      <w:sz w:val="20"/>
    </w:rPr>
  </w:style>
  <w:style w:type="paragraph" w:styleId="30">
    <w:name w:val="Balloon Text"/>
    <w:basedOn w:val="1"/>
    <w:link w:val="74"/>
    <w:qFormat/>
    <w:uiPriority w:val="99"/>
    <w:rPr>
      <w:kern w:val="0"/>
      <w:sz w:val="18"/>
      <w:szCs w:val="18"/>
    </w:rPr>
  </w:style>
  <w:style w:type="paragraph" w:styleId="31">
    <w:name w:val="footer"/>
    <w:basedOn w:val="1"/>
    <w:link w:val="75"/>
    <w:qFormat/>
    <w:uiPriority w:val="99"/>
    <w:pPr>
      <w:tabs>
        <w:tab w:val="center" w:pos="4153"/>
        <w:tab w:val="right" w:pos="8306"/>
      </w:tabs>
      <w:snapToGrid w:val="0"/>
      <w:jc w:val="left"/>
    </w:pPr>
    <w:rPr>
      <w:kern w:val="0"/>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qFormat/>
    <w:uiPriority w:val="39"/>
    <w:rPr>
      <w:rFonts w:ascii="宋体" w:hAnsi="宋体"/>
      <w:szCs w:val="21"/>
    </w:rPr>
  </w:style>
  <w:style w:type="paragraph" w:styleId="34">
    <w:name w:val="toc 4"/>
    <w:basedOn w:val="1"/>
    <w:next w:val="1"/>
    <w:unhideWhenUsed/>
    <w:qFormat/>
    <w:uiPriority w:val="39"/>
    <w:pPr>
      <w:spacing w:before="12" w:after="12" w:line="360" w:lineRule="auto"/>
      <w:ind w:left="1260" w:leftChars="600" w:firstLine="200" w:firstLineChars="200"/>
    </w:pPr>
    <w:rPr>
      <w:rFonts w:ascii="等线" w:hAnsi="等线" w:eastAsia="等线"/>
      <w:szCs w:val="22"/>
    </w:rPr>
  </w:style>
  <w:style w:type="paragraph" w:styleId="35">
    <w:name w:val="Subtitle"/>
    <w:basedOn w:val="1"/>
    <w:next w:val="1"/>
    <w:qFormat/>
    <w:uiPriority w:val="11"/>
    <w:pPr>
      <w:spacing w:before="240" w:after="60" w:line="312" w:lineRule="auto"/>
      <w:jc w:val="left"/>
      <w:outlineLvl w:val="1"/>
    </w:pPr>
    <w:rPr>
      <w:rFonts w:ascii="Cambria" w:hAnsi="Cambria"/>
      <w:b/>
      <w:bCs/>
      <w:kern w:val="28"/>
      <w:sz w:val="28"/>
      <w:szCs w:val="32"/>
    </w:rPr>
  </w:style>
  <w:style w:type="paragraph" w:styleId="36">
    <w:name w:val="toc 6"/>
    <w:basedOn w:val="1"/>
    <w:next w:val="1"/>
    <w:qFormat/>
    <w:uiPriority w:val="39"/>
    <w:pPr>
      <w:ind w:left="2100"/>
    </w:pPr>
    <w:rPr>
      <w:szCs w:val="20"/>
    </w:rPr>
  </w:style>
  <w:style w:type="paragraph" w:styleId="37">
    <w:name w:val="Body Text Indent 3"/>
    <w:basedOn w:val="1"/>
    <w:link w:val="77"/>
    <w:qFormat/>
    <w:uiPriority w:val="0"/>
    <w:pPr>
      <w:spacing w:after="120"/>
      <w:ind w:left="420" w:leftChars="200"/>
    </w:pPr>
    <w:rPr>
      <w:kern w:val="0"/>
      <w:sz w:val="16"/>
      <w:szCs w:val="16"/>
    </w:rPr>
  </w:style>
  <w:style w:type="paragraph" w:styleId="38">
    <w:name w:val="toc 2"/>
    <w:basedOn w:val="1"/>
    <w:next w:val="1"/>
    <w:unhideWhenUsed/>
    <w:qFormat/>
    <w:uiPriority w:val="39"/>
    <w:pPr>
      <w:spacing w:before="12" w:after="12" w:line="360" w:lineRule="auto"/>
    </w:pPr>
    <w:rPr>
      <w:rFonts w:ascii="等线" w:hAnsi="等线" w:eastAsia="等线"/>
      <w:b/>
      <w:szCs w:val="22"/>
    </w:rPr>
  </w:style>
  <w:style w:type="paragraph" w:styleId="39">
    <w:name w:val="toc 9"/>
    <w:basedOn w:val="1"/>
    <w:next w:val="1"/>
    <w:unhideWhenUsed/>
    <w:qFormat/>
    <w:uiPriority w:val="39"/>
    <w:pPr>
      <w:ind w:left="3360" w:leftChars="1600"/>
    </w:pPr>
    <w:rPr>
      <w:rFonts w:ascii="等线" w:hAnsi="等线" w:eastAsia="等线"/>
      <w:szCs w:val="22"/>
    </w:rPr>
  </w:style>
  <w:style w:type="paragraph" w:styleId="40">
    <w:name w:val="Body Text 2"/>
    <w:basedOn w:val="1"/>
    <w:link w:val="78"/>
    <w:qFormat/>
    <w:uiPriority w:val="0"/>
    <w:pPr>
      <w:spacing w:after="120" w:line="480" w:lineRule="auto"/>
    </w:pPr>
    <w:rPr>
      <w:kern w:val="0"/>
      <w:sz w:val="20"/>
    </w:rPr>
  </w:style>
  <w:style w:type="paragraph" w:styleId="41">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eastAsia="仿宋_GB2312"/>
      <w:szCs w:val="20"/>
    </w:rPr>
  </w:style>
  <w:style w:type="paragraph" w:styleId="44">
    <w:name w:val="Title"/>
    <w:basedOn w:val="1"/>
    <w:next w:val="1"/>
    <w:link w:val="80"/>
    <w:qFormat/>
    <w:uiPriority w:val="10"/>
    <w:pPr>
      <w:spacing w:before="240" w:after="60"/>
      <w:jc w:val="center"/>
      <w:outlineLvl w:val="0"/>
    </w:pPr>
    <w:rPr>
      <w:rFonts w:ascii="Cambria" w:hAnsi="Cambria"/>
      <w:b/>
      <w:bCs/>
      <w:sz w:val="32"/>
      <w:szCs w:val="32"/>
    </w:rPr>
  </w:style>
  <w:style w:type="paragraph" w:styleId="45">
    <w:name w:val="annotation subject"/>
    <w:basedOn w:val="19"/>
    <w:next w:val="19"/>
    <w:link w:val="81"/>
    <w:qFormat/>
    <w:uiPriority w:val="99"/>
    <w:rPr>
      <w:b/>
      <w:bCs/>
    </w:rPr>
  </w:style>
  <w:style w:type="paragraph" w:styleId="46">
    <w:name w:val="Body Text First Indent 2"/>
    <w:basedOn w:val="21"/>
    <w:link w:val="82"/>
    <w:unhideWhenUsed/>
    <w:qFormat/>
    <w:uiPriority w:val="0"/>
    <w:pPr>
      <w:ind w:firstLine="420" w:firstLineChars="200"/>
    </w:pPr>
    <w:rPr>
      <w:kern w:val="2"/>
      <w:sz w:val="21"/>
    </w:rPr>
  </w:style>
  <w:style w:type="table" w:styleId="48">
    <w:name w:val="Table Grid"/>
    <w:basedOn w:val="4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basedOn w:val="49"/>
    <w:qFormat/>
    <w:uiPriority w:val="0"/>
  </w:style>
  <w:style w:type="character" w:styleId="52">
    <w:name w:val="FollowedHyperlink"/>
    <w:basedOn w:val="49"/>
    <w:qFormat/>
    <w:uiPriority w:val="0"/>
    <w:rPr>
      <w:color w:val="5C5C5C"/>
      <w:u w:val="none"/>
    </w:rPr>
  </w:style>
  <w:style w:type="character" w:styleId="53">
    <w:name w:val="Emphasis"/>
    <w:qFormat/>
    <w:uiPriority w:val="20"/>
    <w:rPr>
      <w:color w:val="CC0000"/>
    </w:rPr>
  </w:style>
  <w:style w:type="character" w:styleId="54">
    <w:name w:val="Hyperlink"/>
    <w:qFormat/>
    <w:uiPriority w:val="99"/>
    <w:rPr>
      <w:color w:val="136EC2"/>
      <w:u w:val="single"/>
    </w:rPr>
  </w:style>
  <w:style w:type="character" w:styleId="55">
    <w:name w:val="annotation reference"/>
    <w:qFormat/>
    <w:uiPriority w:val="99"/>
    <w:rPr>
      <w:sz w:val="21"/>
      <w:szCs w:val="21"/>
    </w:rPr>
  </w:style>
  <w:style w:type="paragraph" w:customStyle="1" w:styleId="56">
    <w:name w:val="UserStyle_0"/>
    <w:basedOn w:val="1"/>
    <w:qFormat/>
    <w:uiPriority w:val="0"/>
    <w:pPr>
      <w:jc w:val="left"/>
    </w:pPr>
    <w:rPr>
      <w:color w:val="000000"/>
      <w:sz w:val="24"/>
    </w:rPr>
  </w:style>
  <w:style w:type="character" w:customStyle="1" w:styleId="57">
    <w:name w:val="正文文本 Char"/>
    <w:link w:val="3"/>
    <w:qFormat/>
    <w:uiPriority w:val="0"/>
    <w:rPr>
      <w:rFonts w:ascii="Times New Roman" w:hAnsi="Times New Roman" w:eastAsia="宋体" w:cs="Times New Roman"/>
      <w:szCs w:val="24"/>
    </w:rPr>
  </w:style>
  <w:style w:type="character" w:customStyle="1" w:styleId="58">
    <w:name w:val="标题 1 Char"/>
    <w:link w:val="7"/>
    <w:qFormat/>
    <w:uiPriority w:val="0"/>
    <w:rPr>
      <w:rFonts w:ascii="Times New Roman" w:hAnsi="Times New Roman" w:eastAsia="宋体" w:cs="Times New Roman"/>
      <w:b/>
      <w:bCs/>
      <w:sz w:val="24"/>
      <w:szCs w:val="20"/>
    </w:rPr>
  </w:style>
  <w:style w:type="character" w:customStyle="1" w:styleId="59">
    <w:name w:val="标题 2 Char"/>
    <w:link w:val="8"/>
    <w:qFormat/>
    <w:uiPriority w:val="0"/>
    <w:rPr>
      <w:rFonts w:ascii="Arial" w:hAnsi="Arial" w:eastAsia="宋体" w:cs="Times New Roman"/>
      <w:b/>
      <w:bCs/>
      <w:sz w:val="24"/>
      <w:szCs w:val="32"/>
    </w:rPr>
  </w:style>
  <w:style w:type="character" w:customStyle="1" w:styleId="60">
    <w:name w:val="标题 3 Char"/>
    <w:link w:val="9"/>
    <w:qFormat/>
    <w:uiPriority w:val="0"/>
    <w:rPr>
      <w:rFonts w:ascii="Times New Roman" w:hAnsi="Times New Roman" w:eastAsia="宋体" w:cs="Times New Roman"/>
      <w:b/>
      <w:bCs/>
      <w:sz w:val="32"/>
      <w:szCs w:val="32"/>
    </w:rPr>
  </w:style>
  <w:style w:type="character" w:customStyle="1" w:styleId="61">
    <w:name w:val="标题 4 Char"/>
    <w:link w:val="10"/>
    <w:qFormat/>
    <w:uiPriority w:val="9"/>
    <w:rPr>
      <w:rFonts w:ascii="Arial" w:hAnsi="Arial" w:eastAsia="黑体" w:cs="Times New Roman"/>
      <w:b/>
      <w:bCs/>
      <w:sz w:val="28"/>
      <w:szCs w:val="28"/>
    </w:rPr>
  </w:style>
  <w:style w:type="character" w:customStyle="1" w:styleId="62">
    <w:name w:val="标题 5 Char"/>
    <w:link w:val="11"/>
    <w:qFormat/>
    <w:uiPriority w:val="9"/>
    <w:rPr>
      <w:rFonts w:ascii="Times New Roman" w:hAnsi="Times New Roman" w:eastAsia="宋体" w:cs="Times New Roman"/>
      <w:b/>
      <w:bCs/>
      <w:kern w:val="0"/>
      <w:sz w:val="28"/>
      <w:szCs w:val="28"/>
    </w:rPr>
  </w:style>
  <w:style w:type="character" w:customStyle="1" w:styleId="63">
    <w:name w:val="标题 6 Char"/>
    <w:link w:val="12"/>
    <w:qFormat/>
    <w:uiPriority w:val="0"/>
    <w:rPr>
      <w:rFonts w:ascii="Arial" w:hAnsi="Arial" w:eastAsia="黑体" w:cs="Times New Roman"/>
      <w:b/>
      <w:bCs/>
      <w:kern w:val="0"/>
      <w:sz w:val="24"/>
      <w:szCs w:val="24"/>
    </w:rPr>
  </w:style>
  <w:style w:type="character" w:customStyle="1" w:styleId="64">
    <w:name w:val="标题 7 Char"/>
    <w:link w:val="13"/>
    <w:qFormat/>
    <w:uiPriority w:val="9"/>
    <w:rPr>
      <w:rFonts w:ascii="Times New Roman" w:hAnsi="Times New Roman" w:eastAsia="宋体" w:cs="Times New Roman"/>
      <w:b/>
      <w:bCs/>
      <w:kern w:val="0"/>
      <w:sz w:val="24"/>
      <w:szCs w:val="24"/>
    </w:rPr>
  </w:style>
  <w:style w:type="character" w:customStyle="1" w:styleId="65">
    <w:name w:val="标题 8 Char"/>
    <w:link w:val="14"/>
    <w:qFormat/>
    <w:uiPriority w:val="9"/>
    <w:rPr>
      <w:rFonts w:ascii="Arial" w:hAnsi="Arial" w:eastAsia="黑体" w:cs="Times New Roman"/>
      <w:kern w:val="0"/>
      <w:sz w:val="24"/>
      <w:szCs w:val="24"/>
    </w:rPr>
  </w:style>
  <w:style w:type="character" w:customStyle="1" w:styleId="66">
    <w:name w:val="标题 9 Char"/>
    <w:link w:val="15"/>
    <w:qFormat/>
    <w:uiPriority w:val="9"/>
    <w:rPr>
      <w:rFonts w:ascii="Arial" w:hAnsi="Arial" w:eastAsia="黑体" w:cs="Times New Roman"/>
      <w:kern w:val="0"/>
      <w:szCs w:val="21"/>
    </w:rPr>
  </w:style>
  <w:style w:type="character" w:customStyle="1" w:styleId="67">
    <w:name w:val="文档结构图 Char"/>
    <w:link w:val="18"/>
    <w:semiHidden/>
    <w:qFormat/>
    <w:uiPriority w:val="0"/>
    <w:rPr>
      <w:rFonts w:ascii="Times New Roman" w:hAnsi="Times New Roman" w:eastAsia="宋体" w:cs="Times New Roman"/>
      <w:szCs w:val="24"/>
      <w:shd w:val="clear" w:color="auto" w:fill="000080"/>
    </w:rPr>
  </w:style>
  <w:style w:type="character" w:customStyle="1" w:styleId="68">
    <w:name w:val="批注文字 Char"/>
    <w:link w:val="19"/>
    <w:qFormat/>
    <w:uiPriority w:val="99"/>
    <w:rPr>
      <w:rFonts w:ascii="Times New Roman" w:hAnsi="Times New Roman" w:eastAsia="宋体" w:cs="Times New Roman"/>
      <w:szCs w:val="24"/>
    </w:rPr>
  </w:style>
  <w:style w:type="character" w:customStyle="1" w:styleId="69">
    <w:name w:val="称呼 Char"/>
    <w:link w:val="20"/>
    <w:qFormat/>
    <w:uiPriority w:val="0"/>
    <w:rPr>
      <w:rFonts w:ascii="仿宋_GB2312" w:hAnsi="Times New Roman" w:eastAsia="仿宋_GB2312" w:cs="Times New Roman"/>
      <w:sz w:val="24"/>
      <w:szCs w:val="24"/>
    </w:rPr>
  </w:style>
  <w:style w:type="character" w:customStyle="1" w:styleId="70">
    <w:name w:val="正文文本缩进 Char"/>
    <w:link w:val="21"/>
    <w:qFormat/>
    <w:uiPriority w:val="0"/>
    <w:rPr>
      <w:rFonts w:ascii="Times New Roman" w:hAnsi="Times New Roman" w:eastAsia="宋体" w:cs="Times New Roman"/>
      <w:szCs w:val="24"/>
    </w:rPr>
  </w:style>
  <w:style w:type="character" w:customStyle="1" w:styleId="71">
    <w:name w:val="纯文本 Char"/>
    <w:link w:val="25"/>
    <w:qFormat/>
    <w:uiPriority w:val="0"/>
    <w:rPr>
      <w:rFonts w:ascii="宋体" w:hAnsi="Courier New" w:eastAsia="宋体" w:cs="Courier New"/>
      <w:szCs w:val="21"/>
    </w:rPr>
  </w:style>
  <w:style w:type="character" w:customStyle="1" w:styleId="72">
    <w:name w:val="日期 Char"/>
    <w:link w:val="28"/>
    <w:qFormat/>
    <w:uiPriority w:val="0"/>
    <w:rPr>
      <w:rFonts w:ascii="Times New Roman" w:hAnsi="Times New Roman" w:eastAsia="宋体" w:cs="Times New Roman"/>
      <w:sz w:val="24"/>
      <w:szCs w:val="20"/>
    </w:rPr>
  </w:style>
  <w:style w:type="character" w:customStyle="1" w:styleId="73">
    <w:name w:val="正文文本缩进 2 Char"/>
    <w:link w:val="29"/>
    <w:qFormat/>
    <w:uiPriority w:val="0"/>
    <w:rPr>
      <w:rFonts w:ascii="Times New Roman" w:hAnsi="Times New Roman" w:eastAsia="宋体" w:cs="Times New Roman"/>
      <w:szCs w:val="24"/>
    </w:rPr>
  </w:style>
  <w:style w:type="character" w:customStyle="1" w:styleId="74">
    <w:name w:val="批注框文本 Char"/>
    <w:link w:val="30"/>
    <w:qFormat/>
    <w:uiPriority w:val="99"/>
    <w:rPr>
      <w:rFonts w:ascii="Times New Roman" w:hAnsi="Times New Roman" w:eastAsia="宋体" w:cs="Times New Roman"/>
      <w:sz w:val="18"/>
      <w:szCs w:val="18"/>
    </w:rPr>
  </w:style>
  <w:style w:type="character" w:customStyle="1" w:styleId="75">
    <w:name w:val="页脚 Char"/>
    <w:link w:val="31"/>
    <w:qFormat/>
    <w:uiPriority w:val="99"/>
    <w:rPr>
      <w:rFonts w:ascii="Times New Roman" w:hAnsi="Times New Roman" w:eastAsia="宋体" w:cs="Times New Roman"/>
      <w:sz w:val="18"/>
      <w:szCs w:val="18"/>
    </w:rPr>
  </w:style>
  <w:style w:type="character" w:customStyle="1" w:styleId="76">
    <w:name w:val="页眉 Char"/>
    <w:link w:val="32"/>
    <w:qFormat/>
    <w:uiPriority w:val="99"/>
    <w:rPr>
      <w:rFonts w:ascii="Times New Roman" w:hAnsi="Times New Roman" w:eastAsia="宋体" w:cs="Times New Roman"/>
      <w:sz w:val="18"/>
      <w:szCs w:val="18"/>
    </w:rPr>
  </w:style>
  <w:style w:type="character" w:customStyle="1" w:styleId="77">
    <w:name w:val="正文文本缩进 3 Char"/>
    <w:link w:val="37"/>
    <w:qFormat/>
    <w:uiPriority w:val="0"/>
    <w:rPr>
      <w:rFonts w:ascii="Times New Roman" w:hAnsi="Times New Roman" w:eastAsia="宋体" w:cs="Times New Roman"/>
      <w:sz w:val="16"/>
      <w:szCs w:val="16"/>
    </w:rPr>
  </w:style>
  <w:style w:type="character" w:customStyle="1" w:styleId="78">
    <w:name w:val="正文文本 2 Char"/>
    <w:link w:val="40"/>
    <w:qFormat/>
    <w:uiPriority w:val="0"/>
    <w:rPr>
      <w:rFonts w:ascii="Times New Roman" w:hAnsi="Times New Roman" w:eastAsia="宋体" w:cs="Times New Roman"/>
      <w:szCs w:val="24"/>
    </w:rPr>
  </w:style>
  <w:style w:type="character" w:customStyle="1" w:styleId="79">
    <w:name w:val="HTML 预设格式 Char"/>
    <w:link w:val="41"/>
    <w:qFormat/>
    <w:uiPriority w:val="0"/>
    <w:rPr>
      <w:rFonts w:ascii="Arial" w:hAnsi="Arial" w:eastAsia="宋体" w:cs="Arial"/>
      <w:kern w:val="0"/>
      <w:sz w:val="24"/>
      <w:szCs w:val="24"/>
    </w:rPr>
  </w:style>
  <w:style w:type="character" w:customStyle="1" w:styleId="80">
    <w:name w:val="标题 Char"/>
    <w:link w:val="44"/>
    <w:qFormat/>
    <w:uiPriority w:val="10"/>
    <w:rPr>
      <w:rFonts w:ascii="Cambria" w:hAnsi="Cambria"/>
      <w:b/>
      <w:bCs/>
      <w:kern w:val="2"/>
      <w:sz w:val="32"/>
      <w:szCs w:val="32"/>
    </w:rPr>
  </w:style>
  <w:style w:type="character" w:customStyle="1" w:styleId="81">
    <w:name w:val="批注主题 Char"/>
    <w:link w:val="45"/>
    <w:qFormat/>
    <w:uiPriority w:val="99"/>
    <w:rPr>
      <w:rFonts w:ascii="Times New Roman" w:hAnsi="Times New Roman" w:eastAsia="宋体" w:cs="Times New Roman"/>
      <w:b/>
      <w:bCs/>
      <w:szCs w:val="24"/>
    </w:rPr>
  </w:style>
  <w:style w:type="character" w:customStyle="1" w:styleId="82">
    <w:name w:val="正文首行缩进 2 Char"/>
    <w:link w:val="46"/>
    <w:qFormat/>
    <w:uiPriority w:val="0"/>
    <w:rPr>
      <w:rFonts w:ascii="Times New Roman" w:hAnsi="Times New Roman" w:eastAsia="宋体" w:cs="Times New Roman"/>
      <w:kern w:val="2"/>
      <w:sz w:val="21"/>
      <w:szCs w:val="24"/>
    </w:rPr>
  </w:style>
  <w:style w:type="character" w:customStyle="1" w:styleId="83">
    <w:name w:val="font11"/>
    <w:qFormat/>
    <w:uiPriority w:val="0"/>
    <w:rPr>
      <w:rFonts w:hint="eastAsia" w:ascii="新宋体" w:hAnsi="新宋体" w:eastAsia="新宋体" w:cs="新宋体"/>
      <w:color w:val="FF0000"/>
      <w:sz w:val="20"/>
      <w:szCs w:val="20"/>
      <w:u w:val="none"/>
    </w:rPr>
  </w:style>
  <w:style w:type="character" w:customStyle="1" w:styleId="84">
    <w:name w:val="无间隔 Char"/>
    <w:link w:val="85"/>
    <w:qFormat/>
    <w:locked/>
    <w:uiPriority w:val="1"/>
    <w:rPr>
      <w:sz w:val="22"/>
      <w:lang w:val="en-US" w:eastAsia="zh-CN" w:bidi="ar-SA"/>
    </w:rPr>
  </w:style>
  <w:style w:type="paragraph" w:styleId="85">
    <w:name w:val="No Spacing"/>
    <w:link w:val="84"/>
    <w:qFormat/>
    <w:uiPriority w:val="1"/>
    <w:rPr>
      <w:rFonts w:ascii="Times New Roman" w:hAnsi="Times New Roman" w:eastAsia="宋体" w:cs="Times New Roman"/>
      <w:sz w:val="22"/>
      <w:lang w:val="en-US" w:eastAsia="zh-CN" w:bidi="ar-SA"/>
    </w:rPr>
  </w:style>
  <w:style w:type="character" w:customStyle="1" w:styleId="86">
    <w:name w:val="未处理的提及1"/>
    <w:unhideWhenUsed/>
    <w:qFormat/>
    <w:uiPriority w:val="99"/>
    <w:rPr>
      <w:color w:val="605E5C"/>
      <w:shd w:val="clear" w:color="auto" w:fill="E1DFDD"/>
    </w:rPr>
  </w:style>
  <w:style w:type="character" w:customStyle="1" w:styleId="87">
    <w:name w:val="列出段落 Char"/>
    <w:link w:val="88"/>
    <w:qFormat/>
    <w:locked/>
    <w:uiPriority w:val="34"/>
    <w:rPr>
      <w:rFonts w:ascii="Times New Roman" w:hAnsi="Times New Roman"/>
      <w:kern w:val="2"/>
      <w:sz w:val="21"/>
      <w:szCs w:val="24"/>
    </w:rPr>
  </w:style>
  <w:style w:type="paragraph" w:styleId="88">
    <w:name w:val="List Paragraph"/>
    <w:basedOn w:val="1"/>
    <w:link w:val="87"/>
    <w:qFormat/>
    <w:uiPriority w:val="34"/>
    <w:pPr>
      <w:ind w:firstLine="420" w:firstLineChars="200"/>
    </w:pPr>
  </w:style>
  <w:style w:type="character" w:customStyle="1" w:styleId="89">
    <w:name w:val="font61"/>
    <w:qFormat/>
    <w:uiPriority w:val="0"/>
    <w:rPr>
      <w:rFonts w:hint="eastAsia" w:ascii="新宋体" w:hAnsi="新宋体" w:eastAsia="新宋体" w:cs="新宋体"/>
      <w:color w:val="000000"/>
      <w:sz w:val="20"/>
      <w:szCs w:val="20"/>
      <w:u w:val="none"/>
    </w:rPr>
  </w:style>
  <w:style w:type="character" w:customStyle="1" w:styleId="90">
    <w:name w:val="标题 Char1"/>
    <w:qFormat/>
    <w:uiPriority w:val="10"/>
    <w:rPr>
      <w:rFonts w:ascii="Cambria" w:hAnsi="Cambria" w:cs="Times New Roman"/>
      <w:b/>
      <w:bCs/>
      <w:kern w:val="2"/>
      <w:sz w:val="32"/>
      <w:szCs w:val="32"/>
    </w:rPr>
  </w:style>
  <w:style w:type="character" w:customStyle="1" w:styleId="91">
    <w:name w:val="H正文 字符"/>
    <w:link w:val="92"/>
    <w:qFormat/>
    <w:uiPriority w:val="0"/>
    <w:rPr>
      <w:kern w:val="2"/>
      <w:sz w:val="24"/>
      <w:szCs w:val="24"/>
    </w:rPr>
  </w:style>
  <w:style w:type="paragraph" w:customStyle="1" w:styleId="92">
    <w:name w:val="H正文"/>
    <w:basedOn w:val="1"/>
    <w:link w:val="91"/>
    <w:qFormat/>
    <w:uiPriority w:val="0"/>
    <w:pPr>
      <w:spacing w:before="60" w:after="60" w:line="360" w:lineRule="auto"/>
      <w:ind w:firstLine="480" w:firstLineChars="200"/>
    </w:pPr>
    <w:rPr>
      <w:sz w:val="24"/>
    </w:rPr>
  </w:style>
  <w:style w:type="character" w:customStyle="1" w:styleId="93">
    <w:name w:val="未处理的提及"/>
    <w:unhideWhenUsed/>
    <w:qFormat/>
    <w:uiPriority w:val="99"/>
    <w:rPr>
      <w:color w:val="605E5C"/>
      <w:shd w:val="clear" w:color="auto" w:fill="E1DFDD"/>
    </w:rPr>
  </w:style>
  <w:style w:type="character" w:customStyle="1" w:styleId="94">
    <w:name w:val="bjh-p"/>
    <w:qFormat/>
    <w:uiPriority w:val="0"/>
  </w:style>
  <w:style w:type="character" w:customStyle="1" w:styleId="95">
    <w:name w:val="3级标题3级 Char"/>
    <w:link w:val="96"/>
    <w:qFormat/>
    <w:uiPriority w:val="0"/>
    <w:rPr>
      <w:rFonts w:ascii="Arial" w:hAnsi="Arial" w:eastAsia="等线"/>
      <w:b/>
      <w:bCs/>
      <w:kern w:val="44"/>
      <w:sz w:val="28"/>
      <w:szCs w:val="44"/>
      <w:lang w:eastAsia="en-US" w:bidi="en-US"/>
    </w:rPr>
  </w:style>
  <w:style w:type="paragraph" w:customStyle="1" w:styleId="96">
    <w:name w:val="3级标题3级"/>
    <w:basedOn w:val="9"/>
    <w:link w:val="95"/>
    <w:qFormat/>
    <w:uiPriority w:val="0"/>
    <w:pPr>
      <w:widowControl/>
      <w:tabs>
        <w:tab w:val="left" w:pos="360"/>
        <w:tab w:val="left" w:pos="720"/>
      </w:tabs>
      <w:spacing w:before="120" w:after="120" w:line="288" w:lineRule="auto"/>
      <w:ind w:right="198"/>
    </w:pPr>
    <w:rPr>
      <w:rFonts w:ascii="Arial" w:hAnsi="Arial" w:eastAsia="等线"/>
      <w:kern w:val="44"/>
      <w:sz w:val="28"/>
      <w:szCs w:val="44"/>
      <w:lang w:eastAsia="en-US" w:bidi="en-US"/>
    </w:rPr>
  </w:style>
  <w:style w:type="character" w:customStyle="1" w:styleId="97">
    <w:name w:val="p0 Char"/>
    <w:link w:val="98"/>
    <w:qFormat/>
    <w:uiPriority w:val="0"/>
    <w:rPr>
      <w:rFonts w:eastAsia="宋体"/>
      <w:szCs w:val="21"/>
    </w:rPr>
  </w:style>
  <w:style w:type="paragraph" w:customStyle="1" w:styleId="98">
    <w:name w:val="p0"/>
    <w:basedOn w:val="1"/>
    <w:link w:val="97"/>
    <w:qFormat/>
    <w:uiPriority w:val="0"/>
    <w:pPr>
      <w:widowControl/>
    </w:pPr>
    <w:rPr>
      <w:kern w:val="0"/>
      <w:sz w:val="20"/>
      <w:szCs w:val="21"/>
    </w:rPr>
  </w:style>
  <w:style w:type="character" w:customStyle="1" w:styleId="99">
    <w:name w:val="2级标题2级 Char"/>
    <w:link w:val="100"/>
    <w:qFormat/>
    <w:uiPriority w:val="0"/>
    <w:rPr>
      <w:rFonts w:ascii="Arial" w:hAnsi="Arial"/>
      <w:b/>
      <w:bCs/>
      <w:kern w:val="44"/>
      <w:sz w:val="28"/>
      <w:szCs w:val="44"/>
      <w:lang w:eastAsia="en-US" w:bidi="en-US"/>
    </w:rPr>
  </w:style>
  <w:style w:type="paragraph" w:customStyle="1" w:styleId="100">
    <w:name w:val="2级标题2级"/>
    <w:basedOn w:val="8"/>
    <w:link w:val="99"/>
    <w:qFormat/>
    <w:uiPriority w:val="0"/>
    <w:pPr>
      <w:widowControl/>
      <w:tabs>
        <w:tab w:val="left" w:pos="720"/>
        <w:tab w:val="left" w:pos="1440"/>
      </w:tabs>
      <w:adjustRightInd w:val="0"/>
      <w:spacing w:before="120" w:after="120"/>
      <w:ind w:right="210"/>
    </w:pPr>
    <w:rPr>
      <w:kern w:val="44"/>
      <w:sz w:val="28"/>
      <w:szCs w:val="44"/>
      <w:lang w:eastAsia="en-US" w:bidi="en-US"/>
    </w:rPr>
  </w:style>
  <w:style w:type="character" w:customStyle="1" w:styleId="101">
    <w:name w:val="正文文本 Char1"/>
    <w:semiHidden/>
    <w:qFormat/>
    <w:uiPriority w:val="99"/>
    <w:rPr>
      <w:sz w:val="24"/>
    </w:rPr>
  </w:style>
  <w:style w:type="character" w:customStyle="1" w:styleId="102">
    <w:name w:val="1级标题 1级 Char"/>
    <w:link w:val="103"/>
    <w:qFormat/>
    <w:uiPriority w:val="0"/>
    <w:rPr>
      <w:rFonts w:ascii="宋体" w:hAnsi="宋体" w:eastAsia="等线"/>
      <w:kern w:val="2"/>
      <w:sz w:val="28"/>
      <w:szCs w:val="21"/>
      <w:lang w:eastAsia="en-US" w:bidi="en-US"/>
    </w:rPr>
  </w:style>
  <w:style w:type="paragraph" w:customStyle="1" w:styleId="103">
    <w:name w:val="1级标题 1级"/>
    <w:basedOn w:val="1"/>
    <w:next w:val="7"/>
    <w:link w:val="102"/>
    <w:qFormat/>
    <w:uiPriority w:val="0"/>
    <w:pPr>
      <w:keepLines/>
      <w:pageBreakBefore/>
      <w:tabs>
        <w:tab w:val="left" w:pos="360"/>
        <w:tab w:val="left" w:pos="425"/>
        <w:tab w:val="left" w:pos="1247"/>
      </w:tabs>
      <w:spacing w:before="240" w:after="240" w:line="360" w:lineRule="auto"/>
      <w:contextualSpacing/>
      <w:jc w:val="center"/>
      <w:outlineLvl w:val="0"/>
    </w:pPr>
    <w:rPr>
      <w:rFonts w:ascii="宋体" w:hAnsi="宋体" w:eastAsia="等线"/>
      <w:sz w:val="28"/>
      <w:szCs w:val="21"/>
      <w:lang w:eastAsia="en-US" w:bidi="en-US"/>
    </w:rPr>
  </w:style>
  <w:style w:type="character" w:customStyle="1" w:styleId="104">
    <w:name w:val="*正文 Char"/>
    <w:link w:val="105"/>
    <w:qFormat/>
    <w:uiPriority w:val="0"/>
    <w:rPr>
      <w:rFonts w:ascii="宋体" w:hAnsi="宋体"/>
      <w:kern w:val="2"/>
      <w:sz w:val="24"/>
      <w:szCs w:val="24"/>
    </w:rPr>
  </w:style>
  <w:style w:type="paragraph" w:customStyle="1" w:styleId="105">
    <w:name w:val="*正文"/>
    <w:basedOn w:val="1"/>
    <w:link w:val="104"/>
    <w:qFormat/>
    <w:uiPriority w:val="0"/>
    <w:pPr>
      <w:spacing w:line="480" w:lineRule="auto"/>
      <w:ind w:firstLine="340"/>
      <w:jc w:val="left"/>
    </w:pPr>
    <w:rPr>
      <w:rFonts w:ascii="宋体" w:hAnsi="宋体"/>
      <w:sz w:val="24"/>
    </w:rPr>
  </w:style>
  <w:style w:type="paragraph" w:customStyle="1" w:styleId="106">
    <w:name w:val="首行缩进"/>
    <w:basedOn w:val="1"/>
    <w:qFormat/>
    <w:uiPriority w:val="0"/>
    <w:pPr>
      <w:ind w:firstLine="720"/>
      <w:jc w:val="left"/>
    </w:pPr>
    <w:rPr>
      <w:sz w:val="24"/>
    </w:rPr>
  </w:style>
  <w:style w:type="paragraph" w:customStyle="1" w:styleId="10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08">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9">
    <w:name w:val="Char1 Char Char Char 字元 Char Char 字元 Char 字元 Char1 Char Char Char"/>
    <w:basedOn w:val="1"/>
    <w:qFormat/>
    <w:uiPriority w:val="0"/>
    <w:rPr>
      <w:szCs w:val="20"/>
    </w:rPr>
  </w:style>
  <w:style w:type="paragraph" w:customStyle="1" w:styleId="110">
    <w:name w:val="_Style 7"/>
    <w:basedOn w:val="1"/>
    <w:qFormat/>
    <w:uiPriority w:val="0"/>
    <w:pPr>
      <w:ind w:firstLine="200" w:firstLineChars="200"/>
    </w:pPr>
    <w:rPr>
      <w:rFonts w:ascii="Calibri" w:hAnsi="Calibri"/>
      <w:szCs w:val="22"/>
    </w:rPr>
  </w:style>
  <w:style w:type="paragraph" w:customStyle="1" w:styleId="111">
    <w:name w:val="列表段落1"/>
    <w:basedOn w:val="1"/>
    <w:qFormat/>
    <w:uiPriority w:val="34"/>
    <w:pPr>
      <w:ind w:firstLine="420" w:firstLineChars="200"/>
    </w:pPr>
    <w:rPr>
      <w:rFonts w:ascii="等线" w:hAnsi="等线" w:eastAsia="仿宋"/>
      <w:szCs w:val="22"/>
    </w:rPr>
  </w:style>
  <w:style w:type="paragraph" w:customStyle="1" w:styleId="11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13">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11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5">
    <w:name w:val="表格文字"/>
    <w:basedOn w:val="1"/>
    <w:next w:val="3"/>
    <w:qFormat/>
    <w:uiPriority w:val="0"/>
    <w:pPr>
      <w:adjustRightInd w:val="0"/>
      <w:spacing w:line="420" w:lineRule="atLeast"/>
      <w:jc w:val="left"/>
      <w:textAlignment w:val="baseline"/>
    </w:pPr>
    <w:rPr>
      <w:kern w:val="0"/>
      <w:szCs w:val="22"/>
    </w:rPr>
  </w:style>
  <w:style w:type="paragraph" w:customStyle="1" w:styleId="116">
    <w:name w:val="正文 A"/>
    <w:qFormat/>
    <w:uiPriority w:val="0"/>
    <w:pPr>
      <w:widowControl w:val="0"/>
      <w:jc w:val="both"/>
    </w:pPr>
    <w:rPr>
      <w:rFonts w:ascii="Arial Unicode MS" w:hAnsi="Arial Unicode MS" w:eastAsia="Times New Roman" w:cs="Arial Unicode MS"/>
      <w:color w:val="000000"/>
      <w:kern w:val="2"/>
      <w:sz w:val="21"/>
      <w:szCs w:val="21"/>
      <w:lang w:val="en-US" w:eastAsia="zh-CN" w:bidi="ar-SA"/>
    </w:rPr>
  </w:style>
  <w:style w:type="paragraph" w:customStyle="1" w:styleId="11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8">
    <w:name w:val="正文1"/>
    <w:basedOn w:val="1"/>
    <w:qFormat/>
    <w:uiPriority w:val="0"/>
    <w:pPr>
      <w:spacing w:line="360" w:lineRule="auto"/>
      <w:ind w:left="350" w:leftChars="350"/>
    </w:pPr>
    <w:rPr>
      <w:sz w:val="24"/>
    </w:rPr>
  </w:style>
  <w:style w:type="paragraph" w:customStyle="1" w:styleId="119">
    <w:name w:val="Char Char Char"/>
    <w:basedOn w:val="1"/>
    <w:qFormat/>
    <w:uiPriority w:val="0"/>
    <w:rPr>
      <w:rFonts w:ascii="宋体" w:hAnsi="宋体"/>
      <w:b/>
      <w:sz w:val="28"/>
      <w:szCs w:val="28"/>
    </w:rPr>
  </w:style>
  <w:style w:type="paragraph" w:customStyle="1" w:styleId="120">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21">
    <w:name w:val="样式 标题 2 + Times New Roman 四号 非加粗 段前: 5 磅 段后: 0 磅 行距: 固定值 20..."/>
    <w:basedOn w:val="8"/>
    <w:qFormat/>
    <w:uiPriority w:val="0"/>
    <w:pPr>
      <w:spacing w:before="100" w:line="400" w:lineRule="exact"/>
    </w:pPr>
    <w:rPr>
      <w:rFonts w:ascii="Times New Roman" w:hAnsi="Times New Roman" w:eastAsia="黑体"/>
      <w:b w:val="0"/>
      <w:bCs w:val="0"/>
      <w:sz w:val="28"/>
      <w:szCs w:val="20"/>
    </w:rPr>
  </w:style>
  <w:style w:type="paragraph" w:customStyle="1" w:styleId="122">
    <w:name w:val="_Style 145"/>
    <w:basedOn w:val="1"/>
    <w:next w:val="1"/>
    <w:unhideWhenUsed/>
    <w:qFormat/>
    <w:uiPriority w:val="34"/>
    <w:rPr>
      <w:rFonts w:ascii="Calibri" w:hAnsi="Calibri"/>
      <w:szCs w:val="22"/>
    </w:rPr>
  </w:style>
  <w:style w:type="paragraph" w:customStyle="1" w:styleId="123">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124">
    <w:name w:val="TOC 标题1"/>
    <w:basedOn w:val="7"/>
    <w:next w:val="1"/>
    <w:unhideWhenUsed/>
    <w:qFormat/>
    <w:uiPriority w:val="39"/>
    <w:pPr>
      <w:keepLines/>
      <w:widowControl/>
      <w:spacing w:before="240" w:line="259" w:lineRule="auto"/>
      <w:jc w:val="left"/>
      <w:outlineLvl w:val="9"/>
    </w:pPr>
    <w:rPr>
      <w:rFonts w:ascii="等线 Light" w:hAnsi="等线 Light" w:eastAsia="等线 Light"/>
      <w:b w:val="0"/>
      <w:bCs w:val="0"/>
      <w:color w:val="2F5496"/>
      <w:sz w:val="32"/>
      <w:szCs w:val="32"/>
    </w:rPr>
  </w:style>
  <w:style w:type="paragraph" w:customStyle="1" w:styleId="125">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26">
    <w:name w:val="列出段落1"/>
    <w:basedOn w:val="1"/>
    <w:qFormat/>
    <w:uiPriority w:val="0"/>
    <w:pPr>
      <w:ind w:firstLine="420" w:firstLineChars="200"/>
    </w:pPr>
  </w:style>
  <w:style w:type="paragraph" w:customStyle="1" w:styleId="127">
    <w:name w:val="列出段落2"/>
    <w:basedOn w:val="1"/>
    <w:qFormat/>
    <w:uiPriority w:val="0"/>
    <w:pPr>
      <w:ind w:firstLine="420" w:firstLineChars="200"/>
    </w:pPr>
    <w:rPr>
      <w:rFonts w:ascii="Calibri" w:hAnsi="Calibri"/>
    </w:rPr>
  </w:style>
  <w:style w:type="paragraph" w:customStyle="1" w:styleId="128">
    <w:name w:val="列出段落3"/>
    <w:basedOn w:val="1"/>
    <w:qFormat/>
    <w:uiPriority w:val="34"/>
    <w:pPr>
      <w:ind w:firstLine="420" w:firstLineChars="200"/>
    </w:pPr>
  </w:style>
  <w:style w:type="paragraph" w:customStyle="1" w:styleId="129">
    <w:name w:val="表格内容"/>
    <w:basedOn w:val="3"/>
    <w:qFormat/>
    <w:uiPriority w:val="0"/>
    <w:pPr>
      <w:suppressLineNumbers/>
      <w:suppressAutoHyphens/>
      <w:jc w:val="left"/>
    </w:pPr>
    <w:rPr>
      <w:rFonts w:cs="Tahoma"/>
      <w:sz w:val="24"/>
    </w:rPr>
  </w:style>
  <w:style w:type="paragraph" w:customStyle="1" w:styleId="130">
    <w:name w:val="样式 标题 2 + 宋体 五号 行距: 单倍行距"/>
    <w:basedOn w:val="8"/>
    <w:qFormat/>
    <w:uiPriority w:val="0"/>
    <w:pPr>
      <w:tabs>
        <w:tab w:val="left" w:pos="2175"/>
      </w:tabs>
      <w:adjustRightInd w:val="0"/>
      <w:spacing w:before="260" w:after="260" w:line="240" w:lineRule="auto"/>
      <w:ind w:left="2175" w:hanging="1275"/>
      <w:jc w:val="left"/>
      <w:textAlignment w:val="baseline"/>
    </w:pPr>
    <w:rPr>
      <w:rFonts w:ascii="宋体" w:hAnsi="宋体"/>
      <w:sz w:val="21"/>
      <w:szCs w:val="20"/>
    </w:rPr>
  </w:style>
  <w:style w:type="paragraph" w:customStyle="1" w:styleId="131">
    <w:name w:val="p16"/>
    <w:basedOn w:val="1"/>
    <w:qFormat/>
    <w:uiPriority w:val="0"/>
    <w:pPr>
      <w:widowControl/>
      <w:jc w:val="left"/>
    </w:pPr>
    <w:rPr>
      <w:kern w:val="0"/>
      <w:szCs w:val="21"/>
    </w:rPr>
  </w:style>
  <w:style w:type="paragraph" w:customStyle="1" w:styleId="132">
    <w:name w:val="ChinesePara"/>
    <w:basedOn w:val="1"/>
    <w:qFormat/>
    <w:uiPriority w:val="0"/>
    <w:pPr>
      <w:widowControl/>
      <w:adjustRightInd w:val="0"/>
      <w:spacing w:before="50" w:after="50" w:line="400" w:lineRule="exact"/>
      <w:jc w:val="left"/>
      <w:textAlignment w:val="baseline"/>
    </w:pPr>
    <w:rPr>
      <w:rFonts w:ascii="Arial" w:hAnsi="Arial" w:eastAsia="楷体"/>
      <w:color w:val="000000"/>
      <w:kern w:val="0"/>
      <w:sz w:val="24"/>
      <w:szCs w:val="20"/>
    </w:rPr>
  </w:style>
  <w:style w:type="paragraph" w:customStyle="1" w:styleId="13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34">
    <w:name w:val="正文格式"/>
    <w:basedOn w:val="3"/>
    <w:next w:val="3"/>
    <w:qFormat/>
    <w:uiPriority w:val="0"/>
    <w:pPr>
      <w:widowControl/>
      <w:adjustRightInd w:val="0"/>
      <w:snapToGrid w:val="0"/>
      <w:spacing w:line="400" w:lineRule="atLeast"/>
      <w:ind w:firstLine="482"/>
      <w:textAlignment w:val="baseline"/>
    </w:pPr>
    <w:rPr>
      <w:sz w:val="24"/>
    </w:rPr>
  </w:style>
  <w:style w:type="paragraph" w:customStyle="1" w:styleId="135">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3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7">
    <w:name w:val="_Style 144"/>
    <w:basedOn w:val="1"/>
    <w:next w:val="88"/>
    <w:qFormat/>
    <w:uiPriority w:val="34"/>
    <w:pPr>
      <w:ind w:firstLine="420" w:firstLineChars="200"/>
    </w:pPr>
    <w:rPr>
      <w:rFonts w:ascii="Calibri" w:hAnsi="Calibri"/>
      <w:szCs w:val="22"/>
    </w:rPr>
  </w:style>
  <w:style w:type="paragraph" w:customStyle="1" w:styleId="138">
    <w:name w:val="Char Char1 Char Char Char Char Char1 Char Char Char Char"/>
    <w:basedOn w:val="18"/>
    <w:qFormat/>
    <w:uiPriority w:val="0"/>
    <w:rPr>
      <w:rFonts w:ascii="Tahoma" w:hAnsi="Tahoma"/>
    </w:rPr>
  </w:style>
  <w:style w:type="paragraph" w:customStyle="1" w:styleId="139">
    <w:name w:val="标题 1 +"/>
    <w:basedOn w:val="7"/>
    <w:next w:val="1"/>
    <w:qFormat/>
    <w:uiPriority w:val="0"/>
    <w:pPr>
      <w:keepLines/>
      <w:spacing w:line="600" w:lineRule="auto"/>
    </w:pPr>
    <w:rPr>
      <w:rFonts w:eastAsia="黑体"/>
      <w:sz w:val="32"/>
      <w:szCs w:val="32"/>
    </w:rPr>
  </w:style>
  <w:style w:type="paragraph" w:customStyle="1" w:styleId="140">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141">
    <w:name w:val="Char"/>
    <w:basedOn w:val="1"/>
    <w:qFormat/>
    <w:uiPriority w:val="0"/>
    <w:pPr>
      <w:tabs>
        <w:tab w:val="left" w:pos="360"/>
      </w:tabs>
      <w:ind w:left="360" w:hanging="360" w:hangingChars="200"/>
    </w:pPr>
    <w:rPr>
      <w:sz w:val="24"/>
    </w:rPr>
  </w:style>
  <w:style w:type="paragraph" w:customStyle="1" w:styleId="142">
    <w:name w:val="1"/>
    <w:basedOn w:val="1"/>
    <w:qFormat/>
    <w:uiPriority w:val="0"/>
    <w:pPr>
      <w:spacing w:afterLines="50" w:line="360" w:lineRule="auto"/>
    </w:pPr>
    <w:rPr>
      <w:rFonts w:ascii="宋体" w:hAnsi="宋体"/>
      <w:b/>
      <w:sz w:val="30"/>
      <w:szCs w:val="21"/>
    </w:rPr>
  </w:style>
  <w:style w:type="paragraph" w:customStyle="1" w:styleId="143">
    <w:name w:val="TOC 标题2"/>
    <w:basedOn w:val="7"/>
    <w:next w:val="1"/>
    <w:qFormat/>
    <w:uiPriority w:val="39"/>
    <w:pPr>
      <w:keepLines/>
      <w:widowControl/>
      <w:spacing w:before="480" w:line="276" w:lineRule="auto"/>
      <w:jc w:val="left"/>
      <w:outlineLvl w:val="9"/>
    </w:pPr>
    <w:rPr>
      <w:rFonts w:ascii="Cambria" w:hAnsi="Cambria"/>
      <w:color w:val="365F91"/>
      <w:sz w:val="28"/>
      <w:szCs w:val="28"/>
    </w:rPr>
  </w:style>
  <w:style w:type="paragraph" w:customStyle="1" w:styleId="144">
    <w:name w:val="Table Paragraph"/>
    <w:basedOn w:val="1"/>
    <w:qFormat/>
    <w:uiPriority w:val="1"/>
    <w:pPr>
      <w:autoSpaceDE w:val="0"/>
      <w:autoSpaceDN w:val="0"/>
      <w:jc w:val="left"/>
    </w:pPr>
    <w:rPr>
      <w:rFonts w:ascii="宋体" w:hAnsi="宋体" w:cs="宋体"/>
      <w:kern w:val="0"/>
      <w:sz w:val="22"/>
      <w:lang w:val="zh-CN" w:bidi="zh-CN"/>
    </w:rPr>
  </w:style>
  <w:style w:type="character" w:customStyle="1" w:styleId="145">
    <w:name w:val="l-btn-empty"/>
    <w:basedOn w:val="49"/>
    <w:qFormat/>
    <w:uiPriority w:val="0"/>
  </w:style>
  <w:style w:type="character" w:customStyle="1" w:styleId="146">
    <w:name w:val="l-btn-left"/>
    <w:basedOn w:val="49"/>
    <w:qFormat/>
    <w:uiPriority w:val="0"/>
  </w:style>
  <w:style w:type="character" w:customStyle="1" w:styleId="147">
    <w:name w:val="l-btn-left1"/>
    <w:basedOn w:val="49"/>
    <w:qFormat/>
    <w:uiPriority w:val="0"/>
  </w:style>
  <w:style w:type="character" w:customStyle="1" w:styleId="148">
    <w:name w:val="l-btn-left2"/>
    <w:basedOn w:val="49"/>
    <w:qFormat/>
    <w:uiPriority w:val="0"/>
  </w:style>
  <w:style w:type="character" w:customStyle="1" w:styleId="149">
    <w:name w:val="l-btn-left3"/>
    <w:basedOn w:val="49"/>
    <w:qFormat/>
    <w:uiPriority w:val="0"/>
  </w:style>
  <w:style w:type="character" w:customStyle="1" w:styleId="150">
    <w:name w:val="l-btn-text"/>
    <w:basedOn w:val="49"/>
    <w:qFormat/>
    <w:uiPriority w:val="0"/>
    <w:rPr>
      <w:sz w:val="18"/>
      <w:szCs w:val="18"/>
      <w:vertAlign w:val="baseline"/>
    </w:rPr>
  </w:style>
  <w:style w:type="character" w:customStyle="1" w:styleId="151">
    <w:name w:val="l-btn-icon-right"/>
    <w:basedOn w:val="49"/>
    <w:qFormat/>
    <w:uiPriority w:val="0"/>
  </w:style>
  <w:style w:type="character" w:customStyle="1" w:styleId="152">
    <w:name w:val="l-btn-icon-left"/>
    <w:basedOn w:val="49"/>
    <w:qFormat/>
    <w:uiPriority w:val="0"/>
  </w:style>
  <w:style w:type="paragraph" w:customStyle="1" w:styleId="153">
    <w:name w:val="正文首行缩进两字符"/>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6BF39D-1024-4914-ACC8-1C64B70795E9}">
  <ds:schemaRefs/>
</ds:datastoreItem>
</file>

<file path=docProps/app.xml><?xml version="1.0" encoding="utf-8"?>
<Properties xmlns="http://schemas.openxmlformats.org/officeDocument/2006/extended-properties" xmlns:vt="http://schemas.openxmlformats.org/officeDocument/2006/docPropsVTypes">
  <Template>Normal</Template>
  <Pages>83</Pages>
  <Words>41983</Words>
  <Characters>44905</Characters>
  <Lines>66</Lines>
  <Paragraphs>98</Paragraphs>
  <TotalTime>51</TotalTime>
  <ScaleCrop>false</ScaleCrop>
  <LinksUpToDate>false</LinksUpToDate>
  <CharactersWithSpaces>46734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2021-08-03T08:59:00Z</dcterms:created>
  <dc:creator>admin</dc:creator>
  <cp:lastModifiedBy>～Cytheria慧慧</cp:lastModifiedBy>
  <cp:lastPrinted>2023-06-08T00:50:00Z</cp:lastPrinted>
  <dcterms:modified xsi:type="dcterms:W3CDTF">2023-06-13T03:00:36Z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CADF08A2D01043BDA984C50597D7F042_13</vt:lpwstr>
  </property>
</Properties>
</file>