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采购需求</w:t>
      </w:r>
    </w:p>
    <w:tbl>
      <w:tblPr>
        <w:tblStyle w:val="3"/>
        <w:tblpPr w:leftFromText="180" w:rightFromText="180" w:vertAnchor="text" w:horzAnchor="page" w:tblpX="1007" w:tblpY="1340"/>
        <w:tblOverlap w:val="never"/>
        <w:tblW w:w="989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6305"/>
        <w:gridCol w:w="970"/>
        <w:gridCol w:w="11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630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质量技术标准（技术参数）</w:t>
            </w:r>
          </w:p>
        </w:tc>
        <w:tc>
          <w:tcPr>
            <w:tcW w:w="97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8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8" w:hRule="atLeast"/>
        </w:trPr>
        <w:tc>
          <w:tcPr>
            <w:tcW w:w="14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大流量汽油水泵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 发动机类型:四冲程；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2、最大扬程 ：≥20M；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3、最低燃油消耗率：395 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4、自习时间： ≤160s；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5、进水口直径（mm）：150 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6、出水口直径（mm）：150；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7、最大吸程（m）：≥7；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8、最大流量：≥150m³/h；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9、发动机转速 ：≥3000；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10、配置：20米出水带、6米进水管。</w:t>
            </w:r>
          </w:p>
        </w:tc>
        <w:tc>
          <w:tcPr>
            <w:tcW w:w="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1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14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柴油水泵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/>
                <w:sz w:val="2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1840230</wp:posOffset>
                      </wp:positionV>
                      <wp:extent cx="111760" cy="106680"/>
                      <wp:effectExtent l="14605" t="15240" r="26035" b="30480"/>
                      <wp:wrapNone/>
                      <wp:docPr id="1" name="五角星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1066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.85pt;margin-top:144.9pt;height:8.4pt;width:8.8pt;z-index:251659264;mso-width-relative:page;mso-height-relative:page;" fillcolor="#000000" filled="t" stroked="t" coordsize="21600,21600" o:gfxdata="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wDbajVAAAACAEAAA8AAAAAAAAAAQAgAAAAIgAAAGRycy9kb3ducmV2Lnht&#10;bFBLAQIUABQAAAAIAIdO4kC1TBbd/AEAACEEAAAOAAAAAAAAAAEAIAAAACQBAABkcnMvZTJvRG9j&#10;LnhtbFBLBQYAAAAABgAGAFkBAACSBQAAAAA=&#10;">
                      <v:path/>
                      <v:fill on="t" focussize="0,0"/>
                      <v:stroke color="#000000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1、进水口直径（mm）：300 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2、出水口直径（mm）：300；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3、扬程 ：≥8M；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4、轴功率：≥19千瓦转 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5、配套功率：≥22千瓦转；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6、最大流量：≥980m³/h；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7、转速 ：≥960转/分；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8、标定转速：2200r/min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9、配置：40米出水带、10米进水管。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10、设备防护系统：10.1工作电压：DC9V～DC24V；输出方式：RS485标准输出；传输速率：300～115200bps；通信协议： MODBUS RTU；状态指示：大屏显示；提供云大屏端、云智慧UPS大屏端、云智慧电池大屏端、数显温湿度计校准证书；10.2监控组态软件:同一APP和WEB端可同步监控和管理，且可分享至10人管理；即一个设备多人管理：APP要兼容Android和ioS等不同的手机平台（包含服务端和客户端），（提供功能界面截图）。10.3智能系统可以记录每个时间的工作状态，根据设置要求，通过短信和APP弹窗的方式提醒，阀值报警。且监控模块需具备断电续航的功能，续航时间2小时以上，出现断电断网依然能够将设备状态实时送出。（提供功能界面截图、云、智慧电池APP、智慧UPS APP软件证书）.10.4数据通过APP实时显示，至少500条的历史工作状态可APP查询，可下载1年的历史数据；信息需记录时间发生的时间，设备具体的事件信息。系统能够自动存储一年以上的设备状态转换消息和设备数据，形成月度／季度／年度报表，历史参数能够以曲线形式显示并能做到实时更新。（提供功能界面截图、APP软件证书。此项星号要求为关键参数，必须响应，不允许负偏离，否则视为无效标处理）</w:t>
            </w:r>
          </w:p>
        </w:tc>
        <w:tc>
          <w:tcPr>
            <w:tcW w:w="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1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2" w:hRule="atLeast"/>
        </w:trPr>
        <w:tc>
          <w:tcPr>
            <w:tcW w:w="14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高压汽油水泵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 发动机类型:四冲程；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2、最大净功率（kW/rpm）: ≥4.0/3600；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3、最低燃油消耗率： 395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4、扭矩（N.m/rpm）：12/2500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5、进水口直径（mm）：100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6、出水口直径（mm）：100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7、额定转速（rpm）：3600±100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8、最大吸程（m）：≥7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9、流量（m/h）：≥100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10、配置：20米出水带、6米进水管。</w:t>
            </w:r>
          </w:p>
        </w:tc>
        <w:tc>
          <w:tcPr>
            <w:tcW w:w="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1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</w:tbl>
    <w:p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商务条款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（一）交货时间、地点与方式：送货时间为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合同签订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后5个工作日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之内送达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，送货地点为江西省上饶市横峰县。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（二）质量标准：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中标供应商提供的货物应符合下列质量技术标准：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（1）国家法律法规规定的技术标准；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（2）不得低于某单位现有物资的技术和质量标准；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（3）双方约定的其他标准。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（三）保密要求：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1.釆购需求要符合军队保密相关要求。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2.不允许台资企业参与中标。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3.投标供应商应保证使用方在使用该货物或其任何一部分时，不受第三方侵权指控。同时，投标供应商不得向第三方泄露采购机构提供的技术文件等资料。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（四）付款方式：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根据实际供货量，一次性支付，招标人支付货款前，中标供应商须向招标人开具数额相等的发票，招标人据此付款。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（五）售后服务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1.质量保证期：自交货验收完毕之日算起，训产品质保 12 个月。投标供应商对提供的货物在质保期内，因产品质量而导致的缺陷，必须免费提供包修、包换、包退服务，因此导致的损失采购单位有权向中标供应商追偿。超出质保期后，供应商应当提供上门维修服务，仅收取成本费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2.投标供应商须提供生命周期内零备件和消耗品清单，并明确供应周期和价格等优惠条件。</w:t>
      </w:r>
    </w:p>
    <w:p>
      <w:pPr>
        <w:pStyle w:val="5"/>
        <w:rPr>
          <w:rFonts w:hint="eastAsia" w:ascii="宋体" w:hAnsi="宋体" w:eastAsia="宋体" w:cs="宋体"/>
          <w:b w:val="0"/>
          <w:bCs w:val="0"/>
          <w:sz w:val="36"/>
          <w:szCs w:val="36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3.中标供应商须提供 7*24 小时售后服务响应。需要维修的， 6 小时内到达现场实施维修， 12 小时仍未排除故障、恢复正常运转的，由中标供应商提供同类型备品、备件等。</w:t>
      </w:r>
    </w:p>
    <w:p>
      <w:pPr>
        <w:pStyle w:val="2"/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3F479D"/>
    <w:multiLevelType w:val="singleLevel"/>
    <w:tmpl w:val="D63F479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zYzgzYmUxMWNjN2IxOTI2ZTY0OTAxZTQ3ZjAxMjcifQ=="/>
  </w:docVars>
  <w:rsids>
    <w:rsidRoot w:val="00000000"/>
    <w:rsid w:val="1201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2022-10-27T03:46:00Z</dcterms:created>
  <dc:creator>HIAPAD</dc:creator>
  <cp:lastModifiedBy>HIAPAD</cp:lastModifiedBy>
  <dcterms:modified xsi:type="dcterms:W3CDTF">2022-10-27T03:46:43Z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C6420E41974A4E0CA41B1BF9C02F9FEC</vt:lpwstr>
  </property>
</Properties>
</file>