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Lines="50"/>
        <w:jc w:val="center"/>
        <w:rPr>
          <w:rFonts w:hint="eastAsia" w:ascii="宋体" w:hAnsi="宋体" w:eastAsia="宋体" w:cs="宋体"/>
          <w:b/>
          <w:color w:val="auto"/>
          <w:sz w:val="56"/>
          <w:szCs w:val="44"/>
          <w:highlight w:val="none"/>
          <w:u w:color="FFFFFF" w:themeColor="background1"/>
          <w:lang w:eastAsia="zh-CN"/>
        </w:rPr>
      </w:pPr>
    </w:p>
    <w:p>
      <w:pPr>
        <w:spacing w:line="360" w:lineRule="auto"/>
        <w:jc w:val="center"/>
        <w:rPr>
          <w:rFonts w:hint="eastAsia" w:ascii="宋体" w:hAnsi="宋体" w:eastAsia="宋体" w:cs="宋体"/>
          <w:b/>
          <w:bCs/>
          <w:color w:val="auto"/>
          <w:sz w:val="32"/>
          <w:szCs w:val="32"/>
          <w:lang w:eastAsia="zh-CN"/>
        </w:rPr>
      </w:pPr>
    </w:p>
    <w:p>
      <w:pPr>
        <w:spacing w:line="360" w:lineRule="auto"/>
        <w:jc w:val="center"/>
        <w:rPr>
          <w:rFonts w:hint="eastAsia" w:ascii="宋体" w:hAnsi="宋体" w:eastAsia="宋体" w:cs="宋体"/>
          <w:b/>
          <w:bCs/>
          <w:snapToGrid w:val="0"/>
          <w:color w:val="auto"/>
          <w:spacing w:val="40"/>
          <w:sz w:val="72"/>
          <w:szCs w:val="72"/>
        </w:rPr>
      </w:pPr>
      <w:r>
        <w:rPr>
          <w:rFonts w:hint="eastAsia" w:ascii="宋体" w:hAnsi="宋体" w:eastAsia="宋体" w:cs="宋体"/>
          <w:color w:val="auto"/>
          <w:sz w:val="52"/>
          <w:szCs w:val="52"/>
          <w:highlight w:val="none"/>
          <w:u w:val="none"/>
          <w:lang w:val="en-US" w:eastAsia="zh-CN"/>
        </w:rPr>
        <w:t>2022年彭州市文化馆物业管理项目</w:t>
      </w:r>
    </w:p>
    <w:p>
      <w:pPr>
        <w:snapToGrid w:val="0"/>
        <w:spacing w:before="240" w:beforeLines="100" w:after="240" w:afterLines="100" w:line="360" w:lineRule="auto"/>
        <w:jc w:val="center"/>
        <w:rPr>
          <w:rFonts w:hint="eastAsia" w:ascii="宋体" w:hAnsi="宋体" w:eastAsia="宋体" w:cs="宋体"/>
          <w:color w:val="auto"/>
          <w:sz w:val="72"/>
          <w:szCs w:val="72"/>
        </w:rPr>
      </w:pPr>
      <w:r>
        <w:rPr>
          <w:rFonts w:hint="eastAsia" w:ascii="宋体" w:hAnsi="宋体" w:eastAsia="宋体" w:cs="宋体"/>
          <w:b/>
          <w:bCs/>
          <w:snapToGrid w:val="0"/>
          <w:color w:val="auto"/>
          <w:spacing w:val="40"/>
          <w:sz w:val="72"/>
          <w:szCs w:val="72"/>
        </w:rPr>
        <w:t>竞争性磋商文件</w:t>
      </w:r>
    </w:p>
    <w:p>
      <w:pPr>
        <w:spacing w:line="360" w:lineRule="auto"/>
        <w:jc w:val="center"/>
        <w:rPr>
          <w:rFonts w:hint="default" w:ascii="宋体" w:hAnsi="宋体" w:eastAsia="宋体" w:cs="宋体"/>
          <w:b/>
          <w:bCs/>
          <w:color w:val="auto"/>
          <w:sz w:val="24"/>
          <w:lang w:val="en-US" w:eastAsia="zh-CN"/>
        </w:rPr>
      </w:pPr>
      <w:r>
        <w:rPr>
          <w:rFonts w:hint="eastAsia" w:ascii="宋体" w:hAnsi="宋体" w:eastAsia="宋体" w:cs="宋体"/>
          <w:b/>
          <w:bCs/>
          <w:color w:val="auto"/>
          <w:sz w:val="24"/>
        </w:rPr>
        <w:t>项目编号：</w:t>
      </w:r>
      <w:r>
        <w:rPr>
          <w:rFonts w:hint="eastAsia" w:ascii="宋体" w:hAnsi="宋体" w:eastAsia="宋体" w:cs="宋体"/>
          <w:b/>
          <w:bCs/>
          <w:color w:val="auto"/>
          <w:sz w:val="24"/>
          <w:lang w:val="en-US" w:eastAsia="zh-CN"/>
        </w:rPr>
        <w:t>ZKYY-PZ.CS-20220302</w:t>
      </w:r>
    </w:p>
    <w:p>
      <w:pPr>
        <w:pStyle w:val="12"/>
        <w:spacing w:line="360" w:lineRule="auto"/>
        <w:rPr>
          <w:rFonts w:hint="eastAsia" w:ascii="宋体" w:hAnsi="宋体" w:eastAsia="宋体" w:cs="宋体"/>
          <w:color w:val="auto"/>
        </w:rPr>
      </w:pPr>
    </w:p>
    <w:p>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52"/>
          <w:szCs w:val="52"/>
        </w:rPr>
        <w:drawing>
          <wp:inline distT="0" distB="0" distL="114300" distR="114300">
            <wp:extent cx="2144395" cy="2176145"/>
            <wp:effectExtent l="0" t="0" r="8255" b="14605"/>
            <wp:docPr id="7" name="图片 7" descr="23511216568525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35112165685255848"/>
                    <pic:cNvPicPr>
                      <a:picLocks noChangeAspect="1"/>
                    </pic:cNvPicPr>
                  </pic:nvPicPr>
                  <pic:blipFill>
                    <a:blip r:embed="rId22" cstate="print"/>
                    <a:stretch>
                      <a:fillRect/>
                    </a:stretch>
                  </pic:blipFill>
                  <pic:spPr>
                    <a:xfrm>
                      <a:off x="0" y="0"/>
                      <a:ext cx="2144395" cy="2176145"/>
                    </a:xfrm>
                    <a:prstGeom prst="rect">
                      <a:avLst/>
                    </a:prstGeom>
                  </pic:spPr>
                </pic:pic>
              </a:graphicData>
            </a:graphic>
          </wp:inline>
        </w:drawing>
      </w:r>
    </w:p>
    <w:p>
      <w:pPr>
        <w:rPr>
          <w:rFonts w:hint="eastAsia" w:ascii="宋体" w:hAnsi="宋体" w:eastAsia="宋体" w:cs="宋体"/>
          <w:color w:val="auto"/>
        </w:rPr>
      </w:pPr>
    </w:p>
    <w:p>
      <w:pPr>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四川·彭州市</w:t>
      </w:r>
    </w:p>
    <w:p>
      <w:pPr>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彭州市文化馆</w:t>
      </w:r>
    </w:p>
    <w:p>
      <w:pPr>
        <w:pStyle w:val="12"/>
        <w:jc w:val="center"/>
        <w:rPr>
          <w:rFonts w:hint="eastAsia" w:ascii="宋体" w:hAnsi="宋体" w:eastAsia="宋体" w:cs="宋体"/>
          <w:color w:val="auto"/>
        </w:rPr>
      </w:pPr>
      <w:r>
        <w:rPr>
          <w:rFonts w:hint="eastAsia" w:ascii="宋体" w:hAnsi="宋体" w:eastAsia="宋体" w:cs="宋体"/>
          <w:b/>
          <w:bCs/>
          <w:color w:val="auto"/>
          <w:sz w:val="32"/>
          <w:szCs w:val="32"/>
        </w:rPr>
        <w:t>四川中科远洋工程项目管理有限公司</w:t>
      </w:r>
    </w:p>
    <w:p>
      <w:pPr>
        <w:spacing w:line="360" w:lineRule="auto"/>
        <w:jc w:val="center"/>
        <w:rPr>
          <w:rFonts w:hint="eastAsia" w:ascii="宋体" w:hAnsi="宋体" w:eastAsia="宋体" w:cs="宋体"/>
          <w:b/>
          <w:color w:val="auto"/>
          <w:sz w:val="32"/>
          <w:szCs w:val="32"/>
        </w:rPr>
      </w:pPr>
      <w:r>
        <w:rPr>
          <w:rFonts w:hint="eastAsia" w:ascii="宋体" w:hAnsi="宋体" w:eastAsia="宋体" w:cs="宋体"/>
          <w:b/>
          <w:bCs/>
          <w:color w:val="auto"/>
          <w:sz w:val="32"/>
          <w:szCs w:val="32"/>
        </w:rPr>
        <w:t>共同编制</w:t>
      </w:r>
    </w:p>
    <w:p>
      <w:pPr>
        <w:spacing w:line="360" w:lineRule="auto"/>
        <w:jc w:val="center"/>
        <w:rPr>
          <w:rFonts w:hint="eastAsia" w:ascii="宋体" w:hAnsi="宋体" w:eastAsia="宋体" w:cs="宋体"/>
          <w:b/>
          <w:color w:val="auto"/>
          <w:kern w:val="0"/>
          <w:sz w:val="28"/>
          <w:szCs w:val="28"/>
        </w:rPr>
        <w:sectPr>
          <w:headerReference r:id="rId5" w:type="first"/>
          <w:headerReference r:id="rId3" w:type="default"/>
          <w:footerReference r:id="rId6" w:type="default"/>
          <w:headerReference r:id="rId4" w:type="even"/>
          <w:footerReference r:id="rId7" w:type="even"/>
          <w:pgSz w:w="11907" w:h="16840"/>
          <w:pgMar w:top="1440" w:right="1474" w:bottom="1440" w:left="1474" w:header="851" w:footer="992" w:gutter="0"/>
          <w:pgNumType w:start="1"/>
          <w:cols w:space="720" w:num="1"/>
          <w:docGrid w:linePitch="312" w:charSpace="0"/>
        </w:sectPr>
      </w:pPr>
      <w:r>
        <w:rPr>
          <w:rFonts w:hint="eastAsia" w:ascii="宋体" w:hAnsi="宋体" w:eastAsia="宋体" w:cs="宋体"/>
          <w:b/>
          <w:color w:val="auto"/>
          <w:kern w:val="0"/>
          <w:sz w:val="28"/>
          <w:szCs w:val="28"/>
        </w:rPr>
        <w:t>二零二</w:t>
      </w:r>
      <w:r>
        <w:rPr>
          <w:rFonts w:hint="eastAsia" w:ascii="宋体" w:hAnsi="宋体" w:eastAsia="宋体" w:cs="宋体"/>
          <w:b/>
          <w:color w:val="auto"/>
          <w:kern w:val="0"/>
          <w:sz w:val="28"/>
          <w:szCs w:val="28"/>
          <w:lang w:val="en-US" w:eastAsia="zh-CN"/>
        </w:rPr>
        <w:t>二</w:t>
      </w:r>
      <w:r>
        <w:rPr>
          <w:rFonts w:hint="eastAsia" w:ascii="宋体" w:hAnsi="宋体" w:eastAsia="宋体" w:cs="宋体"/>
          <w:b/>
          <w:color w:val="auto"/>
          <w:kern w:val="0"/>
          <w:sz w:val="28"/>
          <w:szCs w:val="28"/>
        </w:rPr>
        <w:t>年</w:t>
      </w:r>
      <w:r>
        <w:rPr>
          <w:rFonts w:hint="eastAsia" w:ascii="宋体" w:hAnsi="宋体" w:eastAsia="宋体" w:cs="宋体"/>
          <w:b/>
          <w:color w:val="auto"/>
          <w:kern w:val="0"/>
          <w:sz w:val="28"/>
          <w:szCs w:val="28"/>
          <w:lang w:val="en-US" w:eastAsia="zh-CN"/>
        </w:rPr>
        <w:t>三</w:t>
      </w:r>
      <w:r>
        <w:rPr>
          <w:rFonts w:hint="eastAsia" w:ascii="宋体" w:hAnsi="宋体" w:eastAsia="宋体" w:cs="宋体"/>
          <w:b/>
          <w:color w:val="auto"/>
          <w:kern w:val="0"/>
          <w:sz w:val="28"/>
          <w:szCs w:val="28"/>
        </w:rPr>
        <w:t>月</w:t>
      </w:r>
    </w:p>
    <w:sdt>
      <w:sdtPr>
        <w:rPr>
          <w:rFonts w:hint="eastAsia" w:ascii="宋体" w:hAnsi="宋体" w:eastAsia="宋体" w:cs="宋体"/>
          <w:color w:val="auto"/>
          <w:sz w:val="36"/>
          <w:szCs w:val="36"/>
          <w:highlight w:val="none"/>
        </w:rPr>
        <w:id w:val="147475078"/>
      </w:sdtPr>
      <w:sdtEndPr>
        <w:rPr>
          <w:rFonts w:hint="eastAsia" w:ascii="宋体" w:hAnsi="宋体" w:eastAsia="宋体" w:cs="宋体"/>
          <w:color w:val="auto"/>
          <w:sz w:val="24"/>
          <w:szCs w:val="36"/>
          <w:highlight w:val="none"/>
        </w:rPr>
      </w:sdtEndPr>
      <w:sdtContent>
        <w:p>
          <w:pPr>
            <w:spacing w:line="360" w:lineRule="auto"/>
            <w:jc w:val="center"/>
            <w:rPr>
              <w:rFonts w:hint="eastAsia" w:ascii="宋体" w:hAnsi="宋体" w:eastAsia="宋体" w:cs="宋体"/>
              <w:color w:val="auto"/>
              <w:sz w:val="36"/>
              <w:szCs w:val="36"/>
              <w:highlight w:val="none"/>
            </w:rPr>
          </w:pPr>
          <w:bookmarkStart w:id="0" w:name="_Hlt101233737"/>
          <w:bookmarkEnd w:id="0"/>
          <w:bookmarkStart w:id="1" w:name="_Hlt101843627"/>
          <w:bookmarkEnd w:id="1"/>
        </w:p>
        <w:sdt>
          <w:sdtPr>
            <w:rPr>
              <w:rFonts w:hint="eastAsia" w:ascii="宋体" w:hAnsi="宋体" w:eastAsia="宋体" w:cs="宋体"/>
              <w:color w:val="auto"/>
              <w:kern w:val="2"/>
              <w:sz w:val="30"/>
              <w:szCs w:val="30"/>
              <w:highlight w:val="none"/>
              <w:lang w:val="en-US" w:eastAsia="zh-CN" w:bidi="ar-SA"/>
            </w:rPr>
            <w:id w:val="147463945"/>
            <w15:color w:val="DBDBDB"/>
            <w:docPartObj>
              <w:docPartGallery w:val="Table of Contents"/>
              <w:docPartUnique/>
            </w:docPartObj>
          </w:sdtPr>
          <w:sdtEndPr>
            <w:rPr>
              <w:rFonts w:hint="eastAsia" w:ascii="宋体" w:hAnsi="宋体" w:eastAsia="宋体" w:cs="宋体"/>
              <w:color w:val="auto"/>
              <w:kern w:val="2"/>
              <w:sz w:val="24"/>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目</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录</w:t>
              </w:r>
            </w:p>
            <w:p>
              <w:pPr>
                <w:pStyle w:val="12"/>
                <w:rPr>
                  <w:rFonts w:hint="eastAsia" w:ascii="宋体" w:hAnsi="宋体" w:eastAsia="宋体" w:cs="宋体"/>
                  <w:color w:val="auto"/>
                  <w:highlight w:val="none"/>
                </w:rPr>
              </w:pP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_Toc16345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第一章  竞争性磋商邀请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_Toc16345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_Toc29955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第二章  供应商须知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fldChar w:fldCharType="end"/>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_Toc1648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第三章  响应文件格式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_Toc1648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_Toc6426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kern w:val="0"/>
                  <w:sz w:val="24"/>
                  <w:szCs w:val="24"/>
                  <w:highlight w:val="none"/>
                </w:rPr>
                <w:t xml:space="preserve">第四章 </w:t>
              </w:r>
              <w:r>
                <w:rPr>
                  <w:rFonts w:hint="eastAsia" w:ascii="宋体" w:hAnsi="宋体" w:eastAsia="宋体" w:cs="宋体"/>
                  <w:b/>
                  <w:bCs/>
                  <w:color w:val="auto"/>
                  <w:kern w:val="0"/>
                  <w:sz w:val="24"/>
                  <w:szCs w:val="24"/>
                  <w:highlight w:val="none"/>
                  <w:lang w:val="en-US" w:eastAsia="zh-CN"/>
                </w:rPr>
                <w:t xml:space="preserve"> </w:t>
              </w:r>
              <w:r>
                <w:rPr>
                  <w:rFonts w:hint="eastAsia" w:ascii="宋体" w:hAnsi="宋体" w:eastAsia="宋体" w:cs="宋体"/>
                  <w:b/>
                  <w:bCs/>
                  <w:color w:val="auto"/>
                  <w:kern w:val="0"/>
                  <w:sz w:val="24"/>
                  <w:szCs w:val="24"/>
                  <w:highlight w:val="none"/>
                </w:rPr>
                <w:t>供应商的资格、资质性及其他类似效力要求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6</w:t>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_Toc16188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第五章  供应商应当提供的资格、资质性及其他类似效力要求的相关证明材料</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7</w:t>
              </w:r>
            </w:p>
            <w:p>
              <w:pPr>
                <w:spacing w:after="50" w:line="48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_Toc22950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kern w:val="2"/>
                  <w:sz w:val="24"/>
                  <w:szCs w:val="24"/>
                  <w:highlight w:val="none"/>
                </w:rPr>
                <w:t xml:space="preserve">第六章 </w:t>
              </w:r>
              <w:r>
                <w:rPr>
                  <w:rFonts w:hint="eastAsia" w:ascii="宋体" w:hAnsi="宋体" w:eastAsia="宋体" w:cs="宋体"/>
                  <w:b/>
                  <w:bCs/>
                  <w:color w:val="auto"/>
                  <w:kern w:val="2"/>
                  <w:sz w:val="24"/>
                  <w:szCs w:val="24"/>
                  <w:highlight w:val="none"/>
                  <w:lang w:val="en-US" w:eastAsia="zh-CN"/>
                </w:rPr>
                <w:t xml:space="preserve"> </w:t>
              </w:r>
              <w:r>
                <w:rPr>
                  <w:rFonts w:hint="eastAsia" w:ascii="宋体" w:hAnsi="宋体" w:eastAsia="宋体" w:cs="宋体"/>
                  <w:b/>
                  <w:bCs/>
                  <w:color w:val="auto"/>
                  <w:kern w:val="2"/>
                  <w:sz w:val="24"/>
                  <w:szCs w:val="24"/>
                  <w:highlight w:val="none"/>
                  <w:lang w:val="en-US" w:eastAsia="zh-CN" w:bidi="ar-SA"/>
                </w:rPr>
                <w:t xml:space="preserve">采购项目技术、服务、政府采购合同内容条款及其他商务要求           </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0</w:t>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_Toc11880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第七章  评审办法</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3</w:t>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_Toc9426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第八章  政府采购项目</w:t>
              </w:r>
              <w:r>
                <w:rPr>
                  <w:rFonts w:hint="eastAsia" w:ascii="宋体" w:hAnsi="宋体" w:eastAsia="宋体" w:cs="宋体"/>
                  <w:b/>
                  <w:bCs/>
                  <w:color w:val="auto"/>
                  <w:sz w:val="24"/>
                  <w:szCs w:val="24"/>
                  <w:highlight w:val="none"/>
                  <w:lang w:val="en-US" w:eastAsia="zh-CN"/>
                </w:rPr>
                <w:t>合同草案</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3</w:t>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_Toc375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eastAsia="zh-CN"/>
                </w:rPr>
                <w:t>附件</w:t>
              </w:r>
              <w:r>
                <w:rPr>
                  <w:rFonts w:hint="eastAsia" w:ascii="宋体" w:hAnsi="宋体" w:eastAsia="宋体" w:cs="宋体"/>
                  <w:b/>
                  <w:bCs/>
                  <w:color w:val="auto"/>
                  <w:sz w:val="24"/>
                  <w:szCs w:val="24"/>
                  <w:highlight w:val="none"/>
                  <w:lang w:val="en-US" w:eastAsia="zh-CN"/>
                </w:rPr>
                <w:t xml:space="preserve">一  </w:t>
              </w:r>
              <w:r>
                <w:rPr>
                  <w:rFonts w:hint="eastAsia" w:ascii="宋体" w:hAnsi="宋体" w:eastAsia="宋体" w:cs="宋体"/>
                  <w:b/>
                  <w:bCs/>
                  <w:color w:val="auto"/>
                  <w:sz w:val="24"/>
                  <w:szCs w:val="24"/>
                  <w:highlight w:val="none"/>
                  <w:lang w:eastAsia="zh-CN"/>
                </w:rPr>
                <w:t>报名登记表</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6</w:t>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_Toc4620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kern w:val="44"/>
                  <w:sz w:val="24"/>
                  <w:szCs w:val="24"/>
                  <w:highlight w:val="none"/>
                  <w:lang w:val="en-US" w:eastAsia="zh-CN" w:bidi="ar-SA"/>
                </w:rPr>
                <w:t>附件二  介绍信</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7</w:t>
              </w:r>
            </w:p>
            <w:p>
              <w:pPr>
                <w:pStyle w:val="18"/>
                <w:keepNext w:val="0"/>
                <w:keepLines w:val="0"/>
                <w:pageBreakBefore w:val="0"/>
                <w:widowControl w:val="0"/>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_Toc31280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eastAsia="zh-CN"/>
                </w:rPr>
                <w:t>附件</w:t>
              </w:r>
              <w:r>
                <w:rPr>
                  <w:rFonts w:hint="eastAsia" w:ascii="宋体" w:hAnsi="宋体" w:eastAsia="宋体" w:cs="宋体"/>
                  <w:b/>
                  <w:bCs/>
                  <w:color w:val="auto"/>
                  <w:sz w:val="24"/>
                  <w:szCs w:val="24"/>
                  <w:highlight w:val="none"/>
                  <w:lang w:val="en-US" w:eastAsia="zh-CN"/>
                </w:rPr>
                <w:t>三  报名流程须知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fldChar w:fldCharType="end"/>
              </w:r>
            </w:p>
          </w:sdtContent>
        </w:sdt>
        <w:p>
          <w:pPr>
            <w:spacing w:line="360" w:lineRule="auto"/>
            <w:rPr>
              <w:rFonts w:hint="eastAsia" w:ascii="宋体" w:hAnsi="宋体" w:eastAsia="宋体" w:cs="宋体"/>
              <w:color w:val="auto"/>
              <w:sz w:val="20"/>
              <w:szCs w:val="20"/>
              <w:highlight w:val="none"/>
            </w:rPr>
          </w:pPr>
        </w:p>
      </w:sdtContent>
    </w:sdt>
    <w:p>
      <w:pPr>
        <w:spacing w:line="360" w:lineRule="auto"/>
        <w:rPr>
          <w:rFonts w:hint="eastAsia" w:ascii="宋体" w:hAnsi="宋体" w:eastAsia="宋体" w:cs="宋体"/>
          <w:color w:val="auto"/>
          <w:sz w:val="20"/>
          <w:szCs w:val="20"/>
          <w:highlight w:val="none"/>
        </w:rPr>
      </w:pPr>
    </w:p>
    <w:p>
      <w:pPr>
        <w:spacing w:line="360" w:lineRule="auto"/>
        <w:rPr>
          <w:rFonts w:hint="eastAsia" w:ascii="宋体" w:hAnsi="宋体" w:eastAsia="宋体" w:cs="宋体"/>
          <w:color w:val="auto"/>
          <w:sz w:val="20"/>
          <w:szCs w:val="20"/>
          <w:highlight w:val="none"/>
        </w:rPr>
      </w:pPr>
    </w:p>
    <w:p>
      <w:pPr>
        <w:spacing w:line="360" w:lineRule="auto"/>
        <w:rPr>
          <w:rFonts w:hint="eastAsia" w:ascii="宋体" w:hAnsi="宋体" w:eastAsia="宋体" w:cs="宋体"/>
          <w:color w:val="auto"/>
          <w:sz w:val="20"/>
          <w:szCs w:val="20"/>
          <w:highlight w:val="none"/>
        </w:rPr>
      </w:pPr>
    </w:p>
    <w:p>
      <w:pPr>
        <w:spacing w:line="360" w:lineRule="auto"/>
        <w:jc w:val="center"/>
        <w:rPr>
          <w:rFonts w:hint="eastAsia" w:ascii="宋体" w:hAnsi="宋体" w:eastAsia="宋体" w:cs="宋体"/>
          <w:color w:val="auto"/>
          <w:highlight w:val="none"/>
        </w:rPr>
      </w:pPr>
    </w:p>
    <w:p>
      <w:pPr>
        <w:pStyle w:val="3"/>
        <w:pageBreakBefore/>
        <w:spacing w:beforeLines="50" w:line="360" w:lineRule="auto"/>
        <w:jc w:val="center"/>
        <w:rPr>
          <w:rFonts w:hint="eastAsia" w:ascii="宋体" w:hAnsi="宋体" w:eastAsia="宋体" w:cs="宋体"/>
          <w:color w:val="auto"/>
          <w:sz w:val="24"/>
          <w:highlight w:val="none"/>
        </w:rPr>
      </w:pPr>
      <w:bookmarkStart w:id="2" w:name="_Toc16345"/>
      <w:bookmarkStart w:id="3" w:name="_Toc32639_WPSOffice_Level1"/>
      <w:r>
        <w:rPr>
          <w:rFonts w:hint="eastAsia" w:ascii="宋体" w:hAnsi="宋体" w:eastAsia="宋体" w:cs="宋体"/>
          <w:bCs w:val="0"/>
          <w:color w:val="auto"/>
          <w:sz w:val="36"/>
          <w:highlight w:val="none"/>
        </w:rPr>
        <w:t>第一章  竞争性磋商邀请</w:t>
      </w:r>
      <w:bookmarkEnd w:id="2"/>
      <w:bookmarkEnd w:id="3"/>
    </w:p>
    <w:p>
      <w:pPr>
        <w:spacing w:line="360" w:lineRule="auto"/>
        <w:ind w:firstLine="723" w:firstLineChars="3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u w:val="single"/>
        </w:rPr>
        <w:t>四川中科远洋工程项目管理有限公司</w:t>
      </w:r>
      <w:r>
        <w:rPr>
          <w:rFonts w:hint="eastAsia" w:ascii="宋体" w:hAnsi="宋体" w:eastAsia="宋体" w:cs="宋体"/>
          <w:color w:val="auto"/>
          <w:sz w:val="24"/>
          <w:highlight w:val="none"/>
        </w:rPr>
        <w:t>（采购代理机构）受</w:t>
      </w:r>
      <w:r>
        <w:rPr>
          <w:rFonts w:hint="eastAsia" w:ascii="宋体" w:hAnsi="宋体" w:eastAsia="宋体" w:cs="宋体"/>
          <w:b/>
          <w:bCs/>
          <w:color w:val="auto"/>
          <w:sz w:val="24"/>
          <w:highlight w:val="none"/>
          <w:u w:val="single" w:color="auto"/>
          <w:lang w:eastAsia="zh-CN"/>
        </w:rPr>
        <w:t>彭州市文化馆</w:t>
      </w:r>
      <w:r>
        <w:rPr>
          <w:rFonts w:hint="eastAsia" w:ascii="宋体" w:hAnsi="宋体" w:eastAsia="宋体" w:cs="宋体"/>
          <w:color w:val="auto"/>
          <w:sz w:val="24"/>
          <w:highlight w:val="none"/>
        </w:rPr>
        <w:t>（采购人）委托，拟对</w:t>
      </w:r>
      <w:r>
        <w:rPr>
          <w:rFonts w:hint="eastAsia" w:ascii="宋体" w:hAnsi="宋体" w:eastAsia="宋体" w:cs="宋体"/>
          <w:color w:val="auto"/>
          <w:sz w:val="24"/>
          <w:highlight w:val="none"/>
          <w:u w:val="single"/>
          <w:lang w:eastAsia="zh-CN"/>
        </w:rPr>
        <w:t>2022年彭州市文化馆物业管理项目</w:t>
      </w:r>
      <w:r>
        <w:rPr>
          <w:rFonts w:hint="eastAsia" w:ascii="宋体" w:hAnsi="宋体" w:eastAsia="宋体" w:cs="宋体"/>
          <w:color w:val="auto"/>
          <w:sz w:val="24"/>
          <w:highlight w:val="none"/>
        </w:rPr>
        <w:t>进行</w:t>
      </w:r>
      <w:r>
        <w:rPr>
          <w:rFonts w:hint="eastAsia" w:ascii="宋体" w:hAnsi="宋体" w:eastAsia="宋体" w:cs="宋体"/>
          <w:b/>
          <w:bCs/>
          <w:color w:val="auto"/>
          <w:sz w:val="24"/>
          <w:highlight w:val="none"/>
          <w:u w:val="single"/>
        </w:rPr>
        <w:t>竞争性磋商</w:t>
      </w:r>
      <w:r>
        <w:rPr>
          <w:rFonts w:hint="eastAsia" w:ascii="宋体" w:hAnsi="宋体" w:eastAsia="宋体" w:cs="宋体"/>
          <w:color w:val="auto"/>
          <w:sz w:val="24"/>
          <w:highlight w:val="none"/>
        </w:rPr>
        <w:t>方式采购，特邀请符合本次采购要求的供应商参加本项目的竞争性磋商。</w:t>
      </w:r>
    </w:p>
    <w:p>
      <w:pPr>
        <w:pStyle w:val="4"/>
        <w:spacing w:beforeLines="50" w:afterLines="50"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bCs w:val="0"/>
          <w:color w:val="auto"/>
          <w:sz w:val="28"/>
          <w:szCs w:val="28"/>
          <w:highlight w:val="none"/>
        </w:rPr>
        <w:t>一、采购项目基本情况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r>
        <w:rPr>
          <w:rFonts w:hint="eastAsia" w:ascii="宋体" w:hAnsi="宋体" w:eastAsia="宋体" w:cs="宋体"/>
          <w:b/>
          <w:bCs/>
          <w:color w:val="auto"/>
          <w:sz w:val="24"/>
          <w:lang w:val="en-US" w:eastAsia="zh-CN"/>
        </w:rPr>
        <w:t>ZKYY-PZ.CS-20220302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u w:color="FFFFFF" w:themeColor="background1"/>
          <w:lang w:eastAsia="zh-CN"/>
        </w:rPr>
        <w:t>2022年彭州市文化馆物业管理项目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u w:color="FFFFFF" w:themeColor="background1"/>
          <w:lang w:eastAsia="zh-CN"/>
        </w:rPr>
        <w:t>彭州市文化馆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采购代理机构：四川中科远洋工程项目管理有限公司</w:t>
      </w:r>
    </w:p>
    <w:p>
      <w:pPr>
        <w:pStyle w:val="4"/>
        <w:spacing w:beforeLines="50" w:afterLines="50" w:line="360" w:lineRule="auto"/>
        <w:ind w:firstLine="562" w:firstLineChars="200"/>
        <w:rPr>
          <w:rFonts w:hint="eastAsia" w:ascii="宋体" w:hAnsi="宋体" w:eastAsia="宋体" w:cs="宋体"/>
          <w:bCs w:val="0"/>
          <w:color w:val="auto"/>
          <w:sz w:val="28"/>
          <w:szCs w:val="28"/>
          <w:highlight w:val="none"/>
          <w:lang w:eastAsia="zh-CN"/>
        </w:rPr>
      </w:pPr>
      <w:r>
        <w:rPr>
          <w:rFonts w:hint="eastAsia" w:ascii="宋体" w:hAnsi="宋体" w:eastAsia="宋体" w:cs="宋体"/>
          <w:bCs w:val="0"/>
          <w:color w:val="auto"/>
          <w:sz w:val="28"/>
          <w:szCs w:val="28"/>
          <w:highlight w:val="none"/>
        </w:rPr>
        <w:t>二、资金情况</w:t>
      </w:r>
      <w:r>
        <w:rPr>
          <w:rFonts w:hint="eastAsia" w:ascii="宋体" w:hAnsi="宋体" w:eastAsia="宋体" w:cs="宋体"/>
          <w:bCs w:val="0"/>
          <w:color w:val="auto"/>
          <w:sz w:val="28"/>
          <w:szCs w:val="28"/>
          <w:highlight w:val="none"/>
          <w:lang w:eastAsia="zh-CN"/>
        </w:rPr>
        <w:t>：</w:t>
      </w:r>
      <w:r>
        <w:rPr>
          <w:rFonts w:hint="eastAsia" w:ascii="宋体" w:hAnsi="宋体" w:eastAsia="宋体" w:cs="宋体"/>
          <w:b w:val="0"/>
          <w:bCs/>
          <w:color w:val="auto"/>
          <w:kern w:val="2"/>
          <w:sz w:val="24"/>
          <w:szCs w:val="24"/>
          <w:highlight w:val="none"/>
          <w:lang w:val="en-US" w:eastAsia="zh-CN" w:bidi="ar-SA"/>
        </w:rPr>
        <w:t>财政性资金。</w:t>
      </w:r>
    </w:p>
    <w:p>
      <w:pPr>
        <w:pStyle w:val="4"/>
        <w:spacing w:beforeLines="50" w:afterLines="50" w:line="360" w:lineRule="auto"/>
        <w:ind w:firstLine="562" w:firstLineChars="20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三、采购项目简介：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彭州市文化馆拟采用竞争性磋商方式，选择一家供应商提供彭州市</w:t>
      </w:r>
      <w:r>
        <w:rPr>
          <w:rFonts w:hint="eastAsia" w:ascii="宋体" w:hAnsi="宋体" w:eastAsia="宋体" w:cs="宋体"/>
          <w:color w:val="auto"/>
          <w:sz w:val="24"/>
          <w:highlight w:val="none"/>
          <w:lang w:val="en-US" w:eastAsia="zh-CN"/>
        </w:rPr>
        <w:t>文化</w:t>
      </w:r>
      <w:r>
        <w:rPr>
          <w:rFonts w:hint="eastAsia" w:ascii="宋体" w:hAnsi="宋体" w:eastAsia="宋体" w:cs="宋体"/>
          <w:color w:val="auto"/>
          <w:sz w:val="24"/>
          <w:highlight w:val="none"/>
          <w:lang w:eastAsia="zh-CN"/>
        </w:rPr>
        <w:t>馆物业管理服务，本次采购项目共一个包。</w:t>
      </w:r>
      <w:r>
        <w:rPr>
          <w:rFonts w:hint="eastAsia" w:ascii="宋体" w:hAnsi="宋体" w:eastAsia="宋体" w:cs="宋体"/>
          <w:b/>
          <w:bCs/>
          <w:color w:val="auto"/>
          <w:sz w:val="24"/>
          <w:szCs w:val="24"/>
          <w:highlight w:val="none"/>
        </w:rPr>
        <w:t>（项目介绍详见磋商文件第六章）。</w:t>
      </w:r>
    </w:p>
    <w:p>
      <w:pPr>
        <w:pStyle w:val="4"/>
        <w:spacing w:beforeLines="50" w:afterLines="50" w:line="360" w:lineRule="auto"/>
        <w:ind w:firstLine="562" w:firstLineChars="20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四、供应商邀请方式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本</w:t>
      </w:r>
      <w:r>
        <w:rPr>
          <w:rFonts w:hint="eastAsia" w:ascii="宋体" w:hAnsi="宋体" w:eastAsia="宋体" w:cs="宋体"/>
          <w:color w:val="auto"/>
          <w:sz w:val="24"/>
          <w:highlight w:val="none"/>
        </w:rPr>
        <w:t>次采购采取方式1邀请参加磋商的供应商。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方式1（公告方式）：本次竞争性磋商邀请在</w:t>
      </w:r>
      <w:r>
        <w:rPr>
          <w:rFonts w:hint="eastAsia" w:ascii="宋体" w:hAnsi="宋体" w:eastAsia="宋体" w:cs="宋体"/>
          <w:color w:val="auto"/>
          <w:sz w:val="24"/>
          <w:highlight w:val="none"/>
          <w:lang w:eastAsia="zh-CN"/>
        </w:rPr>
        <w:t>中国</w:t>
      </w:r>
      <w:r>
        <w:rPr>
          <w:rFonts w:hint="eastAsia" w:ascii="宋体" w:hAnsi="宋体" w:eastAsia="宋体" w:cs="宋体"/>
          <w:color w:val="auto"/>
          <w:sz w:val="24"/>
          <w:highlight w:val="none"/>
        </w:rPr>
        <w:t>政府采购网上以公告形式发布；</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方式2（书面推荐）：通过采购人和评审专家各自出具书面推荐意见，推荐符合相应资格条件的供应商参与本次采购活动；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方式3（供应商库随机抽取）：通过省级以上财政部门建立的供应商库中随机抽取供应商。</w:t>
      </w:r>
    </w:p>
    <w:p>
      <w:pPr>
        <w:pStyle w:val="4"/>
        <w:spacing w:beforeLines="50" w:afterLines="50" w:line="360" w:lineRule="auto"/>
        <w:ind w:firstLine="562" w:firstLineChars="20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val="en-US" w:eastAsia="zh-CN"/>
        </w:rPr>
        <w:t>五</w:t>
      </w:r>
      <w:r>
        <w:rPr>
          <w:rFonts w:hint="eastAsia" w:ascii="宋体" w:hAnsi="宋体" w:eastAsia="宋体" w:cs="宋体"/>
          <w:bCs w:val="0"/>
          <w:color w:val="auto"/>
          <w:sz w:val="28"/>
          <w:szCs w:val="28"/>
          <w:highlight w:val="none"/>
        </w:rPr>
        <w:t>、供应商参加本次政府采购活动应具备下列条件：</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bookmarkStart w:id="4" w:name="PO_供应商资格条件_1"/>
      <w:r>
        <w:rPr>
          <w:rFonts w:hint="eastAsia" w:ascii="宋体" w:hAnsi="宋体" w:eastAsia="宋体" w:cs="宋体"/>
          <w:color w:val="auto"/>
          <w:kern w:val="2"/>
          <w:sz w:val="24"/>
          <w:szCs w:val="24"/>
          <w:highlight w:val="none"/>
          <w:lang w:val="en-US" w:eastAsia="zh-CN" w:bidi="ar-SA"/>
        </w:rPr>
        <w:t>具备《中华人民共和国政府采购法》第二十二条规定的条件：</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1.具有独立承担民事责任的能力；</w:t>
      </w:r>
    </w:p>
    <w:p>
      <w:pPr>
        <w:keepNext w:val="0"/>
        <w:keepLines w:val="0"/>
        <w:pageBreakBefore w:val="0"/>
        <w:widowControl w:val="0"/>
        <w:tabs>
          <w:tab w:val="left" w:pos="7665"/>
        </w:tabs>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2.具有良好的商业信誉和健全的财务会计制度；</w:t>
      </w:r>
    </w:p>
    <w:p>
      <w:pPr>
        <w:keepNext w:val="0"/>
        <w:keepLines w:val="0"/>
        <w:pageBreakBefore w:val="0"/>
        <w:widowControl w:val="0"/>
        <w:tabs>
          <w:tab w:val="left" w:pos="7665"/>
        </w:tabs>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3.具有履行合同所必须的设备和专业技术能力；</w:t>
      </w:r>
    </w:p>
    <w:p>
      <w:pPr>
        <w:keepNext w:val="0"/>
        <w:keepLines w:val="0"/>
        <w:pageBreakBefore w:val="0"/>
        <w:widowControl w:val="0"/>
        <w:tabs>
          <w:tab w:val="left" w:pos="7665"/>
        </w:tabs>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4.具有依法缴纳税收和社会保障资金的良好记录；</w:t>
      </w:r>
    </w:p>
    <w:p>
      <w:pPr>
        <w:keepNext w:val="0"/>
        <w:keepLines w:val="0"/>
        <w:pageBreakBefore w:val="0"/>
        <w:widowControl w:val="0"/>
        <w:tabs>
          <w:tab w:val="left" w:pos="7665"/>
        </w:tabs>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5.参加本次政府采购活动前三年内，在经营活动中没有重大违法记录；</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6.法律、行政法规规定的其他条件；</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7.采购人根据采购项目提出的特殊条件：</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7.1本项目专门面向中小企采购，供应商提供中小企业声明函（监狱企业、残疾人福利性单位视同小微企业）；</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8.本项目不接受联合体参与。</w:t>
      </w:r>
      <w:bookmarkEnd w:id="4"/>
    </w:p>
    <w:p>
      <w:pPr>
        <w:pStyle w:val="4"/>
        <w:spacing w:beforeLines="50" w:afterLines="50" w:line="360" w:lineRule="auto"/>
        <w:ind w:firstLine="562" w:firstLineChars="20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val="en-US" w:eastAsia="zh-CN"/>
        </w:rPr>
        <w:t>六</w:t>
      </w:r>
      <w:r>
        <w:rPr>
          <w:rFonts w:hint="eastAsia" w:ascii="宋体" w:hAnsi="宋体" w:eastAsia="宋体" w:cs="宋体"/>
          <w:bCs w:val="0"/>
          <w:color w:val="auto"/>
          <w:sz w:val="28"/>
          <w:szCs w:val="28"/>
          <w:highlight w:val="none"/>
        </w:rPr>
        <w:t>、禁止参加本次采购活动的供应商</w:t>
      </w:r>
    </w:p>
    <w:p>
      <w:pPr>
        <w:spacing w:after="120"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1.根据《关于在政府采购活动中查询及使用信用记录有关问题的通知》（财库〔2016〕125号）的要求，</w:t>
      </w:r>
      <w:r>
        <w:rPr>
          <w:rFonts w:hint="eastAsia" w:ascii="宋体" w:hAnsi="宋体" w:eastAsia="宋体" w:cs="宋体"/>
          <w:b/>
          <w:color w:val="auto"/>
          <w:sz w:val="24"/>
          <w:highlight w:val="none"/>
          <w:u w:color="FFFFFF" w:themeColor="background1"/>
          <w:lang w:eastAsia="zh-CN"/>
        </w:rPr>
        <w:t>彭州市文化馆</w:t>
      </w:r>
      <w:r>
        <w:rPr>
          <w:rFonts w:hint="eastAsia" w:ascii="宋体" w:hAnsi="宋体" w:eastAsia="宋体" w:cs="宋体"/>
          <w:bCs/>
          <w:color w:val="auto"/>
          <w:sz w:val="24"/>
          <w:highlight w:val="none"/>
        </w:rPr>
        <w:t>/</w:t>
      </w:r>
      <w:r>
        <w:rPr>
          <w:rFonts w:hint="eastAsia" w:ascii="宋体" w:hAnsi="宋体" w:eastAsia="宋体" w:cs="宋体"/>
          <w:b/>
          <w:color w:val="auto"/>
          <w:sz w:val="24"/>
          <w:highlight w:val="none"/>
        </w:rPr>
        <w:t xml:space="preserve"> 四川中科远洋工程项目管理有限公司</w:t>
      </w:r>
      <w:r>
        <w:rPr>
          <w:rFonts w:hint="eastAsia" w:ascii="宋体" w:hAnsi="宋体" w:eastAsia="宋体" w:cs="宋体"/>
          <w:bCs/>
          <w:color w:val="auto"/>
          <w:sz w:val="24"/>
          <w:highlight w:val="none"/>
        </w:rPr>
        <w:t>将通过“信用中国”网站（www.creditchina.gov.cn）、“</w:t>
      </w:r>
      <w:r>
        <w:rPr>
          <w:rFonts w:hint="eastAsia" w:ascii="宋体" w:hAnsi="宋体" w:eastAsia="宋体" w:cs="宋体"/>
          <w:color w:val="auto"/>
          <w:sz w:val="24"/>
          <w:szCs w:val="24"/>
          <w:highlight w:val="none"/>
          <w:lang w:eastAsia="zh-CN"/>
        </w:rPr>
        <w:t>中国政府采购网</w:t>
      </w:r>
      <w:r>
        <w:rPr>
          <w:rFonts w:hint="eastAsia" w:ascii="宋体" w:hAnsi="宋体" w:eastAsia="宋体" w:cs="宋体"/>
          <w:bCs/>
          <w:color w:val="auto"/>
          <w:sz w:val="24"/>
          <w:highlight w:val="none"/>
        </w:rPr>
        <w:t>”网站（www.ccgp.gov.cn）等渠道查询供应商在采购公告发布之日前的信用记录并保存信用记录结果网页截图，拒绝列入失信被执行人名单、重大税收违法案件当事人名单的供应商报名参加本项目的采购活动（以联合体形式参加本项目采购活动，联合体成员存在不良信用记录的，视同联合体存在不良信用记录）。</w:t>
      </w:r>
    </w:p>
    <w:p>
      <w:pPr>
        <w:spacing w:after="120"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为采购项目提供整体设计、规范编制或者项目管理、监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政府采购合同等实质性内容条款的，视同为采购项目提供规范编制。</w:t>
      </w:r>
    </w:p>
    <w:p>
      <w:pPr>
        <w:pStyle w:val="4"/>
        <w:spacing w:beforeLines="50" w:afterLines="50" w:line="360" w:lineRule="auto"/>
        <w:ind w:firstLine="562" w:firstLineChars="20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val="en-US" w:eastAsia="zh-CN"/>
        </w:rPr>
        <w:t>七</w:t>
      </w:r>
      <w:r>
        <w:rPr>
          <w:rFonts w:hint="eastAsia" w:ascii="宋体" w:hAnsi="宋体" w:eastAsia="宋体" w:cs="宋体"/>
          <w:bCs w:val="0"/>
          <w:color w:val="auto"/>
          <w:sz w:val="28"/>
          <w:szCs w:val="28"/>
          <w:highlight w:val="none"/>
          <w:lang w:eastAsia="zh-CN"/>
        </w:rPr>
        <w:t>、</w:t>
      </w:r>
      <w:r>
        <w:rPr>
          <w:rFonts w:hint="eastAsia" w:ascii="宋体" w:hAnsi="宋体" w:eastAsia="宋体" w:cs="宋体"/>
          <w:bCs w:val="0"/>
          <w:color w:val="auto"/>
          <w:sz w:val="28"/>
          <w:szCs w:val="28"/>
          <w:highlight w:val="none"/>
        </w:rPr>
        <w:t>中小企业政府采购信用融资</w:t>
      </w:r>
    </w:p>
    <w:p>
      <w:pPr>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参加本次</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活动的中小企业供应商无需提供财产抵押或第三方担保，凭借政府采购合同可向融资机构申请融资。</w:t>
      </w:r>
    </w:p>
    <w:p>
      <w:pPr>
        <w:pStyle w:val="4"/>
        <w:spacing w:before="120" w:beforeLines="50" w:after="120" w:afterLines="50" w:line="360" w:lineRule="auto"/>
        <w:ind w:firstLine="562" w:firstLineChars="200"/>
        <w:rPr>
          <w:rFonts w:hint="eastAsia" w:ascii="宋体" w:hAnsi="宋体" w:eastAsia="宋体" w:cs="宋体"/>
          <w:bCs w:val="0"/>
          <w:color w:val="auto"/>
          <w:sz w:val="28"/>
          <w:szCs w:val="28"/>
        </w:rPr>
      </w:pPr>
      <w:bookmarkStart w:id="5" w:name="_Toc7954"/>
      <w:bookmarkStart w:id="6" w:name="_Toc3592"/>
      <w:bookmarkStart w:id="7" w:name="_Toc483317784"/>
      <w:bookmarkStart w:id="8" w:name="_Toc32623_WPSOffice_Level1"/>
      <w:bookmarkStart w:id="9" w:name="_Toc25029"/>
      <w:bookmarkStart w:id="10" w:name="_Toc19871"/>
      <w:bookmarkStart w:id="11" w:name="_Toc12382"/>
      <w:bookmarkStart w:id="12" w:name="_Toc10178"/>
      <w:bookmarkStart w:id="13" w:name="_Toc24928"/>
      <w:bookmarkStart w:id="14" w:name="_Toc19314"/>
      <w:r>
        <w:rPr>
          <w:rFonts w:hint="eastAsia" w:ascii="宋体" w:hAnsi="宋体" w:eastAsia="宋体" w:cs="宋体"/>
          <w:bCs w:val="0"/>
          <w:color w:val="auto"/>
          <w:sz w:val="28"/>
          <w:szCs w:val="28"/>
        </w:rPr>
        <w:t>八、磋商文件发售时间、地点及售价：</w:t>
      </w:r>
    </w:p>
    <w:p>
      <w:pPr>
        <w:spacing w:line="360" w:lineRule="auto"/>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1.202</w:t>
      </w:r>
      <w:r>
        <w:rPr>
          <w:rFonts w:hint="eastAsia" w:ascii="宋体" w:hAnsi="宋体" w:eastAsia="宋体" w:cs="宋体"/>
          <w:color w:val="auto"/>
          <w:sz w:val="24"/>
          <w:lang w:val="en-US" w:eastAsia="zh-CN"/>
        </w:rPr>
        <w:t>2</w:t>
      </w:r>
      <w:r>
        <w:rPr>
          <w:rFonts w:hint="eastAsia" w:ascii="宋体" w:hAnsi="宋体" w:eastAsia="宋体" w:cs="宋体"/>
          <w:color w:val="auto"/>
          <w:sz w:val="24"/>
          <w:lang w:val="zh-CN"/>
        </w:rPr>
        <w:t>年</w:t>
      </w:r>
      <w:r>
        <w:rPr>
          <w:rFonts w:hint="eastAsia" w:ascii="宋体" w:hAnsi="宋体" w:eastAsia="宋体" w:cs="宋体"/>
          <w:color w:val="auto"/>
          <w:sz w:val="24"/>
          <w:lang w:val="en-US" w:eastAsia="zh-CN"/>
        </w:rPr>
        <w:t>3</w:t>
      </w:r>
      <w:r>
        <w:rPr>
          <w:rFonts w:hint="eastAsia" w:ascii="宋体" w:hAnsi="宋体" w:eastAsia="宋体" w:cs="宋体"/>
          <w:color w:val="auto"/>
          <w:sz w:val="24"/>
          <w:lang w:val="zh-CN"/>
        </w:rPr>
        <w:t>月</w:t>
      </w:r>
      <w:r>
        <w:rPr>
          <w:rFonts w:hint="eastAsia" w:ascii="宋体" w:hAnsi="宋体" w:eastAsia="宋体" w:cs="宋体"/>
          <w:color w:val="auto"/>
          <w:sz w:val="24"/>
          <w:lang w:val="en-US" w:eastAsia="zh-CN"/>
        </w:rPr>
        <w:t>3</w:t>
      </w:r>
      <w:r>
        <w:rPr>
          <w:rFonts w:hint="eastAsia" w:ascii="宋体" w:hAnsi="宋体" w:eastAsia="宋体" w:cs="宋体"/>
          <w:color w:val="auto"/>
          <w:sz w:val="24"/>
          <w:lang w:val="zh-CN"/>
        </w:rPr>
        <w:t>日至202</w:t>
      </w:r>
      <w:r>
        <w:rPr>
          <w:rFonts w:hint="eastAsia" w:ascii="宋体" w:hAnsi="宋体" w:eastAsia="宋体" w:cs="宋体"/>
          <w:color w:val="auto"/>
          <w:sz w:val="24"/>
          <w:lang w:val="en-US" w:eastAsia="zh-CN"/>
        </w:rPr>
        <w:t>2</w:t>
      </w:r>
      <w:r>
        <w:rPr>
          <w:rFonts w:hint="eastAsia" w:ascii="宋体" w:hAnsi="宋体" w:eastAsia="宋体" w:cs="宋体"/>
          <w:color w:val="auto"/>
          <w:sz w:val="24"/>
          <w:lang w:val="zh-CN"/>
        </w:rPr>
        <w:t>年</w:t>
      </w:r>
      <w:r>
        <w:rPr>
          <w:rFonts w:hint="eastAsia" w:ascii="宋体" w:hAnsi="宋体" w:eastAsia="宋体" w:cs="宋体"/>
          <w:color w:val="auto"/>
          <w:sz w:val="24"/>
          <w:lang w:val="en-US" w:eastAsia="zh-CN"/>
        </w:rPr>
        <w:t>3</w:t>
      </w:r>
      <w:r>
        <w:rPr>
          <w:rFonts w:hint="eastAsia" w:ascii="宋体" w:hAnsi="宋体" w:eastAsia="宋体" w:cs="宋体"/>
          <w:color w:val="auto"/>
          <w:sz w:val="24"/>
          <w:lang w:val="zh-CN"/>
        </w:rPr>
        <w:t>月</w:t>
      </w:r>
      <w:r>
        <w:rPr>
          <w:rFonts w:hint="eastAsia" w:ascii="宋体" w:hAnsi="宋体" w:eastAsia="宋体" w:cs="宋体"/>
          <w:color w:val="auto"/>
          <w:sz w:val="24"/>
          <w:lang w:val="en-US" w:eastAsia="zh-CN"/>
        </w:rPr>
        <w:t>9</w:t>
      </w:r>
      <w:r>
        <w:rPr>
          <w:rFonts w:hint="eastAsia" w:ascii="宋体" w:hAnsi="宋体" w:eastAsia="宋体" w:cs="宋体"/>
          <w:color w:val="auto"/>
          <w:sz w:val="24"/>
          <w:lang w:val="zh-CN"/>
        </w:rPr>
        <w:t>日，每天上午 9:</w:t>
      </w:r>
      <w:r>
        <w:rPr>
          <w:rFonts w:hint="eastAsia" w:ascii="宋体" w:hAnsi="宋体" w:eastAsia="宋体" w:cs="宋体"/>
          <w:color w:val="auto"/>
          <w:sz w:val="24"/>
          <w:lang w:val="en-US" w:eastAsia="zh-CN"/>
        </w:rPr>
        <w:t>00</w:t>
      </w:r>
      <w:r>
        <w:rPr>
          <w:rFonts w:hint="eastAsia" w:ascii="宋体" w:hAnsi="宋体" w:eastAsia="宋体" w:cs="宋体"/>
          <w:color w:val="auto"/>
          <w:sz w:val="24"/>
          <w:lang w:val="zh-CN"/>
        </w:rPr>
        <w:t>～12:00，下午14:00～17:00（北京时间，节假日除外），逾期不予受理。</w:t>
      </w:r>
    </w:p>
    <w:p>
      <w:pPr>
        <w:spacing w:line="360" w:lineRule="auto"/>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2.获取采购文件的地点：彭州市天彭街道新康西路</w:t>
      </w:r>
      <w:r>
        <w:rPr>
          <w:rFonts w:hint="eastAsia" w:ascii="宋体" w:hAnsi="宋体" w:eastAsia="宋体" w:cs="宋体"/>
          <w:color w:val="auto"/>
          <w:sz w:val="24"/>
        </w:rPr>
        <w:t>167号二楼</w:t>
      </w:r>
      <w:r>
        <w:rPr>
          <w:rFonts w:hint="eastAsia" w:ascii="宋体" w:hAnsi="宋体" w:eastAsia="宋体" w:cs="宋体"/>
          <w:color w:val="auto"/>
          <w:sz w:val="24"/>
          <w:lang w:val="zh-CN"/>
        </w:rPr>
        <w:t>。</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通过网络或</w:t>
      </w:r>
      <w:r>
        <w:rPr>
          <w:rFonts w:hint="eastAsia" w:ascii="宋体" w:hAnsi="宋体" w:eastAsia="宋体" w:cs="宋体"/>
          <w:color w:val="auto"/>
          <w:sz w:val="24"/>
          <w:lang w:val="zh-TW" w:eastAsia="zh-TW"/>
        </w:rPr>
        <w:t>现场</w:t>
      </w:r>
      <w:r>
        <w:rPr>
          <w:rFonts w:hint="eastAsia" w:ascii="宋体" w:hAnsi="宋体" w:eastAsia="宋体" w:cs="宋体"/>
          <w:color w:val="auto"/>
          <w:sz w:val="24"/>
        </w:rPr>
        <w:t>报名获取磋商文件。</w:t>
      </w:r>
    </w:p>
    <w:p>
      <w:pPr>
        <w:pStyle w:val="12"/>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zh-TW" w:eastAsia="zh-TW"/>
        </w:rPr>
        <w:t>现场</w:t>
      </w:r>
      <w:r>
        <w:rPr>
          <w:rFonts w:hint="eastAsia" w:ascii="宋体" w:hAnsi="宋体" w:eastAsia="宋体" w:cs="宋体"/>
          <w:color w:val="auto"/>
          <w:sz w:val="24"/>
        </w:rPr>
        <w:t>报名：持</w:t>
      </w:r>
      <w:r>
        <w:rPr>
          <w:rFonts w:hint="eastAsia" w:ascii="宋体" w:hAnsi="宋体" w:eastAsia="宋体" w:cs="宋体"/>
          <w:color w:val="auto"/>
          <w:sz w:val="24"/>
          <w:lang w:val="zh-TW" w:eastAsia="zh-TW"/>
        </w:rPr>
        <w:t>单位介绍信原件、购买人有效身份证（复印件盖鲜章）</w:t>
      </w:r>
      <w:r>
        <w:rPr>
          <w:rFonts w:hint="eastAsia" w:ascii="宋体" w:hAnsi="宋体" w:eastAsia="宋体" w:cs="宋体"/>
          <w:color w:val="auto"/>
          <w:sz w:val="24"/>
        </w:rPr>
        <w:t>到</w:t>
      </w:r>
      <w:r>
        <w:rPr>
          <w:rFonts w:hint="eastAsia" w:ascii="宋体" w:hAnsi="宋体" w:eastAsia="宋体" w:cs="宋体"/>
          <w:color w:val="auto"/>
          <w:sz w:val="24"/>
          <w:lang w:val="zh-CN"/>
        </w:rPr>
        <w:t>彭州市天彭街道新康西路</w:t>
      </w:r>
      <w:r>
        <w:rPr>
          <w:rFonts w:hint="eastAsia" w:ascii="宋体" w:hAnsi="宋体" w:eastAsia="宋体" w:cs="宋体"/>
          <w:color w:val="auto"/>
          <w:sz w:val="24"/>
        </w:rPr>
        <w:t>167号二楼报名。</w:t>
      </w:r>
    </w:p>
    <w:p>
      <w:pPr>
        <w:spacing w:line="360" w:lineRule="auto"/>
        <w:ind w:firstLine="480" w:firstLineChars="200"/>
        <w:rPr>
          <w:rFonts w:hint="eastAsia" w:ascii="宋体" w:hAnsi="宋体" w:eastAsia="宋体" w:cs="宋体"/>
          <w:color w:val="auto"/>
          <w:sz w:val="24"/>
          <w:lang w:eastAsia="zh-TW"/>
        </w:rPr>
      </w:pPr>
      <w:r>
        <w:rPr>
          <w:rFonts w:hint="eastAsia" w:ascii="宋体" w:hAnsi="宋体" w:eastAsia="宋体" w:cs="宋体"/>
          <w:color w:val="auto"/>
          <w:sz w:val="24"/>
        </w:rPr>
        <w:t>网络报名方式：将</w:t>
      </w:r>
      <w:r>
        <w:rPr>
          <w:rFonts w:hint="eastAsia" w:ascii="宋体" w:hAnsi="宋体" w:eastAsia="宋体" w:cs="宋体"/>
          <w:color w:val="auto"/>
          <w:sz w:val="24"/>
          <w:lang w:val="zh-TW" w:eastAsia="zh-TW"/>
        </w:rPr>
        <w:t>单位介绍信原件、购买人有效身份证（复印件盖鲜章）。</w:t>
      </w:r>
      <w:r>
        <w:rPr>
          <w:rFonts w:hint="eastAsia" w:ascii="宋体" w:hAnsi="宋体" w:eastAsia="宋体" w:cs="宋体"/>
          <w:color w:val="auto"/>
          <w:sz w:val="24"/>
          <w:lang w:eastAsia="zh-TW"/>
        </w:rPr>
        <w:t>发送到电子邮箱：</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"mailto:384776113@qq.com" </w:instrText>
      </w:r>
      <w:r>
        <w:rPr>
          <w:rFonts w:hint="eastAsia" w:ascii="宋体" w:hAnsi="宋体" w:eastAsia="宋体" w:cs="宋体"/>
          <w:color w:val="auto"/>
        </w:rPr>
        <w:fldChar w:fldCharType="separate"/>
      </w:r>
      <w:r>
        <w:rPr>
          <w:rFonts w:hint="eastAsia" w:ascii="宋体" w:hAnsi="宋体" w:eastAsia="宋体" w:cs="宋体"/>
          <w:color w:val="auto"/>
          <w:sz w:val="24"/>
          <w:lang w:eastAsia="zh-TW"/>
        </w:rPr>
        <w:t>349170664@qq.com</w:t>
      </w:r>
      <w:r>
        <w:rPr>
          <w:rFonts w:hint="eastAsia" w:ascii="宋体" w:hAnsi="宋体" w:eastAsia="宋体" w:cs="宋体"/>
          <w:color w:val="auto"/>
          <w:sz w:val="24"/>
          <w:lang w:eastAsia="zh-TW"/>
        </w:rPr>
        <w:fldChar w:fldCharType="end"/>
      </w:r>
      <w:r>
        <w:rPr>
          <w:rFonts w:hint="eastAsia" w:ascii="宋体" w:hAnsi="宋体" w:eastAsia="宋体" w:cs="宋体"/>
          <w:color w:val="auto"/>
          <w:sz w:val="24"/>
          <w:lang w:eastAsia="zh-TW"/>
        </w:rPr>
        <w:t>，收到回复后即为报名成功。</w:t>
      </w:r>
    </w:p>
    <w:p>
      <w:pPr>
        <w:spacing w:line="360" w:lineRule="auto"/>
        <w:ind w:firstLine="420"/>
        <w:rPr>
          <w:rFonts w:hint="eastAsia" w:ascii="宋体" w:hAnsi="宋体" w:eastAsia="宋体" w:cs="宋体"/>
          <w:color w:val="auto"/>
          <w:sz w:val="24"/>
          <w:lang w:val="zh-CN"/>
        </w:rPr>
      </w:pPr>
      <w:r>
        <w:rPr>
          <w:rFonts w:hint="eastAsia" w:ascii="宋体" w:hAnsi="宋体" w:eastAsia="宋体" w:cs="宋体"/>
          <w:color w:val="auto"/>
          <w:sz w:val="24"/>
        </w:rPr>
        <w:t>磋商文件</w:t>
      </w:r>
      <w:r>
        <w:rPr>
          <w:rFonts w:hint="eastAsia" w:ascii="宋体" w:hAnsi="宋体" w:eastAsia="宋体" w:cs="宋体"/>
          <w:color w:val="auto"/>
          <w:sz w:val="24"/>
          <w:lang w:val="zh-TW" w:eastAsia="zh-TW"/>
        </w:rPr>
        <w:t>售价：人民币</w:t>
      </w:r>
      <w:r>
        <w:rPr>
          <w:rFonts w:hint="eastAsia" w:ascii="宋体" w:hAnsi="宋体" w:eastAsia="宋体" w:cs="宋体"/>
          <w:color w:val="auto"/>
          <w:sz w:val="24"/>
        </w:rPr>
        <w:t>300</w:t>
      </w:r>
      <w:r>
        <w:rPr>
          <w:rFonts w:hint="eastAsia" w:ascii="宋体" w:hAnsi="宋体" w:eastAsia="宋体" w:cs="宋体"/>
          <w:color w:val="auto"/>
          <w:sz w:val="24"/>
          <w:lang w:val="zh-TW" w:eastAsia="zh-TW"/>
        </w:rPr>
        <w:t>元/份。</w:t>
      </w:r>
    </w:p>
    <w:p>
      <w:pPr>
        <w:pStyle w:val="4"/>
        <w:spacing w:line="360" w:lineRule="auto"/>
        <w:ind w:firstLine="562" w:firstLineChars="200"/>
        <w:rPr>
          <w:rFonts w:hint="eastAsia" w:ascii="宋体" w:hAnsi="宋体" w:eastAsia="宋体" w:cs="宋体"/>
          <w:color w:val="auto"/>
          <w:sz w:val="24"/>
          <w:szCs w:val="24"/>
        </w:rPr>
      </w:pPr>
      <w:r>
        <w:rPr>
          <w:rFonts w:hint="eastAsia" w:ascii="宋体" w:hAnsi="宋体" w:eastAsia="宋体" w:cs="宋体"/>
          <w:bCs w:val="0"/>
          <w:color w:val="auto"/>
          <w:sz w:val="28"/>
          <w:szCs w:val="28"/>
        </w:rPr>
        <w:t>九、递交响应文件截止时间</w:t>
      </w:r>
      <w:r>
        <w:rPr>
          <w:rFonts w:hint="eastAsia" w:ascii="宋体" w:hAnsi="宋体" w:eastAsia="宋体" w:cs="宋体"/>
          <w:b w:val="0"/>
          <w:color w:val="auto"/>
          <w:sz w:val="24"/>
          <w:szCs w:val="24"/>
        </w:rPr>
        <w:t>：</w:t>
      </w:r>
      <w:r>
        <w:rPr>
          <w:rFonts w:hint="eastAsia" w:ascii="宋体" w:hAnsi="宋体" w:eastAsia="宋体" w:cs="宋体"/>
          <w:color w:val="auto"/>
          <w:sz w:val="24"/>
          <w:szCs w:val="24"/>
          <w:lang w:val="zh-CN"/>
        </w:rPr>
        <w:t>202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lang w:val="zh-CN"/>
        </w:rPr>
        <w:t>日</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：00分</w:t>
      </w:r>
      <w:r>
        <w:rPr>
          <w:rFonts w:hint="eastAsia" w:ascii="宋体" w:hAnsi="宋体" w:eastAsia="宋体" w:cs="宋体"/>
          <w:b w:val="0"/>
          <w:color w:val="auto"/>
          <w:sz w:val="24"/>
        </w:rPr>
        <w:t>（北京时间）。</w:t>
      </w:r>
    </w:p>
    <w:p>
      <w:pPr>
        <w:pStyle w:val="13"/>
        <w:snapToGrid w:val="0"/>
        <w:spacing w:line="360" w:lineRule="auto"/>
        <w:ind w:firstLine="562" w:firstLineChars="200"/>
        <w:rPr>
          <w:rFonts w:hint="eastAsia" w:ascii="宋体" w:hAnsi="宋体" w:eastAsia="宋体" w:cs="宋体"/>
          <w:b/>
          <w:bCs/>
          <w:color w:val="auto"/>
          <w:sz w:val="24"/>
          <w:szCs w:val="24"/>
        </w:rPr>
      </w:pPr>
      <w:r>
        <w:rPr>
          <w:rFonts w:hint="eastAsia" w:ascii="宋体" w:hAnsi="宋体" w:eastAsia="宋体" w:cs="宋体"/>
          <w:b/>
          <w:color w:val="auto"/>
          <w:sz w:val="28"/>
          <w:szCs w:val="28"/>
        </w:rPr>
        <w:t>十、递交响应文件地点：</w:t>
      </w:r>
      <w:r>
        <w:rPr>
          <w:rFonts w:hint="eastAsia" w:ascii="宋体" w:hAnsi="宋体" w:eastAsia="宋体" w:cs="宋体"/>
          <w:b/>
          <w:bCs/>
          <w:color w:val="auto"/>
          <w:sz w:val="24"/>
          <w:lang w:val="zh-CN"/>
        </w:rPr>
        <w:t>彭州市天彭街道新康西路</w:t>
      </w:r>
      <w:r>
        <w:rPr>
          <w:rFonts w:hint="eastAsia" w:ascii="宋体" w:hAnsi="宋体" w:eastAsia="宋体" w:cs="宋体"/>
          <w:b/>
          <w:bCs/>
          <w:color w:val="auto"/>
          <w:sz w:val="24"/>
        </w:rPr>
        <w:t>1</w:t>
      </w:r>
      <w:r>
        <w:rPr>
          <w:rFonts w:hint="eastAsia" w:ascii="宋体" w:hAnsi="宋体" w:eastAsia="宋体" w:cs="宋体"/>
          <w:b/>
          <w:bCs/>
          <w:color w:val="auto"/>
          <w:sz w:val="24"/>
          <w:lang w:val="en-US" w:eastAsia="zh-CN"/>
        </w:rPr>
        <w:t>7</w:t>
      </w:r>
      <w:r>
        <w:rPr>
          <w:rFonts w:hint="eastAsia" w:ascii="宋体" w:hAnsi="宋体" w:eastAsia="宋体" w:cs="宋体"/>
          <w:b/>
          <w:bCs/>
          <w:color w:val="auto"/>
          <w:sz w:val="24"/>
        </w:rPr>
        <w:t>7号</w:t>
      </w:r>
      <w:r>
        <w:rPr>
          <w:rFonts w:hint="eastAsia" w:ascii="宋体" w:hAnsi="宋体" w:eastAsia="宋体" w:cs="宋体"/>
          <w:b/>
          <w:bCs/>
          <w:color w:val="auto"/>
          <w:sz w:val="24"/>
          <w:szCs w:val="24"/>
        </w:rPr>
        <w:t>。</w:t>
      </w:r>
    </w:p>
    <w:p>
      <w:pPr>
        <w:pStyle w:val="13"/>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响应文件必须在递交响应文件截止时间前送达磋商地点。逾期送达、密封和标注错误的响应文件，四川中科远洋工程项目管理有限公司恕不接收。本次采购不接收邮寄的响应文件。</w:t>
      </w:r>
    </w:p>
    <w:p>
      <w:pPr>
        <w:pStyle w:val="4"/>
        <w:spacing w:line="360" w:lineRule="auto"/>
        <w:ind w:firstLine="562" w:firstLineChars="200"/>
        <w:rPr>
          <w:rFonts w:hint="eastAsia" w:ascii="宋体" w:hAnsi="宋体" w:eastAsia="宋体" w:cs="宋体"/>
          <w:b w:val="0"/>
          <w:color w:val="auto"/>
          <w:sz w:val="24"/>
        </w:rPr>
      </w:pPr>
      <w:r>
        <w:rPr>
          <w:rFonts w:hint="eastAsia" w:ascii="宋体" w:hAnsi="宋体" w:eastAsia="宋体" w:cs="宋体"/>
          <w:bCs w:val="0"/>
          <w:color w:val="auto"/>
          <w:sz w:val="28"/>
          <w:szCs w:val="28"/>
        </w:rPr>
        <w:t>十</w:t>
      </w:r>
      <w:r>
        <w:rPr>
          <w:rFonts w:hint="eastAsia" w:ascii="宋体" w:hAnsi="宋体" w:eastAsia="宋体" w:cs="宋体"/>
          <w:bCs w:val="0"/>
          <w:color w:val="auto"/>
          <w:sz w:val="28"/>
          <w:szCs w:val="28"/>
          <w:lang w:val="en-US" w:eastAsia="zh-CN"/>
        </w:rPr>
        <w:t>一</w:t>
      </w:r>
      <w:r>
        <w:rPr>
          <w:rFonts w:hint="eastAsia" w:ascii="宋体" w:hAnsi="宋体" w:eastAsia="宋体" w:cs="宋体"/>
          <w:bCs w:val="0"/>
          <w:color w:val="auto"/>
          <w:sz w:val="28"/>
          <w:szCs w:val="28"/>
        </w:rPr>
        <w:t>、磋商地点</w:t>
      </w:r>
      <w:r>
        <w:rPr>
          <w:rFonts w:hint="eastAsia" w:ascii="宋体" w:hAnsi="宋体" w:eastAsia="宋体" w:cs="宋体"/>
          <w:b w:val="0"/>
          <w:color w:val="auto"/>
          <w:sz w:val="24"/>
          <w:szCs w:val="24"/>
        </w:rPr>
        <w:t>：</w:t>
      </w:r>
      <w:r>
        <w:rPr>
          <w:rFonts w:hint="eastAsia" w:ascii="宋体" w:hAnsi="宋体" w:eastAsia="宋体" w:cs="宋体"/>
          <w:color w:val="auto"/>
          <w:sz w:val="24"/>
          <w:lang w:val="zh-CN"/>
        </w:rPr>
        <w:t>彭州市天彭街道新康西路</w:t>
      </w:r>
      <w:r>
        <w:rPr>
          <w:rFonts w:hint="eastAsia" w:ascii="宋体" w:hAnsi="宋体" w:eastAsia="宋体" w:cs="宋体"/>
          <w:color w:val="auto"/>
          <w:sz w:val="24"/>
        </w:rPr>
        <w:t>1</w:t>
      </w:r>
      <w:r>
        <w:rPr>
          <w:rFonts w:hint="eastAsia" w:ascii="宋体" w:hAnsi="宋体" w:eastAsia="宋体" w:cs="宋体"/>
          <w:color w:val="auto"/>
          <w:sz w:val="24"/>
          <w:lang w:val="en-US" w:eastAsia="zh-CN"/>
        </w:rPr>
        <w:t>7</w:t>
      </w:r>
      <w:r>
        <w:rPr>
          <w:rFonts w:hint="eastAsia" w:ascii="宋体" w:hAnsi="宋体" w:eastAsia="宋体" w:cs="宋体"/>
          <w:color w:val="auto"/>
          <w:sz w:val="24"/>
        </w:rPr>
        <w:t>7号</w:t>
      </w:r>
      <w:r>
        <w:rPr>
          <w:rFonts w:hint="eastAsia" w:ascii="宋体" w:hAnsi="宋体" w:eastAsia="宋体" w:cs="宋体"/>
          <w:bCs w:val="0"/>
          <w:color w:val="auto"/>
          <w:sz w:val="24"/>
        </w:rPr>
        <w:t>。</w:t>
      </w:r>
    </w:p>
    <w:p>
      <w:pPr>
        <w:pStyle w:val="4"/>
        <w:spacing w:line="360" w:lineRule="auto"/>
        <w:ind w:firstLine="562" w:firstLineChars="200"/>
        <w:rPr>
          <w:rFonts w:hint="eastAsia" w:ascii="宋体" w:hAnsi="宋体" w:eastAsia="宋体" w:cs="宋体"/>
          <w:b w:val="0"/>
          <w:color w:val="auto"/>
          <w:sz w:val="24"/>
        </w:rPr>
      </w:pPr>
      <w:r>
        <w:rPr>
          <w:rFonts w:hint="eastAsia" w:ascii="宋体" w:hAnsi="宋体" w:eastAsia="宋体" w:cs="宋体"/>
          <w:bCs w:val="0"/>
          <w:color w:val="auto"/>
          <w:sz w:val="28"/>
          <w:szCs w:val="28"/>
        </w:rPr>
        <w:t>十</w:t>
      </w:r>
      <w:r>
        <w:rPr>
          <w:rFonts w:hint="eastAsia" w:ascii="宋体" w:hAnsi="宋体" w:eastAsia="宋体" w:cs="宋体"/>
          <w:bCs w:val="0"/>
          <w:color w:val="auto"/>
          <w:sz w:val="28"/>
          <w:szCs w:val="28"/>
          <w:lang w:val="en-US" w:eastAsia="zh-CN"/>
        </w:rPr>
        <w:t>二</w:t>
      </w:r>
      <w:r>
        <w:rPr>
          <w:rFonts w:hint="eastAsia" w:ascii="宋体" w:hAnsi="宋体" w:eastAsia="宋体" w:cs="宋体"/>
          <w:bCs w:val="0"/>
          <w:color w:val="auto"/>
          <w:sz w:val="28"/>
          <w:szCs w:val="28"/>
        </w:rPr>
        <w:t>、响应文件开启时间：</w:t>
      </w:r>
      <w:r>
        <w:rPr>
          <w:rFonts w:hint="eastAsia" w:ascii="宋体" w:hAnsi="宋体" w:eastAsia="宋体" w:cs="宋体"/>
          <w:color w:val="auto"/>
          <w:sz w:val="24"/>
          <w:szCs w:val="24"/>
          <w:lang w:val="zh-CN"/>
        </w:rPr>
        <w:t>202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lang w:val="zh-CN"/>
        </w:rPr>
        <w:t>日</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：00分</w:t>
      </w:r>
      <w:r>
        <w:rPr>
          <w:rFonts w:hint="eastAsia" w:ascii="宋体" w:hAnsi="宋体" w:eastAsia="宋体" w:cs="宋体"/>
          <w:b w:val="0"/>
          <w:color w:val="auto"/>
          <w:sz w:val="24"/>
        </w:rPr>
        <w:t>（北京时间）在磋商地点开启。</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十三、联系方式</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采购人：彭州市文化馆</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地    址：成都市彭州市天彭镇金彭西路 389号</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联 系 人：王老师</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联系电话：15928666650</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代理机构：四川中科远洋工程项目管理有限公司</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地    址：彭州市天彭街道新康西路167号</w:t>
      </w:r>
    </w:p>
    <w:p>
      <w:pPr>
        <w:pStyle w:val="6"/>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项目联系人：胡先生     联系电话：13880976971</w:t>
      </w:r>
    </w:p>
    <w:p>
      <w:pPr>
        <w:pStyle w:val="39"/>
        <w:ind w:firstLine="6987" w:firstLineChars="2900"/>
        <w:rPr>
          <w:rFonts w:hint="eastAsia" w:ascii="宋体" w:hAnsi="宋体" w:eastAsia="宋体" w:cs="宋体"/>
          <w:b/>
          <w:bCs/>
          <w:color w:val="auto"/>
          <w:sz w:val="24"/>
        </w:rPr>
      </w:pPr>
    </w:p>
    <w:p>
      <w:pPr>
        <w:pStyle w:val="39"/>
        <w:ind w:firstLine="6987" w:firstLineChars="2900"/>
        <w:rPr>
          <w:rFonts w:hint="eastAsia" w:ascii="宋体" w:hAnsi="宋体" w:eastAsia="宋体" w:cs="宋体"/>
          <w:b/>
          <w:bCs/>
          <w:color w:val="auto"/>
          <w:sz w:val="24"/>
          <w:szCs w:val="28"/>
        </w:rPr>
      </w:pPr>
      <w:r>
        <w:rPr>
          <w:rFonts w:hint="eastAsia" w:ascii="宋体" w:hAnsi="宋体" w:eastAsia="宋体" w:cs="宋体"/>
          <w:b/>
          <w:bCs/>
          <w:color w:val="auto"/>
          <w:sz w:val="24"/>
        </w:rPr>
        <w:t>202</w:t>
      </w: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03</w:t>
      </w:r>
      <w:r>
        <w:rPr>
          <w:rFonts w:hint="eastAsia" w:ascii="宋体" w:hAnsi="宋体" w:eastAsia="宋体" w:cs="宋体"/>
          <w:b/>
          <w:bCs/>
          <w:color w:val="auto"/>
          <w:sz w:val="24"/>
        </w:rPr>
        <w:t>月</w:t>
      </w:r>
      <w:r>
        <w:rPr>
          <w:rFonts w:hint="eastAsia" w:ascii="宋体" w:hAnsi="宋体" w:eastAsia="宋体" w:cs="宋体"/>
          <w:b/>
          <w:bCs/>
          <w:color w:val="auto"/>
          <w:sz w:val="24"/>
          <w:lang w:val="en-US" w:eastAsia="zh-CN"/>
        </w:rPr>
        <w:t>02</w:t>
      </w:r>
      <w:r>
        <w:rPr>
          <w:rFonts w:hint="eastAsia" w:ascii="宋体" w:hAnsi="宋体" w:eastAsia="宋体" w:cs="宋体"/>
          <w:b/>
          <w:bCs/>
          <w:color w:val="auto"/>
          <w:sz w:val="24"/>
        </w:rPr>
        <w:t>日</w:t>
      </w:r>
    </w:p>
    <w:bookmarkEnd w:id="5"/>
    <w:p>
      <w:pPr>
        <w:jc w:val="center"/>
        <w:rPr>
          <w:rFonts w:hint="eastAsia" w:ascii="宋体" w:hAnsi="宋体" w:eastAsia="宋体" w:cs="宋体"/>
          <w:b/>
          <w:bCs/>
          <w:color w:val="auto"/>
          <w:sz w:val="36"/>
          <w:szCs w:val="36"/>
          <w:highlight w:val="none"/>
        </w:rPr>
      </w:pPr>
      <w:bookmarkStart w:id="15" w:name="_Toc29955"/>
    </w:p>
    <w:p>
      <w:pPr>
        <w:jc w:val="center"/>
        <w:rPr>
          <w:rFonts w:hint="eastAsia" w:ascii="宋体" w:hAnsi="宋体" w:eastAsia="宋体" w:cs="宋体"/>
          <w:b/>
          <w:bCs/>
          <w:color w:val="auto"/>
          <w:sz w:val="36"/>
          <w:szCs w:val="36"/>
          <w:highlight w:val="none"/>
        </w:rPr>
      </w:pPr>
    </w:p>
    <w:p>
      <w:pPr>
        <w:jc w:val="center"/>
        <w:rPr>
          <w:rFonts w:hint="eastAsia" w:ascii="宋体" w:hAnsi="宋体" w:eastAsia="宋体" w:cs="宋体"/>
          <w:b/>
          <w:bCs/>
          <w:color w:val="auto"/>
          <w:sz w:val="36"/>
          <w:szCs w:val="36"/>
          <w:highlight w:val="none"/>
        </w:rPr>
      </w:pPr>
    </w:p>
    <w:p>
      <w:pPr>
        <w:jc w:val="center"/>
        <w:rPr>
          <w:rFonts w:hint="eastAsia" w:ascii="宋体" w:hAnsi="宋体" w:eastAsia="宋体" w:cs="宋体"/>
          <w:b/>
          <w:bCs/>
          <w:color w:val="auto"/>
          <w:sz w:val="36"/>
          <w:szCs w:val="36"/>
          <w:highlight w:val="none"/>
        </w:rPr>
      </w:pPr>
    </w:p>
    <w:p>
      <w:pPr>
        <w:jc w:val="center"/>
        <w:rPr>
          <w:rFonts w:hint="eastAsia" w:ascii="宋体" w:hAnsi="宋体" w:eastAsia="宋体" w:cs="宋体"/>
          <w:b/>
          <w:bCs/>
          <w:color w:val="auto"/>
          <w:sz w:val="36"/>
          <w:szCs w:val="36"/>
          <w:highlight w:val="none"/>
        </w:rPr>
      </w:pP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第二章  供应商须知</w:t>
      </w:r>
      <w:bookmarkEnd w:id="6"/>
      <w:bookmarkEnd w:id="7"/>
      <w:bookmarkEnd w:id="8"/>
      <w:bookmarkEnd w:id="9"/>
      <w:bookmarkEnd w:id="10"/>
      <w:bookmarkEnd w:id="11"/>
      <w:bookmarkEnd w:id="12"/>
      <w:bookmarkEnd w:id="13"/>
      <w:bookmarkEnd w:id="15"/>
    </w:p>
    <w:p>
      <w:pPr>
        <w:pStyle w:val="4"/>
        <w:spacing w:line="360" w:lineRule="auto"/>
        <w:jc w:val="center"/>
        <w:rPr>
          <w:rFonts w:hint="eastAsia" w:ascii="宋体" w:hAnsi="宋体" w:eastAsia="宋体" w:cs="宋体"/>
          <w:color w:val="auto"/>
          <w:highlight w:val="none"/>
        </w:rPr>
      </w:pPr>
      <w:bookmarkStart w:id="16" w:name="_Toc1198"/>
      <w:bookmarkStart w:id="17" w:name="_Toc27592"/>
      <w:r>
        <w:rPr>
          <w:rFonts w:hint="eastAsia" w:ascii="宋体" w:hAnsi="宋体" w:eastAsia="宋体" w:cs="宋体"/>
          <w:color w:val="auto"/>
          <w:highlight w:val="none"/>
        </w:rPr>
        <w:t>一、供应商须知附表</w:t>
      </w:r>
      <w:bookmarkEnd w:id="16"/>
      <w:bookmarkEnd w:id="17"/>
    </w:p>
    <w:tbl>
      <w:tblPr>
        <w:tblStyle w:val="24"/>
        <w:tblW w:w="977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2086"/>
        <w:gridCol w:w="712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tblHeader/>
          <w:jc w:val="center"/>
        </w:trPr>
        <w:tc>
          <w:tcPr>
            <w:tcW w:w="56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2086" w:type="dxa"/>
            <w:vAlign w:val="center"/>
          </w:tcPr>
          <w:p>
            <w:pPr>
              <w:pStyle w:val="40"/>
              <w:spacing w:beforeLines="50" w:afterLines="50" w:line="360" w:lineRule="auto"/>
              <w:ind w:left="38"/>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条款名称</w:t>
            </w:r>
          </w:p>
        </w:tc>
        <w:tc>
          <w:tcPr>
            <w:tcW w:w="7125" w:type="dxa"/>
            <w:vAlign w:val="center"/>
          </w:tcPr>
          <w:p>
            <w:pPr>
              <w:pStyle w:val="40"/>
              <w:spacing w:beforeLines="50" w:afterLines="50"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说明和要求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采购预算</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（实质性要求）</w:t>
            </w:r>
          </w:p>
        </w:tc>
        <w:tc>
          <w:tcPr>
            <w:tcW w:w="7125" w:type="dxa"/>
            <w:vAlign w:val="center"/>
          </w:tcPr>
          <w:p>
            <w:pPr>
              <w:spacing w:beforeLines="50" w:afterLines="50" w:line="360" w:lineRule="auto"/>
              <w:ind w:right="31" w:rightChars="15"/>
              <w:jc w:val="both"/>
              <w:rPr>
                <w:rFonts w:hint="eastAsia" w:ascii="宋体" w:hAnsi="宋体" w:eastAsia="宋体" w:cs="宋体"/>
                <w:bCs/>
                <w:color w:val="auto"/>
                <w:sz w:val="24"/>
                <w:lang w:eastAsia="zh-CN"/>
              </w:rPr>
            </w:pPr>
            <w:r>
              <w:rPr>
                <w:rFonts w:hint="eastAsia" w:ascii="宋体" w:hAnsi="宋体" w:eastAsia="宋体" w:cs="宋体"/>
                <w:color w:val="auto"/>
                <w:sz w:val="24"/>
              </w:rPr>
              <w:t>采购预算</w:t>
            </w:r>
            <w:r>
              <w:rPr>
                <w:rFonts w:hint="eastAsia" w:ascii="宋体" w:hAnsi="宋体" w:eastAsia="宋体" w:cs="宋体"/>
                <w:bCs/>
                <w:color w:val="auto"/>
                <w:sz w:val="24"/>
              </w:rPr>
              <w:t>：¥</w:t>
            </w:r>
            <w:r>
              <w:rPr>
                <w:rFonts w:hint="eastAsia" w:ascii="宋体" w:hAnsi="宋体" w:eastAsia="宋体" w:cs="宋体"/>
                <w:bCs/>
                <w:color w:val="auto"/>
                <w:sz w:val="24"/>
                <w:u w:val="single"/>
                <w:lang w:val="en-US" w:eastAsia="zh-CN"/>
              </w:rPr>
              <w:t>21</w:t>
            </w:r>
            <w:r>
              <w:rPr>
                <w:rFonts w:hint="eastAsia" w:ascii="宋体" w:hAnsi="宋体" w:eastAsia="宋体" w:cs="宋体"/>
                <w:bCs/>
                <w:color w:val="auto"/>
                <w:sz w:val="24"/>
              </w:rPr>
              <w:t>万元（大写：</w:t>
            </w:r>
            <w:r>
              <w:rPr>
                <w:rFonts w:hint="eastAsia" w:ascii="宋体" w:hAnsi="宋体" w:eastAsia="宋体" w:cs="宋体"/>
                <w:bCs/>
                <w:color w:val="auto"/>
                <w:sz w:val="24"/>
                <w:lang w:val="en-US" w:eastAsia="zh-CN"/>
              </w:rPr>
              <w:t>贰拾壹万元整</w:t>
            </w:r>
            <w:r>
              <w:rPr>
                <w:rFonts w:hint="eastAsia" w:ascii="宋体" w:hAnsi="宋体" w:eastAsia="宋体" w:cs="宋体"/>
                <w:bCs/>
                <w:color w:val="auto"/>
                <w:sz w:val="24"/>
              </w:rPr>
              <w:t>）</w:t>
            </w:r>
            <w:r>
              <w:rPr>
                <w:rFonts w:hint="eastAsia" w:ascii="宋体" w:hAnsi="宋体" w:eastAsia="宋体" w:cs="宋体"/>
                <w:bCs/>
                <w:color w:val="auto"/>
                <w:sz w:val="24"/>
                <w:lang w:eastAsia="zh-CN"/>
              </w:rPr>
              <w:t>；</w:t>
            </w:r>
          </w:p>
          <w:p>
            <w:pPr>
              <w:spacing w:beforeLines="50" w:afterLines="50" w:line="360" w:lineRule="auto"/>
              <w:ind w:right="31" w:rightChars="15"/>
              <w:jc w:val="both"/>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超过采购预算的报价为无效响应。</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最高限价</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（实质性要求）</w:t>
            </w:r>
          </w:p>
        </w:tc>
        <w:tc>
          <w:tcPr>
            <w:tcW w:w="7125" w:type="dxa"/>
            <w:vAlign w:val="center"/>
          </w:tcPr>
          <w:p>
            <w:pPr>
              <w:spacing w:beforeLines="50" w:afterLines="50" w:line="360" w:lineRule="auto"/>
              <w:ind w:right="31" w:rightChars="15"/>
              <w:jc w:val="both"/>
              <w:rPr>
                <w:rFonts w:hint="eastAsia" w:ascii="宋体" w:hAnsi="宋体" w:eastAsia="宋体" w:cs="宋体"/>
                <w:bCs/>
                <w:color w:val="auto"/>
                <w:sz w:val="24"/>
                <w:lang w:eastAsia="zh-CN"/>
              </w:rPr>
            </w:pPr>
            <w:r>
              <w:rPr>
                <w:rFonts w:hint="eastAsia" w:ascii="宋体" w:hAnsi="宋体" w:eastAsia="宋体" w:cs="宋体"/>
                <w:color w:val="auto"/>
                <w:sz w:val="24"/>
              </w:rPr>
              <w:t>采购预算</w:t>
            </w:r>
            <w:r>
              <w:rPr>
                <w:rFonts w:hint="eastAsia" w:ascii="宋体" w:hAnsi="宋体" w:eastAsia="宋体" w:cs="宋体"/>
                <w:bCs/>
                <w:color w:val="auto"/>
                <w:sz w:val="24"/>
              </w:rPr>
              <w:t>：¥</w:t>
            </w:r>
            <w:r>
              <w:rPr>
                <w:rFonts w:hint="eastAsia" w:ascii="宋体" w:hAnsi="宋体" w:eastAsia="宋体" w:cs="宋体"/>
                <w:bCs/>
                <w:color w:val="auto"/>
                <w:sz w:val="24"/>
                <w:u w:val="single"/>
                <w:lang w:val="en-US" w:eastAsia="zh-CN"/>
              </w:rPr>
              <w:t>21</w:t>
            </w:r>
            <w:r>
              <w:rPr>
                <w:rFonts w:hint="eastAsia" w:ascii="宋体" w:hAnsi="宋体" w:eastAsia="宋体" w:cs="宋体"/>
                <w:bCs/>
                <w:color w:val="auto"/>
                <w:sz w:val="24"/>
              </w:rPr>
              <w:t>万元（大写：</w:t>
            </w:r>
            <w:r>
              <w:rPr>
                <w:rFonts w:hint="eastAsia" w:ascii="宋体" w:hAnsi="宋体" w:eastAsia="宋体" w:cs="宋体"/>
                <w:bCs/>
                <w:color w:val="auto"/>
                <w:sz w:val="24"/>
                <w:lang w:val="en-US" w:eastAsia="zh-CN"/>
              </w:rPr>
              <w:t>贰拾壹万元整</w:t>
            </w:r>
            <w:r>
              <w:rPr>
                <w:rFonts w:hint="eastAsia" w:ascii="宋体" w:hAnsi="宋体" w:eastAsia="宋体" w:cs="宋体"/>
                <w:bCs/>
                <w:color w:val="auto"/>
                <w:sz w:val="24"/>
              </w:rPr>
              <w:t>）</w:t>
            </w:r>
            <w:r>
              <w:rPr>
                <w:rFonts w:hint="eastAsia" w:ascii="宋体" w:hAnsi="宋体" w:eastAsia="宋体" w:cs="宋体"/>
                <w:bCs/>
                <w:color w:val="auto"/>
                <w:sz w:val="24"/>
                <w:lang w:eastAsia="zh-CN"/>
              </w:rPr>
              <w:t>；</w:t>
            </w:r>
          </w:p>
          <w:p>
            <w:pPr>
              <w:spacing w:beforeLines="50" w:afterLines="50" w:line="360" w:lineRule="auto"/>
              <w:ind w:right="31" w:rightChars="1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超过最高限价的报价为无效响应。</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是否属于专门面向 </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中小企业或者专门 </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面向小微企业的采 </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购项目</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（实质性要求）</w:t>
            </w:r>
          </w:p>
        </w:tc>
        <w:tc>
          <w:tcPr>
            <w:tcW w:w="7125" w:type="dxa"/>
            <w:vAlign w:val="center"/>
          </w:tcPr>
          <w:p>
            <w:pPr>
              <w:keepNext w:val="0"/>
              <w:keepLines w:val="0"/>
              <w:pageBreakBefore w:val="0"/>
              <w:kinsoku/>
              <w:wordWrap/>
              <w:overflowPunct/>
              <w:topLinePunct w:val="0"/>
              <w:autoSpaceDE/>
              <w:autoSpaceDN/>
              <w:bidi w:val="0"/>
              <w:adjustRightInd/>
              <w:snapToGrid/>
              <w:spacing w:line="360" w:lineRule="auto"/>
              <w:ind w:right="31" w:rightChars="15"/>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是否专门面向中小企业采购：是；</w:t>
            </w:r>
          </w:p>
          <w:p>
            <w:pPr>
              <w:pStyle w:val="12"/>
              <w:keepNext w:val="0"/>
              <w:keepLines w:val="0"/>
              <w:pageBreakBefore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标的名称：2022年彭州市文化馆物业管理项目</w:t>
            </w:r>
          </w:p>
          <w:p>
            <w:pPr>
              <w:pStyle w:val="12"/>
              <w:keepNext w:val="0"/>
              <w:keepLines w:val="0"/>
              <w:pageBreakBefore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所属行业：其他未列明行业（划分标准详见附件四）。</w:t>
            </w:r>
          </w:p>
          <w:p>
            <w:pPr>
              <w:pStyle w:val="11"/>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lang w:val="en-US" w:eastAsia="zh-CN"/>
              </w:rPr>
            </w:pPr>
            <w:r>
              <w:rPr>
                <w:rFonts w:hint="eastAsia" w:ascii="宋体" w:hAnsi="宋体" w:eastAsia="宋体" w:cs="宋体"/>
                <w:color w:val="auto"/>
                <w:kern w:val="2"/>
                <w:sz w:val="24"/>
                <w:szCs w:val="24"/>
                <w:highlight w:val="none"/>
                <w:lang w:val="en-US" w:eastAsia="zh-CN" w:bidi="ar-SA"/>
              </w:rPr>
              <w:t>注：</w:t>
            </w:r>
            <w:r>
              <w:rPr>
                <w:rFonts w:hint="eastAsia" w:ascii="宋体" w:hAnsi="宋体" w:eastAsia="宋体" w:cs="宋体"/>
                <w:color w:val="auto"/>
                <w:kern w:val="2"/>
                <w:sz w:val="24"/>
                <w:szCs w:val="24"/>
                <w:highlight w:val="none"/>
                <w:lang w:val="zh-CN" w:eastAsia="zh-CN" w:bidi="ar-SA"/>
              </w:rPr>
              <w:t>监狱企业、残疾人福利性单位视同小微企业。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本项目是否接受联合体磋商</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（实质性要求）</w:t>
            </w:r>
          </w:p>
        </w:tc>
        <w:tc>
          <w:tcPr>
            <w:tcW w:w="7125" w:type="dxa"/>
            <w:vAlign w:val="center"/>
          </w:tcPr>
          <w:p>
            <w:pPr>
              <w:pStyle w:val="40"/>
              <w:spacing w:beforeLines="50" w:afterLines="50" w:line="360" w:lineRule="auto"/>
              <w:ind w:left="9" w:leftChars="0"/>
              <w:jc w:val="left"/>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highlight w:val="none"/>
                <w:lang w:val="en-US" w:eastAsia="zh-CN"/>
              </w:rPr>
              <w:t>本项目不接受联合体磋商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进口产品</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zh-CN" w:eastAsia="zh-CN"/>
              </w:rPr>
              <w:t>（若涉及）</w:t>
            </w:r>
          </w:p>
        </w:tc>
        <w:tc>
          <w:tcPr>
            <w:tcW w:w="7125" w:type="dxa"/>
            <w:vAlign w:val="center"/>
          </w:tcPr>
          <w:p>
            <w:pPr>
              <w:pStyle w:val="40"/>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本项目竞争性磋商文件中未载明“允许采购进口产品”的产品，拒绝进口产品参与竞争，供应商以进口产品响应时，其响应文件按无效处理。载明“允许采购进口产品”的产品，不限制国产产品参与竞争。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6</w:t>
            </w:r>
          </w:p>
        </w:tc>
        <w:tc>
          <w:tcPr>
            <w:tcW w:w="2086" w:type="dxa"/>
            <w:vAlign w:val="center"/>
          </w:tcPr>
          <w:p>
            <w:pPr>
              <w:pStyle w:val="40"/>
              <w:spacing w:beforeLines="50" w:afterLines="50" w:line="360" w:lineRule="auto"/>
              <w:ind w:left="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低于成本价不正当</w:t>
            </w:r>
          </w:p>
          <w:p>
            <w:pPr>
              <w:pStyle w:val="40"/>
              <w:spacing w:beforeLines="50" w:afterLines="50" w:line="360" w:lineRule="auto"/>
              <w:ind w:left="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竞争预防措施</w:t>
            </w:r>
          </w:p>
          <w:p>
            <w:pPr>
              <w:pStyle w:val="40"/>
              <w:spacing w:beforeLines="50" w:afterLines="50" w:line="360" w:lineRule="auto"/>
              <w:ind w:left="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（实质性要求）</w:t>
            </w:r>
          </w:p>
        </w:tc>
        <w:tc>
          <w:tcPr>
            <w:tcW w:w="7125" w:type="dxa"/>
            <w:vAlign w:val="center"/>
          </w:tcPr>
          <w:p>
            <w:pPr>
              <w:pStyle w:val="40"/>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1.评标委员会认为供应商的报价明显低于其他通过资格性审查供应商的报价，有可能影响产品质量或者不能诚信履约的，应当要求其在评标现场合理的时间内提供书面说明，必要时提交相关证明材料；供应商不能证明其报价合理性的，评标委员会应当将其作为无效响应处理。供应商的书面说明材料应当按照国家财务会计制度的规定要求，逐项就供应商提供的货物、工程和服务的主营业务成本、税金及附加、销售费用、管理费用、财务费用等成本构成事项详细陈述。</w:t>
            </w:r>
          </w:p>
          <w:p>
            <w:pPr>
              <w:pStyle w:val="40"/>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2.供应商书面说明应当签字确认或者加盖公章，否则无效。书面说明的签字确认，由其法定代表人/主要负责人/本人或者其授权代表签字确认。 </w:t>
            </w:r>
          </w:p>
          <w:p>
            <w:pPr>
              <w:pStyle w:val="40"/>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3.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7</w:t>
            </w:r>
          </w:p>
        </w:tc>
        <w:tc>
          <w:tcPr>
            <w:tcW w:w="2086" w:type="dxa"/>
            <w:vAlign w:val="center"/>
          </w:tcPr>
          <w:p>
            <w:pPr>
              <w:pStyle w:val="40"/>
              <w:spacing w:beforeLines="50" w:afterLines="50" w:line="360" w:lineRule="auto"/>
              <w:ind w:left="38"/>
              <w:jc w:val="center"/>
              <w:rPr>
                <w:rFonts w:hint="eastAsia" w:ascii="宋体" w:hAnsi="宋体" w:eastAsia="宋体" w:cs="宋体"/>
                <w:color w:val="auto"/>
                <w:kern w:val="2"/>
                <w:sz w:val="24"/>
                <w:szCs w:val="24"/>
                <w:highlight w:val="none"/>
              </w:rPr>
            </w:pPr>
          </w:p>
          <w:p>
            <w:pPr>
              <w:pStyle w:val="40"/>
              <w:spacing w:beforeLines="50" w:afterLines="50" w:line="360" w:lineRule="auto"/>
              <w:ind w:left="38"/>
              <w:jc w:val="center"/>
              <w:rPr>
                <w:rFonts w:hint="eastAsia" w:ascii="宋体" w:hAnsi="宋体" w:eastAsia="宋体" w:cs="宋体"/>
                <w:color w:val="auto"/>
                <w:kern w:val="2"/>
                <w:sz w:val="24"/>
                <w:szCs w:val="24"/>
                <w:highlight w:val="none"/>
              </w:rPr>
            </w:pPr>
          </w:p>
          <w:p>
            <w:pPr>
              <w:pStyle w:val="40"/>
              <w:spacing w:beforeLines="50" w:afterLines="50" w:line="360" w:lineRule="auto"/>
              <w:ind w:left="38"/>
              <w:jc w:val="center"/>
              <w:rPr>
                <w:rFonts w:hint="eastAsia" w:ascii="宋体" w:hAnsi="宋体" w:eastAsia="宋体" w:cs="宋体"/>
                <w:color w:val="auto"/>
                <w:kern w:val="2"/>
                <w:sz w:val="24"/>
                <w:szCs w:val="24"/>
                <w:highlight w:val="none"/>
              </w:rPr>
            </w:pPr>
          </w:p>
          <w:p>
            <w:pPr>
              <w:pStyle w:val="40"/>
              <w:spacing w:beforeLines="50" w:afterLines="50" w:line="360" w:lineRule="auto"/>
              <w:ind w:left="38"/>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政府采购扶持政策</w:t>
            </w:r>
          </w:p>
          <w:p>
            <w:pPr>
              <w:pStyle w:val="40"/>
              <w:spacing w:beforeLines="50" w:afterLines="50" w:line="360" w:lineRule="auto"/>
              <w:ind w:left="38"/>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若</w:t>
            </w:r>
            <w:r>
              <w:rPr>
                <w:rFonts w:hint="eastAsia" w:ascii="宋体" w:hAnsi="宋体" w:eastAsia="宋体" w:cs="宋体"/>
                <w:color w:val="auto"/>
                <w:kern w:val="2"/>
                <w:sz w:val="24"/>
                <w:szCs w:val="24"/>
                <w:highlight w:val="none"/>
                <w:lang w:val="en-US" w:eastAsia="zh-CN"/>
              </w:rPr>
              <w:t>涉及</w:t>
            </w:r>
            <w:r>
              <w:rPr>
                <w:rFonts w:hint="eastAsia" w:ascii="宋体" w:hAnsi="宋体" w:eastAsia="宋体" w:cs="宋体"/>
                <w:color w:val="auto"/>
                <w:kern w:val="2"/>
                <w:sz w:val="24"/>
                <w:szCs w:val="24"/>
                <w:highlight w:val="none"/>
              </w:rPr>
              <w:t>)</w:t>
            </w:r>
          </w:p>
        </w:tc>
        <w:tc>
          <w:tcPr>
            <w:tcW w:w="7125" w:type="dxa"/>
            <w:vAlign w:val="center"/>
          </w:tcPr>
          <w:p>
            <w:pPr>
              <w:spacing w:line="360" w:lineRule="auto"/>
              <w:ind w:left="105" w:leftChars="50" w:right="105" w:rightChars="50"/>
              <w:rPr>
                <w:rFonts w:hint="eastAsia" w:ascii="宋体" w:hAnsi="宋体" w:eastAsia="宋体" w:cs="宋体"/>
                <w:color w:val="auto"/>
                <w:kern w:val="0"/>
                <w:sz w:val="24"/>
                <w:szCs w:val="24"/>
                <w:highlight w:val="none"/>
              </w:rPr>
            </w:pPr>
            <w:bookmarkStart w:id="18" w:name="PO_默认文件内容_5"/>
            <w:r>
              <w:rPr>
                <w:rFonts w:hint="eastAsia" w:ascii="宋体" w:hAnsi="宋体" w:eastAsia="宋体" w:cs="宋体"/>
                <w:color w:val="auto"/>
                <w:kern w:val="0"/>
                <w:sz w:val="24"/>
                <w:szCs w:val="24"/>
                <w:highlight w:val="none"/>
              </w:rPr>
              <w:t>一、节能、环保产品政府采购政策：</w:t>
            </w:r>
          </w:p>
          <w:p>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 发展改革委 生态环境部 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w:t>
            </w:r>
          </w:p>
          <w:p>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本项目采购的产品属于品目清单范围内强制采购的，供应商应按上述要求提供产品认证证书复印件并加盖供应商单位公章（鲜章），否则</w:t>
            </w:r>
            <w:r>
              <w:rPr>
                <w:rFonts w:hint="eastAsia" w:ascii="宋体" w:hAnsi="宋体" w:eastAsia="宋体" w:cs="宋体"/>
                <w:color w:val="auto"/>
                <w:kern w:val="0"/>
                <w:sz w:val="24"/>
                <w:szCs w:val="24"/>
                <w:highlight w:val="none"/>
                <w:lang w:eastAsia="zh-CN"/>
              </w:rPr>
              <w:t>响应</w:t>
            </w:r>
            <w:r>
              <w:rPr>
                <w:rFonts w:hint="eastAsia" w:ascii="宋体" w:hAnsi="宋体" w:eastAsia="宋体" w:cs="宋体"/>
                <w:color w:val="auto"/>
                <w:kern w:val="0"/>
                <w:sz w:val="24"/>
                <w:szCs w:val="24"/>
                <w:highlight w:val="none"/>
              </w:rPr>
              <w:t>无效。</w:t>
            </w:r>
          </w:p>
          <w:p>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本项目采购的产品属于品目清单范围内优先采购的，按照</w:t>
            </w:r>
            <w:r>
              <w:rPr>
                <w:rFonts w:hint="eastAsia" w:ascii="宋体" w:hAnsi="宋体" w:eastAsia="宋体" w:cs="宋体"/>
                <w:color w:val="auto"/>
                <w:kern w:val="0"/>
                <w:sz w:val="24"/>
                <w:szCs w:val="24"/>
                <w:highlight w:val="none"/>
                <w:lang w:eastAsia="zh-CN"/>
              </w:rPr>
              <w:t>相关</w:t>
            </w:r>
            <w:r>
              <w:rPr>
                <w:rFonts w:hint="eastAsia" w:ascii="宋体" w:hAnsi="宋体" w:eastAsia="宋体" w:cs="宋体"/>
                <w:color w:val="auto"/>
                <w:kern w:val="0"/>
                <w:sz w:val="24"/>
                <w:szCs w:val="24"/>
                <w:highlight w:val="none"/>
              </w:rPr>
              <w:t>规则进行加分。</w:t>
            </w:r>
          </w:p>
          <w:p>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pPr>
              <w:spacing w:line="360" w:lineRule="auto"/>
              <w:ind w:left="105" w:leftChars="50" w:right="105" w:rightChars="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二、无线局域网产品政府采购政策：</w:t>
            </w:r>
          </w:p>
          <w:p>
            <w:pPr>
              <w:pStyle w:val="40"/>
              <w:spacing w:beforeLines="50" w:afterLines="5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本项目采购的产品属于中国政府采购网公布的《无线局域网认证产品政府采购清单》的，将按照</w:t>
            </w:r>
            <w:r>
              <w:rPr>
                <w:rFonts w:hint="eastAsia" w:ascii="宋体" w:hAnsi="宋体" w:eastAsia="宋体" w:cs="宋体"/>
                <w:color w:val="auto"/>
                <w:kern w:val="0"/>
                <w:sz w:val="24"/>
                <w:szCs w:val="24"/>
                <w:highlight w:val="none"/>
                <w:lang w:eastAsia="zh-CN"/>
              </w:rPr>
              <w:t>相关</w:t>
            </w:r>
            <w:r>
              <w:rPr>
                <w:rFonts w:hint="eastAsia" w:ascii="宋体" w:hAnsi="宋体" w:eastAsia="宋体" w:cs="宋体"/>
                <w:color w:val="auto"/>
                <w:kern w:val="0"/>
                <w:sz w:val="24"/>
                <w:szCs w:val="24"/>
                <w:highlight w:val="none"/>
              </w:rPr>
              <w:t>规则进行加分。</w:t>
            </w:r>
            <w:bookmarkEnd w:id="18"/>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7"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8</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CCC强制认证</w:t>
            </w:r>
          </w:p>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eastAsia="zh-CN"/>
              </w:rPr>
              <w:t>若</w:t>
            </w:r>
            <w:r>
              <w:rPr>
                <w:rFonts w:hint="eastAsia" w:ascii="宋体" w:hAnsi="宋体" w:eastAsia="宋体" w:cs="宋体"/>
                <w:color w:val="auto"/>
                <w:kern w:val="2"/>
                <w:sz w:val="24"/>
                <w:szCs w:val="24"/>
                <w:highlight w:val="none"/>
                <w:lang w:val="en-US" w:eastAsia="zh-CN"/>
              </w:rPr>
              <w:t>涉及）</w:t>
            </w:r>
          </w:p>
        </w:tc>
        <w:tc>
          <w:tcPr>
            <w:tcW w:w="7125" w:type="dxa"/>
            <w:vAlign w:val="center"/>
          </w:tcPr>
          <w:p>
            <w:pPr>
              <w:pStyle w:val="40"/>
              <w:spacing w:beforeLines="50" w:afterLines="50" w:line="360" w:lineRule="auto"/>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若所投</w:t>
            </w:r>
            <w:r>
              <w:rPr>
                <w:rFonts w:hint="eastAsia" w:ascii="宋体" w:hAnsi="宋体" w:eastAsia="宋体" w:cs="宋体"/>
                <w:color w:val="auto"/>
                <w:kern w:val="0"/>
                <w:sz w:val="24"/>
                <w:szCs w:val="24"/>
                <w:highlight w:val="none"/>
              </w:rPr>
              <w:t>产品涉及3C认证产品的，在</w:t>
            </w:r>
            <w:r>
              <w:rPr>
                <w:rFonts w:hint="eastAsia" w:ascii="宋体" w:hAnsi="宋体" w:eastAsia="宋体" w:cs="宋体"/>
                <w:color w:val="auto"/>
                <w:kern w:val="0"/>
                <w:sz w:val="24"/>
                <w:szCs w:val="24"/>
                <w:highlight w:val="none"/>
                <w:lang w:eastAsia="zh-CN"/>
              </w:rPr>
              <w:t>响应</w:t>
            </w:r>
            <w:r>
              <w:rPr>
                <w:rFonts w:hint="eastAsia" w:ascii="宋体" w:hAnsi="宋体" w:eastAsia="宋体" w:cs="宋体"/>
                <w:color w:val="auto"/>
                <w:kern w:val="0"/>
                <w:sz w:val="24"/>
                <w:szCs w:val="24"/>
                <w:highlight w:val="none"/>
              </w:rPr>
              <w:t>文件中可不提供3</w:t>
            </w:r>
            <w:r>
              <w:rPr>
                <w:rFonts w:hint="eastAsia" w:ascii="宋体" w:hAnsi="宋体" w:eastAsia="宋体" w:cs="宋体"/>
                <w:color w:val="auto"/>
                <w:kern w:val="0"/>
                <w:sz w:val="24"/>
                <w:szCs w:val="24"/>
                <w:highlight w:val="none"/>
                <w:lang w:val="en-US" w:eastAsia="zh-CN"/>
              </w:rPr>
              <w:t>C</w:t>
            </w:r>
            <w:r>
              <w:rPr>
                <w:rFonts w:hint="eastAsia" w:ascii="宋体" w:hAnsi="宋体" w:eastAsia="宋体" w:cs="宋体"/>
                <w:color w:val="auto"/>
                <w:kern w:val="0"/>
                <w:sz w:val="24"/>
                <w:szCs w:val="24"/>
                <w:highlight w:val="none"/>
              </w:rPr>
              <w:t>认证证书(</w:t>
            </w:r>
            <w:r>
              <w:rPr>
                <w:rFonts w:hint="eastAsia" w:ascii="宋体" w:hAnsi="宋体" w:eastAsia="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文件另有要求的除外)，可提供承诺函</w:t>
            </w:r>
            <w:r>
              <w:rPr>
                <w:rFonts w:hint="eastAsia" w:ascii="宋体" w:hAnsi="宋体" w:eastAsia="宋体" w:cs="宋体"/>
                <w:color w:val="auto"/>
                <w:kern w:val="0"/>
                <w:sz w:val="24"/>
                <w:szCs w:val="24"/>
                <w:highlight w:val="none"/>
                <w:lang w:eastAsia="zh-CN"/>
              </w:rPr>
              <w:t>（格式自拟）</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应当在签订采购合同前提供</w:t>
            </w:r>
            <w:r>
              <w:rPr>
                <w:rFonts w:hint="eastAsia" w:ascii="宋体" w:hAnsi="宋体" w:eastAsia="宋体" w:cs="宋体"/>
                <w:color w:val="auto"/>
                <w:kern w:val="0"/>
                <w:sz w:val="24"/>
                <w:szCs w:val="24"/>
                <w:highlight w:val="none"/>
                <w:lang w:eastAsia="zh-CN"/>
              </w:rPr>
              <w:t>至</w:t>
            </w:r>
            <w:r>
              <w:rPr>
                <w:rFonts w:hint="eastAsia" w:ascii="宋体" w:hAnsi="宋体" w:eastAsia="宋体" w:cs="宋体"/>
                <w:color w:val="auto"/>
                <w:kern w:val="0"/>
                <w:sz w:val="24"/>
                <w:szCs w:val="24"/>
                <w:highlight w:val="none"/>
              </w:rPr>
              <w:t>采购人，未提供或不能提供的视为</w:t>
            </w:r>
            <w:r>
              <w:rPr>
                <w:rFonts w:hint="eastAsia" w:ascii="宋体" w:hAnsi="宋体" w:eastAsia="宋体" w:cs="宋体"/>
                <w:color w:val="auto"/>
                <w:kern w:val="0"/>
                <w:sz w:val="24"/>
                <w:szCs w:val="24"/>
                <w:highlight w:val="none"/>
                <w:lang w:eastAsia="zh-CN"/>
              </w:rPr>
              <w:t>虚假</w:t>
            </w:r>
            <w:r>
              <w:rPr>
                <w:rFonts w:hint="eastAsia" w:ascii="宋体" w:hAnsi="宋体" w:eastAsia="宋体" w:cs="宋体"/>
                <w:color w:val="auto"/>
                <w:kern w:val="0"/>
                <w:sz w:val="24"/>
                <w:szCs w:val="24"/>
                <w:highlight w:val="none"/>
              </w:rPr>
              <w:t>响应</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采购人将另行确定成交人或</w:t>
            </w:r>
            <w:r>
              <w:rPr>
                <w:rFonts w:hint="eastAsia" w:ascii="宋体" w:hAnsi="宋体" w:eastAsia="宋体" w:cs="宋体"/>
                <w:color w:val="auto"/>
                <w:kern w:val="0"/>
                <w:sz w:val="24"/>
                <w:szCs w:val="24"/>
                <w:highlight w:val="none"/>
                <w:lang w:eastAsia="zh-CN"/>
              </w:rPr>
              <w:t>重新组织磋商。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rPr>
              <w:t>9</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zh-CN"/>
              </w:rPr>
            </w:pPr>
          </w:p>
          <w:p>
            <w:pPr>
              <w:pStyle w:val="40"/>
              <w:spacing w:beforeLines="50" w:afterLines="50" w:line="360" w:lineRule="auto"/>
              <w:ind w:left="9"/>
              <w:jc w:val="center"/>
              <w:rPr>
                <w:rFonts w:hint="eastAsia" w:ascii="宋体" w:hAnsi="宋体" w:eastAsia="宋体" w:cs="宋体"/>
                <w:color w:val="auto"/>
                <w:kern w:val="2"/>
                <w:sz w:val="24"/>
                <w:szCs w:val="24"/>
                <w:highlight w:val="none"/>
                <w:lang w:val="zh-CN"/>
              </w:rPr>
            </w:pPr>
          </w:p>
          <w:p>
            <w:pPr>
              <w:pStyle w:val="40"/>
              <w:spacing w:beforeLines="50" w:afterLines="50" w:line="360" w:lineRule="auto"/>
              <w:ind w:left="9"/>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失信企业报价加成</w:t>
            </w:r>
          </w:p>
          <w:p>
            <w:pPr>
              <w:pStyle w:val="40"/>
              <w:spacing w:beforeLines="50" w:afterLines="50" w:line="360" w:lineRule="auto"/>
              <w:ind w:left="9"/>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或者扣分</w:t>
            </w:r>
          </w:p>
          <w:p>
            <w:pPr>
              <w:pStyle w:val="40"/>
              <w:spacing w:beforeLines="50" w:afterLines="50" w:line="360" w:lineRule="auto"/>
              <w:ind w:left="9"/>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（若涉及）</w:t>
            </w:r>
          </w:p>
          <w:p>
            <w:pPr>
              <w:pStyle w:val="40"/>
              <w:spacing w:beforeLines="50" w:afterLines="50" w:line="360" w:lineRule="auto"/>
              <w:ind w:left="9"/>
              <w:jc w:val="center"/>
              <w:rPr>
                <w:rFonts w:hint="eastAsia" w:ascii="宋体" w:hAnsi="宋体" w:eastAsia="宋体" w:cs="宋体"/>
                <w:color w:val="auto"/>
                <w:kern w:val="2"/>
                <w:sz w:val="24"/>
                <w:szCs w:val="24"/>
                <w:highlight w:val="none"/>
              </w:rPr>
            </w:pPr>
          </w:p>
        </w:tc>
        <w:tc>
          <w:tcPr>
            <w:tcW w:w="7125" w:type="dxa"/>
            <w:vAlign w:val="center"/>
          </w:tcPr>
          <w:p>
            <w:pPr>
              <w:pStyle w:val="40"/>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失信企业报价加成或者扣分</w:t>
            </w:r>
          </w:p>
          <w:p>
            <w:pPr>
              <w:pStyle w:val="40"/>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1.对记入诚信档案且未在有效期内的失信供应商，参加政府采购活动按照</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zh-CN"/>
              </w:rPr>
              <w:t>%的报价加成，以加成后报价作为该供应商报价参与评审。供应商失信行为惩戒实行无限制累加制，因其失信行为进行报价加成惩戒后报价超过政府采购预算的，其响应文件按照无效处理。</w:t>
            </w:r>
          </w:p>
          <w:p>
            <w:pPr>
              <w:pStyle w:val="40"/>
              <w:spacing w:beforeLines="50" w:afterLines="50" w:line="360" w:lineRule="auto"/>
              <w:ind w:firstLine="480" w:firstLineChars="2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2.供应商参加政府采购活动时，应当就自己的诚信情况在响应文件中进行承诺。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5"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10</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磋商情况公告</w:t>
            </w:r>
          </w:p>
        </w:tc>
        <w:tc>
          <w:tcPr>
            <w:tcW w:w="7125" w:type="dxa"/>
            <w:vAlign w:val="center"/>
          </w:tcPr>
          <w:p>
            <w:pPr>
              <w:widowControl/>
              <w:spacing w:beforeLines="50" w:after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供应商资格审查情况、磋商情况、报价情况、磋商结果等在</w:t>
            </w:r>
            <w:r>
              <w:rPr>
                <w:rFonts w:hint="eastAsia" w:ascii="宋体" w:hAnsi="宋体" w:eastAsia="宋体" w:cs="宋体"/>
                <w:color w:val="auto"/>
                <w:sz w:val="24"/>
                <w:highlight w:val="none"/>
                <w:lang w:eastAsia="zh-CN"/>
              </w:rPr>
              <w:t>中国</w:t>
            </w:r>
            <w:r>
              <w:rPr>
                <w:rFonts w:hint="eastAsia" w:ascii="宋体" w:hAnsi="宋体" w:eastAsia="宋体" w:cs="宋体"/>
                <w:color w:val="auto"/>
                <w:sz w:val="24"/>
                <w:szCs w:val="24"/>
                <w:highlight w:val="none"/>
                <w:lang w:val="zh-CN"/>
              </w:rPr>
              <w:t>政府采购网上采购结果公告栏中予以公告。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11</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磋商</w:t>
            </w:r>
            <w:r>
              <w:rPr>
                <w:rFonts w:hint="eastAsia" w:ascii="宋体" w:hAnsi="宋体" w:eastAsia="宋体" w:cs="宋体"/>
                <w:color w:val="auto"/>
                <w:kern w:val="2"/>
                <w:sz w:val="24"/>
                <w:szCs w:val="24"/>
                <w:highlight w:val="none"/>
                <w:lang w:val="zh-CN" w:eastAsia="zh-CN"/>
              </w:rPr>
              <w:t>保证金</w:t>
            </w:r>
          </w:p>
        </w:tc>
        <w:tc>
          <w:tcPr>
            <w:tcW w:w="7125" w:type="dxa"/>
            <w:vAlign w:val="center"/>
          </w:tcPr>
          <w:p>
            <w:pPr>
              <w:pStyle w:val="40"/>
              <w:spacing w:line="360" w:lineRule="auto"/>
              <w:jc w:val="left"/>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本项目不交纳磋商保证金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12</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履约保证金</w:t>
            </w:r>
          </w:p>
        </w:tc>
        <w:tc>
          <w:tcPr>
            <w:tcW w:w="7125" w:type="dxa"/>
            <w:vAlign w:val="center"/>
          </w:tcPr>
          <w:p>
            <w:pPr>
              <w:pStyle w:val="40"/>
              <w:spacing w:line="360" w:lineRule="auto"/>
              <w:jc w:val="left"/>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rPr>
              <w:t>本项目不交纳履约保证金。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13</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磋商文件咨询</w:t>
            </w:r>
          </w:p>
        </w:tc>
        <w:tc>
          <w:tcPr>
            <w:tcW w:w="7125" w:type="dxa"/>
          </w:tcPr>
          <w:p>
            <w:pPr>
              <w:pStyle w:val="40"/>
              <w:spacing w:beforeLines="50" w:after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lang w:val="zh-CN"/>
              </w:rPr>
              <w:t xml:space="preserve">联系人：胡先生 </w:t>
            </w:r>
            <w:r>
              <w:rPr>
                <w:rFonts w:hint="eastAsia" w:ascii="宋体" w:hAnsi="宋体" w:eastAsia="宋体" w:cs="宋体"/>
                <w:color w:val="auto"/>
              </w:rPr>
              <w:t xml:space="preserve">               </w:t>
            </w:r>
            <w:r>
              <w:rPr>
                <w:rFonts w:hint="eastAsia" w:ascii="宋体" w:hAnsi="宋体" w:eastAsia="宋体" w:cs="宋体"/>
                <w:color w:val="auto"/>
                <w:lang w:val="zh-CN"/>
              </w:rPr>
              <w:t>联系电话：</w:t>
            </w:r>
            <w:r>
              <w:rPr>
                <w:rFonts w:hint="eastAsia" w:ascii="宋体" w:hAnsi="宋体" w:eastAsia="宋体" w:cs="宋体"/>
                <w:color w:val="auto"/>
              </w:rPr>
              <w:t>13880976971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14</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磋商过程、结果工作咨询</w:t>
            </w:r>
          </w:p>
        </w:tc>
        <w:tc>
          <w:tcPr>
            <w:tcW w:w="7125" w:type="dxa"/>
            <w:vAlign w:val="center"/>
          </w:tcPr>
          <w:p>
            <w:pPr>
              <w:pStyle w:val="40"/>
              <w:spacing w:beforeLines="50" w:afterLines="50" w:line="360" w:lineRule="auto"/>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lang w:val="zh-CN"/>
              </w:rPr>
              <w:t xml:space="preserve">联系人：胡先生 </w:t>
            </w:r>
            <w:r>
              <w:rPr>
                <w:rFonts w:hint="eastAsia" w:ascii="宋体" w:hAnsi="宋体" w:eastAsia="宋体" w:cs="宋体"/>
                <w:color w:val="auto"/>
              </w:rPr>
              <w:t xml:space="preserve">               </w:t>
            </w:r>
            <w:r>
              <w:rPr>
                <w:rFonts w:hint="eastAsia" w:ascii="宋体" w:hAnsi="宋体" w:eastAsia="宋体" w:cs="宋体"/>
                <w:color w:val="auto"/>
                <w:lang w:val="zh-CN"/>
              </w:rPr>
              <w:t>联系电话：</w:t>
            </w:r>
            <w:r>
              <w:rPr>
                <w:rFonts w:hint="eastAsia" w:ascii="宋体" w:hAnsi="宋体" w:eastAsia="宋体" w:cs="宋体"/>
                <w:color w:val="auto"/>
              </w:rPr>
              <w:t>13880976971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15</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p>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供应商询问</w:t>
            </w:r>
          </w:p>
        </w:tc>
        <w:tc>
          <w:tcPr>
            <w:tcW w:w="7125" w:type="dxa"/>
          </w:tcPr>
          <w:p>
            <w:pPr>
              <w:tabs>
                <w:tab w:val="left" w:pos="7665"/>
              </w:tabs>
              <w:snapToGrid w:val="0"/>
              <w:spacing w:beforeLines="50" w:after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联系人：胡先生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联系电话：</w:t>
            </w:r>
            <w:r>
              <w:rPr>
                <w:rFonts w:hint="eastAsia" w:ascii="宋体" w:hAnsi="宋体" w:eastAsia="宋体" w:cs="宋体"/>
                <w:color w:val="auto"/>
                <w:sz w:val="24"/>
                <w:szCs w:val="24"/>
                <w:highlight w:val="none"/>
                <w:lang w:eastAsia="zh-CN"/>
              </w:rPr>
              <w:t>13880976971</w:t>
            </w:r>
          </w:p>
          <w:p>
            <w:pPr>
              <w:tabs>
                <w:tab w:val="left" w:pos="7665"/>
              </w:tabs>
              <w:snapToGrid w:val="0"/>
              <w:spacing w:beforeLines="50" w:after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彭州市天彭街道新康西路167号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16</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供应商质疑</w:t>
            </w:r>
          </w:p>
        </w:tc>
        <w:tc>
          <w:tcPr>
            <w:tcW w:w="7125" w:type="dxa"/>
            <w:vAlign w:val="center"/>
          </w:tcPr>
          <w:p>
            <w:pPr>
              <w:tabs>
                <w:tab w:val="left" w:pos="7665"/>
              </w:tabs>
              <w:snapToGrid w:val="0"/>
              <w:spacing w:beforeLines="50" w:afterLines="50"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zh-CN" w:eastAsia="zh-CN" w:bidi="ar-SA"/>
              </w:rPr>
              <w:t xml:space="preserve">联系人：胡先生 </w:t>
            </w:r>
            <w:r>
              <w:rPr>
                <w:rFonts w:hint="eastAsia" w:ascii="宋体" w:hAnsi="宋体" w:eastAsia="宋体" w:cs="宋体"/>
                <w:color w:val="auto"/>
                <w:kern w:val="0"/>
                <w:sz w:val="24"/>
                <w:szCs w:val="24"/>
                <w:lang w:val="en-US" w:eastAsia="zh-CN" w:bidi="ar-SA"/>
              </w:rPr>
              <w:t xml:space="preserve">               </w:t>
            </w:r>
            <w:r>
              <w:rPr>
                <w:rFonts w:hint="eastAsia" w:ascii="宋体" w:hAnsi="宋体" w:eastAsia="宋体" w:cs="宋体"/>
                <w:color w:val="auto"/>
                <w:kern w:val="0"/>
                <w:sz w:val="24"/>
                <w:szCs w:val="24"/>
                <w:lang w:val="zh-CN" w:eastAsia="zh-CN" w:bidi="ar-SA"/>
              </w:rPr>
              <w:t>联系电话：</w:t>
            </w:r>
            <w:r>
              <w:rPr>
                <w:rFonts w:hint="eastAsia" w:ascii="宋体" w:hAnsi="宋体" w:eastAsia="宋体" w:cs="宋体"/>
                <w:color w:val="auto"/>
                <w:kern w:val="0"/>
                <w:sz w:val="24"/>
                <w:szCs w:val="24"/>
                <w:lang w:val="en-US" w:eastAsia="zh-CN" w:bidi="ar-SA"/>
              </w:rPr>
              <w:t>13880976971</w:t>
            </w:r>
          </w:p>
          <w:p>
            <w:pPr>
              <w:tabs>
                <w:tab w:val="left" w:pos="7665"/>
              </w:tabs>
              <w:snapToGrid w:val="0"/>
              <w:spacing w:beforeLines="50" w:afterLines="50"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地址：彭州市天彭街道新康西路167号</w:t>
            </w:r>
          </w:p>
          <w:p>
            <w:pPr>
              <w:tabs>
                <w:tab w:val="left" w:pos="7665"/>
              </w:tabs>
              <w:snapToGrid w:val="0"/>
              <w:spacing w:beforeLines="50" w:afterLines="50"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注：根据《中华人民共和国政府采购法》的规定，供应商质疑不得超出采购文件、采购过程、采购结果的范围。</w:t>
            </w:r>
            <w:r>
              <w:rPr>
                <w:rFonts w:hint="eastAsia" w:ascii="宋体" w:hAnsi="宋体" w:eastAsia="宋体" w:cs="宋体"/>
                <w:color w:val="auto"/>
                <w:kern w:val="0"/>
                <w:sz w:val="24"/>
                <w:szCs w:val="24"/>
                <w:lang w:val="zh-CN" w:eastAsia="zh-CN" w:bidi="ar-SA"/>
              </w:rPr>
              <w:t>供应商针对同一采购程序环节的质疑应在法定质疑期内一次性提出。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17</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代理服务费</w:t>
            </w:r>
          </w:p>
        </w:tc>
        <w:tc>
          <w:tcPr>
            <w:tcW w:w="7125" w:type="dxa"/>
          </w:tcPr>
          <w:p>
            <w:pPr>
              <w:pStyle w:val="40"/>
              <w:spacing w:beforeLines="50" w:afterLines="50" w:line="360" w:lineRule="auto"/>
              <w:ind w:right="264"/>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1、本次招标代理服务费定额收取人民币5000.00元，由成交供应商在领取成交通知书前一次性支付。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01"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w:t>
            </w:r>
          </w:p>
        </w:tc>
        <w:tc>
          <w:tcPr>
            <w:tcW w:w="2086" w:type="dxa"/>
            <w:vAlign w:val="center"/>
          </w:tcPr>
          <w:p>
            <w:pPr>
              <w:pStyle w:val="40"/>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领取成交通知书</w:t>
            </w:r>
          </w:p>
        </w:tc>
        <w:tc>
          <w:tcPr>
            <w:tcW w:w="7125" w:type="dxa"/>
          </w:tcPr>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间：成交公告发出后的2个工作日内</w:t>
            </w:r>
          </w:p>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彭州市天彭街道新康西路167号</w:t>
            </w:r>
          </w:p>
          <w:p>
            <w:pPr>
              <w:spacing w:beforeLines="50" w:after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联系人：胡先生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联系电话：</w:t>
            </w:r>
            <w:r>
              <w:rPr>
                <w:rFonts w:hint="eastAsia" w:ascii="宋体" w:hAnsi="宋体" w:eastAsia="宋体" w:cs="宋体"/>
                <w:color w:val="auto"/>
                <w:sz w:val="24"/>
                <w:szCs w:val="24"/>
                <w:highlight w:val="none"/>
                <w:lang w:eastAsia="zh-CN"/>
              </w:rPr>
              <w:t>13880976971</w:t>
            </w:r>
          </w:p>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领取成交通知书时，供应商</w:t>
            </w:r>
            <w:r>
              <w:rPr>
                <w:rFonts w:hint="eastAsia" w:ascii="宋体" w:hAnsi="宋体" w:eastAsia="宋体" w:cs="宋体"/>
                <w:b/>
                <w:bCs/>
                <w:color w:val="auto"/>
                <w:sz w:val="24"/>
                <w:szCs w:val="24"/>
                <w:highlight w:val="none"/>
              </w:rPr>
              <w:t>需提供</w:t>
            </w:r>
            <w:r>
              <w:rPr>
                <w:rFonts w:hint="eastAsia" w:ascii="宋体" w:hAnsi="宋体" w:eastAsia="宋体" w:cs="宋体"/>
                <w:b/>
                <w:bCs/>
                <w:color w:val="auto"/>
                <w:sz w:val="24"/>
                <w:szCs w:val="24"/>
                <w:highlight w:val="none"/>
                <w:lang w:eastAsia="zh-CN"/>
              </w:rPr>
              <w:t>代理费缴纳凭证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单位介绍信</w:t>
            </w:r>
            <w:r>
              <w:rPr>
                <w:rFonts w:hint="eastAsia" w:ascii="宋体" w:hAnsi="宋体" w:eastAsia="宋体" w:cs="宋体"/>
                <w:color w:val="auto"/>
                <w:sz w:val="24"/>
                <w:szCs w:val="24"/>
                <w:highlight w:val="none"/>
                <w:lang w:eastAsia="zh-CN"/>
              </w:rPr>
              <w:t>（详见附件二）</w:t>
            </w:r>
            <w:r>
              <w:rPr>
                <w:rFonts w:hint="eastAsia" w:ascii="宋体" w:hAnsi="宋体" w:eastAsia="宋体" w:cs="宋体"/>
                <w:color w:val="auto"/>
                <w:sz w:val="24"/>
                <w:szCs w:val="24"/>
                <w:highlight w:val="none"/>
              </w:rPr>
              <w:t>、经办人身份证</w:t>
            </w:r>
            <w:r>
              <w:rPr>
                <w:rFonts w:hint="eastAsia" w:ascii="宋体" w:hAnsi="宋体" w:eastAsia="宋体" w:cs="宋体"/>
                <w:color w:val="auto"/>
                <w:sz w:val="24"/>
                <w:szCs w:val="24"/>
                <w:highlight w:val="none"/>
                <w:lang w:eastAsia="zh-CN"/>
              </w:rPr>
              <w:t>复印件</w:t>
            </w:r>
            <w:r>
              <w:rPr>
                <w:rFonts w:hint="eastAsia" w:ascii="宋体" w:hAnsi="宋体" w:eastAsia="宋体" w:cs="宋体"/>
                <w:color w:val="auto"/>
                <w:sz w:val="24"/>
                <w:szCs w:val="24"/>
                <w:highlight w:val="none"/>
              </w:rPr>
              <w:t>（须加盖公司鲜章）</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19</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信用融资</w:t>
            </w:r>
          </w:p>
        </w:tc>
        <w:tc>
          <w:tcPr>
            <w:tcW w:w="7125" w:type="dxa"/>
            <w:vAlign w:val="top"/>
          </w:tcPr>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本项目支持“政采贷”。根据《四川省财政厅关于推进四川省政府</w:t>
            </w:r>
          </w:p>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采购供应商信用融资工作的通知》（川财采〔2018〕123 号），供应</w:t>
            </w:r>
          </w:p>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商无需提供财产抵押或第三方担保，凭借政府采购合同向融资机构</w:t>
            </w:r>
          </w:p>
          <w:p>
            <w:pPr>
              <w:spacing w:beforeLines="50" w:afterLines="50"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rPr>
              <w:t>申请融资，融资机构根据其授信政策为供应商提供信用贷款。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20</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kern w:val="2"/>
                <w:sz w:val="24"/>
                <w:szCs w:val="24"/>
                <w:highlight w:val="none"/>
                <w:lang w:val="en-US" w:eastAsia="zh-CN"/>
              </w:rPr>
              <w:t>政采贷</w:t>
            </w:r>
          </w:p>
        </w:tc>
        <w:tc>
          <w:tcPr>
            <w:tcW w:w="7125" w:type="dxa"/>
            <w:vAlign w:val="top"/>
          </w:tcPr>
          <w:p>
            <w:pPr>
              <w:spacing w:beforeLines="50" w:afterLines="50" w:line="360" w:lineRule="auto"/>
              <w:rPr>
                <w:rFonts w:hint="eastAsia" w:ascii="宋体" w:hAnsi="宋体" w:eastAsia="宋体" w:cs="宋体"/>
                <w:b/>
                <w:bCs/>
                <w:color w:val="auto"/>
                <w:kern w:val="2"/>
                <w:sz w:val="24"/>
                <w:szCs w:val="24"/>
                <w:lang w:val="en-US" w:eastAsia="zh-CN" w:bidi="ar-SA"/>
              </w:rPr>
            </w:pPr>
            <w:r>
              <w:rPr>
                <w:rFonts w:hint="eastAsia" w:ascii="宋体" w:hAnsi="宋体" w:eastAsia="宋体" w:cs="宋体"/>
                <w:color w:val="auto"/>
                <w:sz w:val="24"/>
                <w:szCs w:val="24"/>
                <w:highlight w:val="none"/>
              </w:rPr>
              <w:t>1.政府采购供应商信用融资，是指银行以政府采购供应商信用审查和政府采购信誉为基础，依托政府采购合 同，按优于一般企业的贷款程序和利率，直接向申请贷 款的供应商发放无财产抵押贷款的一种融资模式。 2.根据《四川省财政厅关于推进四川省政府采购供应 商信用融资工作的通知》（川财采〔2018〕123 号）等有关文件规定，有融资需求的中小企业可根据四川政府采购网公示的银行及其“政采 贷”产品，自行选择符合自身情况的“政采贷”银行及 其产品，凭中标(成交)通知书向银行提出贷款意向申请</w:t>
            </w:r>
            <w:r>
              <w:rPr>
                <w:rFonts w:hint="eastAsia" w:ascii="宋体" w:hAnsi="宋体" w:eastAsia="宋体" w:cs="宋体"/>
                <w:color w:val="auto"/>
                <w:sz w:val="24"/>
                <w:szCs w:val="24"/>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5"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支持脱贫攻坚</w:t>
            </w:r>
          </w:p>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（若涉及）</w:t>
            </w:r>
          </w:p>
        </w:tc>
        <w:tc>
          <w:tcPr>
            <w:tcW w:w="7125" w:type="dxa"/>
            <w:vAlign w:val="top"/>
          </w:tcPr>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财库〔2019〕27号，优先采购贫困地区农副产品、优先采购聘用建档立卡贫困人员物业公司提供的物业服务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特别提醒</w:t>
            </w:r>
          </w:p>
        </w:tc>
        <w:tc>
          <w:tcPr>
            <w:tcW w:w="7125" w:type="dxa"/>
            <w:vAlign w:val="center"/>
          </w:tcPr>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供应商必须按照磋商文件据实填写，不得虚假应答，凡经查实，将取消其成交资格，并上报财政部门，处以采购金额5‰以上10‰以下的罚款，列入不良行为记录名单，在1-3年内禁止参加政府采购活动。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23</w:t>
            </w:r>
          </w:p>
        </w:tc>
        <w:tc>
          <w:tcPr>
            <w:tcW w:w="2086" w:type="dxa"/>
            <w:vAlign w:val="center"/>
          </w:tcPr>
          <w:p>
            <w:pPr>
              <w:pStyle w:val="40"/>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备注</w:t>
            </w:r>
          </w:p>
        </w:tc>
        <w:tc>
          <w:tcPr>
            <w:tcW w:w="7125" w:type="dxa"/>
            <w:vAlign w:val="center"/>
          </w:tcPr>
          <w:p>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若磋商文件中其他内容与须知附表内容不一致的，以须知附表为准。</w:t>
            </w:r>
          </w:p>
        </w:tc>
      </w:tr>
    </w:tbl>
    <w:p>
      <w:pPr>
        <w:pStyle w:val="4"/>
        <w:snapToGrid w:val="0"/>
        <w:spacing w:line="360" w:lineRule="auto"/>
        <w:jc w:val="center"/>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r>
      <w:bookmarkStart w:id="19" w:name="_Toc10726"/>
      <w:bookmarkStart w:id="20" w:name="_Toc31873"/>
      <w:r>
        <w:rPr>
          <w:rFonts w:hint="eastAsia" w:ascii="宋体" w:hAnsi="宋体" w:eastAsia="宋体" w:cs="宋体"/>
          <w:bCs w:val="0"/>
          <w:color w:val="auto"/>
          <w:highlight w:val="none"/>
        </w:rPr>
        <w:t>二 、总  则</w:t>
      </w:r>
      <w:bookmarkEnd w:id="19"/>
      <w:bookmarkEnd w:id="20"/>
    </w:p>
    <w:p>
      <w:pPr>
        <w:pStyle w:val="5"/>
        <w:snapToGrid w:val="0"/>
        <w:spacing w:line="360" w:lineRule="auto"/>
        <w:ind w:firstLine="482" w:firstLineChars="200"/>
        <w:rPr>
          <w:rFonts w:hint="eastAsia" w:ascii="宋体" w:hAnsi="宋体" w:eastAsia="宋体" w:cs="宋体"/>
          <w:color w:val="auto"/>
          <w:sz w:val="24"/>
          <w:highlight w:val="none"/>
        </w:rPr>
      </w:pPr>
      <w:bookmarkStart w:id="21" w:name="_Toc9475"/>
      <w:r>
        <w:rPr>
          <w:rFonts w:hint="eastAsia" w:ascii="宋体" w:hAnsi="宋体" w:eastAsia="宋体" w:cs="宋体"/>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适用范围</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本磋商文件仅适用于本次竞争性磋商采购项目。</w:t>
      </w:r>
    </w:p>
    <w:p>
      <w:pPr>
        <w:pStyle w:val="12"/>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本磋商文件的解释权归采购人和采购代理机构所有。</w:t>
      </w:r>
    </w:p>
    <w:p>
      <w:pPr>
        <w:pStyle w:val="5"/>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有关</w:t>
      </w:r>
      <w:r>
        <w:rPr>
          <w:rFonts w:hint="eastAsia" w:ascii="宋体" w:hAnsi="宋体" w:eastAsia="宋体" w:cs="宋体"/>
          <w:color w:val="auto"/>
          <w:sz w:val="24"/>
          <w:szCs w:val="24"/>
          <w:highlight w:val="none"/>
        </w:rPr>
        <w:t>定义</w:t>
      </w:r>
      <w:bookmarkEnd w:id="21"/>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“采购人”系指依法进行政府采购的国家机关、事业单位、团体组织。本次竞争性磋商项目的采购人是</w:t>
      </w:r>
      <w:r>
        <w:rPr>
          <w:rFonts w:hint="eastAsia" w:ascii="宋体" w:hAnsi="宋体" w:eastAsia="宋体" w:cs="宋体"/>
          <w:b/>
          <w:color w:val="auto"/>
          <w:sz w:val="24"/>
          <w:highlight w:val="none"/>
          <w:u w:val="single" w:color="auto"/>
          <w:lang w:eastAsia="zh-CN"/>
        </w:rPr>
        <w:t>彭州市文化馆</w:t>
      </w:r>
      <w:r>
        <w:rPr>
          <w:rFonts w:hint="eastAsia" w:ascii="宋体" w:hAnsi="宋体" w:eastAsia="宋体" w:cs="宋体"/>
          <w:color w:val="auto"/>
          <w:sz w:val="24"/>
          <w:highlight w:val="none"/>
        </w:rPr>
        <w:t>。</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“采购代理机构” 系指根据采购人的委托依法办理竞争性磋商事宜的采购机构。本次竞争性磋商的采购代理机构是</w:t>
      </w:r>
      <w:r>
        <w:rPr>
          <w:rFonts w:hint="eastAsia" w:ascii="宋体" w:hAnsi="宋体" w:eastAsia="宋体" w:cs="宋体"/>
          <w:b/>
          <w:bCs/>
          <w:color w:val="auto"/>
          <w:sz w:val="24"/>
          <w:highlight w:val="none"/>
          <w:u w:val="single"/>
        </w:rPr>
        <w:t>四川中科远洋工程项目管理有限公司</w:t>
      </w:r>
      <w:r>
        <w:rPr>
          <w:rFonts w:hint="eastAsia" w:ascii="宋体" w:hAnsi="宋体" w:eastAsia="宋体" w:cs="宋体"/>
          <w:color w:val="auto"/>
          <w:sz w:val="24"/>
          <w:highlight w:val="none"/>
        </w:rPr>
        <w:t>。</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“竞争性磋商采购单位”系指“采购人”和“采购代理机构”的统称。</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 “供应商”系指购买了磋商文件拟参加磋商和向采购人提供相应工程和服务的供应商。</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 本磋商文件各部分规定的期间以时、日、月、年计算。期间开始的时和日，不计算在期间内，而从次日开始计算。期间届满的最后一天是节假日的，以节假日后的第一日为期间届满的日期。</w:t>
      </w:r>
    </w:p>
    <w:p>
      <w:pPr>
        <w:tabs>
          <w:tab w:val="left" w:pos="7665"/>
        </w:tabs>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2.6 本磋商文件各部分规定的时间均以北京时间为准。</w:t>
      </w:r>
    </w:p>
    <w:p>
      <w:pPr>
        <w:pStyle w:val="5"/>
        <w:snapToGrid w:val="0"/>
        <w:spacing w:line="360" w:lineRule="auto"/>
        <w:ind w:firstLine="482" w:firstLineChars="200"/>
        <w:rPr>
          <w:rFonts w:hint="eastAsia" w:ascii="宋体" w:hAnsi="宋体" w:eastAsia="宋体" w:cs="宋体"/>
          <w:color w:val="auto"/>
          <w:sz w:val="24"/>
          <w:highlight w:val="none"/>
        </w:rPr>
      </w:pPr>
      <w:bookmarkStart w:id="22" w:name="_Toc26373"/>
      <w:r>
        <w:rPr>
          <w:rFonts w:hint="eastAsia" w:ascii="宋体" w:hAnsi="宋体" w:eastAsia="宋体" w:cs="宋体"/>
          <w:color w:val="auto"/>
          <w:sz w:val="24"/>
          <w:highlight w:val="none"/>
        </w:rPr>
        <w:t>3. 合格的供应商（实质性要求）</w:t>
      </w:r>
      <w:bookmarkEnd w:id="22"/>
      <w:r>
        <w:rPr>
          <w:rFonts w:hint="eastAsia" w:ascii="宋体" w:hAnsi="宋体" w:eastAsia="宋体" w:cs="宋体"/>
          <w:color w:val="auto"/>
          <w:sz w:val="24"/>
          <w:highlight w:val="none"/>
        </w:rPr>
        <w:t xml:space="preserve"> </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合格供应商应具备以下条件：</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 具备法律法规和本采购文件规定的资格条件；</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 不属于禁止参加本项目采购活动的供应商；</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 按照规定获取了磋商文件，属于实质性参加政府采购活动的供应商。</w:t>
      </w:r>
    </w:p>
    <w:p>
      <w:pPr>
        <w:pStyle w:val="5"/>
        <w:snapToGrid w:val="0"/>
        <w:spacing w:line="360" w:lineRule="auto"/>
        <w:ind w:firstLine="482" w:firstLineChars="200"/>
        <w:rPr>
          <w:rFonts w:hint="eastAsia" w:ascii="宋体" w:hAnsi="宋体" w:eastAsia="宋体" w:cs="宋体"/>
          <w:color w:val="auto"/>
          <w:sz w:val="24"/>
          <w:highlight w:val="none"/>
        </w:rPr>
      </w:pPr>
      <w:bookmarkStart w:id="23" w:name="_Toc22765"/>
      <w:r>
        <w:rPr>
          <w:rFonts w:hint="eastAsia" w:ascii="宋体" w:hAnsi="宋体" w:eastAsia="宋体" w:cs="宋体"/>
          <w:color w:val="auto"/>
          <w:sz w:val="24"/>
          <w:highlight w:val="none"/>
        </w:rPr>
        <w:t>4. 磋商费用（实质性要求）</w:t>
      </w:r>
      <w:bookmarkEnd w:id="23"/>
    </w:p>
    <w:p>
      <w:pPr>
        <w:tabs>
          <w:tab w:val="left" w:pos="7665"/>
        </w:tabs>
        <w:snapToGrid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供应商参加磋商的有关一切费用由供应商自行承担。</w:t>
      </w:r>
    </w:p>
    <w:p>
      <w:pPr>
        <w:pStyle w:val="5"/>
        <w:snapToGrid w:val="0"/>
        <w:spacing w:line="360" w:lineRule="auto"/>
        <w:ind w:firstLine="482" w:firstLineChars="200"/>
        <w:rPr>
          <w:rFonts w:hint="eastAsia" w:ascii="宋体" w:hAnsi="宋体" w:eastAsia="宋体" w:cs="宋体"/>
          <w:color w:val="auto"/>
          <w:sz w:val="24"/>
          <w:highlight w:val="none"/>
        </w:rPr>
      </w:pPr>
      <w:bookmarkStart w:id="24" w:name="_Toc284"/>
      <w:r>
        <w:rPr>
          <w:rFonts w:hint="eastAsia" w:ascii="宋体" w:hAnsi="宋体" w:eastAsia="宋体" w:cs="宋体"/>
          <w:color w:val="auto"/>
          <w:sz w:val="24"/>
          <w:highlight w:val="none"/>
        </w:rPr>
        <w:t>5. 充分、公平竞争保障措施（实质性要求）</w:t>
      </w:r>
      <w:bookmarkEnd w:id="24"/>
    </w:p>
    <w:p>
      <w:pPr>
        <w:pStyle w:val="56"/>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5.1利害关系供应商处理</w:t>
      </w:r>
      <w:r>
        <w:rPr>
          <w:rFonts w:hint="eastAsia" w:ascii="宋体" w:hAnsi="宋体" w:eastAsia="宋体" w:cs="宋体"/>
          <w:color w:val="auto"/>
          <w:sz w:val="24"/>
          <w:highlight w:val="none"/>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pPr>
        <w:pStyle w:val="56"/>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5.2利害关系授权代表处理。</w:t>
      </w:r>
      <w:r>
        <w:rPr>
          <w:rFonts w:hint="eastAsia" w:ascii="宋体" w:hAnsi="宋体" w:eastAsia="宋体" w:cs="宋体"/>
          <w:color w:val="auto"/>
          <w:sz w:val="24"/>
          <w:highlight w:val="none"/>
        </w:rPr>
        <w:t>两家以上的供应商不得在同一合同项下的采购项目中，委托同一个自然人、同一家庭的人员、同一单位的人员作为其授权代表，否则，其响应文件作为无效处理。</w:t>
      </w:r>
    </w:p>
    <w:p>
      <w:pPr>
        <w:pStyle w:val="56"/>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5.3前期参与供应商处理。</w:t>
      </w:r>
      <w:r>
        <w:rPr>
          <w:rFonts w:hint="eastAsia" w:ascii="宋体" w:hAnsi="宋体" w:eastAsia="宋体" w:cs="宋体"/>
          <w:color w:val="auto"/>
          <w:sz w:val="24"/>
          <w:highlight w:val="none"/>
        </w:rPr>
        <w:t>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政府采购合同等实质性内容条款的，视同为采购项目提供规范编制。</w:t>
      </w:r>
    </w:p>
    <w:p>
      <w:pPr>
        <w:pStyle w:val="56"/>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5.4提供相同品牌产品处理（</w:t>
      </w:r>
      <w:r>
        <w:rPr>
          <w:rFonts w:hint="eastAsia" w:ascii="宋体" w:hAnsi="宋体" w:eastAsia="宋体" w:cs="宋体"/>
          <w:b/>
          <w:bCs/>
          <w:color w:val="auto"/>
          <w:sz w:val="24"/>
          <w:highlight w:val="none"/>
          <w:lang w:eastAsia="zh-CN"/>
        </w:rPr>
        <w:t>不涉及</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提供相同品牌产品且通过资格审查的不同供应商参加同一合同项下采购项目的，按一家供应商计算，评审后得分最高的同品牌供应商获得成交供应商推荐资格；评审得分相同的，由采购人/采购人委托磋商小组自主采取公平、择优的方式确定一个供应商获得成交供应商推荐资格，其他同品牌供应商不作为成交供应商候选人。</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非单一产品采购项目中，多家供应商提供的部分或所有核心产品品牌相同的，视为提供相同品牌产品。</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5.5供应商实际控制人或者中高级管理人员，同时是采购代理机构工作人员，不得参与本项目政府采购活动。</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5.6同一母公司的两家以上的子公司只能组成联合体参加本项目同一合同项下的采购活动，不得以不同供应商身份同时参加本项目同一合同项下的采购活动。</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5.7供应商与采购代理机构存在关联关系，或者是采购代理机构的母公司或子公司，不得参加本项目政府采购活动。</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5.8回避。政府采购活动中，采购人员及相关人员与供应商有下列利害关系之一的，应当回避：</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（1）参加采购活动前3年内与供应商存在劳动关系；</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（2）参加采购活动前3年内担任供应商的董事、监事；</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（3）参加采购活动前3年内是供应商的控股股东或者实际控制人；</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（4）与供应商的法定代表人或者负责人有夫妻、直系血亲、三代以内旁系血亲或者近姻亲关系；</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（5）与供应商有其他可能影响政府采购活动公平、公正进行的关系。</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政府采购活动中需要依法回避的采购人员是指采购人内部负责采购项目的具体经办工作人员和直接分管采购项目的负责人，以及采购代理机构负责采购项目的具体经办工作人员和直接分管采购活动的负责人。本项目政府采购活动中需要依法回避的相关人员是指磋商小组成员。</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供应商认为采购人员及相关人员与其他供应商有利害关系的，可以向采购代理机构书面提出回避申请，并说明理由。采购代理机构将及时询问被申请回避人员，有利害关系的被申请回避人员应当回避。</w:t>
      </w:r>
    </w:p>
    <w:p>
      <w:pPr>
        <w:pStyle w:val="5"/>
        <w:snapToGrid w:val="0"/>
        <w:spacing w:line="360" w:lineRule="auto"/>
        <w:ind w:firstLine="482" w:firstLineChars="200"/>
        <w:rPr>
          <w:rFonts w:hint="eastAsia" w:ascii="宋体" w:hAnsi="宋体" w:eastAsia="宋体" w:cs="宋体"/>
          <w:color w:val="auto"/>
          <w:sz w:val="24"/>
        </w:rPr>
      </w:pPr>
      <w:r>
        <w:rPr>
          <w:rFonts w:hint="eastAsia" w:ascii="宋体" w:hAnsi="宋体" w:eastAsia="宋体" w:cs="宋体"/>
          <w:color w:val="auto"/>
          <w:sz w:val="24"/>
        </w:rPr>
        <w:t>6.联合体竞争性磋商（实质性要求）</w:t>
      </w:r>
    </w:p>
    <w:p>
      <w:pPr>
        <w:pStyle w:val="56"/>
        <w:adjustRightInd/>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本项目不接受联合体参与采购活动：</w:t>
      </w:r>
    </w:p>
    <w:p>
      <w:pPr>
        <w:pStyle w:val="5"/>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7.磋商保证金</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不涉及）</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7.1 供应商必须以人民币为计量单位提交磋商文件规定数额的磋商保证金。</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7.2 未按磋商文件要求在规定时间前交纳规定数额磋商保证金的响应文件无效。</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7.3 供应商所交纳的磋商保证金不计利息。</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7.4 未成交供应商的磋商保证金，将在成交通知书发出后五个工作日内全额退还。成交供应商的磋商保证金，在合同签订生效并按规定交纳了履约保证金后五个工作日内全额退还。</w:t>
      </w:r>
      <w:r>
        <w:rPr>
          <w:rFonts w:hint="eastAsia" w:ascii="宋体" w:hAnsi="宋体" w:eastAsia="宋体" w:cs="宋体"/>
          <w:b/>
          <w:bCs/>
          <w:color w:val="auto"/>
          <w:sz w:val="24"/>
          <w:highlight w:val="none"/>
        </w:rPr>
        <w:t>（注：①因供应商自身原因造成的保证金延迟退还，采购代理机构不承担相应责任；②供应商因涉嫌违法违规，按照规定应当不予退还保证金的，有关部门处理认定违法违规行为期间不计入退还保证金期限内。）</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7.5发生下列情形之一的，采购代理机构将不予退还磋商保证金：</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（一）在磋商文件规定的递交响应文件截止时间后撤回响应文件的；</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（二）在采购人确定成交供应商之前放弃成交候选资格的；</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（三）成交后放弃、不领取或者不接收成交通知书的；</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（四）由于成交供应商的原因未能按照磋商文件的规定与采购人签订合同的；</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（五）由于成交供应商的原因未能按照磋商文件的规定交纳履约保证金的；</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（六）供应商在政府采购活动中提供虚假材料的；</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（七）报价有效期内，供应商在政府采购活动中有违法、违规、违纪行为。</w:t>
      </w:r>
    </w:p>
    <w:p>
      <w:pPr>
        <w:pStyle w:val="5"/>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8.响应文件有效期（实质性要求）</w:t>
      </w:r>
    </w:p>
    <w:p>
      <w:pPr>
        <w:pStyle w:val="56"/>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本项目响应文件有效期为递交磋商响应文件截止之日起90天。</w:t>
      </w:r>
      <w:r>
        <w:rPr>
          <w:rFonts w:hint="eastAsia" w:ascii="宋体" w:hAnsi="宋体" w:eastAsia="宋体" w:cs="宋体"/>
          <w:color w:val="auto"/>
          <w:sz w:val="24"/>
          <w:highlight w:val="none"/>
        </w:rPr>
        <w:t>供应商响应文件中必须载明响应文件有效期，响应文件中载明的响应文件有效期可以长于磋商文件规定的期限，但不得短于磋商文件规定的期限。否则，其响应文件将作为无效处理。</w:t>
      </w:r>
    </w:p>
    <w:p>
      <w:pPr>
        <w:pStyle w:val="5"/>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9.知识产权（实质性要求）</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9.1 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 除非磋商文件特别规定，采购人享有本项目实施过程中产生的知识成果及知识产权。</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9.3供应商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w:t>
      </w:r>
    </w:p>
    <w:p>
      <w:pPr>
        <w:pStyle w:val="56"/>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如采用供应商所不拥有的知识产权，则在报价中必须包括合法获取该知识产权的相关费用。 </w:t>
      </w:r>
    </w:p>
    <w:p>
      <w:pPr>
        <w:pStyle w:val="4"/>
        <w:snapToGrid w:val="0"/>
        <w:spacing w:line="360" w:lineRule="auto"/>
        <w:jc w:val="center"/>
        <w:rPr>
          <w:rFonts w:hint="eastAsia" w:ascii="宋体" w:hAnsi="宋体" w:eastAsia="宋体" w:cs="宋体"/>
          <w:bCs w:val="0"/>
          <w:color w:val="auto"/>
          <w:highlight w:val="none"/>
        </w:rPr>
      </w:pPr>
      <w:bookmarkStart w:id="25" w:name="_Toc24010"/>
      <w:bookmarkStart w:id="26" w:name="_Toc30248"/>
      <w:r>
        <w:rPr>
          <w:rFonts w:hint="eastAsia" w:ascii="宋体" w:hAnsi="宋体" w:eastAsia="宋体" w:cs="宋体"/>
          <w:bCs w:val="0"/>
          <w:color w:val="auto"/>
          <w:highlight w:val="none"/>
        </w:rPr>
        <w:t>三、磋商文件</w:t>
      </w:r>
      <w:bookmarkEnd w:id="25"/>
      <w:bookmarkEnd w:id="26"/>
    </w:p>
    <w:p>
      <w:pPr>
        <w:pStyle w:val="5"/>
        <w:keepNext w:val="0"/>
        <w:keepLines w:val="0"/>
        <w:spacing w:line="360" w:lineRule="auto"/>
        <w:ind w:firstLine="482" w:firstLineChars="200"/>
        <w:rPr>
          <w:rFonts w:hint="eastAsia" w:ascii="宋体" w:hAnsi="宋体" w:eastAsia="宋体" w:cs="宋体"/>
          <w:color w:val="auto"/>
          <w:sz w:val="24"/>
          <w:highlight w:val="none"/>
        </w:rPr>
      </w:pPr>
      <w:bookmarkStart w:id="27" w:name="_Toc217446041"/>
      <w:bookmarkStart w:id="28" w:name="_Toc208848971"/>
      <w:r>
        <w:rPr>
          <w:rFonts w:hint="eastAsia" w:ascii="宋体" w:hAnsi="宋体" w:eastAsia="宋体" w:cs="宋体"/>
          <w:color w:val="auto"/>
          <w:sz w:val="24"/>
          <w:highlight w:val="none"/>
        </w:rPr>
        <w:t>10．磋商文件的构成（实质性要求）</w:t>
      </w:r>
    </w:p>
    <w:p>
      <w:pPr>
        <w:tabs>
          <w:tab w:val="left" w:pos="72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1 磋商文件是供应商准备响应文件和参加磋商的依据，同时也是磋商的重要依据。磋商文件用以阐明磋商项目所需的资质、技术、服务及报价等要求、磋商程序、有关规定和注意事项以及合同主要条款等。</w:t>
      </w:r>
    </w:p>
    <w:p>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pPr>
        <w:pStyle w:val="5"/>
        <w:keepNext w:val="0"/>
        <w:keepLines w:val="0"/>
        <w:spacing w:line="360" w:lineRule="auto"/>
        <w:ind w:firstLine="482" w:firstLineChars="200"/>
        <w:rPr>
          <w:rFonts w:hint="eastAsia" w:ascii="宋体" w:hAnsi="宋体" w:eastAsia="宋体" w:cs="宋体"/>
          <w:color w:val="auto"/>
          <w:sz w:val="24"/>
          <w:highlight w:val="none"/>
        </w:rPr>
      </w:pPr>
      <w:bookmarkStart w:id="29" w:name="_Toc183682348"/>
      <w:bookmarkStart w:id="30" w:name="_Toc183582211"/>
      <w:bookmarkStart w:id="31" w:name="_Toc217446040"/>
      <w:r>
        <w:rPr>
          <w:rFonts w:hint="eastAsia" w:ascii="宋体" w:hAnsi="宋体" w:eastAsia="宋体" w:cs="宋体"/>
          <w:color w:val="auto"/>
          <w:sz w:val="24"/>
          <w:highlight w:val="none"/>
        </w:rPr>
        <w:t>11. 磋商文件的澄清</w:t>
      </w:r>
      <w:bookmarkEnd w:id="29"/>
      <w:bookmarkEnd w:id="30"/>
      <w:r>
        <w:rPr>
          <w:rFonts w:hint="eastAsia" w:ascii="宋体" w:hAnsi="宋体" w:eastAsia="宋体" w:cs="宋体"/>
          <w:color w:val="auto"/>
          <w:sz w:val="24"/>
          <w:highlight w:val="none"/>
        </w:rPr>
        <w:t>和修改</w:t>
      </w:r>
      <w:bookmarkEnd w:id="31"/>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11.1 在递交响应文件截止时间前，采购人、采购代理机构可以对磋商文件进行澄清或者修改。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 采购代理机构对已发出的磋商文件进行澄清或者修改，应当以书面形式将澄清或者修改的内容通知所有购买了磋商文件的供应商，同时在</w:t>
      </w:r>
      <w:r>
        <w:rPr>
          <w:rFonts w:hint="eastAsia" w:ascii="宋体" w:hAnsi="宋体" w:eastAsia="宋体" w:cs="宋体"/>
          <w:color w:val="auto"/>
          <w:highlight w:val="none"/>
          <w:lang w:eastAsia="zh-CN"/>
        </w:rPr>
        <w:t>中国</w:t>
      </w:r>
      <w:r>
        <w:rPr>
          <w:rFonts w:hint="eastAsia" w:ascii="宋体" w:hAnsi="宋体" w:eastAsia="宋体" w:cs="宋体"/>
          <w:color w:val="auto"/>
          <w:highlight w:val="none"/>
        </w:rPr>
        <w:t>政府采购网上发布更正公告。该澄清或者修改的内容为磋商文件的组成部分，澄清或者修改的内容可能影响响应文件编制的，采购代理机构发布公告并书面通知供应商的时间，应当在提交首次响应文件截止之日起5日前；不足上述时间的，应当顺延递交响应文件的截止时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highlight w:val="none"/>
        </w:rPr>
      </w:pPr>
      <w:r>
        <w:rPr>
          <w:rFonts w:hint="eastAsia" w:ascii="宋体" w:hAnsi="宋体" w:eastAsia="宋体" w:cs="宋体"/>
          <w:color w:val="auto"/>
          <w:highlight w:val="none"/>
        </w:rPr>
        <w:t>11.3供应商认为采购人或采购代理机构需要对磋商文件进行澄清或者修改的，可以在3日内以书面形式向采购人或采购代理机构提出申请，由采购人或采购代理机构决定是否采纳供应商的申请事项。</w:t>
      </w:r>
    </w:p>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答疑会和现场考察</w:t>
      </w:r>
      <w:bookmarkEnd w:id="27"/>
      <w:bookmarkEnd w:id="28"/>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12.1 根据采购项目和具体情况，采购人、采购代理机构认为有必要，可以在磋商文件提供期限截止后响应文件提交截止前，组织已获取磋商文件的潜在供应商现场考察或者召开答疑会。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pPr>
        <w:adjustRightInd w:val="0"/>
        <w:snapToGrid w:val="0"/>
        <w:spacing w:line="360" w:lineRule="auto"/>
        <w:ind w:firstLine="420" w:firstLineChars="175"/>
        <w:rPr>
          <w:rFonts w:hint="eastAsia" w:ascii="宋体" w:hAnsi="宋体" w:eastAsia="宋体" w:cs="宋体"/>
          <w:bCs/>
          <w:color w:val="auto"/>
          <w:sz w:val="24"/>
          <w:highlight w:val="none"/>
        </w:rPr>
      </w:pPr>
      <w:r>
        <w:rPr>
          <w:rFonts w:hint="eastAsia" w:ascii="宋体" w:hAnsi="宋体" w:eastAsia="宋体" w:cs="宋体"/>
          <w:color w:val="auto"/>
          <w:sz w:val="24"/>
          <w:highlight w:val="none"/>
        </w:rPr>
        <w:t>12.3 供应商考察现场或者参加答疑会所发生的一切费用由供应商自己承担。</w:t>
      </w:r>
    </w:p>
    <w:p>
      <w:pPr>
        <w:snapToGrid w:val="0"/>
        <w:spacing w:line="360" w:lineRule="auto"/>
        <w:rPr>
          <w:rFonts w:hint="eastAsia" w:ascii="宋体" w:hAnsi="宋体" w:eastAsia="宋体" w:cs="宋体"/>
          <w:b/>
          <w:color w:val="auto"/>
          <w:sz w:val="24"/>
          <w:highlight w:val="none"/>
        </w:rPr>
      </w:pPr>
    </w:p>
    <w:p>
      <w:pPr>
        <w:pStyle w:val="4"/>
        <w:snapToGrid w:val="0"/>
        <w:spacing w:line="360" w:lineRule="auto"/>
        <w:jc w:val="center"/>
        <w:rPr>
          <w:rFonts w:hint="eastAsia" w:ascii="宋体" w:hAnsi="宋体" w:eastAsia="宋体" w:cs="宋体"/>
          <w:bCs w:val="0"/>
          <w:color w:val="auto"/>
          <w:highlight w:val="none"/>
        </w:rPr>
      </w:pPr>
      <w:bookmarkStart w:id="32" w:name="_Toc32563"/>
      <w:bookmarkStart w:id="33" w:name="_Toc29188"/>
      <w:r>
        <w:rPr>
          <w:rFonts w:hint="eastAsia" w:ascii="宋体" w:hAnsi="宋体" w:eastAsia="宋体" w:cs="宋体"/>
          <w:bCs w:val="0"/>
          <w:color w:val="auto"/>
          <w:highlight w:val="none"/>
        </w:rPr>
        <w:t>四、响应文件</w:t>
      </w:r>
      <w:bookmarkEnd w:id="32"/>
      <w:bookmarkEnd w:id="33"/>
    </w:p>
    <w:p>
      <w:pPr>
        <w:pStyle w:val="5"/>
        <w:snapToGrid w:val="0"/>
        <w:spacing w:line="360" w:lineRule="auto"/>
        <w:ind w:firstLine="482" w:firstLineChars="200"/>
        <w:rPr>
          <w:rFonts w:hint="eastAsia" w:ascii="宋体" w:hAnsi="宋体" w:eastAsia="宋体" w:cs="宋体"/>
          <w:color w:val="auto"/>
          <w:sz w:val="24"/>
          <w:highlight w:val="none"/>
        </w:rPr>
      </w:pPr>
      <w:bookmarkStart w:id="34" w:name="_Toc217446043"/>
      <w:bookmarkStart w:id="35" w:name="_Toc183682352"/>
      <w:bookmarkStart w:id="36" w:name="_Toc183582215"/>
      <w:r>
        <w:rPr>
          <w:rFonts w:hint="eastAsia" w:ascii="宋体" w:hAnsi="宋体" w:eastAsia="宋体" w:cs="宋体"/>
          <w:color w:val="auto"/>
          <w:sz w:val="24"/>
          <w:highlight w:val="none"/>
        </w:rPr>
        <w:t>13.响应文件的组成</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按照磋商文件的规定和要求编制响应文件。供应商在成交后将成交项目的非主体、非关键性工作分包他人完成的，应当在响应文件中载明或磋商过程中澄清。供应商编写的响应文件应包括资格性响应文件和其他响应文件两部分，分册装订。</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13.1资格性响应文件</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供应商按照磋商文件要求提供的有效资质证明文件（</w:t>
      </w:r>
      <w:r>
        <w:rPr>
          <w:rFonts w:hint="eastAsia" w:ascii="宋体" w:hAnsi="宋体" w:eastAsia="宋体" w:cs="宋体"/>
          <w:b/>
          <w:bCs/>
          <w:color w:val="auto"/>
          <w:sz w:val="24"/>
          <w:highlight w:val="none"/>
        </w:rPr>
        <w:t>详见竞争性磋商文件第五章</w:t>
      </w:r>
      <w:r>
        <w:rPr>
          <w:rFonts w:hint="eastAsia" w:ascii="宋体" w:hAnsi="宋体" w:eastAsia="宋体" w:cs="宋体"/>
          <w:color w:val="auto"/>
          <w:sz w:val="24"/>
          <w:highlight w:val="none"/>
        </w:rPr>
        <w:t>）。包括以下内容：</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（1）磋商承诺函； </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（2）营业执照、税务登记证、组织机构代码证（已领取统一社会信用代码执照的供应商只需提供营业执照正本或副本复印件）；</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（3）良好商业信誉的证明材料；</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（4）具备健全的财务会计制度的证明材料；</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（5）依法缴纳税和社会保障资金的证明材料；</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（6）具备履行合同所必需的设备和专业技术能力的证明材料；</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（7）参加政府采购活动前三年内在经营活动中没有重大违法记录的承诺函；</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）法定代表人授权书原件、法定代表人和授权代表身证复印件；</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）供应商符合磋商文件规定的资格、资质性及其他具有类似效力要求的相关证明材料；</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）供应商认为需要提供的其他证明材料。</w:t>
      </w:r>
    </w:p>
    <w:p>
      <w:pPr>
        <w:pStyle w:val="12"/>
        <w:rPr>
          <w:rFonts w:hint="eastAsia" w:ascii="宋体" w:hAnsi="宋体" w:eastAsia="宋体" w:cs="宋体"/>
          <w:color w:val="auto"/>
          <w:highlight w:val="none"/>
        </w:rPr>
      </w:pP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13.2其他响应文件</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供应商按照磋商文件要求做出的技术应答，主要是针对磋商项目的技术指标、参数和技术要求做出的实质性响应和满足。供应商的技术应答应包括下列内容：</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（1）响应函；</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（2）供应商按照竞争性磋商文件要求填写的“报价一览表”及“分项报价明细表” 本次竞争性磋商报价要求：供应商的报价是供应商响应竞争性磋商项目要求的全部工作内容的价格体现，包括供应商完成本项目所需的一切费用。供应商应针对项目磋商进程进行报价，并以最后一轮报价为最终有效报价；</w:t>
      </w:r>
    </w:p>
    <w:p>
      <w:pPr>
        <w:tabs>
          <w:tab w:val="left" w:pos="7665"/>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（3）中小企业（监狱企业）声明函（若</w:t>
      </w:r>
      <w:r>
        <w:rPr>
          <w:rFonts w:hint="eastAsia" w:ascii="宋体" w:hAnsi="宋体" w:eastAsia="宋体" w:cs="宋体"/>
          <w:color w:val="auto"/>
          <w:sz w:val="24"/>
          <w:highlight w:val="none"/>
          <w:lang w:eastAsia="zh-CN"/>
        </w:rPr>
        <w:t>涉及</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p>
    <w:p>
      <w:pPr>
        <w:tabs>
          <w:tab w:val="left" w:pos="7665"/>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（4）残疾人福利性单位声明函（若</w:t>
      </w:r>
      <w:r>
        <w:rPr>
          <w:rFonts w:hint="eastAsia" w:ascii="宋体" w:hAnsi="宋体" w:eastAsia="宋体" w:cs="宋体"/>
          <w:color w:val="auto"/>
          <w:sz w:val="24"/>
          <w:highlight w:val="none"/>
          <w:lang w:eastAsia="zh-CN"/>
        </w:rPr>
        <w:t>涉及</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商务应答表； </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 技术应答表；</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 供应商基本情况表；</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w:t>
      </w:r>
      <w:r>
        <w:rPr>
          <w:rFonts w:hint="eastAsia" w:ascii="宋体" w:hAnsi="宋体" w:eastAsia="宋体" w:cs="宋体"/>
          <w:color w:val="auto"/>
          <w:sz w:val="24"/>
          <w:highlight w:val="none"/>
          <w:lang w:eastAsia="zh-CN"/>
        </w:rPr>
        <w:t>项目</w:t>
      </w:r>
      <w:r>
        <w:rPr>
          <w:rFonts w:hint="eastAsia" w:ascii="宋体" w:hAnsi="宋体" w:eastAsia="宋体" w:cs="宋体"/>
          <w:color w:val="auto"/>
          <w:sz w:val="24"/>
          <w:highlight w:val="none"/>
        </w:rPr>
        <w:t>方案</w:t>
      </w:r>
      <w:r>
        <w:rPr>
          <w:rFonts w:hint="eastAsia" w:ascii="宋体" w:hAnsi="宋体" w:eastAsia="宋体" w:cs="宋体"/>
          <w:color w:val="auto"/>
          <w:sz w:val="24"/>
          <w:highlight w:val="none"/>
          <w:lang w:eastAsia="zh-CN"/>
        </w:rPr>
        <w:t>（实施方案、服务方案及其他文件要求的相关资料）</w:t>
      </w:r>
      <w:r>
        <w:rPr>
          <w:rFonts w:hint="eastAsia" w:ascii="宋体" w:hAnsi="宋体" w:eastAsia="宋体" w:cs="宋体"/>
          <w:color w:val="auto"/>
          <w:sz w:val="24"/>
          <w:highlight w:val="none"/>
        </w:rPr>
        <w:t xml:space="preserve">； </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供应商类似项目业绩一览表（若有）； </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 售后服务相关资料（若</w:t>
      </w:r>
      <w:r>
        <w:rPr>
          <w:rFonts w:hint="eastAsia" w:ascii="宋体" w:hAnsi="宋体" w:eastAsia="宋体" w:cs="宋体"/>
          <w:color w:val="auto"/>
          <w:sz w:val="24"/>
          <w:highlight w:val="none"/>
          <w:lang w:eastAsia="zh-CN"/>
        </w:rPr>
        <w:t>涉及</w:t>
      </w:r>
      <w:r>
        <w:rPr>
          <w:rFonts w:hint="eastAsia" w:ascii="宋体" w:hAnsi="宋体" w:eastAsia="宋体" w:cs="宋体"/>
          <w:color w:val="auto"/>
          <w:sz w:val="24"/>
          <w:highlight w:val="none"/>
        </w:rPr>
        <w:t>）；</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供应商本项目管理、技术、服务人员情况表；</w:t>
      </w:r>
    </w:p>
    <w:p>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（12）磋商文件中要求提供的其他文件和资料（若有）；</w:t>
      </w:r>
    </w:p>
    <w:p>
      <w:pPr>
        <w:tabs>
          <w:tab w:val="left" w:pos="7665"/>
        </w:tabs>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（13）供应商认为需要提供的其他文件和资料（若有）。</w:t>
      </w:r>
    </w:p>
    <w:p>
      <w:pPr>
        <w:pStyle w:val="5"/>
        <w:keepNext w:val="0"/>
        <w:keepLines w:val="0"/>
        <w:spacing w:line="360" w:lineRule="auto"/>
        <w:ind w:firstLine="482" w:firstLineChars="20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14.响应文件的语言</w:t>
      </w:r>
      <w:bookmarkEnd w:id="34"/>
      <w:bookmarkEnd w:id="35"/>
      <w:bookmarkEnd w:id="36"/>
      <w:r>
        <w:rPr>
          <w:rFonts w:hint="eastAsia" w:ascii="宋体" w:hAnsi="宋体" w:eastAsia="宋体" w:cs="宋体"/>
          <w:bCs w:val="0"/>
          <w:color w:val="auto"/>
          <w:sz w:val="24"/>
          <w:highlight w:val="none"/>
        </w:rPr>
        <w:t>（实质性要求）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14.2 翻译的中文资料与外文资料如果出现差异和矛盾，以中文为准。但不能故意错误翻译，否则，供应商的响应文件将作为无效处理。</w:t>
      </w:r>
      <w:bookmarkStart w:id="37" w:name="_Toc217446044"/>
      <w:bookmarkStart w:id="38" w:name="_Toc183682353"/>
      <w:bookmarkStart w:id="39" w:name="_Toc183582216"/>
    </w:p>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15．计量单位</w:t>
      </w:r>
      <w:bookmarkEnd w:id="37"/>
      <w:bookmarkEnd w:id="38"/>
      <w:bookmarkEnd w:id="39"/>
      <w:r>
        <w:rPr>
          <w:rFonts w:hint="eastAsia" w:ascii="宋体" w:hAnsi="宋体" w:eastAsia="宋体" w:cs="宋体"/>
          <w:color w:val="auto"/>
          <w:sz w:val="24"/>
          <w:highlight w:val="none"/>
        </w:rPr>
        <w:t>（实质性要求）</w:t>
      </w:r>
    </w:p>
    <w:p>
      <w:pPr>
        <w:spacing w:line="360" w:lineRule="auto"/>
        <w:ind w:firstLine="470" w:firstLineChars="196"/>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除磋商文件中另有规定外，本次采购项目所有合同项下的报价均采用国家法定的计量单位。</w:t>
      </w:r>
      <w:bookmarkStart w:id="40" w:name="_Toc217446045"/>
    </w:p>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 报价货币（实质性要求）</w:t>
      </w:r>
    </w:p>
    <w:p>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本次磋商项目的</w:t>
      </w:r>
      <w:r>
        <w:rPr>
          <w:rFonts w:hint="eastAsia" w:ascii="宋体" w:hAnsi="宋体" w:eastAsia="宋体" w:cs="宋体"/>
          <w:color w:val="auto"/>
          <w:sz w:val="24"/>
          <w:highlight w:val="none"/>
        </w:rPr>
        <w:t>报价货币为</w:t>
      </w:r>
      <w:r>
        <w:rPr>
          <w:rFonts w:hint="eastAsia" w:ascii="宋体" w:hAnsi="宋体" w:eastAsia="宋体" w:cs="宋体"/>
          <w:bCs/>
          <w:color w:val="auto"/>
          <w:sz w:val="24"/>
          <w:highlight w:val="none"/>
        </w:rPr>
        <w:t>人民币，报价以磋商文件规定为准。</w:t>
      </w:r>
    </w:p>
    <w:bookmarkEnd w:id="40"/>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17.响应文件格式</w:t>
      </w:r>
    </w:p>
    <w:p>
      <w:pPr>
        <w:spacing w:line="360" w:lineRule="auto"/>
        <w:ind w:left="2" w:leftChars="1"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17.1 供应商应执行磋商文件第三章的规定要求。</w:t>
      </w:r>
    </w:p>
    <w:p>
      <w:pPr>
        <w:spacing w:line="360" w:lineRule="auto"/>
        <w:ind w:left="2" w:leftChars="1"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 对于没有格式要求的磋商文件由供应商自行编写。</w:t>
      </w:r>
      <w:bookmarkStart w:id="41" w:name="_Toc183582224"/>
      <w:bookmarkStart w:id="42" w:name="_Toc217446051"/>
      <w:bookmarkStart w:id="43" w:name="_Toc183682361"/>
    </w:p>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18.响应文件的编制和签署</w:t>
      </w:r>
    </w:p>
    <w:p>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18.1 资格性响应文件正本壹份副本</w:t>
      </w:r>
      <w:r>
        <w:rPr>
          <w:rFonts w:hint="eastAsia" w:ascii="宋体" w:hAnsi="宋体" w:eastAsia="宋体" w:cs="宋体"/>
          <w:color w:val="auto"/>
          <w:sz w:val="24"/>
          <w:highlight w:val="none"/>
          <w:lang w:val="en-US" w:eastAsia="zh-CN"/>
        </w:rPr>
        <w:t>壹</w:t>
      </w:r>
      <w:r>
        <w:rPr>
          <w:rFonts w:hint="eastAsia" w:ascii="宋体" w:hAnsi="宋体" w:eastAsia="宋体" w:cs="宋体"/>
          <w:color w:val="auto"/>
          <w:sz w:val="24"/>
          <w:highlight w:val="none"/>
        </w:rPr>
        <w:t>份</w:t>
      </w:r>
      <w:r>
        <w:rPr>
          <w:rFonts w:hint="eastAsia" w:ascii="宋体" w:hAnsi="宋体" w:eastAsia="宋体" w:cs="宋体"/>
          <w:bCs/>
          <w:color w:val="auto"/>
          <w:sz w:val="24"/>
          <w:highlight w:val="none"/>
        </w:rPr>
        <w:t>，并在其封面上清楚地标明资格性响应文件、采购项目名称、采购</w:t>
      </w:r>
      <w:r>
        <w:rPr>
          <w:rFonts w:hint="eastAsia" w:ascii="宋体" w:hAnsi="宋体" w:eastAsia="宋体" w:cs="宋体"/>
          <w:bCs/>
          <w:color w:val="auto"/>
          <w:sz w:val="24"/>
          <w:highlight w:val="none"/>
          <w:lang w:eastAsia="zh-CN"/>
        </w:rPr>
        <w:t>项目编号</w:t>
      </w:r>
      <w:r>
        <w:rPr>
          <w:rFonts w:hint="eastAsia" w:ascii="宋体" w:hAnsi="宋体" w:eastAsia="宋体" w:cs="宋体"/>
          <w:bCs/>
          <w:color w:val="auto"/>
          <w:sz w:val="24"/>
          <w:highlight w:val="none"/>
        </w:rPr>
        <w:t>、包件号及名称（若有）、供应商名称以及“正本”或“副本”字样。若正本和副本有不一致的内容，以正本书面响应文件为准。</w:t>
      </w:r>
    </w:p>
    <w:p>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18.2 其他响应文件正本壹份副本</w:t>
      </w:r>
      <w:r>
        <w:rPr>
          <w:rFonts w:hint="eastAsia" w:ascii="宋体" w:hAnsi="宋体" w:eastAsia="宋体" w:cs="宋体"/>
          <w:bCs/>
          <w:color w:val="auto"/>
          <w:sz w:val="24"/>
          <w:highlight w:val="none"/>
          <w:lang w:val="en-US" w:eastAsia="zh-CN"/>
        </w:rPr>
        <w:t>一</w:t>
      </w:r>
      <w:r>
        <w:rPr>
          <w:rFonts w:hint="eastAsia" w:ascii="宋体" w:hAnsi="宋体" w:eastAsia="宋体" w:cs="宋体"/>
          <w:bCs/>
          <w:color w:val="auto"/>
          <w:sz w:val="24"/>
          <w:highlight w:val="none"/>
        </w:rPr>
        <w:t>份，并在其封面上清楚地标明其他响应文件、采购项目名称、采购</w:t>
      </w:r>
      <w:r>
        <w:rPr>
          <w:rFonts w:hint="eastAsia" w:ascii="宋体" w:hAnsi="宋体" w:eastAsia="宋体" w:cs="宋体"/>
          <w:bCs/>
          <w:color w:val="auto"/>
          <w:sz w:val="24"/>
          <w:highlight w:val="none"/>
          <w:lang w:eastAsia="zh-CN"/>
        </w:rPr>
        <w:t>项目编号</w:t>
      </w:r>
      <w:r>
        <w:rPr>
          <w:rFonts w:hint="eastAsia" w:ascii="宋体" w:hAnsi="宋体" w:eastAsia="宋体" w:cs="宋体"/>
          <w:bCs/>
          <w:color w:val="auto"/>
          <w:sz w:val="24"/>
          <w:highlight w:val="none"/>
        </w:rPr>
        <w:t>、包件号及名称（若有）、供应商名称以及“正本”或“副本”字样。若正本和副本有不一致的内容，以正本书面响应文件为准。</w:t>
      </w:r>
    </w:p>
    <w:bookmarkEnd w:id="41"/>
    <w:bookmarkEnd w:id="42"/>
    <w:bookmarkEnd w:id="43"/>
    <w:p>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18.3 响应文件正本和副本均需在规定签章处签字和盖章。响应文件副本可采用正本的复印件。</w:t>
      </w:r>
    </w:p>
    <w:p>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18.4响应文件的打印和书写应清楚工整，任何行间插字、涂改或增删，必须由供应商的法定代表人或其授权代表签字并盖供应商公章。</w:t>
      </w:r>
    </w:p>
    <w:p>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18.5</w:t>
      </w:r>
      <w:r>
        <w:rPr>
          <w:rFonts w:hint="eastAsia" w:ascii="宋体" w:hAnsi="宋体" w:eastAsia="宋体" w:cs="宋体"/>
          <w:b/>
          <w:bCs w:val="0"/>
          <w:color w:val="auto"/>
          <w:sz w:val="24"/>
          <w:highlight w:val="none"/>
        </w:rPr>
        <w:t>（实质性要求）</w:t>
      </w:r>
      <w:r>
        <w:rPr>
          <w:rFonts w:hint="eastAsia" w:ascii="宋体" w:hAnsi="宋体" w:eastAsia="宋体" w:cs="宋体"/>
          <w:bCs/>
          <w:color w:val="auto"/>
          <w:sz w:val="24"/>
          <w:highlight w:val="none"/>
        </w:rPr>
        <w:t>响应文件应由供应商法定代表人/主要负责人/本人或其授权代表在响应文件要求的地方签字（或加盖私人印章），要求加盖公章的地方加盖单位公章，不得使用专用章（如经济合同章、磋商专用章等）或下属单位印章代替。</w:t>
      </w:r>
    </w:p>
    <w:p>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18.6响应文件正本和副本需要逐页编目编码。</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18.7响应文件正本和副本应当采用胶装方式装订成册，不得散装或者合页装订。</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18.8</w:t>
      </w:r>
      <w:r>
        <w:rPr>
          <w:rFonts w:hint="eastAsia" w:ascii="宋体" w:hAnsi="宋体" w:eastAsia="宋体" w:cs="宋体"/>
          <w:b/>
          <w:color w:val="auto"/>
          <w:sz w:val="24"/>
          <w:highlight w:val="none"/>
        </w:rPr>
        <w:t>（实质性要求）</w:t>
      </w:r>
      <w:r>
        <w:rPr>
          <w:rFonts w:hint="eastAsia" w:ascii="宋体" w:hAnsi="宋体" w:eastAsia="宋体" w:cs="宋体"/>
          <w:color w:val="auto"/>
          <w:sz w:val="24"/>
          <w:highlight w:val="none"/>
        </w:rPr>
        <w:t>响应文件应根据磋商文件的要求制作，签署、盖章。（按照《四川省政府采购评审工作规程（修订）》规范）</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18.9响应文件统一用A4幅面纸印制，除另有规定外。</w:t>
      </w:r>
    </w:p>
    <w:p>
      <w:pPr>
        <w:pStyle w:val="5"/>
        <w:spacing w:line="360" w:lineRule="auto"/>
        <w:ind w:firstLine="482" w:firstLineChars="200"/>
        <w:rPr>
          <w:rFonts w:hint="eastAsia" w:ascii="宋体" w:hAnsi="宋体" w:eastAsia="宋体" w:cs="宋体"/>
          <w:color w:val="auto"/>
          <w:highlight w:val="none"/>
        </w:rPr>
      </w:pPr>
      <w:bookmarkStart w:id="44" w:name="_Toc183582226"/>
      <w:bookmarkStart w:id="45" w:name="_Toc89075877"/>
      <w:bookmarkStart w:id="46" w:name="_Toc77400781"/>
      <w:bookmarkStart w:id="47" w:name="_Toc217446053"/>
      <w:bookmarkStart w:id="48" w:name="_Toc183682363"/>
      <w:r>
        <w:rPr>
          <w:rFonts w:hint="eastAsia" w:ascii="宋体" w:hAnsi="宋体" w:eastAsia="宋体" w:cs="宋体"/>
          <w:color w:val="auto"/>
          <w:sz w:val="24"/>
          <w:highlight w:val="none"/>
        </w:rPr>
        <w:t>19.响应文件的密封和标注（不属于本项目磋商小组评审范畴，由采购人、采购代理机构在接收响应文件时及时处理）</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19.1 响应文件可以单独密封包装，也可以所有响应文件密封包装在一个密封袋内。</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19.2 响应文件密封袋的最外层应清楚地标明采购项目名称、采购</w:t>
      </w: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、包件号及名称（若有）、供应商名称。</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19.3 所有外层密封袋的封口处应粘贴牢固。</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19.4 未按以上要求进行密封和标注的响应文件，采购人、采购代理机构将拒收或者在时间允许的范围内，要求修改完善后接收。</w:t>
      </w:r>
    </w:p>
    <w:p>
      <w:pPr>
        <w:pStyle w:val="5"/>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20.响应文件的递交</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20.1 资格性响应文件和其他响应文件应于递交响应文件截止时间前送达指定地点，采购代理机构拒绝接收截止时间后送达的响应文件。</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20.2 采购代理机构将向通过资格审查的供应商发出磋商邀请；告知未通过资格审查的供应商未通过的原因。</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20.3 报价表在磋商后，磋商小组要求供应商进行最后报价时递交。</w:t>
      </w:r>
    </w:p>
    <w:p>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20.4 本次采购不接收邮寄的响应文件（本次采购可以接收邮寄的响应文件，但因邮寄导致报价截止时间以后收到的响应文件，响应文件将被拒收）。</w:t>
      </w:r>
    </w:p>
    <w:bookmarkEnd w:id="44"/>
    <w:bookmarkEnd w:id="45"/>
    <w:bookmarkEnd w:id="46"/>
    <w:bookmarkEnd w:id="47"/>
    <w:bookmarkEnd w:id="48"/>
    <w:p>
      <w:pPr>
        <w:pStyle w:val="5"/>
        <w:keepNext w:val="0"/>
        <w:keepLines w:val="0"/>
        <w:spacing w:line="360" w:lineRule="auto"/>
        <w:ind w:firstLine="482" w:firstLineChars="200"/>
        <w:rPr>
          <w:rFonts w:hint="eastAsia" w:ascii="宋体" w:hAnsi="宋体" w:eastAsia="宋体" w:cs="宋体"/>
          <w:color w:val="auto"/>
          <w:sz w:val="24"/>
          <w:highlight w:val="none"/>
        </w:rPr>
      </w:pPr>
      <w:bookmarkStart w:id="49" w:name="_Toc183582228"/>
      <w:bookmarkStart w:id="50" w:name="_Toc183682365"/>
      <w:bookmarkStart w:id="51" w:name="_Toc217446055"/>
      <w:r>
        <w:rPr>
          <w:rFonts w:hint="eastAsia" w:ascii="宋体" w:hAnsi="宋体" w:eastAsia="宋体" w:cs="宋体"/>
          <w:color w:val="auto"/>
          <w:sz w:val="24"/>
          <w:highlight w:val="none"/>
        </w:rPr>
        <w:t>21.响应文件的修改和撤回（补充、修改响应文件的密封和标注按照本章“19.响应文件的密封和标注”规定处理）</w:t>
      </w:r>
    </w:p>
    <w:p>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针对于货物采购）。 供应商在提交响应文件截止时间前，可以对所提交的响应文件进行补充、修改或者撤回，补充、修改的内容与响应文件不一致的，以补充、修改的内容为准。</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21.2供应商对响应文件修改的书面材料或撤回的通知应该按规定进行编写、密封、标注和递送，并注明“修改响应文件”字样。</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21.3供应商不得在递交截止时间起至响应文件有效期期满前撤销其响应文件。否则其磋商保证金将按“第二部分供应商采购须知7”的相关规定被没收。</w:t>
      </w:r>
    </w:p>
    <w:p>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 响应文件中报价如果出现下列不一致的，可按以下原则进行修改：</w:t>
      </w:r>
    </w:p>
    <w:p>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（一）大写金额和小写金额不一致的，以大写金额为准，但大写金额文字存在错误的，应当先对大写金额的文字错误进行澄清、说明或者更正，再行修正。</w:t>
      </w:r>
    </w:p>
    <w:p>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（二）总价金额与按单价汇总金额不一致的，以单价金额计算结果为准，但单价或者单价汇总金额存在数字或者文字错误的，应当先对数字或者文字错误进行澄清、说明或者更正，再行修正。</w:t>
      </w:r>
    </w:p>
    <w:p>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（三）单价金额小数点或者百分比有明显错位的，以总价为准，修正单价。</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pPr>
        <w:spacing w:line="360" w:lineRule="auto"/>
        <w:ind w:firstLine="480"/>
        <w:rPr>
          <w:rFonts w:hint="eastAsia" w:ascii="宋体" w:hAnsi="宋体" w:eastAsia="宋体" w:cs="宋体"/>
          <w:b/>
          <w:bCs/>
          <w:color w:val="auto"/>
          <w:kern w:val="44"/>
          <w:sz w:val="36"/>
          <w:szCs w:val="36"/>
          <w:highlight w:val="none"/>
        </w:rPr>
      </w:pPr>
      <w:r>
        <w:rPr>
          <w:rFonts w:hint="eastAsia" w:ascii="宋体" w:hAnsi="宋体" w:eastAsia="宋体" w:cs="宋体"/>
          <w:color w:val="auto"/>
          <w:sz w:val="24"/>
          <w:highlight w:val="none"/>
        </w:rPr>
        <w:t>21.5供应商对其提交的响应文件的真实性、合法性承担法律责任。</w:t>
      </w:r>
      <w:bookmarkEnd w:id="49"/>
      <w:bookmarkEnd w:id="50"/>
      <w:bookmarkEnd w:id="51"/>
    </w:p>
    <w:p>
      <w:pPr>
        <w:pStyle w:val="4"/>
        <w:keepNext w:val="0"/>
        <w:keepLines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五、评审</w:t>
      </w:r>
    </w:p>
    <w:p>
      <w:pPr>
        <w:pStyle w:val="5"/>
        <w:keepNext w:val="0"/>
        <w:keepLines w:val="0"/>
        <w:spacing w:line="360" w:lineRule="auto"/>
        <w:ind w:firstLine="482"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22.磋商小组的组建及其评审工作按照有关法律制度和本文件第七章的规定进行。</w:t>
      </w:r>
    </w:p>
    <w:p>
      <w:pPr>
        <w:pStyle w:val="4"/>
        <w:keepNext w:val="0"/>
        <w:keepLines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六、成交事项</w:t>
      </w:r>
    </w:p>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23.确定成交供应商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采购人将按磋商小组推荐的成交候选供应商顺序确定成交供应商。/采购人授权磋商小组根据综合评分排名直接确定成交供应商。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23.1采购代理机构自评审结束后2个工作日内将磋商报告及有关资料送交采购人确定成交供应商。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采购人收到磋商报告及有关资料后，将在5个工作日内按照磋商报告中推荐的成交候选供应商顺序确定成交供应商。成交候选供应商并列的，采购人自主采取公平、择优的方式选择成交供应商。采购人逾期未确定成交供应商且不提出异议的，视为确定磋商报告提出的排序第一的供应商为成交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23.3采购人确定成交供应商过程中，发现成交候选供应商有下列情形之一的，应当不予确定其为成交供应商：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（1）发现成交候选供应商存在禁止参加本项目采购活动的违法行为的；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（2）成交候选供应商因不可抗力，不能继续参加政府采购活动；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（3）成交候选供应商无偿赠与或者低于成本价竞争；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（4）成交候选供应商提供虚假材料；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（5）成交候选供应商恶意串通。</w:t>
      </w:r>
    </w:p>
    <w:p>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成交候选供应商有本条情形之一的，采购人可以确定后一位成交候选供应商为成交供应商，依次类推。无法确定成交供应商的，应当重新组织采购。</w:t>
      </w:r>
    </w:p>
    <w:p>
      <w:pPr>
        <w:pStyle w:val="5"/>
        <w:keepNext w:val="0"/>
        <w:keepLines w:val="0"/>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24.成交候选供应商单位及其现任法定代表人、主要负责人存在行贿犯罪记录的，成交后未签订政府采购合同的，将认定成交无效；成交后签订政府采购合同未履行的，将认定成交无效，同时撤销政府采购合同；成交后签订政府采购合同且已经履行的，将认定采购活动违法，由相关当事人承担赔偿责任。</w:t>
      </w:r>
    </w:p>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25.成交结果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25.1采购人确定成交供应商后，将及时书面通知采购代理机构，发出成交通知书并发布成交结果公告。</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25.2成交供应商应当及时领取成交通知书。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25.3成交供应商不能及时领取成交通知书，采购人或者采购代理机应当通过邮寄、快递等方式将项目成交通知书送达成交供应商。</w:t>
      </w:r>
    </w:p>
    <w:p>
      <w:pPr>
        <w:pStyle w:val="5"/>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26.成交通知书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26.1成交通知书为签订政府采购合同的依据之一，是合同的有效组成部分。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26.2成交通知书对采购人和成交供应商均具有法律效力。成交通知书发出后，采购人无正当理由改变成交结果，或者成交供应商无正当理由放弃成交的，将承担相应的法律责任。</w:t>
      </w:r>
    </w:p>
    <w:p>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26.3成交供应商的响应文件作为无效响应文件处理或者有政府采购法律法规规章制度规定的成交无效情形的，采购人/采购代理机构在取得有权主体的认定以后，有权宣布发出的成交通知书无效，并收回发出的成交通知书，依法重新确定成交供应商或者重新开展采购活动。</w:t>
      </w:r>
    </w:p>
    <w:p>
      <w:pPr>
        <w:pStyle w:val="4"/>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七、合同事项</w:t>
      </w:r>
    </w:p>
    <w:p>
      <w:pPr>
        <w:pStyle w:val="5"/>
        <w:spacing w:line="360" w:lineRule="auto"/>
        <w:ind w:firstLine="482" w:firstLineChars="200"/>
        <w:rPr>
          <w:rFonts w:hint="eastAsia" w:ascii="宋体" w:hAnsi="宋体" w:eastAsia="宋体" w:cs="宋体"/>
          <w:color w:val="auto"/>
          <w:sz w:val="24"/>
          <w:highlight w:val="none"/>
        </w:rPr>
      </w:pPr>
      <w:bookmarkStart w:id="52" w:name="_Toc209847069"/>
      <w:bookmarkStart w:id="53" w:name="_Toc430773927"/>
      <w:bookmarkStart w:id="54" w:name="_Toc101174151"/>
      <w:bookmarkStart w:id="55" w:name="_Toc101250646"/>
      <w:bookmarkStart w:id="56" w:name="_Toc101338364"/>
      <w:r>
        <w:rPr>
          <w:rFonts w:hint="eastAsia" w:ascii="宋体" w:hAnsi="宋体" w:eastAsia="宋体" w:cs="宋体"/>
          <w:color w:val="auto"/>
          <w:sz w:val="24"/>
          <w:highlight w:val="none"/>
        </w:rPr>
        <w:t>27.签订合同</w:t>
      </w:r>
      <w:bookmarkEnd w:id="52"/>
      <w:bookmarkEnd w:id="53"/>
      <w:bookmarkEnd w:id="54"/>
      <w:bookmarkEnd w:id="55"/>
      <w:bookmarkEnd w:id="56"/>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27.1 成交供应商应在成交通知书发出之日起三十日内与采购人签订采购合同。由于成交供应商的原因逾期未与采购人签订采购合同的，将视为放弃成交，取消其成交资格并将按相关规定进行处理。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27.2 磋商文件、成交供应商的响应文件及双方确认的澄清文件等，均为有法律约束力的合同组成部分。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27.3 采购人不得向成交供应商提出任何不合理的要求，作为签订合同的条件，不得与成交供应商私下订立背离合同实质性内容的任何协议，所签订的合同不得对磋商文件和成交供应商响应文件确定的事项进行修改。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27.4 成交供应商因不可抗力原因不能履行采购合同或放弃成交的，采购人可以与排在成交供应商之后第一位的成交候选人签订采购合同，以此类推。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27.5竞争性磋商文件、成交供应商提交的响应文件、磋商中的最后报价、成交供应商承诺书、成交通知书等均称为有法律约束力的合同组成内容。</w:t>
      </w:r>
    </w:p>
    <w:p>
      <w:pPr>
        <w:pStyle w:val="5"/>
        <w:spacing w:line="360" w:lineRule="auto"/>
        <w:ind w:firstLine="482"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28.合同分包（实质性要求）</w:t>
      </w:r>
      <w:r>
        <w:rPr>
          <w:rFonts w:hint="eastAsia" w:ascii="宋体" w:hAnsi="宋体" w:eastAsia="宋体" w:cs="宋体"/>
          <w:color w:val="auto"/>
          <w:sz w:val="24"/>
          <w:highlight w:val="none"/>
          <w:lang w:eastAsia="zh-CN"/>
        </w:rPr>
        <w:t>（本项目不允许合同分包）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28.1 经采购人同意，成交供应商可以依法采取分包方式履行合同，但必须在响应文件中事前载明。这种要求应当在合同签订之前征得采购人同意，并且分包供应商履行的分包项目的品牌、规格型号及技术要求等，必须与成交的一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分包履行合同的部分应当为采购项目的非主体、非关键性工作，不属于成交供应商的主要合同义务。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28.2 采购合同实行分包履行的，成交供应商就采购项目和分包项目向采购人负责，分包供应商就分包项目承担责任。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28.3 中小企业依据</w:t>
      </w:r>
      <w:r>
        <w:rPr>
          <w:rFonts w:hint="eastAsia" w:ascii="宋体" w:hAnsi="宋体" w:eastAsia="宋体" w:cs="宋体"/>
          <w:color w:val="auto"/>
          <w:sz w:val="24"/>
          <w:highlight w:val="none"/>
          <w:lang w:eastAsia="zh-CN"/>
        </w:rPr>
        <w:t>《政府采购促进中小企业发展管理办法》（财库[2020]46号）</w:t>
      </w:r>
      <w:r>
        <w:rPr>
          <w:rFonts w:hint="eastAsia" w:ascii="宋体" w:hAnsi="宋体" w:eastAsia="宋体" w:cs="宋体"/>
          <w:color w:val="auto"/>
          <w:sz w:val="24"/>
          <w:highlight w:val="none"/>
        </w:rPr>
        <w:t>规定的政策获取政府采购合同后，小型、微型企业不得分包或转包给大型、中型企业，中型企业不得分包或转包给大型企业。</w:t>
      </w:r>
    </w:p>
    <w:p>
      <w:pPr>
        <w:pStyle w:val="5"/>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29.合同转包（实质性要求）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项目严禁成交供应商将任何政府采购合同义务转包。本项目所称转包，是指成交供应商将政府采购合同义务转让给第三人，并退出现有政府采购合同当事人双方的权利义务关系，受让人（即第三人）成为政府采购合同的另一方当事人的行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成交供应商转包的，视同拒绝履行政府采购合同义务，将依法追究法律责任。</w:t>
      </w:r>
    </w:p>
    <w:p>
      <w:pPr>
        <w:pStyle w:val="5"/>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30.补充合同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 </w:t>
      </w:r>
    </w:p>
    <w:p>
      <w:pPr>
        <w:pStyle w:val="5"/>
        <w:spacing w:line="360" w:lineRule="auto"/>
        <w:ind w:firstLine="482"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31.履约保证金（</w:t>
      </w:r>
      <w:r>
        <w:rPr>
          <w:rFonts w:hint="eastAsia" w:ascii="宋体" w:hAnsi="宋体" w:eastAsia="宋体" w:cs="宋体"/>
          <w:color w:val="auto"/>
          <w:sz w:val="24"/>
          <w:highlight w:val="none"/>
          <w:lang w:eastAsia="zh-CN"/>
        </w:rPr>
        <w:t>若涉及</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 成交供应商应在合同签订之前交纳采购文件规定数额的履约保证金。</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31.2 如果成交供应商在规定的合同签订时间内，没有按照采购文件的规定交纳履约保证金，且又无正当理由的，将视为放弃成交。</w:t>
      </w:r>
    </w:p>
    <w:p>
      <w:pPr>
        <w:pStyle w:val="5"/>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.履行合同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成交供应商与采购人签订合同后，合同双方应严格执行合同条款，履行合同规定的义务，保证合同的顺利完成。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 在合同履行过程中，如发生合同纠纷，合同双方应按照《</w:t>
      </w:r>
      <w:r>
        <w:rPr>
          <w:rFonts w:hint="eastAsia" w:ascii="宋体" w:hAnsi="宋体" w:eastAsia="宋体" w:cs="宋体"/>
          <w:color w:val="auto"/>
          <w:sz w:val="24"/>
          <w:highlight w:val="none"/>
          <w:lang w:eastAsia="zh-CN"/>
        </w:rPr>
        <w:t>民法典</w:t>
      </w:r>
      <w:r>
        <w:rPr>
          <w:rFonts w:hint="eastAsia" w:ascii="宋体" w:hAnsi="宋体" w:eastAsia="宋体" w:cs="宋体"/>
          <w:color w:val="auto"/>
          <w:sz w:val="24"/>
          <w:highlight w:val="none"/>
        </w:rPr>
        <w:t>》的有关规定进行处理。</w:t>
      </w:r>
    </w:p>
    <w:p>
      <w:pPr>
        <w:pStyle w:val="5"/>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.验收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.1本项目采购人将</w:t>
      </w:r>
      <w:r>
        <w:rPr>
          <w:rFonts w:hint="eastAsia" w:ascii="宋体" w:hAnsi="宋体" w:eastAsia="宋体" w:cs="宋体"/>
          <w:color w:val="auto"/>
          <w:sz w:val="24"/>
        </w:rPr>
        <w:t>将</w:t>
      </w:r>
      <w:r>
        <w:rPr>
          <w:rFonts w:hint="eastAsia" w:ascii="宋体" w:hAnsi="宋体" w:eastAsia="宋体" w:cs="宋体"/>
          <w:color w:val="auto"/>
          <w:sz w:val="24"/>
          <w:highlight w:val="none"/>
        </w:rPr>
        <w:t>严格按照《财政部关于进一步加强政府采购需求和履约验收管理的指导意见》（财库〔2016〕205号）等政府采购相关法律法规的要求进行验收。</w:t>
      </w:r>
    </w:p>
    <w:p>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 验收结果合格的，成交供应商到采购人处办理履约保证金的退付手续；验收结果不合格的，履约保证金将不予退还，也将不予支付采购资金，还可能会报本项目同级财政部门按照政府采购法律法规及《四川省公共资源交易领域严重失信联合惩戒实施办法》（川发改信用规〔2019〕405号）、《关于对政府采购领域严重违法失信主体开展联合惩戒的合作备忘录》（发改财金〔2018〕1614号）等有关规定给予行政处罚或者以失信行为记入诚信档案。</w:t>
      </w:r>
    </w:p>
    <w:p>
      <w:pPr>
        <w:pStyle w:val="5"/>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.资金支付</w:t>
      </w:r>
    </w:p>
    <w:p>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采购人将按照政府采购合同规定，及时向成交供应商支付采购资金。本项目采购资金采取直接支付或授权支付。</w:t>
      </w:r>
    </w:p>
    <w:p>
      <w:pPr>
        <w:pStyle w:val="12"/>
        <w:rPr>
          <w:rFonts w:hint="eastAsia" w:ascii="宋体" w:hAnsi="宋体" w:eastAsia="宋体" w:cs="宋体"/>
          <w:color w:val="auto"/>
          <w:highlight w:val="none"/>
        </w:rPr>
      </w:pPr>
    </w:p>
    <w:p>
      <w:pPr>
        <w:pStyle w:val="4"/>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八、磋商纪律要求</w:t>
      </w:r>
    </w:p>
    <w:p>
      <w:pPr>
        <w:pStyle w:val="5"/>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.供应商不得具有的情形</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供应商参加本项目磋商不得有下列情形：</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（1）提供虚假材料谋取成交；</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（2）采取不正当手段诋毁、排挤其他供应商；</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（3）与采购人、采购代理机构、或其他供应商恶意串通；</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（4）向采购人、采购代理机构、磋商小组成员行贿或者提供其他不正当利益；</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（5）在磋商过程中与采购人、采购代理机构进行协商；</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（6）成交后无正当理由拒不与采购人签订政府采购合同；</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（7）未按照磋商文件确定的事项签订政府采购合同；</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（8）将政府采购合同转包或者违规分包；</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（9）提供假冒伪劣产品；</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（10）擅自变更、中止或者终止政府采购合同；</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（11）拒绝有关部门的监督检查或者向监督检查部门提供虚假情况；</w:t>
      </w:r>
    </w:p>
    <w:p>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（12）法律法规规定的其他情形。</w:t>
      </w:r>
    </w:p>
    <w:p>
      <w:pPr>
        <w:tabs>
          <w:tab w:val="left" w:pos="851"/>
        </w:tabs>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供应商有上述情形的，按照规定追究法律责任，具备（1）-（10）条情形之一的，同时将取消被确认为成交供应商的资格或者认定成交无效。</w:t>
      </w:r>
    </w:p>
    <w:p>
      <w:pPr>
        <w:pStyle w:val="4"/>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九、询问、质疑和投诉</w:t>
      </w:r>
    </w:p>
    <w:p>
      <w:pPr>
        <w:pStyle w:val="5"/>
        <w:numPr>
          <w:ilvl w:val="0"/>
          <w:numId w:val="0"/>
        </w:num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36.</w:t>
      </w:r>
      <w:r>
        <w:rPr>
          <w:rFonts w:hint="eastAsia" w:ascii="宋体" w:hAnsi="宋体" w:eastAsia="宋体" w:cs="宋体"/>
          <w:b w:val="0"/>
          <w:bCs w:val="0"/>
          <w:color w:val="auto"/>
          <w:sz w:val="24"/>
          <w:highlight w:val="none"/>
        </w:rPr>
        <w:t>询问、质疑、投诉的接收和处理严格按照《中华人共和国政府采购法》、《中华人民共和国政府采购法实施条例》、《财政部关于加强政府采购供应商投诉受理审查工作的通知》和四川省的有关规定办理（详细规定请在四川政府采购网政策法规模块查询）。</w:t>
      </w:r>
    </w:p>
    <w:p>
      <w:pPr>
        <w:pStyle w:val="4"/>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十、其  他</w:t>
      </w:r>
    </w:p>
    <w:p>
      <w:pPr>
        <w:pStyle w:val="5"/>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本磋商文件中所引相关法律制度规定，在政府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pPr>
        <w:pStyle w:val="3"/>
        <w:snapToGrid w:val="0"/>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bookmarkStart w:id="57" w:name="_Toc16205"/>
      <w:bookmarkStart w:id="58" w:name="_Toc3284"/>
      <w:bookmarkStart w:id="59" w:name="_Toc7937"/>
      <w:bookmarkStart w:id="60" w:name="_Toc24396_WPSOffice_Level1"/>
      <w:bookmarkStart w:id="61" w:name="_Toc32437"/>
      <w:bookmarkStart w:id="62" w:name="_Toc3615"/>
      <w:bookmarkStart w:id="63" w:name="_Toc1648"/>
      <w:bookmarkStart w:id="64" w:name="_Toc17214"/>
      <w:bookmarkStart w:id="65" w:name="_Toc27779"/>
      <w:r>
        <w:rPr>
          <w:rFonts w:hint="eastAsia" w:ascii="宋体" w:hAnsi="宋体" w:eastAsia="宋体" w:cs="宋体"/>
          <w:color w:val="auto"/>
          <w:sz w:val="36"/>
          <w:szCs w:val="36"/>
          <w:highlight w:val="none"/>
        </w:rPr>
        <w:t>第三章  响应文件格式</w:t>
      </w:r>
      <w:bookmarkEnd w:id="57"/>
      <w:bookmarkEnd w:id="58"/>
      <w:bookmarkEnd w:id="59"/>
      <w:bookmarkEnd w:id="60"/>
      <w:bookmarkEnd w:id="61"/>
      <w:bookmarkEnd w:id="62"/>
      <w:bookmarkEnd w:id="63"/>
      <w:bookmarkEnd w:id="64"/>
      <w:bookmarkEnd w:id="65"/>
    </w:p>
    <w:p>
      <w:pPr>
        <w:pStyle w:val="2"/>
        <w:spacing w:line="360" w:lineRule="auto"/>
        <w:ind w:left="0" w:leftChars="0" w:firstLine="360" w:firstLineChars="1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一、本章所制响应文件格式，除格式中明确将该格式作为实质性要求的，一律不具有强制性。</w:t>
      </w:r>
    </w:p>
    <w:p>
      <w:pPr>
        <w:pStyle w:val="2"/>
        <w:spacing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二、本章所制响应文件格式有关表格中的备注栏，由供应商根据自身响应情况作解释性说明，不作为必填项。</w:t>
      </w:r>
    </w:p>
    <w:p>
      <w:pPr>
        <w:pStyle w:val="2"/>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三、本章所制响应文件格式中需要填写的相关内容事项，可能会与本采购项目无关，在不改变响应文件原意、不影响本项目采购需求的情况下，供应商可以不予填写，但应当注明。</w:t>
      </w: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widowControl/>
        <w:spacing w:line="360" w:lineRule="auto"/>
        <w:rPr>
          <w:rStyle w:val="57"/>
          <w:rFonts w:hint="eastAsia" w:ascii="宋体" w:hAnsi="宋体" w:eastAsia="宋体" w:cs="宋体"/>
          <w:color w:val="auto"/>
          <w:highlight w:val="none"/>
        </w:rPr>
      </w:pPr>
    </w:p>
    <w:p>
      <w:pPr>
        <w:jc w:val="center"/>
        <w:rPr>
          <w:rFonts w:hint="eastAsia" w:ascii="宋体" w:hAnsi="宋体" w:eastAsia="宋体" w:cs="宋体"/>
          <w:b/>
          <w:color w:val="auto"/>
          <w:sz w:val="32"/>
          <w:highlight w:val="none"/>
        </w:rPr>
      </w:pPr>
      <w:bookmarkStart w:id="66" w:name="_Toc468269858"/>
      <w:bookmarkStart w:id="67" w:name="_Toc468268136"/>
    </w:p>
    <w:p>
      <w:pPr>
        <w:jc w:val="center"/>
        <w:rPr>
          <w:rFonts w:hint="eastAsia" w:ascii="宋体" w:hAnsi="宋体" w:eastAsia="宋体" w:cs="宋体"/>
          <w:b/>
          <w:color w:val="auto"/>
          <w:sz w:val="32"/>
          <w:highlight w:val="none"/>
        </w:rPr>
      </w:pPr>
    </w:p>
    <w:p>
      <w:pPr>
        <w:jc w:val="center"/>
        <w:rPr>
          <w:rFonts w:hint="eastAsia" w:ascii="宋体" w:hAnsi="宋体" w:eastAsia="宋体" w:cs="宋体"/>
          <w:b/>
          <w:color w:val="auto"/>
          <w:sz w:val="32"/>
          <w:highlight w:val="none"/>
        </w:rPr>
      </w:pP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highlight w:val="none"/>
        </w:rPr>
        <w:t>第一部分     “资格性响应文件”格式</w:t>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格式1-1</w:t>
      </w:r>
    </w:p>
    <w:p>
      <w:pPr>
        <w:jc w:val="center"/>
        <w:rPr>
          <w:rFonts w:hint="eastAsia" w:ascii="宋体" w:hAnsi="宋体" w:eastAsia="宋体" w:cs="宋体"/>
          <w:b/>
          <w:color w:val="auto"/>
          <w:sz w:val="32"/>
          <w:szCs w:val="32"/>
          <w:highlight w:val="none"/>
        </w:rPr>
      </w:pPr>
    </w:p>
    <w:p>
      <w:pPr>
        <w:jc w:val="right"/>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（正本/副本）</w:t>
      </w:r>
    </w:p>
    <w:p>
      <w:pPr>
        <w:rPr>
          <w:rFonts w:hint="eastAsia" w:ascii="宋体" w:hAnsi="宋体" w:eastAsia="宋体" w:cs="宋体"/>
          <w:b/>
          <w:color w:val="auto"/>
          <w:sz w:val="72"/>
          <w:highlight w:val="none"/>
        </w:rPr>
      </w:pPr>
    </w:p>
    <w:p>
      <w:pPr>
        <w:spacing w:line="360" w:lineRule="auto"/>
        <w:jc w:val="center"/>
        <w:rPr>
          <w:rFonts w:hint="eastAsia" w:ascii="宋体" w:hAnsi="宋体" w:eastAsia="宋体" w:cs="宋体"/>
          <w:b/>
          <w:color w:val="auto"/>
          <w:sz w:val="72"/>
          <w:highlight w:val="none"/>
        </w:rPr>
      </w:pPr>
      <w:r>
        <w:rPr>
          <w:rFonts w:hint="eastAsia" w:ascii="宋体" w:hAnsi="宋体" w:eastAsia="宋体" w:cs="宋体"/>
          <w:b/>
          <w:color w:val="auto"/>
          <w:sz w:val="40"/>
          <w:szCs w:val="48"/>
          <w:highlight w:val="none"/>
        </w:rPr>
        <w:t>xxxx项目</w:t>
      </w:r>
    </w:p>
    <w:p>
      <w:pPr>
        <w:spacing w:line="360" w:lineRule="auto"/>
        <w:rPr>
          <w:rFonts w:hint="eastAsia" w:ascii="宋体" w:hAnsi="宋体" w:eastAsia="宋体" w:cs="宋体"/>
          <w:b/>
          <w:color w:val="auto"/>
          <w:sz w:val="52"/>
          <w:szCs w:val="52"/>
          <w:highlight w:val="none"/>
        </w:rPr>
      </w:pPr>
    </w:p>
    <w:p>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资格性响应文件</w:t>
      </w:r>
    </w:p>
    <w:p>
      <w:pPr>
        <w:spacing w:line="360" w:lineRule="auto"/>
        <w:rPr>
          <w:rFonts w:hint="eastAsia" w:ascii="宋体" w:hAnsi="宋体" w:eastAsia="宋体" w:cs="宋体"/>
          <w:b/>
          <w:color w:val="auto"/>
          <w:sz w:val="36"/>
          <w:highlight w:val="none"/>
        </w:rPr>
      </w:pPr>
    </w:p>
    <w:p>
      <w:pPr>
        <w:spacing w:line="360" w:lineRule="auto"/>
        <w:rPr>
          <w:rFonts w:hint="eastAsia" w:ascii="宋体" w:hAnsi="宋体" w:eastAsia="宋体" w:cs="宋体"/>
          <w:b/>
          <w:color w:val="auto"/>
          <w:sz w:val="36"/>
          <w:highlight w:val="none"/>
        </w:rPr>
      </w:pPr>
    </w:p>
    <w:p>
      <w:pPr>
        <w:spacing w:line="360" w:lineRule="auto"/>
        <w:ind w:firstLine="643" w:firstLineChars="200"/>
        <w:jc w:val="left"/>
        <w:rPr>
          <w:rFonts w:hint="eastAsia" w:ascii="宋体" w:hAnsi="宋体" w:eastAsia="宋体" w:cs="宋体"/>
          <w:b/>
          <w:color w:val="auto"/>
          <w:sz w:val="32"/>
          <w:highlight w:val="none"/>
          <w:u w:val="single"/>
        </w:rPr>
      </w:pPr>
      <w:r>
        <w:rPr>
          <w:rFonts w:hint="eastAsia" w:ascii="宋体" w:hAnsi="宋体" w:eastAsia="宋体" w:cs="宋体"/>
          <w:b/>
          <w:color w:val="auto"/>
          <w:sz w:val="32"/>
          <w:highlight w:val="none"/>
        </w:rPr>
        <w:t>供 应 商名称：</w:t>
      </w:r>
    </w:p>
    <w:p>
      <w:pPr>
        <w:spacing w:line="360" w:lineRule="auto"/>
        <w:ind w:firstLine="643" w:firstLineChars="200"/>
        <w:jc w:val="left"/>
        <w:rPr>
          <w:rFonts w:hint="eastAsia" w:ascii="宋体" w:hAnsi="宋体" w:eastAsia="宋体" w:cs="宋体"/>
          <w:b/>
          <w:color w:val="auto"/>
          <w:sz w:val="32"/>
          <w:highlight w:val="none"/>
          <w:u w:val="single"/>
        </w:rPr>
      </w:pPr>
      <w:r>
        <w:rPr>
          <w:rFonts w:hint="eastAsia" w:ascii="宋体" w:hAnsi="宋体" w:eastAsia="宋体" w:cs="宋体"/>
          <w:b/>
          <w:color w:val="auto"/>
          <w:sz w:val="32"/>
          <w:highlight w:val="none"/>
        </w:rPr>
        <w:t>采购项目编号：</w:t>
      </w:r>
    </w:p>
    <w:p>
      <w:pPr>
        <w:jc w:val="center"/>
        <w:rPr>
          <w:rFonts w:hint="eastAsia" w:ascii="宋体" w:hAnsi="宋体" w:eastAsia="宋体" w:cs="宋体"/>
          <w:b/>
          <w:color w:val="auto"/>
          <w:sz w:val="36"/>
          <w:highlight w:val="none"/>
        </w:rPr>
      </w:pPr>
    </w:p>
    <w:p>
      <w:pPr>
        <w:jc w:val="center"/>
        <w:rPr>
          <w:rFonts w:hint="eastAsia" w:ascii="宋体" w:hAnsi="宋体" w:eastAsia="宋体" w:cs="宋体"/>
          <w:b/>
          <w:color w:val="auto"/>
          <w:sz w:val="32"/>
          <w:szCs w:val="32"/>
          <w:highlight w:val="none"/>
        </w:rPr>
      </w:pPr>
    </w:p>
    <w:p>
      <w:pPr>
        <w:jc w:val="center"/>
        <w:rPr>
          <w:rFonts w:hint="eastAsia" w:ascii="宋体" w:hAnsi="宋体" w:eastAsia="宋体" w:cs="宋体"/>
          <w:b/>
          <w:color w:val="auto"/>
          <w:sz w:val="36"/>
          <w:highlight w:val="none"/>
        </w:rPr>
      </w:pPr>
    </w:p>
    <w:p>
      <w:pPr>
        <w:jc w:val="center"/>
        <w:rPr>
          <w:rFonts w:hint="eastAsia" w:ascii="宋体" w:hAnsi="宋体" w:eastAsia="宋体" w:cs="宋体"/>
          <w:b/>
          <w:color w:val="auto"/>
          <w:sz w:val="36"/>
          <w:highlight w:val="none"/>
        </w:rPr>
      </w:pPr>
    </w:p>
    <w:p>
      <w:pPr>
        <w:spacing w:line="440" w:lineRule="exact"/>
        <w:jc w:val="center"/>
        <w:rPr>
          <w:rFonts w:hint="eastAsia" w:ascii="宋体" w:hAnsi="宋体" w:eastAsia="宋体" w:cs="宋体"/>
          <w:b/>
          <w:color w:val="auto"/>
          <w:sz w:val="36"/>
          <w:highlight w:val="none"/>
        </w:rPr>
      </w:pP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rPr>
        <w:t>日期：20</w:t>
      </w:r>
      <w:r>
        <w:rPr>
          <w:rFonts w:hint="eastAsia" w:ascii="宋体" w:hAnsi="宋体" w:eastAsia="宋体" w:cs="宋体"/>
          <w:b/>
          <w:color w:val="auto"/>
          <w:sz w:val="32"/>
          <w:highlight w:val="none"/>
          <w:lang w:val="en-US" w:eastAsia="zh-CN"/>
        </w:rPr>
        <w:t>22</w:t>
      </w:r>
      <w:r>
        <w:rPr>
          <w:rFonts w:hint="eastAsia" w:ascii="宋体" w:hAnsi="宋体" w:eastAsia="宋体" w:cs="宋体"/>
          <w:b/>
          <w:color w:val="auto"/>
          <w:sz w:val="32"/>
          <w:highlight w:val="none"/>
        </w:rPr>
        <w:t>年XX月XX日</w:t>
      </w:r>
    </w:p>
    <w:p>
      <w:pPr>
        <w:jc w:val="center"/>
        <w:rPr>
          <w:rFonts w:hint="eastAsia" w:ascii="宋体" w:hAnsi="宋体" w:eastAsia="宋体" w:cs="宋体"/>
          <w:b/>
          <w:bCs/>
          <w:color w:val="auto"/>
          <w:sz w:val="32"/>
          <w:szCs w:val="32"/>
          <w:highlight w:val="none"/>
        </w:rPr>
      </w:pPr>
    </w:p>
    <w:p>
      <w:pPr>
        <w:jc w:val="center"/>
        <w:rPr>
          <w:rFonts w:hint="eastAsia" w:ascii="宋体" w:hAnsi="宋体" w:eastAsia="宋体" w:cs="宋体"/>
          <w:b/>
          <w:bCs/>
          <w:color w:val="auto"/>
          <w:sz w:val="32"/>
          <w:szCs w:val="32"/>
          <w:highlight w:val="none"/>
        </w:rPr>
      </w:pPr>
    </w:p>
    <w:p>
      <w:pPr>
        <w:jc w:val="center"/>
        <w:rPr>
          <w:rFonts w:hint="eastAsia" w:ascii="宋体" w:hAnsi="宋体" w:eastAsia="宋体" w:cs="宋体"/>
          <w:b/>
          <w:bCs/>
          <w:color w:val="auto"/>
          <w:sz w:val="32"/>
          <w:szCs w:val="32"/>
          <w:highlight w:val="none"/>
        </w:rPr>
      </w:pPr>
    </w:p>
    <w:p>
      <w:pPr>
        <w:jc w:val="center"/>
        <w:rPr>
          <w:rFonts w:hint="eastAsia" w:ascii="宋体" w:hAnsi="宋体" w:eastAsia="宋体" w:cs="宋体"/>
          <w:b/>
          <w:bCs/>
          <w:color w:val="auto"/>
          <w:sz w:val="32"/>
          <w:szCs w:val="32"/>
          <w:highlight w:val="none"/>
        </w:rPr>
      </w:pPr>
    </w:p>
    <w:p>
      <w:pPr>
        <w:jc w:val="center"/>
        <w:rPr>
          <w:rFonts w:hint="eastAsia" w:ascii="宋体" w:hAnsi="宋体" w:eastAsia="宋体" w:cs="宋体"/>
          <w:b/>
          <w:bCs/>
          <w:color w:val="auto"/>
          <w:sz w:val="32"/>
          <w:szCs w:val="32"/>
          <w:highlight w:val="none"/>
        </w:rPr>
      </w:pPr>
    </w:p>
    <w:p>
      <w:pPr>
        <w:spacing w:line="360" w:lineRule="auto"/>
        <w:rPr>
          <w:rFonts w:hint="eastAsia" w:ascii="宋体" w:hAnsi="宋体" w:eastAsia="宋体" w:cs="宋体"/>
          <w:b/>
          <w:color w:val="auto"/>
          <w:sz w:val="32"/>
          <w:szCs w:val="32"/>
          <w:highlight w:val="none"/>
        </w:rPr>
        <w:sectPr>
          <w:footerReference r:id="rId8" w:type="default"/>
          <w:footerReference r:id="rId9" w:type="even"/>
          <w:pgSz w:w="11907" w:h="16840"/>
          <w:pgMar w:top="1134" w:right="1134" w:bottom="1134" w:left="1134" w:header="851" w:footer="992" w:gutter="0"/>
          <w:pgNumType w:fmt="decimal"/>
          <w:cols w:space="720" w:num="1"/>
          <w:rtlGutter w:val="0"/>
          <w:docGrid w:linePitch="312" w:charSpace="0"/>
        </w:sectPr>
      </w:pP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格式1-2</w:t>
      </w:r>
    </w:p>
    <w:p>
      <w:pPr>
        <w:spacing w:line="360" w:lineRule="auto"/>
        <w:ind w:firstLine="790" w:firstLineChars="24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一、法定代表人/单位负责人授权书</w:t>
      </w:r>
    </w:p>
    <w:p>
      <w:pPr>
        <w:widowControl/>
        <w:spacing w:line="360" w:lineRule="atLeast"/>
        <w:ind w:firstLine="472" w:firstLineChars="196"/>
        <w:jc w:val="left"/>
        <w:outlineLvl w:val="1"/>
        <w:rPr>
          <w:rFonts w:hint="eastAsia" w:ascii="宋体" w:hAnsi="宋体" w:eastAsia="宋体" w:cs="宋体"/>
          <w:b/>
          <w:color w:val="auto"/>
          <w:sz w:val="24"/>
          <w:highlight w:val="none"/>
        </w:rPr>
      </w:pPr>
    </w:p>
    <w:p>
      <w:pPr>
        <w:widowControl/>
        <w:spacing w:line="360" w:lineRule="atLeast"/>
        <w:ind w:firstLine="472" w:firstLineChars="196"/>
        <w:jc w:val="left"/>
        <w:outlineLvl w:val="1"/>
        <w:rPr>
          <w:rFonts w:hint="eastAsia" w:ascii="宋体" w:hAnsi="宋体" w:eastAsia="宋体" w:cs="宋体"/>
          <w:b/>
          <w:color w:val="auto"/>
          <w:sz w:val="24"/>
          <w:highlight w:val="none"/>
        </w:rPr>
      </w:pPr>
    </w:p>
    <w:p>
      <w:pPr>
        <w:widowControl/>
        <w:spacing w:line="360" w:lineRule="atLeast"/>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XXXXXXXX（采购代理机构名称）：</w:t>
      </w: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本授权声明： XXXX（供应商名称）XXXX（法定代表人/单位负责人姓名、职务）授权XXXX（被授权人姓名、职务）为我方 “XXXXXXXX” 项目（采购项目编号：XXXX）磋商采购活动的合法代表，以我方名义全权处理该项目有关磋商采购、签订合同以及执行合同等一切事宜。</w:t>
      </w: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法定代表人/单位负责人（委托人）签字或加盖个人印章：XXXX。</w:t>
      </w: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授权代表（被授权人）签字：XXXX。</w:t>
      </w: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供应商名称：XXXX（单位盖章）。</w:t>
      </w: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期：XXXX。</w:t>
      </w:r>
    </w:p>
    <w:p>
      <w:pPr>
        <w:widowControl/>
        <w:spacing w:line="360" w:lineRule="atLeast"/>
        <w:jc w:val="left"/>
        <w:outlineLvl w:val="1"/>
        <w:rPr>
          <w:rFonts w:hint="eastAsia" w:ascii="宋体" w:hAnsi="宋体" w:eastAsia="宋体" w:cs="宋体"/>
          <w:b/>
          <w:color w:val="auto"/>
          <w:sz w:val="24"/>
          <w:highlight w:val="none"/>
        </w:rPr>
      </w:pPr>
      <w:bookmarkStart w:id="68" w:name="_Toc217446084"/>
    </w:p>
    <w:p>
      <w:pPr>
        <w:widowControl/>
        <w:spacing w:line="360" w:lineRule="atLeast"/>
        <w:jc w:val="left"/>
        <w:outlineLvl w:val="1"/>
        <w:rPr>
          <w:rFonts w:hint="eastAsia" w:ascii="宋体" w:hAnsi="宋体" w:eastAsia="宋体" w:cs="宋体"/>
          <w:b/>
          <w:color w:val="auto"/>
          <w:sz w:val="24"/>
          <w:highlight w:val="none"/>
        </w:rPr>
      </w:pPr>
    </w:p>
    <w:p>
      <w:pPr>
        <w:widowControl/>
        <w:spacing w:line="360" w:lineRule="atLeast"/>
        <w:jc w:val="left"/>
        <w:outlineLvl w:val="1"/>
        <w:rPr>
          <w:rFonts w:hint="eastAsia" w:ascii="宋体" w:hAnsi="宋体" w:eastAsia="宋体" w:cs="宋体"/>
          <w:b/>
          <w:color w:val="auto"/>
          <w:sz w:val="24"/>
          <w:highlight w:val="none"/>
        </w:rPr>
      </w:pPr>
    </w:p>
    <w:p>
      <w:pPr>
        <w:widowControl/>
        <w:spacing w:line="360" w:lineRule="atLeast"/>
        <w:jc w:val="left"/>
        <w:outlineLvl w:val="1"/>
        <w:rPr>
          <w:rFonts w:hint="eastAsia" w:ascii="宋体" w:hAnsi="宋体" w:eastAsia="宋体" w:cs="宋体"/>
          <w:b/>
          <w:color w:val="auto"/>
          <w:sz w:val="24"/>
          <w:highlight w:val="none"/>
        </w:rPr>
      </w:pPr>
    </w:p>
    <w:p>
      <w:pPr>
        <w:wordWrap w:val="0"/>
        <w:topLinePunct/>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注：</w:t>
      </w:r>
      <w:r>
        <w:rPr>
          <w:rFonts w:hint="eastAsia" w:ascii="宋体" w:hAnsi="宋体" w:eastAsia="宋体" w:cs="宋体"/>
          <w:color w:val="auto"/>
          <w:sz w:val="24"/>
          <w:szCs w:val="24"/>
          <w:highlight w:val="none"/>
        </w:rPr>
        <w:t>1、法定代表人不亲自投标而委托授权人投标适用。供应商为法人单位时提供“法定代表人授权书”，供应商为其他组织时提供“单位负责人授权书”，供应商为自然人时提供“自然人身份证明材料”。</w:t>
      </w:r>
    </w:p>
    <w:p>
      <w:pPr>
        <w:wordWrap w:val="0"/>
        <w:topLinePunct/>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2、应附法定代表人/单位负责人身份证明材料复印件和授权代表身份证明材料复印件。</w:t>
      </w:r>
    </w:p>
    <w:p>
      <w:pPr>
        <w:wordWrap w:val="0"/>
        <w:topLinePunct/>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3、身份证明材料包括居民身份证或户口本或军官证或护照等。</w:t>
      </w:r>
    </w:p>
    <w:p>
      <w:pPr>
        <w:wordWrap w:val="0"/>
        <w:topLinePunct/>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4、身份证明材料应同时提供其在有效期的材料，如居民身份证正、反面复印件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委托授权人在递响应标文件时，应携带委托授权人身份证原件。</w:t>
      </w:r>
    </w:p>
    <w:p>
      <w:pPr>
        <w:wordWrap w:val="0"/>
        <w:topLinePunct/>
        <w:spacing w:line="440" w:lineRule="exact"/>
        <w:ind w:firstLine="420"/>
        <w:rPr>
          <w:rFonts w:hint="eastAsia" w:ascii="宋体" w:hAnsi="宋体" w:eastAsia="宋体" w:cs="宋体"/>
          <w:color w:val="auto"/>
          <w:sz w:val="24"/>
          <w:szCs w:val="24"/>
          <w:highlight w:val="none"/>
        </w:rPr>
      </w:pPr>
    </w:p>
    <w:bookmarkEnd w:id="68"/>
    <w:p>
      <w:pPr>
        <w:spacing w:line="360" w:lineRule="auto"/>
        <w:ind w:firstLine="790" w:firstLineChars="246"/>
        <w:jc w:val="center"/>
        <w:rPr>
          <w:rFonts w:hint="eastAsia" w:ascii="宋体" w:hAnsi="宋体" w:eastAsia="宋体" w:cs="宋体"/>
          <w:b/>
          <w:color w:val="auto"/>
          <w:sz w:val="32"/>
          <w:highlight w:val="none"/>
        </w:rPr>
      </w:pPr>
    </w:p>
    <w:p>
      <w:pPr>
        <w:spacing w:line="360" w:lineRule="auto"/>
        <w:rPr>
          <w:rFonts w:hint="eastAsia" w:ascii="宋体" w:hAnsi="宋体" w:eastAsia="宋体" w:cs="宋体"/>
          <w:b/>
          <w:color w:val="auto"/>
          <w:sz w:val="32"/>
          <w:szCs w:val="32"/>
          <w:highlight w:val="none"/>
        </w:rPr>
        <w:sectPr>
          <w:footerReference r:id="rId10" w:type="default"/>
          <w:footerReference r:id="rId11" w:type="even"/>
          <w:pgSz w:w="11907" w:h="16840"/>
          <w:pgMar w:top="1440" w:right="1417" w:bottom="1440" w:left="1474" w:header="851" w:footer="992" w:gutter="0"/>
          <w:pgNumType w:fmt="decimal"/>
          <w:cols w:space="720" w:num="1"/>
          <w:rtlGutter w:val="0"/>
          <w:docGrid w:linePitch="312" w:charSpace="0"/>
        </w:sectPr>
      </w:pPr>
    </w:p>
    <w:p>
      <w:pPr>
        <w:spacing w:line="360" w:lineRule="auto"/>
        <w:ind w:firstLine="790" w:firstLineChars="246"/>
        <w:jc w:val="center"/>
        <w:rPr>
          <w:rFonts w:hint="eastAsia" w:ascii="宋体" w:hAnsi="宋体" w:eastAsia="宋体" w:cs="宋体"/>
          <w:b/>
          <w:color w:val="auto"/>
          <w:sz w:val="32"/>
          <w:szCs w:val="32"/>
          <w:highlight w:val="none"/>
        </w:rPr>
      </w:pPr>
      <w:bookmarkStart w:id="69" w:name="_Toc25333"/>
      <w:bookmarkStart w:id="70" w:name="_Toc535573881"/>
      <w:bookmarkStart w:id="71" w:name="_Toc23171"/>
      <w:bookmarkStart w:id="72" w:name="_Toc535573467"/>
      <w:r>
        <w:rPr>
          <w:rFonts w:hint="eastAsia" w:ascii="宋体" w:hAnsi="宋体" w:eastAsia="宋体" w:cs="宋体"/>
          <w:b/>
          <w:color w:val="auto"/>
          <w:sz w:val="32"/>
          <w:szCs w:val="32"/>
          <w:highlight w:val="none"/>
        </w:rPr>
        <w:t>法定代表人身份证明书</w:t>
      </w:r>
    </w:p>
    <w:p>
      <w:pPr>
        <w:widowControl/>
        <w:spacing w:line="360" w:lineRule="atLeast"/>
        <w:ind w:firstLine="472" w:firstLineChars="196"/>
        <w:jc w:val="left"/>
        <w:outlineLvl w:val="1"/>
        <w:rPr>
          <w:rFonts w:hint="eastAsia" w:ascii="宋体" w:hAnsi="宋体" w:eastAsia="宋体" w:cs="宋体"/>
          <w:b/>
          <w:color w:val="auto"/>
          <w:sz w:val="24"/>
          <w:highlight w:val="none"/>
        </w:rPr>
      </w:pPr>
    </w:p>
    <w:p>
      <w:pPr>
        <w:widowControl/>
        <w:spacing w:line="360" w:lineRule="atLeast"/>
        <w:ind w:firstLine="472" w:firstLineChars="196"/>
        <w:jc w:val="left"/>
        <w:outlineLvl w:val="1"/>
        <w:rPr>
          <w:rFonts w:hint="eastAsia" w:ascii="宋体" w:hAnsi="宋体" w:eastAsia="宋体" w:cs="宋体"/>
          <w:b/>
          <w:color w:val="auto"/>
          <w:sz w:val="24"/>
          <w:highlight w:val="none"/>
        </w:rPr>
      </w:pPr>
    </w:p>
    <w:p>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（法定代表人姓名）         在          （</w:t>
      </w:r>
      <w:r>
        <w:rPr>
          <w:rFonts w:hint="eastAsia" w:ascii="宋体" w:hAnsi="宋体" w:eastAsia="宋体" w:cs="宋体"/>
          <w:color w:val="auto"/>
          <w:sz w:val="24"/>
          <w:highlight w:val="none"/>
          <w:u w:val="single"/>
          <w:lang w:val="en-US" w:eastAsia="zh-CN"/>
        </w:rPr>
        <w:t>供应商</w:t>
      </w:r>
      <w:r>
        <w:rPr>
          <w:rFonts w:hint="eastAsia" w:ascii="宋体" w:hAnsi="宋体" w:eastAsia="宋体" w:cs="宋体"/>
          <w:color w:val="auto"/>
          <w:sz w:val="24"/>
          <w:highlight w:val="none"/>
          <w:u w:val="single"/>
        </w:rPr>
        <w:t>名称）  处 任         （职务名称）        职务，是      （</w:t>
      </w:r>
      <w:r>
        <w:rPr>
          <w:rFonts w:hint="eastAsia" w:ascii="宋体" w:hAnsi="宋体" w:eastAsia="宋体" w:cs="宋体"/>
          <w:color w:val="auto"/>
          <w:sz w:val="24"/>
          <w:highlight w:val="none"/>
          <w:u w:val="single"/>
          <w:lang w:val="en-US"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w:t>
      </w: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（加盖公章）</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spacing w:line="360" w:lineRule="auto"/>
        <w:rPr>
          <w:rFonts w:hint="eastAsia" w:ascii="宋体" w:hAnsi="宋体" w:eastAsia="宋体" w:cs="宋体"/>
          <w:color w:val="auto"/>
          <w:sz w:val="24"/>
          <w:highlight w:val="none"/>
          <w:u w:val="single"/>
        </w:rPr>
      </w:pP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说明：1、附法定代表人身份证复印件时才能生效(身份证复印件加盖公章。</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的法定代表人为外籍人士的，可提供护照复印件并加盖公章)。</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2、提供的证件必须在有效期内。</w:t>
      </w:r>
    </w:p>
    <w:p>
      <w:pPr>
        <w:spacing w:line="360" w:lineRule="auto"/>
        <w:ind w:firstLine="720" w:firstLineChars="30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为其他组织时提供“单位负责人身份证明书”格式自拟，并附单位负责人身份证复印件并加盖公章。</w:t>
      </w:r>
    </w:p>
    <w:p>
      <w:pPr>
        <w:keepNext/>
        <w:keepLines/>
        <w:numPr>
          <w:ilvl w:val="0"/>
          <w:numId w:val="0"/>
        </w:numPr>
        <w:spacing w:before="260" w:after="260" w:line="400" w:lineRule="exact"/>
        <w:jc w:val="center"/>
        <w:outlineLvl w:val="1"/>
        <w:rPr>
          <w:rFonts w:hint="eastAsia" w:ascii="宋体" w:hAnsi="宋体" w:eastAsia="宋体" w:cs="宋体"/>
          <w:b/>
          <w:bCs w:val="0"/>
          <w:color w:val="auto"/>
          <w:kern w:val="0"/>
          <w:sz w:val="32"/>
          <w:szCs w:val="32"/>
          <w:highlight w:val="none"/>
          <w:lang w:val="en-US" w:eastAsia="zh-CN" w:bidi="ar-SA"/>
        </w:rPr>
        <w:sectPr>
          <w:footerReference r:id="rId12" w:type="default"/>
          <w:footerReference r:id="rId13" w:type="even"/>
          <w:pgSz w:w="11907" w:h="16840"/>
          <w:pgMar w:top="1134" w:right="1134" w:bottom="1134" w:left="1134" w:header="851" w:footer="992" w:gutter="0"/>
          <w:pgNumType w:fmt="decimal"/>
          <w:cols w:space="720" w:num="1"/>
          <w:rtlGutter w:val="0"/>
          <w:docGrid w:linePitch="312" w:charSpace="0"/>
        </w:sectPr>
      </w:pPr>
    </w:p>
    <w:bookmarkEnd w:id="69"/>
    <w:bookmarkEnd w:id="70"/>
    <w:bookmarkEnd w:id="71"/>
    <w:bookmarkEnd w:id="72"/>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格式1-</w:t>
      </w:r>
      <w:r>
        <w:rPr>
          <w:rFonts w:hint="eastAsia" w:ascii="宋体" w:hAnsi="宋体" w:eastAsia="宋体" w:cs="宋体"/>
          <w:b/>
          <w:color w:val="auto"/>
          <w:sz w:val="32"/>
          <w:szCs w:val="32"/>
          <w:highlight w:val="none"/>
          <w:lang w:val="en-US" w:eastAsia="zh-CN"/>
        </w:rPr>
        <w:t>3</w:t>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rPr>
        <w:t>供应商基本情况表</w:t>
      </w:r>
    </w:p>
    <w:p>
      <w:pPr>
        <w:jc w:val="center"/>
        <w:rPr>
          <w:rFonts w:hint="eastAsia" w:ascii="宋体" w:hAnsi="宋体" w:eastAsia="宋体" w:cs="宋体"/>
          <w:b/>
          <w:bCs/>
          <w:color w:val="auto"/>
          <w:sz w:val="32"/>
          <w:szCs w:val="32"/>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供应商名称</w:t>
            </w:r>
          </w:p>
        </w:tc>
        <w:tc>
          <w:tcPr>
            <w:tcW w:w="7560" w:type="dxa"/>
            <w:gridSpan w:val="11"/>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注册地址</w:t>
            </w:r>
          </w:p>
        </w:tc>
        <w:tc>
          <w:tcPr>
            <w:tcW w:w="4680" w:type="dxa"/>
            <w:gridSpan w:val="6"/>
            <w:noWrap w:val="0"/>
            <w:vAlign w:val="center"/>
          </w:tcPr>
          <w:p>
            <w:pPr>
              <w:jc w:val="center"/>
              <w:rPr>
                <w:rFonts w:hint="eastAsia" w:ascii="宋体" w:hAnsi="宋体" w:eastAsia="宋体" w:cs="宋体"/>
                <w:bCs/>
                <w:color w:val="auto"/>
                <w:szCs w:val="21"/>
                <w:highlight w:val="none"/>
              </w:rPr>
            </w:pPr>
          </w:p>
        </w:tc>
        <w:tc>
          <w:tcPr>
            <w:tcW w:w="126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邮政编码</w:t>
            </w:r>
          </w:p>
        </w:tc>
        <w:tc>
          <w:tcPr>
            <w:tcW w:w="1620" w:type="dxa"/>
            <w:gridSpan w:val="2"/>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联系方式</w:t>
            </w:r>
          </w:p>
        </w:tc>
        <w:tc>
          <w:tcPr>
            <w:tcW w:w="108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联系人</w:t>
            </w:r>
          </w:p>
        </w:tc>
        <w:tc>
          <w:tcPr>
            <w:tcW w:w="3600" w:type="dxa"/>
            <w:gridSpan w:val="5"/>
            <w:noWrap w:val="0"/>
            <w:vAlign w:val="center"/>
          </w:tcPr>
          <w:p>
            <w:pPr>
              <w:jc w:val="center"/>
              <w:rPr>
                <w:rFonts w:hint="eastAsia" w:ascii="宋体" w:hAnsi="宋体" w:eastAsia="宋体" w:cs="宋体"/>
                <w:bCs/>
                <w:color w:val="auto"/>
                <w:szCs w:val="21"/>
                <w:highlight w:val="none"/>
              </w:rPr>
            </w:pPr>
          </w:p>
        </w:tc>
        <w:tc>
          <w:tcPr>
            <w:tcW w:w="126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p>
        </w:tc>
        <w:tc>
          <w:tcPr>
            <w:tcW w:w="1620" w:type="dxa"/>
            <w:gridSpan w:val="2"/>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noWrap w:val="0"/>
            <w:vAlign w:val="center"/>
          </w:tcPr>
          <w:p>
            <w:pPr>
              <w:jc w:val="center"/>
              <w:rPr>
                <w:rFonts w:hint="eastAsia" w:ascii="宋体" w:hAnsi="宋体" w:eastAsia="宋体" w:cs="宋体"/>
                <w:bCs/>
                <w:color w:val="auto"/>
                <w:szCs w:val="21"/>
                <w:highlight w:val="none"/>
              </w:rPr>
            </w:pPr>
          </w:p>
        </w:tc>
        <w:tc>
          <w:tcPr>
            <w:tcW w:w="108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传真</w:t>
            </w:r>
          </w:p>
        </w:tc>
        <w:tc>
          <w:tcPr>
            <w:tcW w:w="3600" w:type="dxa"/>
            <w:gridSpan w:val="5"/>
            <w:noWrap w:val="0"/>
            <w:vAlign w:val="center"/>
          </w:tcPr>
          <w:p>
            <w:pPr>
              <w:jc w:val="center"/>
              <w:rPr>
                <w:rFonts w:hint="eastAsia" w:ascii="宋体" w:hAnsi="宋体" w:eastAsia="宋体" w:cs="宋体"/>
                <w:bCs/>
                <w:color w:val="auto"/>
                <w:szCs w:val="21"/>
                <w:highlight w:val="none"/>
              </w:rPr>
            </w:pPr>
          </w:p>
        </w:tc>
        <w:tc>
          <w:tcPr>
            <w:tcW w:w="126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网址</w:t>
            </w:r>
          </w:p>
        </w:tc>
        <w:tc>
          <w:tcPr>
            <w:tcW w:w="1620" w:type="dxa"/>
            <w:gridSpan w:val="2"/>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组织结构</w:t>
            </w:r>
          </w:p>
        </w:tc>
        <w:tc>
          <w:tcPr>
            <w:tcW w:w="7560" w:type="dxa"/>
            <w:gridSpan w:val="11"/>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法定代表人/单位负责人</w:t>
            </w:r>
          </w:p>
        </w:tc>
        <w:tc>
          <w:tcPr>
            <w:tcW w:w="1260" w:type="dxa"/>
            <w:gridSpan w:val="2"/>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p>
        </w:tc>
        <w:tc>
          <w:tcPr>
            <w:tcW w:w="1260" w:type="dxa"/>
            <w:noWrap w:val="0"/>
            <w:vAlign w:val="center"/>
          </w:tcPr>
          <w:p>
            <w:pPr>
              <w:jc w:val="center"/>
              <w:rPr>
                <w:rFonts w:hint="eastAsia" w:ascii="宋体" w:hAnsi="宋体" w:eastAsia="宋体" w:cs="宋体"/>
                <w:bCs/>
                <w:color w:val="auto"/>
                <w:szCs w:val="21"/>
                <w:highlight w:val="none"/>
              </w:rPr>
            </w:pPr>
          </w:p>
        </w:tc>
        <w:tc>
          <w:tcPr>
            <w:tcW w:w="126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技术职称</w:t>
            </w:r>
          </w:p>
        </w:tc>
        <w:tc>
          <w:tcPr>
            <w:tcW w:w="1260" w:type="dxa"/>
            <w:gridSpan w:val="3"/>
            <w:noWrap w:val="0"/>
            <w:vAlign w:val="center"/>
          </w:tcPr>
          <w:p>
            <w:pPr>
              <w:jc w:val="center"/>
              <w:rPr>
                <w:rFonts w:hint="eastAsia" w:ascii="宋体" w:hAnsi="宋体" w:eastAsia="宋体" w:cs="宋体"/>
                <w:bCs/>
                <w:color w:val="auto"/>
                <w:szCs w:val="21"/>
                <w:highlight w:val="none"/>
              </w:rPr>
            </w:pPr>
          </w:p>
        </w:tc>
        <w:tc>
          <w:tcPr>
            <w:tcW w:w="126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p>
        </w:tc>
        <w:tc>
          <w:tcPr>
            <w:tcW w:w="1260" w:type="dxa"/>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技术负责人</w:t>
            </w:r>
          </w:p>
        </w:tc>
        <w:tc>
          <w:tcPr>
            <w:tcW w:w="1260" w:type="dxa"/>
            <w:gridSpan w:val="2"/>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p>
        </w:tc>
        <w:tc>
          <w:tcPr>
            <w:tcW w:w="1260" w:type="dxa"/>
            <w:noWrap w:val="0"/>
            <w:vAlign w:val="center"/>
          </w:tcPr>
          <w:p>
            <w:pPr>
              <w:jc w:val="center"/>
              <w:rPr>
                <w:rFonts w:hint="eastAsia" w:ascii="宋体" w:hAnsi="宋体" w:eastAsia="宋体" w:cs="宋体"/>
                <w:bCs/>
                <w:color w:val="auto"/>
                <w:szCs w:val="21"/>
                <w:highlight w:val="none"/>
              </w:rPr>
            </w:pPr>
          </w:p>
        </w:tc>
        <w:tc>
          <w:tcPr>
            <w:tcW w:w="126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技术职称</w:t>
            </w:r>
          </w:p>
        </w:tc>
        <w:tc>
          <w:tcPr>
            <w:tcW w:w="1260" w:type="dxa"/>
            <w:gridSpan w:val="3"/>
            <w:noWrap w:val="0"/>
            <w:vAlign w:val="center"/>
          </w:tcPr>
          <w:p>
            <w:pPr>
              <w:jc w:val="center"/>
              <w:rPr>
                <w:rFonts w:hint="eastAsia" w:ascii="宋体" w:hAnsi="宋体" w:eastAsia="宋体" w:cs="宋体"/>
                <w:bCs/>
                <w:color w:val="auto"/>
                <w:szCs w:val="21"/>
                <w:highlight w:val="none"/>
              </w:rPr>
            </w:pPr>
          </w:p>
        </w:tc>
        <w:tc>
          <w:tcPr>
            <w:tcW w:w="126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p>
        </w:tc>
        <w:tc>
          <w:tcPr>
            <w:tcW w:w="1260" w:type="dxa"/>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成立时间</w:t>
            </w:r>
          </w:p>
        </w:tc>
        <w:tc>
          <w:tcPr>
            <w:tcW w:w="2520" w:type="dxa"/>
            <w:gridSpan w:val="3"/>
            <w:noWrap w:val="0"/>
            <w:vAlign w:val="center"/>
          </w:tcPr>
          <w:p>
            <w:pPr>
              <w:jc w:val="center"/>
              <w:rPr>
                <w:rFonts w:hint="eastAsia" w:ascii="宋体" w:hAnsi="宋体" w:eastAsia="宋体" w:cs="宋体"/>
                <w:bCs/>
                <w:color w:val="auto"/>
                <w:szCs w:val="21"/>
                <w:highlight w:val="none"/>
              </w:rPr>
            </w:pPr>
          </w:p>
        </w:tc>
        <w:tc>
          <w:tcPr>
            <w:tcW w:w="5040" w:type="dxa"/>
            <w:gridSpan w:val="8"/>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企业资质等级</w:t>
            </w:r>
          </w:p>
        </w:tc>
        <w:tc>
          <w:tcPr>
            <w:tcW w:w="2520" w:type="dxa"/>
            <w:gridSpan w:val="3"/>
            <w:noWrap w:val="0"/>
            <w:vAlign w:val="center"/>
          </w:tcPr>
          <w:p>
            <w:pPr>
              <w:jc w:val="center"/>
              <w:rPr>
                <w:rFonts w:hint="eastAsia" w:ascii="宋体" w:hAnsi="宋体" w:eastAsia="宋体" w:cs="宋体"/>
                <w:bCs/>
                <w:color w:val="auto"/>
                <w:szCs w:val="21"/>
                <w:highlight w:val="none"/>
              </w:rPr>
            </w:pPr>
          </w:p>
        </w:tc>
        <w:tc>
          <w:tcPr>
            <w:tcW w:w="1680" w:type="dxa"/>
            <w:gridSpan w:val="2"/>
            <w:vMerge w:val="restart"/>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其中</w:t>
            </w:r>
          </w:p>
        </w:tc>
        <w:tc>
          <w:tcPr>
            <w:tcW w:w="168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项目经理</w:t>
            </w:r>
          </w:p>
        </w:tc>
        <w:tc>
          <w:tcPr>
            <w:tcW w:w="1680" w:type="dxa"/>
            <w:gridSpan w:val="3"/>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营业执照</w:t>
            </w:r>
            <w:r>
              <w:rPr>
                <w:rFonts w:hint="eastAsia" w:ascii="宋体" w:hAnsi="宋体" w:eastAsia="宋体" w:cs="宋体"/>
                <w:color w:val="auto"/>
                <w:highlight w:val="none"/>
              </w:rPr>
              <w:t>号</w:t>
            </w:r>
          </w:p>
        </w:tc>
        <w:tc>
          <w:tcPr>
            <w:tcW w:w="2520" w:type="dxa"/>
            <w:gridSpan w:val="3"/>
            <w:noWrap w:val="0"/>
            <w:vAlign w:val="center"/>
          </w:tcPr>
          <w:p>
            <w:pPr>
              <w:jc w:val="center"/>
              <w:rPr>
                <w:rFonts w:hint="eastAsia" w:ascii="宋体" w:hAnsi="宋体" w:eastAsia="宋体" w:cs="宋体"/>
                <w:bCs/>
                <w:color w:val="auto"/>
                <w:szCs w:val="21"/>
                <w:highlight w:val="none"/>
              </w:rPr>
            </w:pPr>
          </w:p>
        </w:tc>
        <w:tc>
          <w:tcPr>
            <w:tcW w:w="1680" w:type="dxa"/>
            <w:gridSpan w:val="2"/>
            <w:vMerge w:val="continue"/>
            <w:noWrap w:val="0"/>
            <w:vAlign w:val="center"/>
          </w:tcPr>
          <w:p>
            <w:pPr>
              <w:jc w:val="center"/>
              <w:rPr>
                <w:rFonts w:hint="eastAsia" w:ascii="宋体" w:hAnsi="宋体" w:eastAsia="宋体" w:cs="宋体"/>
                <w:bCs/>
                <w:color w:val="auto"/>
                <w:szCs w:val="21"/>
                <w:highlight w:val="none"/>
              </w:rPr>
            </w:pPr>
          </w:p>
        </w:tc>
        <w:tc>
          <w:tcPr>
            <w:tcW w:w="168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高级职称人员</w:t>
            </w:r>
          </w:p>
        </w:tc>
        <w:tc>
          <w:tcPr>
            <w:tcW w:w="1680" w:type="dxa"/>
            <w:gridSpan w:val="3"/>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注册资金</w:t>
            </w:r>
          </w:p>
        </w:tc>
        <w:tc>
          <w:tcPr>
            <w:tcW w:w="2520" w:type="dxa"/>
            <w:gridSpan w:val="3"/>
            <w:noWrap w:val="0"/>
            <w:vAlign w:val="center"/>
          </w:tcPr>
          <w:p>
            <w:pPr>
              <w:jc w:val="center"/>
              <w:rPr>
                <w:rFonts w:hint="eastAsia" w:ascii="宋体" w:hAnsi="宋体" w:eastAsia="宋体" w:cs="宋体"/>
                <w:bCs/>
                <w:color w:val="auto"/>
                <w:szCs w:val="21"/>
                <w:highlight w:val="none"/>
              </w:rPr>
            </w:pPr>
          </w:p>
        </w:tc>
        <w:tc>
          <w:tcPr>
            <w:tcW w:w="1680" w:type="dxa"/>
            <w:gridSpan w:val="2"/>
            <w:vMerge w:val="continue"/>
            <w:noWrap w:val="0"/>
            <w:vAlign w:val="center"/>
          </w:tcPr>
          <w:p>
            <w:pPr>
              <w:jc w:val="center"/>
              <w:rPr>
                <w:rFonts w:hint="eastAsia" w:ascii="宋体" w:hAnsi="宋体" w:eastAsia="宋体" w:cs="宋体"/>
                <w:bCs/>
                <w:color w:val="auto"/>
                <w:szCs w:val="21"/>
                <w:highlight w:val="none"/>
              </w:rPr>
            </w:pPr>
          </w:p>
        </w:tc>
        <w:tc>
          <w:tcPr>
            <w:tcW w:w="168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中级职称人员</w:t>
            </w:r>
          </w:p>
        </w:tc>
        <w:tc>
          <w:tcPr>
            <w:tcW w:w="1680" w:type="dxa"/>
            <w:gridSpan w:val="3"/>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开户银行</w:t>
            </w:r>
          </w:p>
        </w:tc>
        <w:tc>
          <w:tcPr>
            <w:tcW w:w="2520" w:type="dxa"/>
            <w:gridSpan w:val="3"/>
            <w:noWrap w:val="0"/>
            <w:vAlign w:val="center"/>
          </w:tcPr>
          <w:p>
            <w:pPr>
              <w:jc w:val="center"/>
              <w:rPr>
                <w:rFonts w:hint="eastAsia" w:ascii="宋体" w:hAnsi="宋体" w:eastAsia="宋体" w:cs="宋体"/>
                <w:bCs/>
                <w:color w:val="auto"/>
                <w:szCs w:val="21"/>
                <w:highlight w:val="none"/>
              </w:rPr>
            </w:pPr>
          </w:p>
        </w:tc>
        <w:tc>
          <w:tcPr>
            <w:tcW w:w="1680" w:type="dxa"/>
            <w:gridSpan w:val="2"/>
            <w:vMerge w:val="continue"/>
            <w:noWrap w:val="0"/>
            <w:vAlign w:val="center"/>
          </w:tcPr>
          <w:p>
            <w:pPr>
              <w:jc w:val="center"/>
              <w:rPr>
                <w:rFonts w:hint="eastAsia" w:ascii="宋体" w:hAnsi="宋体" w:eastAsia="宋体" w:cs="宋体"/>
                <w:bCs/>
                <w:color w:val="auto"/>
                <w:szCs w:val="21"/>
                <w:highlight w:val="none"/>
              </w:rPr>
            </w:pPr>
          </w:p>
        </w:tc>
        <w:tc>
          <w:tcPr>
            <w:tcW w:w="168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初级职称人员</w:t>
            </w:r>
          </w:p>
        </w:tc>
        <w:tc>
          <w:tcPr>
            <w:tcW w:w="1680" w:type="dxa"/>
            <w:gridSpan w:val="3"/>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账号</w:t>
            </w:r>
          </w:p>
        </w:tc>
        <w:tc>
          <w:tcPr>
            <w:tcW w:w="2520" w:type="dxa"/>
            <w:gridSpan w:val="3"/>
            <w:noWrap w:val="0"/>
            <w:vAlign w:val="center"/>
          </w:tcPr>
          <w:p>
            <w:pPr>
              <w:jc w:val="center"/>
              <w:rPr>
                <w:rFonts w:hint="eastAsia" w:ascii="宋体" w:hAnsi="宋体" w:eastAsia="宋体" w:cs="宋体"/>
                <w:bCs/>
                <w:color w:val="auto"/>
                <w:szCs w:val="21"/>
                <w:highlight w:val="none"/>
              </w:rPr>
            </w:pPr>
          </w:p>
        </w:tc>
        <w:tc>
          <w:tcPr>
            <w:tcW w:w="1680" w:type="dxa"/>
            <w:gridSpan w:val="2"/>
            <w:vMerge w:val="continue"/>
            <w:noWrap w:val="0"/>
            <w:vAlign w:val="center"/>
          </w:tcPr>
          <w:p>
            <w:pPr>
              <w:jc w:val="center"/>
              <w:rPr>
                <w:rFonts w:hint="eastAsia" w:ascii="宋体" w:hAnsi="宋体" w:eastAsia="宋体" w:cs="宋体"/>
                <w:bCs/>
                <w:color w:val="auto"/>
                <w:szCs w:val="21"/>
                <w:highlight w:val="none"/>
              </w:rPr>
            </w:pPr>
          </w:p>
        </w:tc>
        <w:tc>
          <w:tcPr>
            <w:tcW w:w="1680" w:type="dxa"/>
            <w:gridSpan w:val="3"/>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技工</w:t>
            </w:r>
          </w:p>
        </w:tc>
        <w:tc>
          <w:tcPr>
            <w:tcW w:w="1680" w:type="dxa"/>
            <w:gridSpan w:val="3"/>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经营范围</w:t>
            </w:r>
          </w:p>
        </w:tc>
        <w:tc>
          <w:tcPr>
            <w:tcW w:w="7560" w:type="dxa"/>
            <w:gridSpan w:val="11"/>
            <w:noWrap w:val="0"/>
            <w:vAlign w:val="center"/>
          </w:tcPr>
          <w:p>
            <w:pPr>
              <w:jc w:val="center"/>
              <w:rPr>
                <w:rFonts w:hint="eastAsia" w:ascii="宋体" w:hAnsi="宋体" w:eastAsia="宋体" w:cs="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noWrap w:val="0"/>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备注</w:t>
            </w:r>
          </w:p>
        </w:tc>
        <w:tc>
          <w:tcPr>
            <w:tcW w:w="7560" w:type="dxa"/>
            <w:gridSpan w:val="11"/>
            <w:noWrap w:val="0"/>
            <w:vAlign w:val="center"/>
          </w:tcPr>
          <w:p>
            <w:pPr>
              <w:jc w:val="center"/>
              <w:rPr>
                <w:rFonts w:hint="eastAsia" w:ascii="宋体" w:hAnsi="宋体" w:eastAsia="宋体" w:cs="宋体"/>
                <w:bCs/>
                <w:color w:val="auto"/>
                <w:szCs w:val="21"/>
                <w:highlight w:val="none"/>
              </w:rPr>
            </w:pPr>
          </w:p>
        </w:tc>
      </w:tr>
    </w:tbl>
    <w:p>
      <w:pPr>
        <w:adjustRightInd w:val="0"/>
        <w:spacing w:line="400" w:lineRule="exact"/>
        <w:jc w:val="left"/>
        <w:rPr>
          <w:rFonts w:hint="eastAsia" w:ascii="宋体" w:hAnsi="宋体" w:eastAsia="宋体" w:cs="宋体"/>
          <w:color w:val="auto"/>
          <w:sz w:val="24"/>
          <w:highlight w:val="none"/>
        </w:rPr>
      </w:pPr>
    </w:p>
    <w:p>
      <w:pPr>
        <w:adjustRightInd w:val="0"/>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供应商名称：XXX（盖单位公章）</w:t>
      </w:r>
    </w:p>
    <w:p>
      <w:pPr>
        <w:adjustRightInd w:val="0"/>
        <w:spacing w:line="40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法定代表人/单位负责人或授权代表</w:t>
      </w:r>
      <w:r>
        <w:rPr>
          <w:rFonts w:hint="eastAsia" w:ascii="宋体" w:hAnsi="宋体" w:eastAsia="宋体" w:cs="宋体"/>
          <w:color w:val="auto"/>
          <w:sz w:val="24"/>
          <w:highlight w:val="none"/>
        </w:rPr>
        <w:t>（签字或加盖个人印章）</w:t>
      </w:r>
      <w:r>
        <w:rPr>
          <w:rFonts w:hint="eastAsia" w:ascii="宋体" w:hAnsi="宋体" w:eastAsia="宋体" w:cs="宋体"/>
          <w:bCs/>
          <w:color w:val="auto"/>
          <w:sz w:val="24"/>
          <w:highlight w:val="none"/>
        </w:rPr>
        <w:t>：XXX</w:t>
      </w:r>
    </w:p>
    <w:p>
      <w:pPr>
        <w:adjustRightInd w:val="0"/>
        <w:spacing w:line="40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日期：XXX年XXX月XXX日</w:t>
      </w:r>
    </w:p>
    <w:p>
      <w:pPr>
        <w:widowControl/>
        <w:spacing w:line="360" w:lineRule="atLeast"/>
        <w:ind w:firstLine="470" w:firstLineChars="196"/>
        <w:jc w:val="left"/>
        <w:outlineLvl w:val="1"/>
        <w:rPr>
          <w:rFonts w:hint="eastAsia" w:ascii="宋体" w:hAnsi="宋体" w:eastAsia="宋体" w:cs="宋体"/>
          <w:color w:val="auto"/>
          <w:sz w:val="24"/>
          <w:highlight w:val="none"/>
        </w:rPr>
      </w:pPr>
    </w:p>
    <w:p>
      <w:pPr>
        <w:pStyle w:val="12"/>
        <w:rPr>
          <w:rFonts w:hint="eastAsia" w:ascii="宋体" w:hAnsi="宋体" w:eastAsia="宋体" w:cs="宋体"/>
          <w:color w:val="auto"/>
          <w:highlight w:val="none"/>
        </w:rPr>
      </w:pPr>
    </w:p>
    <w:p>
      <w:pPr>
        <w:spacing w:line="360" w:lineRule="auto"/>
        <w:rPr>
          <w:rFonts w:hint="eastAsia" w:ascii="宋体" w:hAnsi="宋体" w:eastAsia="宋体" w:cs="宋体"/>
          <w:b/>
          <w:color w:val="auto"/>
          <w:sz w:val="32"/>
          <w:szCs w:val="32"/>
          <w:highlight w:val="none"/>
        </w:rPr>
      </w:pP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格式1-</w:t>
      </w:r>
      <w:r>
        <w:rPr>
          <w:rFonts w:hint="eastAsia" w:ascii="宋体" w:hAnsi="宋体" w:eastAsia="宋体" w:cs="宋体"/>
          <w:b/>
          <w:color w:val="auto"/>
          <w:sz w:val="32"/>
          <w:szCs w:val="32"/>
          <w:highlight w:val="none"/>
          <w:lang w:val="en-US" w:eastAsia="zh-CN"/>
        </w:rPr>
        <w:t>4</w:t>
      </w:r>
    </w:p>
    <w:p>
      <w:pPr>
        <w:widowControl/>
        <w:spacing w:line="360" w:lineRule="atLeas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rPr>
        <w:t>、承诺函</w:t>
      </w:r>
    </w:p>
    <w:p>
      <w:pPr>
        <w:widowControl/>
        <w:spacing w:line="360" w:lineRule="atLeast"/>
        <w:jc w:val="center"/>
        <w:outlineLvl w:val="1"/>
        <w:rPr>
          <w:rFonts w:hint="eastAsia" w:ascii="宋体" w:hAnsi="宋体" w:eastAsia="宋体" w:cs="宋体"/>
          <w:b/>
          <w:color w:val="auto"/>
          <w:sz w:val="24"/>
          <w:highlight w:val="none"/>
        </w:rPr>
      </w:pPr>
    </w:p>
    <w:p>
      <w:pPr>
        <w:widowControl/>
        <w:spacing w:line="360" w:lineRule="atLeast"/>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XXX（采购代理机构名称）：</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我公司作为本次采购项目的供应商，根据磋商文件要求，现郑重承诺如下：</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一、具备《中华人民共和国政府采购法》第二十二条第一款和本项目规定的条件：</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（一）具有独立承担民事责任的能力；</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（二）具有良好的商业信誉和健全的财务会计制度；</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（三）具有履行合同所必需的设备和专业技术能力；</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（四）有依法缴纳税收和社会保障资金的良好记录；</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（五）参加政府采购活动前三年内，在经营活动中没有重大违法记录；</w:t>
      </w:r>
    </w:p>
    <w:p>
      <w:pPr>
        <w:widowControl/>
        <w:spacing w:line="360" w:lineRule="atLeast"/>
        <w:ind w:firstLine="480" w:firstLineChars="200"/>
        <w:jc w:val="left"/>
        <w:outlineLvl w:val="1"/>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（六）法律、行政法规规定的其他条件</w:t>
      </w:r>
      <w:r>
        <w:rPr>
          <w:rFonts w:hint="eastAsia" w:ascii="宋体" w:hAnsi="宋体" w:eastAsia="宋体" w:cs="宋体"/>
          <w:color w:val="auto"/>
          <w:sz w:val="24"/>
          <w:highlight w:val="none"/>
          <w:lang w:eastAsia="zh-CN"/>
        </w:rPr>
        <w:t>：</w:t>
      </w:r>
    </w:p>
    <w:p>
      <w:pPr>
        <w:widowControl/>
        <w:spacing w:line="360" w:lineRule="atLeast"/>
        <w:ind w:firstLine="480" w:firstLineChars="200"/>
        <w:jc w:val="left"/>
        <w:outlineLvl w:val="1"/>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在</w:t>
      </w:r>
      <w:r>
        <w:rPr>
          <w:rFonts w:hint="eastAsia" w:ascii="宋体" w:hAnsi="宋体" w:eastAsia="宋体" w:cs="宋体"/>
          <w:color w:val="auto"/>
          <w:sz w:val="24"/>
          <w:highlight w:val="none"/>
          <w:lang w:eastAsia="zh-CN"/>
        </w:rPr>
        <w:t>参加本次政府采购活动</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lang w:eastAsia="zh-CN"/>
        </w:rPr>
        <w:t>，不存在与单位负责人为同一人或者存在直接控股、管理关系的其他供应商参与同一合同项下的政府采购活动的行为。</w:t>
      </w:r>
    </w:p>
    <w:p>
      <w:pPr>
        <w:widowControl/>
        <w:spacing w:line="360" w:lineRule="atLeast"/>
        <w:ind w:firstLine="480" w:firstLineChars="200"/>
        <w:jc w:val="left"/>
        <w:outlineLvl w:val="1"/>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lang w:val="en-US" w:eastAsia="zh-CN"/>
        </w:rPr>
        <w:t>在</w:t>
      </w:r>
      <w:r>
        <w:rPr>
          <w:rFonts w:hint="eastAsia" w:ascii="宋体" w:hAnsi="宋体" w:eastAsia="宋体" w:cs="宋体"/>
          <w:color w:val="auto"/>
          <w:sz w:val="24"/>
          <w:highlight w:val="none"/>
          <w:lang w:eastAsia="zh-CN"/>
        </w:rPr>
        <w:t>参加本次政府采购活动</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lang w:eastAsia="zh-CN"/>
        </w:rPr>
        <w:t>，不存在和其他供应商在同一合同项下的采购项目中，同时委托同一个自然人、同一家庭的人员、同一单位的人员作为代理人的行为。</w:t>
      </w:r>
    </w:p>
    <w:p>
      <w:pPr>
        <w:widowControl/>
        <w:spacing w:line="360" w:lineRule="atLeast"/>
        <w:ind w:firstLine="480" w:firstLineChars="200"/>
        <w:jc w:val="left"/>
        <w:outlineLvl w:val="1"/>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（3）在参加本次采购活动中，不存在参加过本项目整体设计、规范编制或者项目管理、监理、检测等服务。</w:t>
      </w:r>
    </w:p>
    <w:p>
      <w:pPr>
        <w:widowControl/>
        <w:spacing w:line="360" w:lineRule="atLeast"/>
        <w:ind w:firstLine="480" w:firstLineChars="200"/>
        <w:jc w:val="left"/>
        <w:outlineLvl w:val="1"/>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（4）供应商及其现任法定代表人、主要负责人{无行贿犯罪记录的期限</w:t>
      </w:r>
      <w:r>
        <w:rPr>
          <w:rFonts w:hint="eastAsia" w:ascii="宋体" w:hAnsi="宋体" w:eastAsia="宋体" w:cs="宋体"/>
          <w:color w:val="auto"/>
          <w:sz w:val="24"/>
          <w:highlight w:val="none"/>
          <w:u w:val="single"/>
          <w:lang w:eastAsia="zh-CN"/>
        </w:rPr>
        <w:t xml:space="preserve">      （填写：十年内/公司成立之日起至今）}</w:t>
      </w:r>
      <w:r>
        <w:rPr>
          <w:rFonts w:hint="eastAsia" w:ascii="宋体" w:hAnsi="宋体" w:eastAsia="宋体" w:cs="宋体"/>
          <w:color w:val="auto"/>
          <w:sz w:val="24"/>
          <w:highlight w:val="none"/>
          <w:lang w:val="en-US" w:eastAsia="zh-CN"/>
        </w:rPr>
        <w:t>无</w:t>
      </w:r>
      <w:r>
        <w:rPr>
          <w:rFonts w:hint="eastAsia" w:ascii="宋体" w:hAnsi="宋体" w:eastAsia="宋体" w:cs="宋体"/>
          <w:color w:val="auto"/>
          <w:sz w:val="24"/>
          <w:highlight w:val="none"/>
          <w:lang w:eastAsia="zh-CN"/>
        </w:rPr>
        <w:t>行贿犯罪记录；</w:t>
      </w:r>
    </w:p>
    <w:p>
      <w:pPr>
        <w:widowControl/>
        <w:spacing w:line="360" w:lineRule="atLeast"/>
        <w:ind w:firstLine="480" w:firstLineChars="200"/>
        <w:jc w:val="left"/>
        <w:outlineLvl w:val="1"/>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（七）根据采购项目提出的特殊条件</w:t>
      </w:r>
      <w:r>
        <w:rPr>
          <w:rFonts w:hint="eastAsia" w:ascii="宋体" w:hAnsi="宋体" w:eastAsia="宋体" w:cs="宋体"/>
          <w:color w:val="auto"/>
          <w:sz w:val="24"/>
          <w:highlight w:val="none"/>
          <w:lang w:eastAsia="zh-CN"/>
        </w:rPr>
        <w:t>：本项目专门面向中小企采购，供应商提供中小企业声明函（监狱企业、残疾人福利性单位视同小微企业）；</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二、完全接受和满足本项目磋商文件中规定的实质性要求，如对磋商文件有异议，已经在递交响应文件截止时间届满前依法进行维权救济，不存在对磋商文件有异议的同时又参加磋商以求侥幸成交或者为实现其他非法目的的行为。</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如果有《四川省公共资源交易领域严重失信联合惩戒实施办法》（川发改信用规〔2019〕405号）、《关于对政府采购领域严重违法失信主体开展联合惩戒的合作备忘录》（发改财金〔2018〕1614号）规定的记入诚信档案的失信行为，将在响应文件中全面如实反映。</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、响应文件中提供的任何资料和技术、服务、商务等响应承诺情况都是真实的、有效的、合法的。</w:t>
      </w:r>
    </w:p>
    <w:p>
      <w:pPr>
        <w:widowControl/>
        <w:spacing w:line="360" w:lineRule="atLeast"/>
        <w:ind w:firstLine="480" w:firstLineChars="200"/>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本公司对上述承诺的内容事项真实性负责。如经查实上述承诺的内容事项存在虚假，我公司愿意接受以提供虚假材料谋取成交的法律责任。</w:t>
      </w: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供应商名称：XXXX（单位公章）。</w:t>
      </w: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法定代表人/单位负责人或授权代表（签字或加盖个人印章）：XXXX。</w:t>
      </w: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期：XXXX。</w:t>
      </w:r>
    </w:p>
    <w:p>
      <w:pPr>
        <w:spacing w:line="360" w:lineRule="auto"/>
        <w:rPr>
          <w:rFonts w:hint="eastAsia" w:ascii="宋体" w:hAnsi="宋体" w:eastAsia="宋体" w:cs="宋体"/>
          <w:b/>
          <w:color w:val="auto"/>
          <w:sz w:val="32"/>
          <w:szCs w:val="32"/>
          <w:highlight w:val="none"/>
        </w:rPr>
        <w:sectPr>
          <w:pgSz w:w="11907" w:h="16840"/>
          <w:pgMar w:top="1134" w:right="1134" w:bottom="1134" w:left="1134" w:header="851" w:footer="992" w:gutter="0"/>
          <w:pgNumType w:fmt="decimal"/>
          <w:cols w:space="720" w:num="1"/>
          <w:rtlGutter w:val="0"/>
          <w:docGrid w:linePitch="312" w:charSpace="0"/>
        </w:sectPr>
      </w:pPr>
    </w:p>
    <w:p>
      <w:pPr>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格式1-</w:t>
      </w:r>
      <w:r>
        <w:rPr>
          <w:rFonts w:hint="eastAsia" w:ascii="宋体" w:hAnsi="宋体" w:eastAsia="宋体" w:cs="宋体"/>
          <w:b/>
          <w:color w:val="auto"/>
          <w:sz w:val="32"/>
          <w:szCs w:val="32"/>
          <w:highlight w:val="none"/>
          <w:lang w:val="en-US" w:eastAsia="zh-CN"/>
        </w:rPr>
        <w:t>5</w:t>
      </w:r>
    </w:p>
    <w:p>
      <w:pPr>
        <w:spacing w:line="360" w:lineRule="auto"/>
        <w:ind w:firstLine="790" w:firstLineChars="24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四</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供应商应提供其他类似效力要求的相关证明材料</w:t>
      </w:r>
    </w:p>
    <w:p>
      <w:pPr>
        <w:spacing w:line="360" w:lineRule="auto"/>
        <w:rPr>
          <w:rFonts w:hint="eastAsia" w:ascii="宋体" w:hAnsi="宋体" w:eastAsia="宋体" w:cs="宋体"/>
          <w:bCs/>
          <w:color w:val="auto"/>
          <w:sz w:val="24"/>
          <w:highlight w:val="none"/>
          <w:lang w:eastAsia="zh-CN"/>
        </w:rPr>
        <w:sectPr>
          <w:footerReference r:id="rId14" w:type="default"/>
          <w:footerReference r:id="rId15" w:type="even"/>
          <w:pgSz w:w="11907" w:h="16840"/>
          <w:pgMar w:top="1440" w:right="1417" w:bottom="1440" w:left="1474" w:header="851" w:footer="992" w:gutter="0"/>
          <w:pgNumType w:fmt="decimal"/>
          <w:cols w:space="720" w:num="1"/>
          <w:rtlGutter w:val="0"/>
          <w:docGrid w:linePitch="312" w:charSpace="0"/>
        </w:sectPr>
      </w:pPr>
      <w:r>
        <w:rPr>
          <w:rFonts w:hint="eastAsia" w:ascii="宋体" w:hAnsi="宋体" w:eastAsia="宋体" w:cs="宋体"/>
          <w:bCs/>
          <w:color w:val="auto"/>
          <w:sz w:val="24"/>
          <w:highlight w:val="none"/>
        </w:rPr>
        <w:t>注：供应商应按磋商文件第四章相关要求提供佐证材料，有格式要求的从其要求，无格式要求的格式自拟</w:t>
      </w:r>
      <w:r>
        <w:rPr>
          <w:rFonts w:hint="eastAsia" w:ascii="宋体" w:hAnsi="宋体" w:eastAsia="宋体" w:cs="宋体"/>
          <w:bCs/>
          <w:color w:val="auto"/>
          <w:sz w:val="24"/>
          <w:highlight w:val="none"/>
          <w:lang w:eastAsia="zh-CN"/>
        </w:rPr>
        <w:t>。</w:t>
      </w:r>
    </w:p>
    <w:p>
      <w:pPr>
        <w:widowControl/>
        <w:spacing w:line="360" w:lineRule="atLeast"/>
        <w:jc w:val="left"/>
        <w:outlineLvl w:val="1"/>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val="en-US" w:eastAsia="zh-CN"/>
        </w:rPr>
        <w:t>1</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6</w:t>
      </w:r>
    </w:p>
    <w:p>
      <w:pPr>
        <w:widowControl/>
        <w:spacing w:line="360" w:lineRule="atLeas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中小企业（监狱企业）声明函</w:t>
      </w:r>
    </w:p>
    <w:p>
      <w:pPr>
        <w:widowControl/>
        <w:spacing w:line="360" w:lineRule="atLeast"/>
        <w:jc w:val="center"/>
        <w:outlineLvl w:val="1"/>
        <w:rPr>
          <w:rFonts w:hint="eastAsia" w:ascii="宋体" w:hAnsi="宋体" w:eastAsia="宋体" w:cs="宋体"/>
          <w:b/>
          <w:color w:val="auto"/>
          <w:sz w:val="32"/>
          <w:szCs w:val="32"/>
          <w:highlight w:val="none"/>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本公司郑重声明，根据《政府采购促进中小企业发展管理办法》（财库﹝2020﹞46 号）的规定，本公司参加</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采购活动，服务全部由符合政策要求的中小企业承接。相关企业的具体情况如下：</w:t>
      </w:r>
    </w:p>
    <w:p>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i w:val="0"/>
          <w:iCs w:val="0"/>
          <w:color w:val="auto"/>
          <w:sz w:val="24"/>
          <w:highlight w:val="none"/>
          <w:u w:val="single"/>
          <w:lang w:val="en-US" w:eastAsia="zh-CN"/>
        </w:rPr>
        <w:t>（</w:t>
      </w:r>
      <w:r>
        <w:rPr>
          <w:rFonts w:hint="eastAsia" w:ascii="宋体" w:hAnsi="宋体" w:eastAsia="宋体" w:cs="宋体"/>
          <w:b w:val="0"/>
          <w:bCs w:val="0"/>
          <w:i w:val="0"/>
          <w:iCs w:val="0"/>
          <w:color w:val="auto"/>
          <w:sz w:val="24"/>
          <w:highlight w:val="none"/>
          <w:u w:val="single"/>
        </w:rPr>
        <w:t>标的名称</w:t>
      </w:r>
      <w:r>
        <w:rPr>
          <w:rFonts w:hint="eastAsia" w:ascii="宋体" w:hAnsi="宋体" w:eastAsia="宋体" w:cs="宋体"/>
          <w:b w:val="0"/>
          <w:bCs w:val="0"/>
          <w:i w:val="0"/>
          <w:iCs w:val="0"/>
          <w:color w:val="auto"/>
          <w:sz w:val="24"/>
          <w:highlight w:val="none"/>
          <w:u w:val="single"/>
          <w:lang w:val="en-US" w:eastAsia="zh-CN"/>
        </w:rPr>
        <w:t>）</w:t>
      </w:r>
      <w:r>
        <w:rPr>
          <w:rFonts w:hint="eastAsia" w:ascii="宋体" w:hAnsi="宋体" w:eastAsia="宋体" w:cs="宋体"/>
          <w:color w:val="auto"/>
          <w:sz w:val="24"/>
          <w:highlight w:val="none"/>
        </w:rPr>
        <w:t xml:space="preserve"> ，属于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（招标文件中明确的所属行业）；承接企业为</w:t>
      </w:r>
      <w:r>
        <w:rPr>
          <w:rFonts w:hint="eastAsia" w:ascii="宋体" w:hAnsi="宋体" w:eastAsia="宋体" w:cs="宋体"/>
          <w:color w:val="auto"/>
          <w:sz w:val="24"/>
          <w:highlight w:val="none"/>
          <w:u w:val="single"/>
          <w:lang w:val="en-US" w:eastAsia="zh-CN"/>
        </w:rPr>
        <w:t xml:space="preserve">           （企业名称）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rPr>
        <w:t>人</w:t>
      </w:r>
      <w:r>
        <w:rPr>
          <w:rFonts w:hint="eastAsia" w:ascii="宋体" w:hAnsi="宋体" w:eastAsia="宋体" w:cs="宋体"/>
          <w:color w:val="auto"/>
          <w:sz w:val="24"/>
          <w:highlight w:val="none"/>
        </w:rPr>
        <w:t>，营业收入为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（中型企业、小型企业、微型企业）。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注：1.从业人员、营业收入、资产总额填报上一年度数据，无上一年度数据的新成立企业可不填报。</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2.提供服务的企业在中华人民共和国境内依法设立，符合《工业和信息化部、国家统计局、国家发展和改革委员会、财政部关于印发中小企业划型标准规定的通知》（工信部联企业〔2011〕300 号）规定的划分标准为小微企业，但与大企业的负责人为同一人，或者与大企业存在直接控股、管理关系的除外适用。符合中小企业划分标准的个体工商户，在政府采购活动中视同中小企业。按照财库[2014]68 号文的规定监狱企业视同为小微企业。 按照财库〔2017〕141 号文的规定残疾人福利性单位视同为小微企业。</w:t>
      </w:r>
    </w:p>
    <w:p>
      <w:pPr>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4"/>
          <w:highlight w:val="none"/>
        </w:rPr>
        <w:br w:type="page"/>
      </w:r>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val="en-US" w:eastAsia="zh-CN"/>
        </w:rPr>
        <w:t>1</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7</w:t>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 xml:space="preserve"> 残疾人福利性单位声明函</w:t>
      </w:r>
    </w:p>
    <w:p>
      <w:pPr>
        <w:spacing w:line="588" w:lineRule="exact"/>
        <w:rPr>
          <w:rFonts w:hint="eastAsia" w:ascii="宋体" w:hAnsi="宋体" w:eastAsia="宋体" w:cs="宋体"/>
          <w:b/>
          <w:color w:val="auto"/>
          <w:spacing w:val="6"/>
          <w:sz w:val="24"/>
          <w:highlight w:val="none"/>
        </w:rPr>
      </w:pPr>
    </w:p>
    <w:p>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号）的规定，本单位为符合条件的残疾人福利性单位，且本单位参加</w:t>
      </w:r>
      <w:r>
        <w:rPr>
          <w:rFonts w:hint="eastAsia" w:ascii="宋体" w:hAnsi="宋体" w:eastAsia="宋体" w:cs="宋体"/>
          <w:color w:val="auto"/>
          <w:sz w:val="24"/>
          <w:highlight w:val="none"/>
          <w:u w:val="single"/>
        </w:rPr>
        <w:t>XXXX</w:t>
      </w:r>
      <w:r>
        <w:rPr>
          <w:rFonts w:hint="eastAsia" w:ascii="宋体" w:hAnsi="宋体" w:eastAsia="宋体" w:cs="宋体"/>
          <w:color w:val="auto"/>
          <w:spacing w:val="6"/>
          <w:sz w:val="24"/>
          <w:highlight w:val="none"/>
        </w:rPr>
        <w:t>单位的</w:t>
      </w:r>
      <w:r>
        <w:rPr>
          <w:rFonts w:hint="eastAsia" w:ascii="宋体" w:hAnsi="宋体" w:eastAsia="宋体" w:cs="宋体"/>
          <w:color w:val="auto"/>
          <w:sz w:val="24"/>
          <w:highlight w:val="none"/>
          <w:u w:val="single"/>
        </w:rPr>
        <w:t>XXXX</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pPr>
        <w:spacing w:line="588" w:lineRule="exact"/>
        <w:rPr>
          <w:rFonts w:hint="eastAsia" w:ascii="宋体" w:hAnsi="宋体" w:eastAsia="宋体" w:cs="宋体"/>
          <w:color w:val="auto"/>
          <w:spacing w:val="6"/>
          <w:sz w:val="24"/>
          <w:highlight w:val="none"/>
        </w:rPr>
      </w:pPr>
    </w:p>
    <w:p>
      <w:pPr>
        <w:spacing w:line="588" w:lineRule="exact"/>
        <w:rPr>
          <w:rFonts w:hint="eastAsia" w:ascii="宋体" w:hAnsi="宋体" w:eastAsia="宋体" w:cs="宋体"/>
          <w:color w:val="auto"/>
          <w:spacing w:val="6"/>
          <w:sz w:val="24"/>
          <w:highlight w:val="none"/>
        </w:rPr>
      </w:pPr>
    </w:p>
    <w:p>
      <w:pP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单位名称：XXXX（盖单位公章）</w:t>
      </w:r>
    </w:p>
    <w:p>
      <w:pP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法定代表人/单位负责人或授权代表（签字或加盖个人印章）：XXXX</w:t>
      </w:r>
    </w:p>
    <w:p>
      <w:pP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日期：XXXX</w:t>
      </w:r>
    </w:p>
    <w:p>
      <w:pPr>
        <w:spacing w:line="360" w:lineRule="auto"/>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pPr>
        <w:numPr>
          <w:ilvl w:val="0"/>
          <w:numId w:val="2"/>
        </w:numPr>
        <w:spacing w:after="16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残疾人福利性单位视同小型、微型企业，享受预留份额、评审中价格扣除等促进中小企业发展的政府采购政策。残疾人福利性单位属于小型、微型企业的，不重复享受政策。</w:t>
      </w:r>
    </w:p>
    <w:p>
      <w:pPr>
        <w:numPr>
          <w:ilvl w:val="0"/>
          <w:numId w:val="2"/>
        </w:numPr>
        <w:spacing w:after="16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供应商为非残疾人福利性单位的，可不提供此声明。</w:t>
      </w:r>
    </w:p>
    <w:p>
      <w:pPr>
        <w:tabs>
          <w:tab w:val="left" w:pos="900"/>
        </w:tabs>
        <w:spacing w:line="360" w:lineRule="auto"/>
        <w:jc w:val="center"/>
        <w:rPr>
          <w:rFonts w:hint="eastAsia" w:ascii="宋体" w:hAnsi="宋体" w:eastAsia="宋体" w:cs="宋体"/>
          <w:b/>
          <w:color w:val="auto"/>
          <w:sz w:val="32"/>
          <w:highlight w:val="none"/>
        </w:rPr>
      </w:pPr>
    </w:p>
    <w:p>
      <w:pPr>
        <w:tabs>
          <w:tab w:val="left" w:pos="900"/>
        </w:tabs>
        <w:spacing w:line="360" w:lineRule="auto"/>
        <w:jc w:val="center"/>
        <w:rPr>
          <w:rFonts w:hint="eastAsia" w:ascii="宋体" w:hAnsi="宋体" w:eastAsia="宋体" w:cs="宋体"/>
          <w:b/>
          <w:color w:val="auto"/>
          <w:sz w:val="32"/>
          <w:highlight w:val="none"/>
        </w:rPr>
      </w:pPr>
    </w:p>
    <w:p>
      <w:pPr>
        <w:tabs>
          <w:tab w:val="left" w:pos="900"/>
        </w:tabs>
        <w:spacing w:line="360" w:lineRule="auto"/>
        <w:jc w:val="center"/>
        <w:rPr>
          <w:rFonts w:hint="eastAsia" w:ascii="宋体" w:hAnsi="宋体" w:eastAsia="宋体" w:cs="宋体"/>
          <w:b/>
          <w:color w:val="auto"/>
          <w:sz w:val="32"/>
          <w:highlight w:val="none"/>
        </w:rPr>
      </w:pPr>
    </w:p>
    <w:p>
      <w:pPr>
        <w:tabs>
          <w:tab w:val="left" w:pos="900"/>
        </w:tabs>
        <w:spacing w:line="360" w:lineRule="auto"/>
        <w:jc w:val="center"/>
        <w:rPr>
          <w:rFonts w:hint="eastAsia" w:ascii="宋体" w:hAnsi="宋体" w:eastAsia="宋体" w:cs="宋体"/>
          <w:b/>
          <w:color w:val="auto"/>
          <w:sz w:val="32"/>
          <w:highlight w:val="none"/>
        </w:rPr>
      </w:pPr>
    </w:p>
    <w:p>
      <w:pPr>
        <w:tabs>
          <w:tab w:val="left" w:pos="900"/>
        </w:tabs>
        <w:spacing w:line="360" w:lineRule="auto"/>
        <w:jc w:val="center"/>
        <w:rPr>
          <w:rFonts w:hint="eastAsia" w:ascii="宋体" w:hAnsi="宋体" w:eastAsia="宋体" w:cs="宋体"/>
          <w:b/>
          <w:color w:val="auto"/>
          <w:sz w:val="32"/>
          <w:highlight w:val="none"/>
        </w:rPr>
      </w:pPr>
    </w:p>
    <w:p>
      <w:pPr>
        <w:tabs>
          <w:tab w:val="left" w:pos="900"/>
        </w:tabs>
        <w:spacing w:line="360" w:lineRule="auto"/>
        <w:jc w:val="center"/>
        <w:rPr>
          <w:rFonts w:hint="eastAsia" w:ascii="宋体" w:hAnsi="宋体" w:eastAsia="宋体" w:cs="宋体"/>
          <w:b/>
          <w:color w:val="auto"/>
          <w:sz w:val="32"/>
          <w:highlight w:val="none"/>
        </w:rPr>
      </w:pPr>
    </w:p>
    <w:p>
      <w:pPr>
        <w:tabs>
          <w:tab w:val="left" w:pos="900"/>
        </w:tabs>
        <w:spacing w:line="360" w:lineRule="auto"/>
        <w:jc w:val="center"/>
        <w:rPr>
          <w:rFonts w:hint="eastAsia" w:ascii="宋体" w:hAnsi="宋体" w:eastAsia="宋体" w:cs="宋体"/>
          <w:b/>
          <w:color w:val="auto"/>
          <w:sz w:val="32"/>
          <w:highlight w:val="none"/>
        </w:rPr>
      </w:pPr>
    </w:p>
    <w:p>
      <w:pPr>
        <w:tabs>
          <w:tab w:val="left" w:pos="900"/>
        </w:tabs>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第二部分     “其他响应文件”格式</w:t>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格式2-1</w:t>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封面：</w:t>
      </w:r>
    </w:p>
    <w:p>
      <w:pPr>
        <w:spacing w:line="360" w:lineRule="auto"/>
        <w:jc w:val="right"/>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（正本/副本）</w:t>
      </w:r>
    </w:p>
    <w:p>
      <w:pPr>
        <w:spacing w:line="360" w:lineRule="auto"/>
        <w:rPr>
          <w:rFonts w:hint="eastAsia" w:ascii="宋体" w:hAnsi="宋体" w:eastAsia="宋体" w:cs="宋体"/>
          <w:b/>
          <w:color w:val="auto"/>
          <w:sz w:val="32"/>
          <w:szCs w:val="32"/>
          <w:highlight w:val="none"/>
        </w:rPr>
      </w:pPr>
    </w:p>
    <w:p>
      <w:pPr>
        <w:spacing w:line="360" w:lineRule="auto"/>
        <w:rPr>
          <w:rFonts w:hint="eastAsia" w:ascii="宋体" w:hAnsi="宋体" w:eastAsia="宋体" w:cs="宋体"/>
          <w:b/>
          <w:color w:val="auto"/>
          <w:sz w:val="32"/>
          <w:szCs w:val="32"/>
          <w:highlight w:val="none"/>
        </w:rPr>
      </w:pPr>
    </w:p>
    <w:p>
      <w:pPr>
        <w:spacing w:line="360" w:lineRule="auto"/>
        <w:jc w:val="center"/>
        <w:rPr>
          <w:rFonts w:hint="eastAsia" w:ascii="宋体" w:hAnsi="宋体" w:eastAsia="宋体" w:cs="宋体"/>
          <w:b/>
          <w:color w:val="auto"/>
          <w:sz w:val="72"/>
          <w:highlight w:val="none"/>
        </w:rPr>
      </w:pPr>
      <w:r>
        <w:rPr>
          <w:rFonts w:hint="eastAsia" w:ascii="宋体" w:hAnsi="宋体" w:eastAsia="宋体" w:cs="宋体"/>
          <w:b/>
          <w:color w:val="auto"/>
          <w:sz w:val="40"/>
          <w:szCs w:val="48"/>
          <w:highlight w:val="none"/>
        </w:rPr>
        <w:t>XXXXXX项目</w:t>
      </w:r>
    </w:p>
    <w:p>
      <w:pPr>
        <w:spacing w:line="360" w:lineRule="auto"/>
        <w:rPr>
          <w:rFonts w:hint="eastAsia" w:ascii="宋体" w:hAnsi="宋体" w:eastAsia="宋体" w:cs="宋体"/>
          <w:b/>
          <w:color w:val="auto"/>
          <w:sz w:val="52"/>
          <w:szCs w:val="52"/>
          <w:highlight w:val="none"/>
        </w:rPr>
      </w:pPr>
    </w:p>
    <w:p>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其他响应文件</w:t>
      </w:r>
    </w:p>
    <w:p>
      <w:pPr>
        <w:spacing w:line="360" w:lineRule="auto"/>
        <w:rPr>
          <w:rFonts w:hint="eastAsia" w:ascii="宋体" w:hAnsi="宋体" w:eastAsia="宋体" w:cs="宋体"/>
          <w:b/>
          <w:color w:val="auto"/>
          <w:sz w:val="36"/>
          <w:highlight w:val="none"/>
        </w:rPr>
      </w:pPr>
    </w:p>
    <w:p>
      <w:pPr>
        <w:spacing w:line="360" w:lineRule="auto"/>
        <w:rPr>
          <w:rFonts w:hint="eastAsia" w:ascii="宋体" w:hAnsi="宋体" w:eastAsia="宋体" w:cs="宋体"/>
          <w:b/>
          <w:color w:val="auto"/>
          <w:sz w:val="36"/>
          <w:highlight w:val="none"/>
        </w:rPr>
      </w:pPr>
    </w:p>
    <w:p>
      <w:pPr>
        <w:spacing w:line="360" w:lineRule="auto"/>
        <w:ind w:firstLine="643" w:firstLineChars="200"/>
        <w:jc w:val="left"/>
        <w:rPr>
          <w:rFonts w:hint="eastAsia" w:ascii="宋体" w:hAnsi="宋体" w:eastAsia="宋体" w:cs="宋体"/>
          <w:b/>
          <w:color w:val="auto"/>
          <w:sz w:val="32"/>
          <w:highlight w:val="none"/>
          <w:u w:val="single"/>
        </w:rPr>
      </w:pPr>
      <w:r>
        <w:rPr>
          <w:rFonts w:hint="eastAsia" w:ascii="宋体" w:hAnsi="宋体" w:eastAsia="宋体" w:cs="宋体"/>
          <w:b/>
          <w:color w:val="auto"/>
          <w:sz w:val="32"/>
          <w:highlight w:val="none"/>
        </w:rPr>
        <w:t>供 应 商名称：</w:t>
      </w:r>
    </w:p>
    <w:p>
      <w:pPr>
        <w:spacing w:line="360" w:lineRule="auto"/>
        <w:ind w:firstLine="643" w:firstLineChars="200"/>
        <w:jc w:val="left"/>
        <w:rPr>
          <w:rFonts w:hint="eastAsia" w:ascii="宋体" w:hAnsi="宋体" w:eastAsia="宋体" w:cs="宋体"/>
          <w:b/>
          <w:color w:val="auto"/>
          <w:sz w:val="32"/>
          <w:highlight w:val="none"/>
          <w:u w:val="single"/>
        </w:rPr>
      </w:pPr>
      <w:r>
        <w:rPr>
          <w:rFonts w:hint="eastAsia" w:ascii="宋体" w:hAnsi="宋体" w:eastAsia="宋体" w:cs="宋体"/>
          <w:b/>
          <w:color w:val="auto"/>
          <w:sz w:val="32"/>
          <w:highlight w:val="none"/>
        </w:rPr>
        <w:t>采购项目编号：</w:t>
      </w:r>
    </w:p>
    <w:p>
      <w:pPr>
        <w:spacing w:line="360" w:lineRule="auto"/>
        <w:ind w:firstLine="790" w:firstLineChars="246"/>
        <w:jc w:val="center"/>
        <w:rPr>
          <w:rFonts w:hint="eastAsia" w:ascii="宋体" w:hAnsi="宋体" w:eastAsia="宋体" w:cs="宋体"/>
          <w:b/>
          <w:color w:val="auto"/>
          <w:sz w:val="32"/>
          <w:highlight w:val="none"/>
        </w:rPr>
      </w:pPr>
    </w:p>
    <w:p>
      <w:pPr>
        <w:spacing w:line="360" w:lineRule="auto"/>
        <w:ind w:firstLine="790" w:firstLineChars="246"/>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时间：20</w:t>
      </w:r>
      <w:r>
        <w:rPr>
          <w:rFonts w:hint="eastAsia" w:ascii="宋体" w:hAnsi="宋体" w:eastAsia="宋体" w:cs="宋体"/>
          <w:b/>
          <w:color w:val="auto"/>
          <w:sz w:val="32"/>
          <w:highlight w:val="none"/>
          <w:lang w:val="en-US" w:eastAsia="zh-CN"/>
        </w:rPr>
        <w:t>21</w:t>
      </w:r>
      <w:r>
        <w:rPr>
          <w:rFonts w:hint="eastAsia" w:ascii="宋体" w:hAnsi="宋体" w:eastAsia="宋体" w:cs="宋体"/>
          <w:b/>
          <w:color w:val="auto"/>
          <w:sz w:val="32"/>
          <w:highlight w:val="none"/>
        </w:rPr>
        <w:t>年XX月XX日</w:t>
      </w:r>
    </w:p>
    <w:p>
      <w:pPr>
        <w:spacing w:line="360" w:lineRule="auto"/>
        <w:rPr>
          <w:rFonts w:hint="eastAsia" w:ascii="宋体" w:hAnsi="宋体" w:eastAsia="宋体" w:cs="宋体"/>
          <w:b/>
          <w:color w:val="auto"/>
          <w:sz w:val="32"/>
          <w:szCs w:val="32"/>
          <w:highlight w:val="none"/>
        </w:rPr>
        <w:sectPr>
          <w:footerReference r:id="rId17" w:type="default"/>
          <w:headerReference r:id="rId16" w:type="even"/>
          <w:footerReference r:id="rId18" w:type="even"/>
          <w:pgSz w:w="11907" w:h="16840"/>
          <w:pgMar w:top="1134" w:right="1134" w:bottom="1134" w:left="1134" w:header="851" w:footer="992" w:gutter="0"/>
          <w:pgNumType w:fmt="decimal"/>
          <w:cols w:space="720" w:num="1"/>
          <w:rtlGutter w:val="0"/>
          <w:docGrid w:linePitch="312" w:charSpace="0"/>
        </w:sectPr>
      </w:pP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格式2-2</w:t>
      </w:r>
    </w:p>
    <w:p>
      <w:pPr>
        <w:jc w:val="center"/>
        <w:rPr>
          <w:rFonts w:hint="eastAsia" w:ascii="宋体" w:hAnsi="宋体" w:eastAsia="宋体" w:cs="宋体"/>
          <w:b/>
          <w:color w:val="auto"/>
          <w:sz w:val="32"/>
          <w:szCs w:val="32"/>
          <w:highlight w:val="none"/>
        </w:rPr>
      </w:pPr>
      <w:bookmarkStart w:id="73" w:name="_Toc308164824"/>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eastAsia="zh-CN"/>
        </w:rPr>
        <w:t>一、报价</w:t>
      </w:r>
      <w:r>
        <w:rPr>
          <w:rFonts w:hint="eastAsia" w:ascii="宋体" w:hAnsi="宋体" w:eastAsia="宋体" w:cs="宋体"/>
          <w:b/>
          <w:color w:val="auto"/>
          <w:sz w:val="32"/>
          <w:szCs w:val="32"/>
          <w:highlight w:val="none"/>
        </w:rPr>
        <w:t>函</w:t>
      </w:r>
    </w:p>
    <w:p>
      <w:pPr>
        <w:spacing w:line="360" w:lineRule="auto"/>
        <w:rPr>
          <w:rFonts w:hint="eastAsia" w:ascii="宋体" w:hAnsi="宋体" w:eastAsia="宋体" w:cs="宋体"/>
          <w:color w:val="auto"/>
          <w:sz w:val="24"/>
          <w:highlight w:val="none"/>
        </w:rPr>
      </w:pPr>
    </w:p>
    <w:p>
      <w:pPr>
        <w:adjustRightInd w:val="0"/>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XXX（采购代理机构名称）：</w:t>
      </w: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1.我方全面研究了“XXXXXX”项目磋商文件（采购项目编号：XXXX），决定参加贵单位组织的本项目磋商采购。</w:t>
      </w: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2.我方自愿按照磋商文件规定的各项要求向采购人提供所需</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，总报价为人民币</w:t>
      </w:r>
      <w:r>
        <w:rPr>
          <w:rFonts w:hint="eastAsia" w:ascii="宋体" w:hAnsi="宋体" w:eastAsia="宋体" w:cs="宋体"/>
          <w:color w:val="auto"/>
          <w:sz w:val="24"/>
          <w:highlight w:val="none"/>
          <w:u w:val="single"/>
        </w:rPr>
        <w:t>XXX</w:t>
      </w:r>
      <w:r>
        <w:rPr>
          <w:rFonts w:hint="eastAsia" w:ascii="宋体" w:hAnsi="宋体" w:eastAsia="宋体" w:cs="宋体"/>
          <w:color w:val="auto"/>
          <w:sz w:val="24"/>
          <w:highlight w:val="none"/>
        </w:rPr>
        <w:t>元（大写：XXXX）。</w:t>
      </w: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3.一旦我方成交，我方将严格履行政府采购合同规定的责任和义务。</w:t>
      </w:r>
    </w:p>
    <w:p>
      <w:pPr>
        <w:adjustRightInd w:val="0"/>
        <w:spacing w:line="400" w:lineRule="exact"/>
        <w:ind w:firstLine="480" w:firstLineChars="200"/>
        <w:jc w:val="left"/>
        <w:rPr>
          <w:rFonts w:hint="eastAsia"/>
        </w:rPr>
      </w:pPr>
      <w:r>
        <w:rPr>
          <w:rFonts w:hint="eastAsia" w:ascii="宋体" w:hAnsi="宋体" w:eastAsia="宋体" w:cs="宋体"/>
          <w:color w:val="auto"/>
          <w:sz w:val="24"/>
          <w:highlight w:val="none"/>
        </w:rPr>
        <w:t>4.我方同意本磋商文件依据《四川省公共资源交易领域严重失信联合惩戒实施办法》（川发改信用规〔2019〕405号）、《关于对政府采购领域严重违法失信主体开展联合惩戒的合作备忘录》（发改财金〔2018〕1614号）对我方可能存在的失信行为进行惩戒</w:t>
      </w: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.我方为本项目提交的响应文件正本1份，副本</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份，用于磋商报价。</w:t>
      </w: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.我方愿意提供贵单位可能另外要求的，与磋商报价有关的文件资料，并保证我方已提供和将要提供的文件资料是真实、准确的。</w:t>
      </w: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.本次磋商，我方递交的响应文件有效期为递交磋商响应文件截止之日起</w:t>
      </w:r>
      <w:r>
        <w:rPr>
          <w:rFonts w:hint="eastAsia" w:ascii="宋体" w:hAnsi="宋体" w:eastAsia="宋体" w:cs="宋体"/>
          <w:color w:val="auto"/>
          <w:sz w:val="24"/>
          <w:highlight w:val="none"/>
          <w:u w:val="single"/>
        </w:rPr>
        <w:t>90</w:t>
      </w:r>
      <w:r>
        <w:rPr>
          <w:rFonts w:hint="eastAsia" w:ascii="宋体" w:hAnsi="宋体" w:eastAsia="宋体" w:cs="宋体"/>
          <w:color w:val="auto"/>
          <w:sz w:val="24"/>
          <w:highlight w:val="none"/>
        </w:rPr>
        <w:t>天。</w:t>
      </w:r>
    </w:p>
    <w:p>
      <w:pPr>
        <w:adjustRightInd w:val="0"/>
        <w:spacing w:line="40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8.我方完全理解采购人不一定将合同授予最低报价的供应商的行为。</w:t>
      </w:r>
    </w:p>
    <w:p>
      <w:pPr>
        <w:adjustRightInd w:val="0"/>
        <w:spacing w:line="400" w:lineRule="exact"/>
        <w:ind w:firstLine="480" w:firstLineChars="200"/>
        <w:jc w:val="left"/>
        <w:rPr>
          <w:rFonts w:hint="eastAsia" w:ascii="宋体" w:hAnsi="宋体" w:eastAsia="宋体" w:cs="宋体"/>
          <w:color w:val="auto"/>
          <w:sz w:val="24"/>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供应商名称：XXX（盖单位公章）</w:t>
      </w:r>
    </w:p>
    <w:p>
      <w:pPr>
        <w:spacing w:line="400" w:lineRule="exact"/>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法定代表人/单位负责人或授权代表（签字或加盖个人印章）：XXX</w:t>
      </w:r>
    </w:p>
    <w:p>
      <w:pPr>
        <w:spacing w:line="400" w:lineRule="exact"/>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通讯地址：XXX</w:t>
      </w:r>
    </w:p>
    <w:p>
      <w:pPr>
        <w:spacing w:line="400" w:lineRule="exact"/>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邮政编码：XXX</w:t>
      </w:r>
    </w:p>
    <w:p>
      <w:pPr>
        <w:spacing w:line="400" w:lineRule="exact"/>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联系电话：XXX</w:t>
      </w:r>
    </w:p>
    <w:p>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期：XXX年XXX月XXX日</w:t>
      </w:r>
    </w:p>
    <w:bookmarkEnd w:id="73"/>
    <w:p>
      <w:pPr>
        <w:widowControl/>
        <w:spacing w:line="360" w:lineRule="atLeast"/>
        <w:jc w:val="left"/>
        <w:outlineLvl w:val="1"/>
        <w:rPr>
          <w:rFonts w:hint="eastAsia" w:ascii="宋体" w:hAnsi="宋体" w:eastAsia="宋体" w:cs="宋体"/>
          <w:b/>
          <w:color w:val="auto"/>
          <w:sz w:val="32"/>
          <w:szCs w:val="32"/>
          <w:highlight w:val="none"/>
        </w:rPr>
      </w:pPr>
      <w:bookmarkStart w:id="74" w:name="_Toc217446087"/>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spacing w:line="360" w:lineRule="auto"/>
        <w:rPr>
          <w:rFonts w:hint="eastAsia" w:ascii="宋体" w:hAnsi="宋体" w:eastAsia="宋体" w:cs="宋体"/>
          <w:b/>
          <w:color w:val="auto"/>
          <w:sz w:val="32"/>
          <w:szCs w:val="32"/>
          <w:highlight w:val="none"/>
        </w:rPr>
      </w:pPr>
      <w:bookmarkStart w:id="182" w:name="_GoBack"/>
      <w:bookmarkEnd w:id="182"/>
    </w:p>
    <w:p>
      <w:pPr>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3</w:t>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rPr>
        <w:t>技术</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rPr>
        <w:t>服务要求应答表</w:t>
      </w:r>
    </w:p>
    <w:p>
      <w:pPr>
        <w:jc w:val="center"/>
        <w:rPr>
          <w:rFonts w:hint="eastAsia" w:ascii="宋体" w:hAnsi="宋体" w:eastAsia="宋体" w:cs="宋体"/>
          <w:b/>
          <w:bCs/>
          <w:color w:val="auto"/>
          <w:sz w:val="32"/>
          <w:szCs w:val="32"/>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79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包号</w:t>
            </w:r>
          </w:p>
        </w:tc>
        <w:tc>
          <w:tcPr>
            <w:tcW w:w="279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采购文件要求</w:t>
            </w:r>
          </w:p>
        </w:tc>
        <w:tc>
          <w:tcPr>
            <w:tcW w:w="279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bl>
    <w:p>
      <w:pPr>
        <w:ind w:firstLine="482" w:firstLineChars="200"/>
        <w:rPr>
          <w:rFonts w:hint="eastAsia" w:ascii="宋体" w:hAnsi="宋体" w:eastAsia="宋体" w:cs="宋体"/>
          <w:b/>
          <w:color w:val="auto"/>
          <w:sz w:val="24"/>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注：本表只须填写响应文件与磋商文件第五章</w:t>
      </w:r>
      <w:r>
        <w:rPr>
          <w:rFonts w:hint="eastAsia" w:ascii="宋体" w:hAnsi="宋体" w:eastAsia="宋体" w:cs="宋体"/>
          <w:color w:val="auto"/>
          <w:sz w:val="24"/>
          <w:highlight w:val="none"/>
        </w:rPr>
        <w:t>技术服务</w:t>
      </w:r>
      <w:r>
        <w:rPr>
          <w:rFonts w:hint="eastAsia" w:ascii="宋体" w:hAnsi="宋体" w:eastAsia="宋体" w:cs="宋体"/>
          <w:color w:val="auto"/>
          <w:sz w:val="24"/>
          <w:highlight w:val="none"/>
          <w:lang w:val="en-US" w:eastAsia="zh-CN"/>
        </w:rPr>
        <w:t>要求有偏离（包括正偏离和负偏离）的内容，完全响应磋商文件第五章要求的，不用在此表中列出。</w:t>
      </w:r>
      <w:r>
        <w:rPr>
          <w:rFonts w:hint="eastAsia" w:ascii="宋体" w:hAnsi="宋体" w:eastAsia="宋体" w:cs="宋体"/>
          <w:color w:val="auto"/>
          <w:sz w:val="24"/>
          <w:highlight w:val="none"/>
          <w:lang w:val="en-US" w:eastAsia="zh-CN"/>
        </w:rPr>
        <w:br w:type="textWrapping"/>
      </w:r>
      <w:r>
        <w:rPr>
          <w:rFonts w:hint="eastAsia" w:ascii="宋体" w:hAnsi="宋体" w:eastAsia="宋体" w:cs="宋体"/>
          <w:color w:val="auto"/>
          <w:sz w:val="24"/>
          <w:highlight w:val="none"/>
          <w:lang w:val="en-US" w:eastAsia="zh-CN"/>
        </w:rPr>
        <w:t xml:space="preserve">   </w:t>
      </w:r>
    </w:p>
    <w:p>
      <w:pPr>
        <w:pStyle w:val="12"/>
        <w:rPr>
          <w:rFonts w:hint="eastAsia" w:ascii="宋体" w:hAnsi="宋体" w:eastAsia="宋体" w:cs="宋体"/>
          <w:color w:val="auto"/>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供应商名称：XXX（盖单位公章）</w:t>
      </w:r>
    </w:p>
    <w:p>
      <w:pPr>
        <w:adjustRightInd w:val="0"/>
        <w:spacing w:line="40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法定代表人/单位负责人或授权代表</w:t>
      </w:r>
      <w:r>
        <w:rPr>
          <w:rFonts w:hint="eastAsia" w:ascii="宋体" w:hAnsi="宋体" w:eastAsia="宋体" w:cs="宋体"/>
          <w:color w:val="auto"/>
          <w:sz w:val="24"/>
          <w:highlight w:val="none"/>
        </w:rPr>
        <w:t>（签字或加盖个人印章）</w:t>
      </w:r>
      <w:r>
        <w:rPr>
          <w:rFonts w:hint="eastAsia" w:ascii="宋体" w:hAnsi="宋体" w:eastAsia="宋体" w:cs="宋体"/>
          <w:bCs/>
          <w:color w:val="auto"/>
          <w:sz w:val="24"/>
          <w:highlight w:val="none"/>
        </w:rPr>
        <w:t>：XXX</w:t>
      </w:r>
    </w:p>
    <w:p>
      <w:pPr>
        <w:adjustRightInd w:val="0"/>
        <w:spacing w:line="400" w:lineRule="exact"/>
        <w:ind w:firstLine="540" w:firstLineChars="225"/>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XXX年XXX月XXX日</w:t>
      </w:r>
    </w:p>
    <w:p>
      <w:pPr>
        <w:spacing w:line="400" w:lineRule="exact"/>
        <w:rPr>
          <w:rFonts w:hint="eastAsia" w:ascii="宋体" w:hAnsi="宋体" w:eastAsia="宋体" w:cs="宋体"/>
          <w:color w:val="auto"/>
          <w:highlight w:val="none"/>
        </w:rPr>
      </w:pPr>
    </w:p>
    <w:p>
      <w:pPr>
        <w:pStyle w:val="2"/>
        <w:tabs>
          <w:tab w:val="left" w:pos="0"/>
        </w:tabs>
        <w:rPr>
          <w:rFonts w:hint="eastAsia" w:ascii="宋体" w:hAnsi="宋体" w:eastAsia="宋体" w:cs="宋体"/>
          <w:b/>
          <w:color w:val="auto"/>
          <w:sz w:val="32"/>
          <w:szCs w:val="32"/>
          <w:highlight w:val="none"/>
        </w:rPr>
      </w:pPr>
    </w:p>
    <w:p>
      <w:pPr>
        <w:pStyle w:val="2"/>
        <w:tabs>
          <w:tab w:val="left" w:pos="0"/>
        </w:tabs>
        <w:rPr>
          <w:rFonts w:hint="eastAsia" w:ascii="宋体" w:hAnsi="宋体" w:eastAsia="宋体" w:cs="宋体"/>
          <w:b/>
          <w:color w:val="auto"/>
          <w:sz w:val="32"/>
          <w:szCs w:val="32"/>
          <w:highlight w:val="none"/>
        </w:rPr>
      </w:pPr>
    </w:p>
    <w:p>
      <w:pPr>
        <w:pStyle w:val="2"/>
        <w:tabs>
          <w:tab w:val="left" w:pos="0"/>
        </w:tabs>
        <w:rPr>
          <w:rFonts w:hint="eastAsia" w:ascii="宋体" w:hAnsi="宋体" w:eastAsia="宋体" w:cs="宋体"/>
          <w:b/>
          <w:color w:val="auto"/>
          <w:sz w:val="32"/>
          <w:szCs w:val="32"/>
          <w:highlight w:val="none"/>
        </w:rPr>
      </w:pPr>
    </w:p>
    <w:p>
      <w:pPr>
        <w:pStyle w:val="2"/>
        <w:tabs>
          <w:tab w:val="left" w:pos="0"/>
        </w:tabs>
        <w:rPr>
          <w:rFonts w:hint="eastAsia" w:ascii="宋体" w:hAnsi="宋体" w:eastAsia="宋体" w:cs="宋体"/>
          <w:b/>
          <w:color w:val="auto"/>
          <w:sz w:val="32"/>
          <w:szCs w:val="32"/>
          <w:highlight w:val="none"/>
        </w:rPr>
      </w:pPr>
    </w:p>
    <w:p>
      <w:pPr>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4</w:t>
      </w:r>
    </w:p>
    <w:p>
      <w:pPr>
        <w:widowControl/>
        <w:spacing w:line="360" w:lineRule="atLeast"/>
        <w:ind w:firstLine="630" w:firstLineChars="196"/>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商务应答表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79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包号</w:t>
            </w:r>
          </w:p>
        </w:tc>
        <w:tc>
          <w:tcPr>
            <w:tcW w:w="279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采购文件要求</w:t>
            </w:r>
          </w:p>
        </w:tc>
        <w:tc>
          <w:tcPr>
            <w:tcW w:w="279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c>
          <w:tcPr>
            <w:tcW w:w="2795" w:type="dxa"/>
            <w:noWrap w:val="0"/>
            <w:vAlign w:val="top"/>
          </w:tcPr>
          <w:p>
            <w:pPr>
              <w:jc w:val="center"/>
              <w:rPr>
                <w:rFonts w:hint="eastAsia" w:ascii="宋体" w:hAnsi="宋体" w:eastAsia="宋体" w:cs="宋体"/>
                <w:color w:val="auto"/>
                <w:sz w:val="24"/>
                <w:highlight w:val="none"/>
              </w:rPr>
            </w:pPr>
          </w:p>
        </w:tc>
      </w:tr>
    </w:tbl>
    <w:p>
      <w:pPr>
        <w:ind w:firstLine="482" w:firstLineChars="200"/>
        <w:rPr>
          <w:rFonts w:hint="eastAsia" w:ascii="宋体" w:hAnsi="宋体" w:eastAsia="宋体" w:cs="宋体"/>
          <w:b/>
          <w:color w:val="auto"/>
          <w:sz w:val="24"/>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注：本表只须填写响应文件与磋商文件第五章商务要求有偏离（包括正偏离和负偏离）的内容，完全响应磋商文件第五章要求的，不用在此表中列出。</w:t>
      </w:r>
      <w:r>
        <w:rPr>
          <w:rFonts w:hint="eastAsia" w:ascii="宋体" w:hAnsi="宋体" w:eastAsia="宋体" w:cs="宋体"/>
          <w:color w:val="auto"/>
          <w:sz w:val="24"/>
          <w:highlight w:val="none"/>
          <w:lang w:val="en-US" w:eastAsia="zh-CN"/>
        </w:rPr>
        <w:br w:type="textWrapping"/>
      </w:r>
    </w:p>
    <w:p>
      <w:pPr>
        <w:adjustRightInd w:val="0"/>
        <w:spacing w:line="400" w:lineRule="exact"/>
        <w:ind w:firstLine="480" w:firstLineChars="200"/>
        <w:jc w:val="left"/>
        <w:rPr>
          <w:rFonts w:hint="eastAsia" w:ascii="宋体" w:hAnsi="宋体" w:eastAsia="宋体" w:cs="宋体"/>
          <w:color w:val="auto"/>
          <w:sz w:val="24"/>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p>
    <w:p>
      <w:pPr>
        <w:adjustRightInd w:val="0"/>
        <w:spacing w:line="4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供应商名称：XXX（盖单位公章）</w:t>
      </w:r>
    </w:p>
    <w:p>
      <w:pPr>
        <w:adjustRightInd w:val="0"/>
        <w:spacing w:line="400" w:lineRule="exact"/>
        <w:ind w:firstLine="540" w:firstLineChars="225"/>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法定代表人/单位负责人或授权代表</w:t>
      </w:r>
      <w:r>
        <w:rPr>
          <w:rFonts w:hint="eastAsia" w:ascii="宋体" w:hAnsi="宋体" w:eastAsia="宋体" w:cs="宋体"/>
          <w:color w:val="auto"/>
          <w:sz w:val="24"/>
          <w:highlight w:val="none"/>
        </w:rPr>
        <w:t>（签字或加盖个人印章）</w:t>
      </w:r>
      <w:r>
        <w:rPr>
          <w:rFonts w:hint="eastAsia" w:ascii="宋体" w:hAnsi="宋体" w:eastAsia="宋体" w:cs="宋体"/>
          <w:bCs/>
          <w:color w:val="auto"/>
          <w:sz w:val="24"/>
          <w:highlight w:val="none"/>
        </w:rPr>
        <w:t>：XXX</w:t>
      </w:r>
    </w:p>
    <w:p>
      <w:pPr>
        <w:adjustRightInd w:val="0"/>
        <w:spacing w:line="400" w:lineRule="exact"/>
        <w:ind w:firstLine="540" w:firstLineChars="225"/>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日期：XXX年XXX月XXX日</w:t>
      </w: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jc w:val="left"/>
        <w:outlineLvl w:val="1"/>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5</w:t>
      </w:r>
    </w:p>
    <w:bookmarkEnd w:id="74"/>
    <w:p>
      <w:pPr>
        <w:widowControl/>
        <w:spacing w:line="360" w:lineRule="atLeast"/>
        <w:ind w:firstLine="630" w:firstLineChars="196"/>
        <w:jc w:val="center"/>
        <w:outlineLvl w:val="1"/>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rPr>
        <w:t>四</w:t>
      </w:r>
      <w:r>
        <w:rPr>
          <w:rFonts w:hint="eastAsia" w:ascii="宋体" w:hAnsi="宋体" w:eastAsia="宋体" w:cs="宋体"/>
          <w:b/>
          <w:color w:val="auto"/>
          <w:sz w:val="32"/>
          <w:szCs w:val="32"/>
          <w:highlight w:val="none"/>
          <w:lang w:eastAsia="zh-CN"/>
        </w:rPr>
        <w:t>、供应商类似项目业绩一览表</w:t>
      </w:r>
    </w:p>
    <w:p>
      <w:pPr>
        <w:spacing w:line="400" w:lineRule="exact"/>
        <w:rPr>
          <w:rFonts w:hint="eastAsia" w:ascii="宋体" w:hAnsi="宋体" w:eastAsia="宋体" w:cs="宋体"/>
          <w:color w:val="auto"/>
          <w:sz w:val="24"/>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79"/>
        <w:gridCol w:w="1879"/>
        <w:gridCol w:w="1880"/>
        <w:gridCol w:w="1878"/>
        <w:gridCol w:w="188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1" w:hRule="atLeast"/>
          <w:jc w:val="center"/>
        </w:trPr>
        <w:tc>
          <w:tcPr>
            <w:tcW w:w="1879" w:type="dxa"/>
            <w:tcBorders>
              <w:top w:val="single" w:color="auto" w:sz="4" w:space="0"/>
            </w:tcBorders>
            <w:noWrap w:val="0"/>
            <w:vAlign w:val="center"/>
          </w:tcPr>
          <w:p>
            <w:pPr>
              <w:spacing w:line="400" w:lineRule="exact"/>
              <w:ind w:firstLine="105" w:firstLineChars="50"/>
              <w:jc w:val="center"/>
              <w:rPr>
                <w:rFonts w:hint="eastAsia" w:ascii="宋体" w:hAnsi="宋体" w:eastAsia="宋体" w:cs="宋体"/>
                <w:b/>
                <w:color w:val="auto"/>
                <w:highlight w:val="none"/>
              </w:rPr>
            </w:pPr>
            <w:r>
              <w:rPr>
                <w:rFonts w:hint="eastAsia" w:ascii="宋体" w:hAnsi="宋体" w:eastAsia="宋体" w:cs="宋体"/>
                <w:b/>
                <w:color w:val="auto"/>
                <w:highlight w:val="none"/>
              </w:rPr>
              <w:t>年份</w:t>
            </w:r>
          </w:p>
        </w:tc>
        <w:tc>
          <w:tcPr>
            <w:tcW w:w="1879" w:type="dxa"/>
            <w:noWrap w:val="0"/>
            <w:vAlign w:val="center"/>
          </w:tcPr>
          <w:p>
            <w:pPr>
              <w:spacing w:line="4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项目名称</w:t>
            </w:r>
          </w:p>
        </w:tc>
        <w:tc>
          <w:tcPr>
            <w:tcW w:w="1880" w:type="dxa"/>
            <w:noWrap w:val="0"/>
            <w:vAlign w:val="center"/>
          </w:tcPr>
          <w:p>
            <w:pPr>
              <w:spacing w:line="4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签订时间</w:t>
            </w:r>
          </w:p>
        </w:tc>
        <w:tc>
          <w:tcPr>
            <w:tcW w:w="1878" w:type="dxa"/>
            <w:noWrap w:val="0"/>
            <w:vAlign w:val="center"/>
          </w:tcPr>
          <w:p>
            <w:pPr>
              <w:spacing w:line="400" w:lineRule="exact"/>
              <w:ind w:firstLine="105" w:firstLineChars="50"/>
              <w:jc w:val="center"/>
              <w:rPr>
                <w:rFonts w:hint="eastAsia" w:ascii="宋体" w:hAnsi="宋体" w:eastAsia="宋体" w:cs="宋体"/>
                <w:b/>
                <w:color w:val="auto"/>
                <w:highlight w:val="none"/>
              </w:rPr>
            </w:pPr>
            <w:r>
              <w:rPr>
                <w:rFonts w:hint="eastAsia" w:ascii="宋体" w:hAnsi="宋体" w:eastAsia="宋体" w:cs="宋体"/>
                <w:b/>
                <w:color w:val="auto"/>
                <w:highlight w:val="none"/>
              </w:rPr>
              <w:t>合同金额</w:t>
            </w:r>
          </w:p>
        </w:tc>
        <w:tc>
          <w:tcPr>
            <w:tcW w:w="1881" w:type="dxa"/>
            <w:tcBorders>
              <w:left w:val="single" w:color="auto" w:sz="4" w:space="0"/>
            </w:tcBorders>
            <w:noWrap w:val="0"/>
            <w:vAlign w:val="center"/>
          </w:tcPr>
          <w:p>
            <w:pPr>
              <w:spacing w:line="4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noWrap w:val="0"/>
            <w:vAlign w:val="center"/>
          </w:tcPr>
          <w:p>
            <w:pPr>
              <w:spacing w:line="400" w:lineRule="exact"/>
              <w:jc w:val="center"/>
              <w:rPr>
                <w:rFonts w:hint="eastAsia" w:ascii="宋体" w:hAnsi="宋体" w:eastAsia="宋体" w:cs="宋体"/>
                <w:color w:val="auto"/>
                <w:highlight w:val="none"/>
              </w:rPr>
            </w:pPr>
          </w:p>
        </w:tc>
        <w:tc>
          <w:tcPr>
            <w:tcW w:w="1879" w:type="dxa"/>
            <w:noWrap w:val="0"/>
            <w:vAlign w:val="center"/>
          </w:tcPr>
          <w:p>
            <w:pPr>
              <w:spacing w:line="400" w:lineRule="exact"/>
              <w:jc w:val="center"/>
              <w:rPr>
                <w:rFonts w:hint="eastAsia" w:ascii="宋体" w:hAnsi="宋体" w:eastAsia="宋体" w:cs="宋体"/>
                <w:color w:val="auto"/>
                <w:highlight w:val="none"/>
              </w:rPr>
            </w:pPr>
          </w:p>
        </w:tc>
        <w:tc>
          <w:tcPr>
            <w:tcW w:w="1880" w:type="dxa"/>
            <w:noWrap w:val="0"/>
            <w:vAlign w:val="center"/>
          </w:tcPr>
          <w:p>
            <w:pPr>
              <w:spacing w:line="400" w:lineRule="exact"/>
              <w:jc w:val="center"/>
              <w:rPr>
                <w:rFonts w:hint="eastAsia" w:ascii="宋体" w:hAnsi="宋体" w:eastAsia="宋体" w:cs="宋体"/>
                <w:color w:val="auto"/>
                <w:highlight w:val="none"/>
              </w:rPr>
            </w:pPr>
          </w:p>
        </w:tc>
        <w:tc>
          <w:tcPr>
            <w:tcW w:w="1878" w:type="dxa"/>
            <w:noWrap w:val="0"/>
            <w:vAlign w:val="center"/>
          </w:tcPr>
          <w:p>
            <w:pPr>
              <w:spacing w:line="400" w:lineRule="exact"/>
              <w:jc w:val="center"/>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noWrap w:val="0"/>
            <w:vAlign w:val="center"/>
          </w:tcPr>
          <w:p>
            <w:pPr>
              <w:spacing w:line="400" w:lineRule="exact"/>
              <w:jc w:val="center"/>
              <w:rPr>
                <w:rFonts w:hint="eastAsia" w:ascii="宋体" w:hAnsi="宋体" w:eastAsia="宋体" w:cs="宋体"/>
                <w:color w:val="auto"/>
                <w:highlight w:val="none"/>
              </w:rPr>
            </w:pPr>
          </w:p>
        </w:tc>
        <w:tc>
          <w:tcPr>
            <w:tcW w:w="1879" w:type="dxa"/>
            <w:noWrap w:val="0"/>
            <w:vAlign w:val="center"/>
          </w:tcPr>
          <w:p>
            <w:pPr>
              <w:spacing w:line="400" w:lineRule="exact"/>
              <w:jc w:val="center"/>
              <w:rPr>
                <w:rFonts w:hint="eastAsia" w:ascii="宋体" w:hAnsi="宋体" w:eastAsia="宋体" w:cs="宋体"/>
                <w:color w:val="auto"/>
                <w:highlight w:val="none"/>
              </w:rPr>
            </w:pPr>
          </w:p>
        </w:tc>
        <w:tc>
          <w:tcPr>
            <w:tcW w:w="1880" w:type="dxa"/>
            <w:noWrap w:val="0"/>
            <w:vAlign w:val="center"/>
          </w:tcPr>
          <w:p>
            <w:pPr>
              <w:spacing w:line="400" w:lineRule="exact"/>
              <w:jc w:val="center"/>
              <w:rPr>
                <w:rFonts w:hint="eastAsia" w:ascii="宋体" w:hAnsi="宋体" w:eastAsia="宋体" w:cs="宋体"/>
                <w:color w:val="auto"/>
                <w:highlight w:val="none"/>
              </w:rPr>
            </w:pPr>
          </w:p>
        </w:tc>
        <w:tc>
          <w:tcPr>
            <w:tcW w:w="1878" w:type="dxa"/>
            <w:noWrap w:val="0"/>
            <w:vAlign w:val="center"/>
          </w:tcPr>
          <w:p>
            <w:pPr>
              <w:spacing w:line="400" w:lineRule="exact"/>
              <w:jc w:val="center"/>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noWrap w:val="0"/>
            <w:vAlign w:val="center"/>
          </w:tcPr>
          <w:p>
            <w:pPr>
              <w:spacing w:line="400" w:lineRule="exact"/>
              <w:jc w:val="center"/>
              <w:rPr>
                <w:rFonts w:hint="eastAsia" w:ascii="宋体" w:hAnsi="宋体" w:eastAsia="宋体" w:cs="宋体"/>
                <w:color w:val="auto"/>
                <w:highlight w:val="none"/>
              </w:rPr>
            </w:pPr>
          </w:p>
        </w:tc>
        <w:tc>
          <w:tcPr>
            <w:tcW w:w="1879" w:type="dxa"/>
            <w:noWrap w:val="0"/>
            <w:vAlign w:val="center"/>
          </w:tcPr>
          <w:p>
            <w:pPr>
              <w:spacing w:line="400" w:lineRule="exact"/>
              <w:jc w:val="center"/>
              <w:rPr>
                <w:rFonts w:hint="eastAsia" w:ascii="宋体" w:hAnsi="宋体" w:eastAsia="宋体" w:cs="宋体"/>
                <w:color w:val="auto"/>
                <w:highlight w:val="none"/>
              </w:rPr>
            </w:pPr>
          </w:p>
        </w:tc>
        <w:tc>
          <w:tcPr>
            <w:tcW w:w="1880" w:type="dxa"/>
            <w:noWrap w:val="0"/>
            <w:vAlign w:val="center"/>
          </w:tcPr>
          <w:p>
            <w:pPr>
              <w:spacing w:line="400" w:lineRule="exact"/>
              <w:jc w:val="center"/>
              <w:rPr>
                <w:rFonts w:hint="eastAsia" w:ascii="宋体" w:hAnsi="宋体" w:eastAsia="宋体" w:cs="宋体"/>
                <w:color w:val="auto"/>
                <w:highlight w:val="none"/>
              </w:rPr>
            </w:pPr>
          </w:p>
        </w:tc>
        <w:tc>
          <w:tcPr>
            <w:tcW w:w="1878" w:type="dxa"/>
            <w:noWrap w:val="0"/>
            <w:vAlign w:val="center"/>
          </w:tcPr>
          <w:p>
            <w:pPr>
              <w:spacing w:line="400" w:lineRule="exact"/>
              <w:jc w:val="center"/>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noWrap w:val="0"/>
            <w:vAlign w:val="center"/>
          </w:tcPr>
          <w:p>
            <w:pPr>
              <w:spacing w:line="400" w:lineRule="exact"/>
              <w:jc w:val="center"/>
              <w:rPr>
                <w:rFonts w:hint="eastAsia" w:ascii="宋体" w:hAnsi="宋体" w:eastAsia="宋体" w:cs="宋体"/>
                <w:color w:val="auto"/>
                <w:highlight w:val="none"/>
              </w:rPr>
            </w:pPr>
          </w:p>
        </w:tc>
        <w:tc>
          <w:tcPr>
            <w:tcW w:w="1879" w:type="dxa"/>
            <w:tcBorders>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0" w:type="dxa"/>
            <w:noWrap w:val="0"/>
            <w:vAlign w:val="center"/>
          </w:tcPr>
          <w:p>
            <w:pPr>
              <w:spacing w:line="400" w:lineRule="exact"/>
              <w:jc w:val="center"/>
              <w:rPr>
                <w:rFonts w:hint="eastAsia" w:ascii="宋体" w:hAnsi="宋体" w:eastAsia="宋体" w:cs="宋体"/>
                <w:color w:val="auto"/>
                <w:highlight w:val="none"/>
              </w:rPr>
            </w:pPr>
          </w:p>
        </w:tc>
        <w:tc>
          <w:tcPr>
            <w:tcW w:w="1878" w:type="dxa"/>
            <w:noWrap w:val="0"/>
            <w:vAlign w:val="center"/>
          </w:tcPr>
          <w:p>
            <w:pPr>
              <w:spacing w:line="400" w:lineRule="exact"/>
              <w:jc w:val="center"/>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tcBorders>
              <w:right w:val="single" w:color="auto" w:sz="4" w:space="0"/>
            </w:tcBorders>
            <w:noWrap w:val="0"/>
            <w:vAlign w:val="center"/>
          </w:tcPr>
          <w:p>
            <w:pPr>
              <w:spacing w:line="400" w:lineRule="exact"/>
              <w:rPr>
                <w:rFonts w:hint="eastAsia" w:ascii="宋体" w:hAnsi="宋体" w:eastAsia="宋体" w:cs="宋体"/>
                <w:color w:val="auto"/>
                <w:highlight w:val="none"/>
              </w:rPr>
            </w:pPr>
          </w:p>
        </w:tc>
        <w:tc>
          <w:tcPr>
            <w:tcW w:w="1879" w:type="dxa"/>
            <w:tcBorders>
              <w:left w:val="single" w:color="auto" w:sz="4" w:space="0"/>
              <w:right w:val="single" w:color="auto" w:sz="4" w:space="0"/>
            </w:tcBorders>
            <w:noWrap w:val="0"/>
            <w:vAlign w:val="center"/>
          </w:tcPr>
          <w:p>
            <w:pPr>
              <w:spacing w:line="400" w:lineRule="exact"/>
              <w:rPr>
                <w:rFonts w:hint="eastAsia" w:ascii="宋体" w:hAnsi="宋体" w:eastAsia="宋体" w:cs="宋体"/>
                <w:color w:val="auto"/>
                <w:highlight w:val="none"/>
              </w:rPr>
            </w:pPr>
          </w:p>
        </w:tc>
        <w:tc>
          <w:tcPr>
            <w:tcW w:w="1880" w:type="dxa"/>
            <w:tcBorders>
              <w:left w:val="single" w:color="auto" w:sz="4" w:space="0"/>
              <w:right w:val="single" w:color="auto" w:sz="4" w:space="0"/>
            </w:tcBorders>
            <w:noWrap w:val="0"/>
            <w:vAlign w:val="center"/>
          </w:tcPr>
          <w:p>
            <w:pPr>
              <w:spacing w:line="400" w:lineRule="exact"/>
              <w:rPr>
                <w:rFonts w:hint="eastAsia" w:ascii="宋体" w:hAnsi="宋体" w:eastAsia="宋体" w:cs="宋体"/>
                <w:color w:val="auto"/>
                <w:highlight w:val="none"/>
              </w:rPr>
            </w:pPr>
          </w:p>
        </w:tc>
        <w:tc>
          <w:tcPr>
            <w:tcW w:w="1878" w:type="dxa"/>
            <w:tcBorders>
              <w:left w:val="single" w:color="auto" w:sz="4" w:space="0"/>
              <w:right w:val="single" w:color="auto" w:sz="4" w:space="0"/>
            </w:tcBorders>
            <w:noWrap w:val="0"/>
            <w:vAlign w:val="center"/>
          </w:tcPr>
          <w:p>
            <w:pPr>
              <w:spacing w:line="400" w:lineRule="exact"/>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noWrap w:val="0"/>
            <w:vAlign w:val="center"/>
          </w:tcPr>
          <w:p>
            <w:pPr>
              <w:spacing w:line="400" w:lineRule="exact"/>
              <w:rPr>
                <w:rFonts w:hint="eastAsia" w:ascii="宋体" w:hAnsi="宋体" w:eastAsia="宋体" w:cs="宋体"/>
                <w:color w:val="auto"/>
                <w:highlight w:val="none"/>
              </w:rPr>
            </w:pPr>
          </w:p>
        </w:tc>
        <w:tc>
          <w:tcPr>
            <w:tcW w:w="1879" w:type="dxa"/>
            <w:noWrap w:val="0"/>
            <w:vAlign w:val="center"/>
          </w:tcPr>
          <w:p>
            <w:pPr>
              <w:spacing w:line="400" w:lineRule="exact"/>
              <w:rPr>
                <w:rFonts w:hint="eastAsia" w:ascii="宋体" w:hAnsi="宋体" w:eastAsia="宋体" w:cs="宋体"/>
                <w:color w:val="auto"/>
                <w:highlight w:val="none"/>
              </w:rPr>
            </w:pPr>
          </w:p>
        </w:tc>
        <w:tc>
          <w:tcPr>
            <w:tcW w:w="1880" w:type="dxa"/>
            <w:noWrap w:val="0"/>
            <w:vAlign w:val="center"/>
          </w:tcPr>
          <w:p>
            <w:pPr>
              <w:spacing w:line="400" w:lineRule="exact"/>
              <w:rPr>
                <w:rFonts w:hint="eastAsia" w:ascii="宋体" w:hAnsi="宋体" w:eastAsia="宋体" w:cs="宋体"/>
                <w:color w:val="auto"/>
                <w:highlight w:val="none"/>
              </w:rPr>
            </w:pPr>
          </w:p>
        </w:tc>
        <w:tc>
          <w:tcPr>
            <w:tcW w:w="1878" w:type="dxa"/>
            <w:tcBorders>
              <w:right w:val="single" w:color="auto" w:sz="4" w:space="0"/>
            </w:tcBorders>
            <w:noWrap w:val="0"/>
            <w:vAlign w:val="center"/>
          </w:tcPr>
          <w:p>
            <w:pPr>
              <w:spacing w:line="400" w:lineRule="exact"/>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noWrap w:val="0"/>
            <w:vAlign w:val="center"/>
          </w:tcPr>
          <w:p>
            <w:pPr>
              <w:spacing w:line="400" w:lineRule="exact"/>
              <w:jc w:val="center"/>
              <w:rPr>
                <w:rFonts w:hint="eastAsia" w:ascii="宋体" w:hAnsi="宋体" w:eastAsia="宋体" w:cs="宋体"/>
                <w:color w:val="auto"/>
                <w:highlight w:val="none"/>
              </w:rPr>
            </w:pPr>
          </w:p>
        </w:tc>
        <w:tc>
          <w:tcPr>
            <w:tcW w:w="1879" w:type="dxa"/>
            <w:noWrap w:val="0"/>
            <w:vAlign w:val="center"/>
          </w:tcPr>
          <w:p>
            <w:pPr>
              <w:spacing w:line="400" w:lineRule="exact"/>
              <w:jc w:val="center"/>
              <w:rPr>
                <w:rFonts w:hint="eastAsia" w:ascii="宋体" w:hAnsi="宋体" w:eastAsia="宋体" w:cs="宋体"/>
                <w:color w:val="auto"/>
                <w:highlight w:val="none"/>
              </w:rPr>
            </w:pPr>
          </w:p>
        </w:tc>
        <w:tc>
          <w:tcPr>
            <w:tcW w:w="1880" w:type="dxa"/>
            <w:noWrap w:val="0"/>
            <w:vAlign w:val="center"/>
          </w:tcPr>
          <w:p>
            <w:pPr>
              <w:spacing w:line="400" w:lineRule="exact"/>
              <w:jc w:val="center"/>
              <w:rPr>
                <w:rFonts w:hint="eastAsia" w:ascii="宋体" w:hAnsi="宋体" w:eastAsia="宋体" w:cs="宋体"/>
                <w:color w:val="auto"/>
                <w:highlight w:val="none"/>
              </w:rPr>
            </w:pPr>
          </w:p>
        </w:tc>
        <w:tc>
          <w:tcPr>
            <w:tcW w:w="1878" w:type="dxa"/>
            <w:tcBorders>
              <w:righ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1" w:hRule="atLeast"/>
          <w:jc w:val="center"/>
        </w:trPr>
        <w:tc>
          <w:tcPr>
            <w:tcW w:w="1879" w:type="dxa"/>
            <w:noWrap w:val="0"/>
            <w:vAlign w:val="center"/>
          </w:tcPr>
          <w:p>
            <w:pPr>
              <w:spacing w:line="400" w:lineRule="exact"/>
              <w:jc w:val="center"/>
              <w:rPr>
                <w:rFonts w:hint="eastAsia" w:ascii="宋体" w:hAnsi="宋体" w:eastAsia="宋体" w:cs="宋体"/>
                <w:color w:val="auto"/>
                <w:highlight w:val="none"/>
              </w:rPr>
            </w:pPr>
          </w:p>
        </w:tc>
        <w:tc>
          <w:tcPr>
            <w:tcW w:w="1879" w:type="dxa"/>
            <w:noWrap w:val="0"/>
            <w:vAlign w:val="center"/>
          </w:tcPr>
          <w:p>
            <w:pPr>
              <w:spacing w:line="400" w:lineRule="exact"/>
              <w:jc w:val="center"/>
              <w:rPr>
                <w:rFonts w:hint="eastAsia" w:ascii="宋体" w:hAnsi="宋体" w:eastAsia="宋体" w:cs="宋体"/>
                <w:color w:val="auto"/>
                <w:highlight w:val="none"/>
              </w:rPr>
            </w:pPr>
          </w:p>
        </w:tc>
        <w:tc>
          <w:tcPr>
            <w:tcW w:w="1880" w:type="dxa"/>
            <w:noWrap w:val="0"/>
            <w:vAlign w:val="center"/>
          </w:tcPr>
          <w:p>
            <w:pPr>
              <w:spacing w:line="400" w:lineRule="exact"/>
              <w:jc w:val="center"/>
              <w:rPr>
                <w:rFonts w:hint="eastAsia" w:ascii="宋体" w:hAnsi="宋体" w:eastAsia="宋体" w:cs="宋体"/>
                <w:color w:val="auto"/>
                <w:highlight w:val="none"/>
              </w:rPr>
            </w:pPr>
          </w:p>
        </w:tc>
        <w:tc>
          <w:tcPr>
            <w:tcW w:w="1878" w:type="dxa"/>
            <w:tcBorders>
              <w:righ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1" w:type="dxa"/>
            <w:tcBorders>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41" w:hRule="atLeast"/>
          <w:jc w:val="center"/>
        </w:trPr>
        <w:tc>
          <w:tcPr>
            <w:tcW w:w="1879" w:type="dxa"/>
            <w:tcBorders>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9" w:type="dxa"/>
            <w:tcBorders>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0" w:type="dxa"/>
            <w:tcBorders>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8" w:type="dxa"/>
            <w:tcBorders>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1" w:type="dxa"/>
            <w:tcBorders>
              <w:left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6" w:hRule="atLeast"/>
          <w:jc w:val="center"/>
        </w:trPr>
        <w:tc>
          <w:tcPr>
            <w:tcW w:w="1879"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9"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0"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8"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1" w:type="dxa"/>
            <w:tcBorders>
              <w:top w:val="single" w:color="auto" w:sz="4" w:space="0"/>
              <w:left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6" w:hRule="atLeast"/>
          <w:jc w:val="center"/>
        </w:trPr>
        <w:tc>
          <w:tcPr>
            <w:tcW w:w="1879"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9"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0"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8"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1" w:type="dxa"/>
            <w:tcBorders>
              <w:top w:val="single" w:color="auto" w:sz="4" w:space="0"/>
              <w:left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71" w:hRule="atLeast"/>
          <w:jc w:val="center"/>
        </w:trPr>
        <w:tc>
          <w:tcPr>
            <w:tcW w:w="1879"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9"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0" w:type="dxa"/>
            <w:tcBorders>
              <w:top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8"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1" w:type="dxa"/>
            <w:tcBorders>
              <w:top w:val="single" w:color="auto" w:sz="4" w:space="0"/>
              <w:left w:val="single" w:color="auto" w:sz="4" w:space="0"/>
              <w:bottom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76" w:hRule="atLeast"/>
          <w:jc w:val="center"/>
        </w:trPr>
        <w:tc>
          <w:tcPr>
            <w:tcW w:w="1879" w:type="dxa"/>
            <w:tcBorders>
              <w:top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9" w:type="dxa"/>
            <w:tcBorders>
              <w:top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0" w:type="dxa"/>
            <w:tcBorders>
              <w:top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78" w:type="dxa"/>
            <w:tcBorders>
              <w:top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highlight w:val="none"/>
              </w:rPr>
            </w:pPr>
          </w:p>
        </w:tc>
        <w:tc>
          <w:tcPr>
            <w:tcW w:w="1881" w:type="dxa"/>
            <w:tcBorders>
              <w:top w:val="single" w:color="auto" w:sz="4" w:space="0"/>
              <w:left w:val="single" w:color="auto" w:sz="4" w:space="0"/>
            </w:tcBorders>
            <w:noWrap w:val="0"/>
            <w:vAlign w:val="center"/>
          </w:tcPr>
          <w:p>
            <w:pPr>
              <w:spacing w:line="400" w:lineRule="exact"/>
              <w:jc w:val="center"/>
              <w:rPr>
                <w:rFonts w:hint="eastAsia" w:ascii="宋体" w:hAnsi="宋体" w:eastAsia="宋体" w:cs="宋体"/>
                <w:color w:val="auto"/>
                <w:highlight w:val="none"/>
              </w:rPr>
            </w:pPr>
          </w:p>
        </w:tc>
      </w:tr>
    </w:tbl>
    <w:p>
      <w:pPr>
        <w:widowControl/>
        <w:spacing w:line="360" w:lineRule="atLeast"/>
        <w:ind w:firstLine="470" w:firstLineChars="196"/>
        <w:jc w:val="left"/>
        <w:outlineLvl w:val="1"/>
        <w:rPr>
          <w:rFonts w:hint="eastAsia" w:ascii="宋体" w:hAnsi="宋体" w:eastAsia="宋体" w:cs="宋体"/>
          <w:color w:val="auto"/>
          <w:sz w:val="24"/>
          <w:highlight w:val="none"/>
        </w:rPr>
      </w:pPr>
    </w:p>
    <w:p>
      <w:pPr>
        <w:widowControl/>
        <w:spacing w:line="360" w:lineRule="atLeast"/>
        <w:ind w:firstLine="470" w:firstLineChars="196"/>
        <w:jc w:val="lef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注：以合同签订时间为准，提供合同复印件并加盖供应商鲜章。</w:t>
      </w:r>
    </w:p>
    <w:p>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hint="eastAsia" w:ascii="宋体" w:hAnsi="宋体" w:eastAsia="宋体" w:cs="宋体"/>
          <w:color w:val="auto"/>
          <w:sz w:val="24"/>
          <w:highlight w:val="none"/>
        </w:rPr>
      </w:pPr>
    </w:p>
    <w:p>
      <w:pPr>
        <w:spacing w:line="400" w:lineRule="exact"/>
        <w:ind w:left="360"/>
        <w:jc w:val="center"/>
        <w:rPr>
          <w:rFonts w:hint="eastAsia" w:ascii="宋体" w:hAnsi="宋体" w:eastAsia="宋体" w:cs="宋体"/>
          <w:color w:val="auto"/>
          <w:sz w:val="24"/>
          <w:highlight w:val="none"/>
        </w:rPr>
      </w:pPr>
    </w:p>
    <w:p>
      <w:pPr>
        <w:jc w:val="left"/>
        <w:rPr>
          <w:rFonts w:hint="eastAsia" w:ascii="宋体" w:hAnsi="宋体" w:eastAsia="宋体" w:cs="宋体"/>
          <w:color w:val="auto"/>
          <w:highlight w:val="none"/>
        </w:rPr>
      </w:pPr>
    </w:p>
    <w:p>
      <w:pP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供应商名称：XXXX（盖单位公章）</w:t>
      </w:r>
    </w:p>
    <w:p>
      <w:pP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法定代表人/单位负责人或授权代表（签字或加盖个人印章）：XXXX</w:t>
      </w:r>
    </w:p>
    <w:p>
      <w:pP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XXXX</w:t>
      </w:r>
    </w:p>
    <w:p>
      <w:pPr>
        <w:widowControl/>
        <w:jc w:val="both"/>
        <w:rPr>
          <w:rFonts w:hint="eastAsia" w:ascii="宋体" w:hAnsi="宋体" w:eastAsia="宋体" w:cs="宋体"/>
          <w:b/>
          <w:color w:val="auto"/>
          <w:sz w:val="32"/>
          <w:szCs w:val="32"/>
          <w:highlight w:val="none"/>
          <w:lang w:eastAsia="zh-CN"/>
        </w:rPr>
      </w:pPr>
    </w:p>
    <w:p>
      <w:pPr>
        <w:jc w:val="lef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6</w:t>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、供应商本项目管理、技术、服务人员情况表</w:t>
      </w:r>
    </w:p>
    <w:p>
      <w:pPr>
        <w:rPr>
          <w:rFonts w:hint="eastAsia" w:ascii="宋体" w:hAnsi="宋体" w:eastAsia="宋体" w:cs="宋体"/>
          <w:color w:val="auto"/>
          <w:sz w:val="32"/>
          <w:szCs w:val="32"/>
          <w:highlight w:val="none"/>
        </w:rPr>
      </w:pP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采购编号：</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3"/>
        <w:gridCol w:w="1283"/>
        <w:gridCol w:w="1283"/>
        <w:gridCol w:w="2645"/>
        <w:gridCol w:w="2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trPr>
        <w:tc>
          <w:tcPr>
            <w:tcW w:w="1283"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1283"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c>
          <w:tcPr>
            <w:tcW w:w="1283"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264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证书</w:t>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p>
        </w:tc>
        <w:tc>
          <w:tcPr>
            <w:tcW w:w="2486"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1283" w:type="dxa"/>
            <w:noWrap w:val="0"/>
            <w:vAlign w:val="top"/>
          </w:tcPr>
          <w:p>
            <w:pPr>
              <w:rPr>
                <w:rFonts w:hint="eastAsia" w:ascii="宋体" w:hAnsi="宋体" w:eastAsia="宋体" w:cs="宋体"/>
                <w:color w:val="auto"/>
                <w:sz w:val="24"/>
                <w:highlight w:val="none"/>
              </w:rPr>
            </w:pPr>
          </w:p>
        </w:tc>
        <w:tc>
          <w:tcPr>
            <w:tcW w:w="2645" w:type="dxa"/>
            <w:noWrap w:val="0"/>
            <w:vAlign w:val="top"/>
          </w:tcPr>
          <w:p>
            <w:pPr>
              <w:rPr>
                <w:rFonts w:hint="eastAsia" w:ascii="宋体" w:hAnsi="宋体" w:eastAsia="宋体" w:cs="宋体"/>
                <w:color w:val="auto"/>
                <w:sz w:val="24"/>
                <w:highlight w:val="none"/>
              </w:rPr>
            </w:pPr>
          </w:p>
        </w:tc>
        <w:tc>
          <w:tcPr>
            <w:tcW w:w="2486" w:type="dxa"/>
            <w:noWrap w:val="0"/>
            <w:vAlign w:val="top"/>
          </w:tcPr>
          <w:p>
            <w:pPr>
              <w:rPr>
                <w:rFonts w:hint="eastAsia" w:ascii="宋体" w:hAnsi="宋体" w:eastAsia="宋体" w:cs="宋体"/>
                <w:color w:val="auto"/>
                <w:sz w:val="24"/>
                <w:highlight w:val="none"/>
              </w:rPr>
            </w:pPr>
          </w:p>
        </w:tc>
      </w:tr>
    </w:tbl>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注：提供相关证明材料并加盖公（鲜）章。</w:t>
      </w:r>
    </w:p>
    <w:p>
      <w:pPr>
        <w:rPr>
          <w:rFonts w:hint="eastAsia" w:ascii="宋体" w:hAnsi="宋体" w:eastAsia="宋体" w:cs="宋体"/>
          <w:color w:val="auto"/>
          <w:sz w:val="24"/>
          <w:highlight w:val="none"/>
        </w:rPr>
      </w:pP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供应商名称：XXX（盖单位公章）</w:t>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法定代表人/单位负责人或授权代表（签字或加盖个人印章）：XXX</w:t>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日期：XXX</w:t>
      </w:r>
    </w:p>
    <w:p>
      <w:pPr>
        <w:jc w:val="lef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eastAsia="zh-CN"/>
        </w:rPr>
        <w:br w:type="page"/>
      </w: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7</w:t>
      </w:r>
    </w:p>
    <w:p>
      <w:pPr>
        <w:widowControl/>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服务方案</w:t>
      </w:r>
    </w:p>
    <w:p>
      <w:pPr>
        <w:widowControl/>
        <w:jc w:val="left"/>
        <w:rPr>
          <w:rFonts w:hint="eastAsia" w:ascii="宋体" w:hAnsi="宋体" w:eastAsia="宋体" w:cs="宋体"/>
          <w:b/>
          <w:color w:val="auto"/>
          <w:sz w:val="32"/>
          <w:szCs w:val="32"/>
          <w:highlight w:val="none"/>
        </w:rPr>
      </w:pPr>
    </w:p>
    <w:p>
      <w:pPr>
        <w:widowControl/>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格式自拟</w:t>
      </w:r>
    </w:p>
    <w:p>
      <w:pPr>
        <w:adjustRightInd w:val="0"/>
        <w:snapToGrid w:val="0"/>
        <w:spacing w:line="336" w:lineRule="auto"/>
        <w:jc w:val="center"/>
        <w:rPr>
          <w:rFonts w:hint="eastAsia" w:ascii="宋体" w:hAnsi="宋体" w:eastAsia="宋体" w:cs="宋体"/>
          <w:b/>
          <w:color w:val="auto"/>
          <w:sz w:val="32"/>
          <w:szCs w:val="32"/>
          <w:highlight w:val="none"/>
        </w:rPr>
      </w:pPr>
    </w:p>
    <w:p>
      <w:pPr>
        <w:pStyle w:val="12"/>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eastAsia="zh-CN"/>
        </w:rPr>
      </w:pPr>
    </w:p>
    <w:p>
      <w:pPr>
        <w:widowControl/>
        <w:jc w:val="center"/>
        <w:rPr>
          <w:rFonts w:hint="eastAsia" w:ascii="宋体" w:hAnsi="宋体" w:eastAsia="宋体" w:cs="宋体"/>
          <w:b/>
          <w:color w:val="auto"/>
          <w:sz w:val="32"/>
          <w:szCs w:val="32"/>
          <w:highlight w:val="none"/>
          <w:lang w:eastAsia="zh-CN"/>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b/>
          <w:color w:val="auto"/>
          <w:sz w:val="32"/>
          <w:szCs w:val="32"/>
          <w:highlight w:val="none"/>
        </w:rPr>
      </w:pPr>
    </w:p>
    <w:p>
      <w:pPr>
        <w:widowControl/>
        <w:spacing w:line="360" w:lineRule="atLeast"/>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8</w:t>
      </w:r>
    </w:p>
    <w:p>
      <w:pPr>
        <w:widowControl/>
        <w:jc w:val="both"/>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      </w:t>
      </w:r>
    </w:p>
    <w:p>
      <w:pPr>
        <w:widowControl/>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七、供应商认为需要的其他证明材料</w:t>
      </w:r>
    </w:p>
    <w:p>
      <w:pPr>
        <w:widowControl/>
        <w:jc w:val="center"/>
        <w:rPr>
          <w:rFonts w:hint="eastAsia" w:ascii="宋体" w:hAnsi="宋体" w:eastAsia="宋体" w:cs="宋体"/>
          <w:b/>
          <w:color w:val="auto"/>
          <w:sz w:val="32"/>
          <w:szCs w:val="32"/>
          <w:highlight w:val="none"/>
          <w:lang w:val="en-US" w:eastAsia="zh-CN"/>
        </w:rPr>
      </w:pPr>
    </w:p>
    <w:p>
      <w:pPr>
        <w:widowControl/>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格式自拟</w:t>
      </w: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eastAsia="zh-CN"/>
        </w:rPr>
      </w:pPr>
    </w:p>
    <w:p>
      <w:pPr>
        <w:widowControl/>
        <w:jc w:val="left"/>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lang w:eastAsia="zh-CN"/>
        </w:rPr>
        <w:t>格式2-</w:t>
      </w:r>
      <w:r>
        <w:rPr>
          <w:rFonts w:hint="eastAsia" w:ascii="宋体" w:hAnsi="宋体" w:eastAsia="宋体" w:cs="宋体"/>
          <w:b/>
          <w:color w:val="auto"/>
          <w:sz w:val="32"/>
          <w:szCs w:val="32"/>
          <w:highlight w:val="none"/>
          <w:lang w:val="en-US" w:eastAsia="zh-CN"/>
        </w:rPr>
        <w:t>9</w:t>
      </w:r>
    </w:p>
    <w:p>
      <w:pPr>
        <w:widowControl/>
        <w:spacing w:line="360" w:lineRule="atLeast"/>
        <w:jc w:val="center"/>
        <w:outlineLvl w:val="1"/>
        <w:rPr>
          <w:rFonts w:hint="eastAsia" w:ascii="宋体" w:hAnsi="宋体" w:eastAsia="宋体" w:cs="宋体"/>
          <w:bCs/>
          <w:color w:val="auto"/>
          <w:sz w:val="24"/>
          <w:highlight w:val="none"/>
        </w:rPr>
      </w:pP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val="en-US" w:eastAsia="zh-CN"/>
        </w:rPr>
        <w:t xml:space="preserve">  八</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供应商诚信情况承诺函</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致四川中科远洋工程项目管理有限公司：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本单位</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 xml:space="preserve">                 （项目名称及</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政府采购活动，现根据《四川省公共资源交易领域严重失信联合惩戒实施办法》（川发改信用规〔2019〕405号）、《关于对政府采购领域严重违法失信主体开展联合惩戒的合作备忘录》（发改财金〔2018〕1614号）的相关规定，针对本单位的诚信情况作出以下承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具有《四川省公共资源交易领域严重失信联合惩戒实施办法》（川发改信用规〔2019〕405号）、《关于对政府采购领域严重违法失信主体开展联合惩戒的合作备忘录》（发改财金〔2018〕1614号）所规定的失信行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次（填写失信行为的次数时，建议使用大写数字，如零、壹、贰、叁、肆等。）；（仅限磋商截止当日仍在有效期的次数）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我单位对以上填写信息的真实性负责。如有不实，本单位愿承担由此产生的一切法律责任和后果。</w:t>
      </w:r>
    </w:p>
    <w:p>
      <w:pPr>
        <w:spacing w:line="360" w:lineRule="auto"/>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供应商名称：XXXX（单位盖章）。</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法定代表人/单位负责人或授权代表（签字或加盖个人名章）：XXXX。</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磋商日期: XXXX。</w:t>
      </w:r>
    </w:p>
    <w:p>
      <w:pPr>
        <w:spacing w:line="360" w:lineRule="auto"/>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注：1、本表格式及内容仅供参考，供应商也可提供自己的格式；</w:t>
      </w:r>
    </w:p>
    <w:p>
      <w:pPr>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2、供应商存在以上所述失信行为的，将按照第二章供应商须知附表的要求进行处理；</w:t>
      </w:r>
    </w:p>
    <w:p>
      <w:pPr>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3、财政部门对政府采购当事人的失信行为依法进行处罚、处理后，应当在四川政府采购网向社会公告，并记入诚信档案，有效期为1年。工商部门、税务部门、审判机关及其他有关部门单位认定供应商的失信行为明确了有效期的，不再重复计算。</w:t>
      </w:r>
    </w:p>
    <w:p>
      <w:pPr>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4、供应商的失信行为受到行政处罚或司法惩处的，评审时不再对其以价格加成进行惩戒。</w:t>
      </w:r>
    </w:p>
    <w:p>
      <w:pPr>
        <w:widowControl/>
        <w:jc w:val="lef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10</w:t>
      </w:r>
    </w:p>
    <w:p>
      <w:pPr>
        <w:numPr>
          <w:ilvl w:val="0"/>
          <w:numId w:val="0"/>
        </w:num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九、知识产权声明函</w:t>
      </w:r>
    </w:p>
    <w:p>
      <w:pPr>
        <w:spacing w:line="360" w:lineRule="auto"/>
        <w:rPr>
          <w:rFonts w:hint="eastAsia" w:ascii="宋体" w:hAnsi="宋体" w:eastAsia="宋体" w:cs="宋体"/>
          <w:bCs/>
          <w:color w:val="auto"/>
          <w:sz w:val="24"/>
          <w:highlight w:val="none"/>
          <w:lang w:val="en-US" w:eastAsia="zh-CN"/>
        </w:rPr>
      </w:pP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致：</w:t>
      </w:r>
      <w:r>
        <w:rPr>
          <w:rFonts w:hint="eastAsia" w:ascii="宋体" w:hAnsi="宋体" w:eastAsia="宋体" w:cs="宋体"/>
          <w:bCs/>
          <w:color w:val="auto"/>
          <w:sz w:val="24"/>
          <w:highlight w:val="none"/>
          <w:u w:val="single"/>
          <w:lang w:val="en-US" w:eastAsia="zh-CN"/>
        </w:rPr>
        <w:t xml:space="preserve">          （采购代理机构名称）</w:t>
      </w:r>
      <w:r>
        <w:rPr>
          <w:rFonts w:hint="eastAsia" w:ascii="宋体" w:hAnsi="宋体" w:eastAsia="宋体" w:cs="宋体"/>
          <w:bCs/>
          <w:color w:val="auto"/>
          <w:sz w:val="24"/>
          <w:highlight w:val="none"/>
          <w:lang w:val="en-US" w:eastAsia="zh-CN"/>
        </w:rPr>
        <w:t xml:space="preserve"> </w:t>
      </w:r>
    </w:p>
    <w:p>
      <w:pPr>
        <w:spacing w:line="360" w:lineRule="auto"/>
        <w:ind w:firstLine="482" w:firstLineChars="200"/>
        <w:rPr>
          <w:rFonts w:hint="eastAsia" w:ascii="宋体" w:hAnsi="宋体" w:eastAsia="宋体" w:cs="宋体"/>
          <w:b/>
          <w:bCs w:val="0"/>
          <w:color w:val="auto"/>
          <w:sz w:val="24"/>
          <w:highlight w:val="none"/>
          <w:lang w:val="en-US" w:eastAsia="zh-CN"/>
        </w:rPr>
      </w:pPr>
    </w:p>
    <w:p>
      <w:pPr>
        <w:spacing w:line="360" w:lineRule="auto"/>
        <w:ind w:firstLine="482" w:firstLineChars="200"/>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本单位</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val="en-US" w:eastAsia="zh-CN"/>
        </w:rPr>
        <w:t>（公司名称）参加</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val="en-US" w:eastAsia="zh-CN"/>
        </w:rPr>
        <w:t>（项目名称）的采购活动，现承诺声明：</w:t>
      </w:r>
      <w:r>
        <w:rPr>
          <w:rFonts w:hint="eastAsia" w:ascii="宋体" w:hAnsi="宋体" w:eastAsia="宋体" w:cs="宋体"/>
          <w:bCs/>
          <w:color w:val="auto"/>
          <w:sz w:val="24"/>
          <w:highlight w:val="none"/>
          <w:lang w:val="en-US" w:eastAsia="zh-CN"/>
        </w:rPr>
        <w:t xml:space="preserve"> </w:t>
      </w:r>
    </w:p>
    <w:p>
      <w:pPr>
        <w:spacing w:line="360" w:lineRule="auto"/>
        <w:rPr>
          <w:rFonts w:hint="eastAsia" w:ascii="宋体" w:hAnsi="宋体" w:eastAsia="宋体" w:cs="宋体"/>
          <w:bCs/>
          <w:color w:val="auto"/>
          <w:sz w:val="24"/>
          <w:highlight w:val="none"/>
          <w:lang w:val="en-US" w:eastAsia="zh-CN"/>
        </w:rPr>
      </w:pPr>
    </w:p>
    <w:p>
      <w:pPr>
        <w:spacing w:line="24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本单位保证在本项目使用的任何产品和服务（包括部分使用）时，不会产生因第三方提出侵犯其专利权、商标权或其它知识产权而引起的法律和经济纠纷，如因专利权、商标权或其它知识产权而引起法律和经济纠纷，由本单位承担所有相关责任。 </w:t>
      </w:r>
    </w:p>
    <w:p>
      <w:pPr>
        <w:spacing w:line="24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2.除非磋商文件特别规定，采购人享有本项目实施过程中产生的知识成果及知识产权。 </w:t>
      </w:r>
    </w:p>
    <w:p>
      <w:pPr>
        <w:spacing w:line="24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本单位在采购项目实施过程中采用自有或者第三方知识成果的，使用该知识成果后，我单位提供开发接口和开发手册等技术资料，并承诺提供无限期支持，采购人享有使用权（含采购人委托第三方在该项目后续开发的使用权）。 </w:t>
      </w:r>
    </w:p>
    <w:p>
      <w:pPr>
        <w:spacing w:line="24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4.如采用本单位所不拥有的知识产权，本单位承诺在本项目报价中已经包括合法获取该知识产权的相关费用。 </w:t>
      </w:r>
    </w:p>
    <w:p>
      <w:pPr>
        <w:spacing w:line="480" w:lineRule="auto"/>
        <w:ind w:firstLine="482" w:firstLineChars="200"/>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本单位对上述承诺声明内容事项真实性负责。如经查实上述承诺声明的内容事项存在虚假或未履行，本单位愿意接受以提供虚假材料谋取成交追究法律责任。</w:t>
      </w:r>
    </w:p>
    <w:p>
      <w:pPr>
        <w:spacing w:line="48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法定代表人/单位负责人或授权代表</w:t>
      </w:r>
      <w:r>
        <w:rPr>
          <w:rFonts w:hint="eastAsia" w:ascii="宋体" w:hAnsi="宋体" w:eastAsia="宋体" w:cs="宋体"/>
          <w:color w:val="auto"/>
          <w:sz w:val="24"/>
          <w:highlight w:val="none"/>
        </w:rPr>
        <w:t>（签字或加盖个人印章）</w:t>
      </w:r>
      <w:r>
        <w:rPr>
          <w:rFonts w:hint="eastAsia" w:ascii="宋体" w:hAnsi="宋体" w:eastAsia="宋体" w:cs="宋体"/>
          <w:bCs/>
          <w:color w:val="auto"/>
          <w:sz w:val="24"/>
          <w:highlight w:val="none"/>
        </w:rPr>
        <w:t>：XXX</w:t>
      </w:r>
    </w:p>
    <w:p>
      <w:pPr>
        <w:spacing w:line="48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供应商名称：XXXX（盖章）</w:t>
      </w:r>
    </w:p>
    <w:p>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日    期：XXX年XXX月XXX日</w:t>
      </w:r>
    </w:p>
    <w:p>
      <w:pPr>
        <w:widowControl/>
        <w:spacing w:line="360" w:lineRule="atLeast"/>
        <w:jc w:val="left"/>
        <w:outlineLvl w:val="1"/>
        <w:rPr>
          <w:rFonts w:hint="eastAsia" w:ascii="宋体" w:hAnsi="宋体" w:eastAsia="宋体" w:cs="宋体"/>
          <w:b/>
          <w:color w:val="auto"/>
          <w:sz w:val="32"/>
          <w:szCs w:val="32"/>
          <w:highlight w:val="none"/>
        </w:rPr>
        <w:sectPr>
          <w:headerReference r:id="rId19" w:type="default"/>
          <w:footerReference r:id="rId20" w:type="default"/>
          <w:pgSz w:w="11906" w:h="16838"/>
          <w:pgMar w:top="1440" w:right="1474" w:bottom="1440" w:left="1474" w:header="851" w:footer="992" w:gutter="0"/>
          <w:pgNumType w:fmt="decimal"/>
          <w:cols w:space="720" w:num="1"/>
          <w:docGrid w:type="lines" w:linePitch="319" w:charSpace="0"/>
        </w:sectPr>
      </w:pPr>
    </w:p>
    <w:p>
      <w:pPr>
        <w:widowControl/>
        <w:spacing w:line="360" w:lineRule="atLeast"/>
        <w:jc w:val="left"/>
        <w:outlineLvl w:val="1"/>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格式2-</w:t>
      </w:r>
      <w:r>
        <w:rPr>
          <w:rFonts w:hint="eastAsia" w:ascii="宋体" w:hAnsi="宋体" w:eastAsia="宋体" w:cs="宋体"/>
          <w:b/>
          <w:color w:val="auto"/>
          <w:sz w:val="32"/>
          <w:szCs w:val="32"/>
          <w:highlight w:val="none"/>
          <w:lang w:val="en-US" w:eastAsia="zh-CN"/>
        </w:rPr>
        <w:t>11</w:t>
      </w:r>
    </w:p>
    <w:p>
      <w:pPr>
        <w:pStyle w:val="21"/>
        <w:numPr>
          <w:ilvl w:val="0"/>
          <w:numId w:val="0"/>
        </w:num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十、实质性要求的承诺</w:t>
      </w:r>
    </w:p>
    <w:p>
      <w:pPr>
        <w:spacing w:line="24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XXX（采购代理机构名称）：</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我公司作为本次采购项目的供应商，根据磋商文件要求，现郑重承诺完全响应本项目磋商文件规定的所有实质性要求：</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1、关于采购预算的要求：完全响应；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2、关于是否专门面向中小企业的要求：完全响应；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3、关于最高限价的要求：完全响应；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4、关于低于成本价不正当竞争预防措施的要求：完全响应；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5、关于响应文件有效期的要求：完全响应；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6、关于磋商费用的要求：完全响应；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7、关于充分、公平竞争保障措施的要求：完全响应；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8、关于联合体竞争性磋商的要求：完全响应；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9、关于响应文件有效期的要求：完全响应；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10、关于知识产权的要求：完全响应；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11、关于磋商文件的构成的要求：完全响应；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12、关于“供应商应按照磋商文件的规定和要求编制响应文件。供应商在成交后将成交项目的非主体、非关键性工作分包他人完成的，应当在响应文件中载明或磋商过程中澄清”的要求：完全响应；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13、关于响应文件的语言的要求：完全响应；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14、关于计量单位的要求：完全响应；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15、关于“本次磋商项目的报价货币为人民币，报价以磋商文件规定为准”的要求：完全响应；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16、关于“响应文件应由供应商法定代表人/主要负责人/本人或其授权代表在响应文件要求的地方签字（注：供应商为法人的，应当由其法定代表人或者授权代表签字确认；供应商为其他组织的，应当由其主要负责人或者授权代表签字确认；供应商为自然人的，应当由其本人或者授权代表签字确认）或加盖私人印章，要求加盖公章的地方加盖单位公章，不得使用专用章（如经济合同章、投标专用章等）或下属单位印章代替”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17、关于响应文件应按磋商文件的要求签署、盖章的要求：完全响应；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18、关于“在政府采购活动中，采购人、采购代理机构在磋商文件中规定供应商单位及其现任法定代表人、主要负责人不得具有行贿犯罪记录，供应商应在响应文件中承诺，否则供应商响应文件应当认定为无效”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19、关于合同分包的要求：完全响应；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20、关于合同转包的要求：完全响应；</w:t>
      </w:r>
    </w:p>
    <w:p>
      <w:pPr>
        <w:spacing w:line="24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21、关于“国家或行业主管部门对采购产品的技术标准、质量标准和资格资质条件等有强制性规定的，必须符合其要求。采购项目需求中如涉及国家规定的强制采购范围内产品，均应按照国家相关要求进行审核。不管磋商文件是否要求，供应商应提供相关证明材料。优先采购范围内的产品按磋商文件约定执行”的要求：完全响应；</w:t>
      </w:r>
    </w:p>
    <w:p>
      <w:pPr>
        <w:pStyle w:val="8"/>
        <w:spacing w:line="24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bCs/>
          <w:color w:val="auto"/>
          <w:sz w:val="24"/>
          <w:highlight w:val="none"/>
          <w:lang w:val="en-US" w:eastAsia="zh-CN"/>
        </w:rPr>
        <w:t>22、关于磋商文件中标注★号的内容的要求：完全响应；</w:t>
      </w:r>
    </w:p>
    <w:p>
      <w:p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供应商名称：XXXX（单位盖章）。</w:t>
      </w:r>
    </w:p>
    <w:p>
      <w:p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法定代表人/单位负责人或授权代表（签字或加盖个人印章）：XXXX。</w:t>
      </w:r>
    </w:p>
    <w:p>
      <w:pPr>
        <w:pStyle w:val="3"/>
        <w:spacing w:beforeLines="50" w:line="360" w:lineRule="auto"/>
        <w:rPr>
          <w:rFonts w:hint="eastAsia" w:ascii="宋体" w:hAnsi="宋体" w:eastAsia="宋体" w:cs="宋体"/>
          <w:bCs w:val="0"/>
          <w:color w:val="auto"/>
          <w:kern w:val="0"/>
          <w:sz w:val="36"/>
          <w:szCs w:val="36"/>
          <w:highlight w:val="none"/>
        </w:rPr>
      </w:pPr>
      <w:r>
        <w:rPr>
          <w:rFonts w:hint="eastAsia" w:ascii="宋体" w:hAnsi="宋体" w:eastAsia="宋体" w:cs="宋体"/>
          <w:bCs/>
          <w:color w:val="auto"/>
          <w:sz w:val="24"/>
          <w:highlight w:val="none"/>
          <w:lang w:val="en-US" w:eastAsia="zh-CN"/>
        </w:rPr>
        <w:t>日期: XXXX。</w:t>
      </w:r>
      <w:r>
        <w:rPr>
          <w:rFonts w:hint="eastAsia" w:ascii="宋体" w:hAnsi="宋体" w:eastAsia="宋体" w:cs="宋体"/>
          <w:bCs w:val="0"/>
          <w:color w:val="auto"/>
          <w:kern w:val="0"/>
          <w:sz w:val="36"/>
          <w:szCs w:val="36"/>
          <w:highlight w:val="none"/>
        </w:rPr>
        <w:br w:type="page"/>
      </w:r>
      <w:bookmarkEnd w:id="14"/>
      <w:bookmarkEnd w:id="66"/>
      <w:bookmarkEnd w:id="67"/>
      <w:bookmarkStart w:id="75" w:name="_Toc9096_WPSOffice_Level1"/>
      <w:bookmarkStart w:id="76" w:name="_Toc1472"/>
      <w:bookmarkStart w:id="77" w:name="_Toc28106"/>
      <w:bookmarkStart w:id="78" w:name="_Toc28027"/>
      <w:bookmarkStart w:id="79" w:name="_Toc32172"/>
      <w:bookmarkStart w:id="80" w:name="_Toc28598"/>
      <w:bookmarkStart w:id="81" w:name="_Toc4539"/>
      <w:bookmarkStart w:id="82" w:name="_Toc6426"/>
      <w:bookmarkStart w:id="83" w:name="_Toc28161"/>
      <w:r>
        <w:rPr>
          <w:rFonts w:hint="eastAsia" w:ascii="宋体" w:hAnsi="宋体" w:eastAsia="宋体" w:cs="宋体"/>
          <w:bCs w:val="0"/>
          <w:color w:val="auto"/>
          <w:kern w:val="0"/>
          <w:sz w:val="36"/>
          <w:szCs w:val="36"/>
          <w:highlight w:val="none"/>
        </w:rPr>
        <w:t>第四章 供应商的资格、资质性及其他类似效力要求</w:t>
      </w:r>
      <w:bookmarkEnd w:id="75"/>
      <w:bookmarkEnd w:id="76"/>
      <w:bookmarkEnd w:id="77"/>
      <w:bookmarkEnd w:id="78"/>
      <w:bookmarkEnd w:id="79"/>
      <w:bookmarkEnd w:id="80"/>
      <w:bookmarkEnd w:id="81"/>
      <w:bookmarkEnd w:id="82"/>
      <w:bookmarkEnd w:id="83"/>
    </w:p>
    <w:p>
      <w:pPr>
        <w:widowControl/>
        <w:spacing w:line="240" w:lineRule="auto"/>
        <w:jc w:val="left"/>
        <w:rPr>
          <w:rFonts w:hint="eastAsia" w:ascii="宋体" w:hAnsi="宋体" w:eastAsia="宋体" w:cs="宋体"/>
          <w:b/>
          <w:bCs/>
          <w:color w:val="auto"/>
          <w:sz w:val="24"/>
          <w:highlight w:val="none"/>
        </w:rPr>
      </w:pPr>
      <w:bookmarkStart w:id="84" w:name="_Toc12198"/>
      <w:bookmarkStart w:id="85" w:name="_Toc10480"/>
      <w:bookmarkStart w:id="86" w:name="_Toc16188"/>
      <w:bookmarkStart w:id="87" w:name="_Toc12533"/>
      <w:bookmarkStart w:id="88" w:name="_Toc1490"/>
      <w:bookmarkStart w:id="89" w:name="_Toc19426"/>
      <w:bookmarkStart w:id="90" w:name="_Toc26833_WPSOffice_Level1"/>
      <w:bookmarkStart w:id="91" w:name="_Toc7553"/>
      <w:bookmarkStart w:id="92" w:name="_Toc1519"/>
      <w:r>
        <w:rPr>
          <w:rFonts w:hint="eastAsia" w:ascii="宋体" w:hAnsi="宋体" w:eastAsia="宋体" w:cs="宋体"/>
          <w:b/>
          <w:bCs/>
          <w:color w:val="auto"/>
          <w:sz w:val="24"/>
          <w:highlight w:val="none"/>
        </w:rPr>
        <w:t>一、参加磋商的供应商应具备下列资格条件：</w:t>
      </w:r>
    </w:p>
    <w:p>
      <w:pPr>
        <w:widowControl/>
        <w:spacing w:line="24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（一）《中华人民共和国政府采购法》第二十二条第一款第1项至第5项规定的条件：</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2.具有良好的商业信誉和健全的财务会计制度；</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3.具有履行合同所必须的设备和专业技术能力；</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4.具有依法缴纳税收和社会保障资金的良好记录；</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5.参加本次政府采购活动前三年内，在经营活动中没有重大违法记录。</w:t>
      </w:r>
    </w:p>
    <w:p>
      <w:pPr>
        <w:widowControl/>
        <w:spacing w:line="24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（二）法律、行政法规规定的其他条件：</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参加本次政府采购活动，供应商不存在与单位负责人为同一人或者存在直接控股、管理关系的其他供应商参与同一合同项下的政府采购活动的行为。</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参加本次政府采购活动，供应商不存在和其他供应商在同一合同项下的采购项目中，同时委托同一个自然人、同一家庭的人员、同一单位的人员作为代理人的行为。</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为采购项目提供整体设计、规范编制或者项目管理、监理、检测等服务的供应商，不得再参加该采购项目的其他采购活动。</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供应商及其现任法定代表人、主要负责人不得具有行贿犯罪记录；</w:t>
      </w:r>
    </w:p>
    <w:p>
      <w:pPr>
        <w:widowControl/>
        <w:spacing w:line="24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注：采购代理机构将通过“信用中国”（www.creditchina.gov.cn）、“中国政府采购网”（www.ccgp.gov.cn）等渠道查询供应商在递交响应文件截止时间前的信用记录并保存信用记录结果网页截图。查询时以输入供应商全称搜索后的结果截图为准，如有列入失信被执行人、重大税收违法案件当事人名单、政府采购严重违法失信行为记录名单及其他不符合《中华人民共和国政府采购法》第二十二条规定条件的供应商，拒绝其参与政府采购活动。以联合体形式参加本项目采购活动，联合体成员存在不良信用记录的，视同联合体存在不良信用记录。）；②非企业参与磋商时由供应商在响应文件中自行提供承诺函，格式自拟；</w:t>
      </w:r>
    </w:p>
    <w:p>
      <w:pPr>
        <w:widowControl/>
        <w:spacing w:line="24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（三）根据采购项目提出的特殊条件：</w:t>
      </w:r>
      <w:r>
        <w:rPr>
          <w:rFonts w:hint="eastAsia" w:ascii="宋体" w:hAnsi="宋体" w:eastAsia="宋体" w:cs="宋体"/>
          <w:b/>
          <w:bCs/>
          <w:color w:val="auto"/>
          <w:sz w:val="24"/>
          <w:highlight w:val="none"/>
          <w:lang w:eastAsia="zh-CN"/>
        </w:rPr>
        <w:t>本项目专门面向中小企采购，供应商提供中小企业声明函（监狱企业、残疾人福利性单位视同小微企业）。</w:t>
      </w:r>
    </w:p>
    <w:p>
      <w:pPr>
        <w:widowControl/>
        <w:spacing w:line="24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（四）本项目不接受联合体</w:t>
      </w:r>
      <w:r>
        <w:rPr>
          <w:rFonts w:hint="eastAsia" w:ascii="宋体" w:hAnsi="宋体" w:eastAsia="宋体" w:cs="宋体"/>
          <w:b/>
          <w:bCs/>
          <w:color w:val="auto"/>
          <w:sz w:val="24"/>
          <w:highlight w:val="none"/>
          <w:lang w:val="en-US" w:eastAsia="zh-CN"/>
        </w:rPr>
        <w:t>参与磋商</w:t>
      </w:r>
      <w:r>
        <w:rPr>
          <w:rFonts w:hint="eastAsia" w:ascii="宋体" w:hAnsi="宋体" w:eastAsia="宋体" w:cs="宋体"/>
          <w:b/>
          <w:bCs/>
          <w:color w:val="auto"/>
          <w:sz w:val="24"/>
          <w:highlight w:val="none"/>
        </w:rPr>
        <w:t>。</w:t>
      </w:r>
    </w:p>
    <w:p>
      <w:pPr>
        <w:widowControl/>
        <w:spacing w:line="240" w:lineRule="auto"/>
        <w:ind w:firstLine="240" w:firstLineChars="1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1.本项目确定供应商重大违法记录中较大数额罚款的金额标准为：若采购项目所属行业行政主管部门对较大数额罚款金额标准有明文规定的，以所属行业行政主管部门规定的较大数额罚款金额标准；若采购项目所属行业行政主管部门对较大数额罚款金额标准未明文规定的，以四川省人民政府规定的行政处罚罚款听证标准金额为准。</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在参加政府采购活动前，被纳入法院、工商行政管理部门、税务部门、银行认定的失信名单且在有效期内，或者在前三年政府采购合同履约过程中及其他经营活动履约过程中未依法履约被有关行政部门处罚（处理）的，本项目不认定其具有良好的商业信誉。</w:t>
      </w:r>
    </w:p>
    <w:p>
      <w:pPr>
        <w:pStyle w:val="39"/>
        <w:keepNext w:val="0"/>
        <w:keepLines w:val="0"/>
        <w:pageBreakBefore w:val="0"/>
        <w:widowControl w:val="0"/>
        <w:kinsoku/>
        <w:wordWrap/>
        <w:overflowPunct/>
        <w:topLinePunct w:val="0"/>
        <w:autoSpaceDE/>
        <w:autoSpaceDN/>
        <w:bidi w:val="0"/>
        <w:adjustRightInd/>
        <w:snapToGrid/>
        <w:spacing w:line="430" w:lineRule="exact"/>
        <w:ind w:firstLine="600" w:firstLineChars="250"/>
        <w:textAlignment w:val="auto"/>
        <w:rPr>
          <w:rFonts w:hint="eastAsia" w:ascii="宋体" w:hAnsi="宋体" w:eastAsia="宋体" w:cs="宋体"/>
          <w:color w:val="auto"/>
          <w:sz w:val="24"/>
          <w:highlight w:val="none"/>
          <w:lang w:val="en-US" w:eastAsia="zh-CN"/>
        </w:rPr>
      </w:pPr>
    </w:p>
    <w:p>
      <w:pPr>
        <w:pStyle w:val="39"/>
        <w:keepNext w:val="0"/>
        <w:keepLines w:val="0"/>
        <w:pageBreakBefore w:val="0"/>
        <w:widowControl w:val="0"/>
        <w:kinsoku/>
        <w:wordWrap/>
        <w:overflowPunct/>
        <w:topLinePunct w:val="0"/>
        <w:autoSpaceDE/>
        <w:autoSpaceDN/>
        <w:bidi w:val="0"/>
        <w:adjustRightInd/>
        <w:snapToGrid/>
        <w:spacing w:line="430" w:lineRule="exact"/>
        <w:ind w:firstLine="904" w:firstLineChars="250"/>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第五章  供应商应当提供的</w:t>
      </w:r>
      <w:r>
        <w:rPr>
          <w:rFonts w:hint="eastAsia" w:ascii="宋体" w:hAnsi="宋体" w:eastAsia="宋体" w:cs="宋体"/>
          <w:b/>
          <w:bCs/>
          <w:color w:val="auto"/>
          <w:sz w:val="36"/>
          <w:szCs w:val="36"/>
          <w:highlight w:val="none"/>
        </w:rPr>
        <w:t>资格、资质性及其他类似效力要求的</w:t>
      </w:r>
      <w:r>
        <w:rPr>
          <w:rFonts w:hint="eastAsia" w:ascii="宋体" w:hAnsi="宋体" w:eastAsia="宋体" w:cs="宋体"/>
          <w:b/>
          <w:color w:val="auto"/>
          <w:sz w:val="36"/>
          <w:szCs w:val="36"/>
          <w:highlight w:val="none"/>
        </w:rPr>
        <w:t>相关证明材料</w:t>
      </w:r>
      <w:bookmarkEnd w:id="84"/>
      <w:bookmarkEnd w:id="85"/>
      <w:bookmarkEnd w:id="86"/>
      <w:bookmarkEnd w:id="87"/>
      <w:bookmarkEnd w:id="88"/>
      <w:bookmarkEnd w:id="89"/>
      <w:bookmarkEnd w:id="90"/>
      <w:bookmarkEnd w:id="91"/>
      <w:bookmarkEnd w:id="92"/>
    </w:p>
    <w:p>
      <w:pPr>
        <w:keepNext w:val="0"/>
        <w:keepLines w:val="0"/>
        <w:pageBreakBefore w:val="0"/>
        <w:widowControl w:val="0"/>
        <w:kinsoku/>
        <w:wordWrap/>
        <w:overflowPunct/>
        <w:topLinePunct w:val="0"/>
        <w:autoSpaceDE/>
        <w:autoSpaceDN/>
        <w:bidi w:val="0"/>
        <w:adjustRightInd/>
        <w:snapToGrid/>
        <w:spacing w:line="460" w:lineRule="exact"/>
        <w:ind w:firstLine="236" w:firstLineChars="98"/>
        <w:textAlignment w:val="auto"/>
        <w:rPr>
          <w:rFonts w:hint="eastAsia" w:ascii="宋体" w:hAnsi="宋体" w:eastAsia="宋体" w:cs="宋体"/>
          <w:b/>
          <w:bCs/>
          <w:color w:val="auto"/>
          <w:sz w:val="24"/>
          <w:highlight w:val="none"/>
        </w:rPr>
      </w:pPr>
      <w:bookmarkStart w:id="93" w:name="_Toc21158"/>
      <w:bookmarkStart w:id="94" w:name="_Toc18271"/>
      <w:bookmarkStart w:id="95" w:name="_Toc10285"/>
      <w:bookmarkStart w:id="96" w:name="_Toc6383_WPSOffice_Level1"/>
      <w:r>
        <w:rPr>
          <w:rFonts w:hint="eastAsia" w:ascii="宋体" w:hAnsi="宋体" w:eastAsia="宋体" w:cs="宋体"/>
          <w:b/>
          <w:bCs/>
          <w:color w:val="auto"/>
          <w:sz w:val="24"/>
          <w:highlight w:val="none"/>
        </w:rPr>
        <w:t>一</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资格要求相关证明材料：</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具有独立承担民事责任的能力（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有关注册登记证照”；④若为自然人：提供“身份证明材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提供复印件加盖公章；</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2.具备良好商业信誉的证明材料</w:t>
      </w:r>
      <w:r>
        <w:rPr>
          <w:rFonts w:hint="eastAsia" w:ascii="宋体" w:hAnsi="宋体" w:eastAsia="宋体" w:cs="宋体"/>
          <w:b/>
          <w:bCs/>
          <w:color w:val="auto"/>
          <w:sz w:val="24"/>
          <w:highlight w:val="none"/>
        </w:rPr>
        <w:t>（提供承诺函）</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3.具备健全的财务会计制度的证明材料；｛注：①可提供20</w:t>
      </w: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年度</w:t>
      </w:r>
      <w:r>
        <w:rPr>
          <w:rFonts w:hint="eastAsia" w:ascii="宋体" w:hAnsi="宋体" w:eastAsia="宋体" w:cs="宋体"/>
          <w:color w:val="auto"/>
          <w:sz w:val="24"/>
          <w:highlight w:val="none"/>
          <w:lang w:val="en-US" w:eastAsia="zh-CN"/>
        </w:rPr>
        <w:t>或者</w:t>
      </w:r>
      <w:r>
        <w:rPr>
          <w:rFonts w:hint="eastAsia" w:ascii="宋体" w:hAnsi="宋体" w:eastAsia="宋体" w:cs="宋体"/>
          <w:color w:val="auto"/>
          <w:sz w:val="24"/>
          <w:highlight w:val="none"/>
        </w:rPr>
        <w:t>20</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年度或者20</w:t>
      </w: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年度经审计的财务报告复印件（包含审计报告和审计报告中所涉及的财务报表和报表附注），②也可提供20</w:t>
      </w: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年度</w:t>
      </w:r>
      <w:r>
        <w:rPr>
          <w:rFonts w:hint="eastAsia" w:ascii="宋体" w:hAnsi="宋体" w:eastAsia="宋体" w:cs="宋体"/>
          <w:color w:val="auto"/>
          <w:sz w:val="24"/>
          <w:highlight w:val="none"/>
          <w:lang w:val="en-US" w:eastAsia="zh-CN"/>
        </w:rPr>
        <w:t>或者</w:t>
      </w:r>
      <w:r>
        <w:rPr>
          <w:rFonts w:hint="eastAsia" w:ascii="宋体" w:hAnsi="宋体" w:eastAsia="宋体" w:cs="宋体"/>
          <w:color w:val="auto"/>
          <w:sz w:val="24"/>
          <w:highlight w:val="none"/>
        </w:rPr>
        <w:t>20</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年度或者20</w:t>
      </w: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年度供应商内部的财务报表复印件（至少包含资产负债表），③也可提供距文件递交截止日一年内银行出具的资信证明（复印件）④供应商注册时间截至</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文件递交截止日不足一年的，也可提供在工商备案的公司章程（复印件）。⑤供应商为事业单位或其他组织的提供其具有健全的财务会计制度的承诺函原件即可。注：供应商提供以上任一证明材料均可</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也可</w:t>
      </w:r>
      <w:r>
        <w:rPr>
          <w:rFonts w:hint="eastAsia" w:ascii="宋体" w:hAnsi="宋体" w:eastAsia="宋体" w:cs="宋体"/>
          <w:b/>
          <w:bCs/>
          <w:color w:val="auto"/>
          <w:sz w:val="24"/>
          <w:highlight w:val="none"/>
        </w:rPr>
        <w:t>提供承诺函）</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4.具有依法缴纳税收和社会保障资金的良好记录；｛注：①提供2019年至今任意一个月的纳税</w:t>
      </w:r>
      <w:r>
        <w:rPr>
          <w:rFonts w:hint="eastAsia" w:ascii="宋体" w:hAnsi="宋体" w:eastAsia="宋体" w:cs="宋体"/>
          <w:color w:val="auto"/>
          <w:sz w:val="24"/>
          <w:highlight w:val="none"/>
          <w:lang w:eastAsia="zh-CN"/>
        </w:rPr>
        <w:t>和</w:t>
      </w:r>
      <w:r>
        <w:rPr>
          <w:rFonts w:hint="eastAsia" w:ascii="宋体" w:hAnsi="宋体" w:eastAsia="宋体" w:cs="宋体"/>
          <w:color w:val="auto"/>
          <w:sz w:val="24"/>
          <w:highlight w:val="none"/>
        </w:rPr>
        <w:t>社保缴纳证明材料；依法免税或不需要缴纳社会保障资金的供应商，应提供相应文件证明其依法免税或不需要缴纳社会保障资金，②若公司成立未满一年可提供具有依法缴纳税收和社会保障资金的良好记录的承诺书</w:t>
      </w:r>
      <w:r>
        <w:rPr>
          <w:rFonts w:hint="eastAsia" w:ascii="宋体" w:hAnsi="宋体" w:eastAsia="宋体" w:cs="宋体"/>
          <w:color w:val="auto"/>
          <w:sz w:val="24"/>
          <w:highlight w:val="none"/>
          <w:lang w:val="en-US" w:eastAsia="zh-CN"/>
        </w:rPr>
        <w:t>。注：供应商提供以上任一证明材料均可。</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rPr>
        <w:t>（提供承诺函）</w:t>
      </w:r>
    </w:p>
    <w:p>
      <w:pPr>
        <w:keepNext w:val="0"/>
        <w:keepLines w:val="0"/>
        <w:pageBreakBefore w:val="0"/>
        <w:widowControl w:val="0"/>
        <w:kinsoku/>
        <w:wordWrap/>
        <w:overflowPunct/>
        <w:topLinePunct w:val="0"/>
        <w:autoSpaceDE/>
        <w:autoSpaceDN/>
        <w:bidi w:val="0"/>
        <w:adjustRightInd/>
        <w:snapToGrid/>
        <w:spacing w:line="460" w:lineRule="exact"/>
        <w:ind w:firstLine="460" w:firstLineChars="192"/>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5.具备履行合同所必需的设备和专业技术能力的证明材料</w:t>
      </w:r>
      <w:r>
        <w:rPr>
          <w:rFonts w:hint="eastAsia" w:ascii="宋体" w:hAnsi="宋体" w:eastAsia="宋体" w:cs="宋体"/>
          <w:b/>
          <w:bCs/>
          <w:color w:val="auto"/>
          <w:sz w:val="24"/>
          <w:highlight w:val="none"/>
        </w:rPr>
        <w:t>（提供承诺函）</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460" w:firstLineChars="192"/>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参加本次政府采购活动前三年内，在经营活动中没有重大违法记录</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rPr>
        <w:t>（提供承诺函）</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after="50" w:line="460" w:lineRule="exac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法律、行政法规规定的其他条件：</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1.参加本次政府采购活动，供应商不存在与单位负责人为同一人或者存在直接控股、管理关系的其他供应商参与同一合同项下的政府采购活动的行为。</w:t>
      </w:r>
      <w:r>
        <w:rPr>
          <w:rFonts w:hint="eastAsia" w:ascii="宋体" w:hAnsi="宋体" w:eastAsia="宋体" w:cs="宋体"/>
          <w:b/>
          <w:bCs/>
          <w:color w:val="auto"/>
          <w:sz w:val="24"/>
          <w:highlight w:val="none"/>
        </w:rPr>
        <w:t>（提供承诺函）；</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2.参加本次政府采购活动，供应商不存在和其他供应商在同一合同项下的采购项目中，同时委托同一个自然人、同一家庭的人员、同一单位的人员作为代理人的行为。</w:t>
      </w:r>
      <w:r>
        <w:rPr>
          <w:rFonts w:hint="eastAsia" w:ascii="宋体" w:hAnsi="宋体" w:eastAsia="宋体" w:cs="宋体"/>
          <w:b/>
          <w:bCs/>
          <w:color w:val="auto"/>
          <w:sz w:val="24"/>
          <w:highlight w:val="none"/>
        </w:rPr>
        <w:t>（提供承诺函）；</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3.为采购项目提供整体设计、规范编制或者项目管理、监理、检测等服务的供应商，不得再参加该采购项目的其他采购活动。</w:t>
      </w:r>
      <w:r>
        <w:rPr>
          <w:rFonts w:hint="eastAsia" w:ascii="宋体" w:hAnsi="宋体" w:eastAsia="宋体" w:cs="宋体"/>
          <w:b/>
          <w:bCs/>
          <w:color w:val="auto"/>
          <w:sz w:val="24"/>
          <w:highlight w:val="none"/>
        </w:rPr>
        <w:t>（提供承诺函）</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4.供应商及其现任法定代表人、主要负责人不得具有行贿犯罪记录；</w:t>
      </w:r>
      <w:r>
        <w:rPr>
          <w:rFonts w:hint="eastAsia" w:ascii="宋体" w:hAnsi="宋体" w:eastAsia="宋体" w:cs="宋体"/>
          <w:b/>
          <w:bCs/>
          <w:color w:val="auto"/>
          <w:sz w:val="24"/>
          <w:highlight w:val="none"/>
        </w:rPr>
        <w:t>（提供承诺函）；</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注：采购代理机构将通过“信用中国”（www.creditchina.gov.cn）、“中国政府采购网”（www.ccgp.gov.cn）等渠道查询供应商在递交响应文件截止时间前的信用记录并保存信用记录结果网页截图。查询时以输入供应商全称搜索后的结果截图为准，如有列入失信被执行人、重大税收违法案件当事人名单、政府采购严重违法失信行为记录名单及其他不符合《中华人民共和国政府采购法》第二十二条规定条件的供应商，拒绝其参与政府采购活动。以联合体形式参加本项目采购活动，联合体成员存在不良信用记录的，视同联合体存在不良信用记录。）；②非企业参与磋商时由供应商在响应文件中自行提供承诺函，格式自拟；</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三</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根据采购项目提出的特殊条件：</w:t>
      </w:r>
      <w:r>
        <w:rPr>
          <w:rFonts w:hint="eastAsia" w:ascii="宋体" w:hAnsi="宋体" w:eastAsia="宋体" w:cs="宋体"/>
          <w:b/>
          <w:bCs/>
          <w:color w:val="auto"/>
          <w:sz w:val="24"/>
          <w:highlight w:val="none"/>
          <w:lang w:eastAsia="zh-CN"/>
        </w:rPr>
        <w:t>本项目专门面向中小企采购，供应商提供中小企业声明函（监狱企业、残疾人福利性单位视同小微企业）。</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四、</w:t>
      </w:r>
      <w:r>
        <w:rPr>
          <w:rFonts w:hint="eastAsia" w:ascii="宋体" w:hAnsi="宋体" w:eastAsia="宋体" w:cs="宋体"/>
          <w:b/>
          <w:bCs/>
          <w:color w:val="auto"/>
          <w:sz w:val="24"/>
          <w:highlight w:val="none"/>
        </w:rPr>
        <w:t>供应商应提供其他类似效力要求的相关证明材料:</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1.法定代表人授权书原件(法定代表人参与磋商时不需要提供授权书，但须提供法定代表人身份证明）；</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法定代表人和授权代表身份证明复印件（法定代表人参与磋商时只需提供法定代表人身份证明复印件，授权代表参与磋商时需提供法定代表人和授权代表身份证明复印件，复印件均需加盖公章，身份证明文件包括居民身份证、军官证、外籍人员的护照等，身份证明文件应同时提供其在有效期的材料）。</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注：1）以上承诺函(可参照第七章</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文件格式“承诺函”格式或自拟格式填写均有效)。</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2）供应商提供的以上资格证明材料为复印件的均应加盖供应商公章。</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3）供应商应对其所提供的资格证明材料来源的合法性、真实性负责。</w:t>
      </w:r>
    </w:p>
    <w:p>
      <w:pPr>
        <w:spacing w:after="50" w:line="420" w:lineRule="exact"/>
        <w:ind w:firstLine="480" w:firstLineChars="200"/>
        <w:jc w:val="both"/>
        <w:rPr>
          <w:rFonts w:hint="eastAsia" w:ascii="宋体" w:hAnsi="宋体" w:eastAsia="宋体" w:cs="宋体"/>
          <w:b/>
          <w:bCs w:val="0"/>
          <w:color w:val="auto"/>
          <w:kern w:val="2"/>
          <w:sz w:val="36"/>
          <w:szCs w:val="36"/>
        </w:rPr>
      </w:pPr>
      <w:r>
        <w:rPr>
          <w:rFonts w:hint="eastAsia" w:ascii="宋体" w:hAnsi="宋体" w:eastAsia="宋体" w:cs="宋体"/>
          <w:color w:val="auto"/>
          <w:sz w:val="24"/>
          <w:highlight w:val="none"/>
        </w:rPr>
        <w:t>4）以上要求提供的相关证明材料应当结合采购项目具体情况和</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的组织机构性质确定，不得一概而论。</w:t>
      </w:r>
      <w:r>
        <w:rPr>
          <w:rFonts w:hint="eastAsia" w:ascii="宋体" w:hAnsi="宋体" w:eastAsia="宋体" w:cs="宋体"/>
          <w:b/>
          <w:bCs w:val="0"/>
          <w:color w:val="auto"/>
          <w:kern w:val="2"/>
          <w:sz w:val="36"/>
          <w:szCs w:val="36"/>
        </w:rPr>
        <w:t xml:space="preserve">  </w:t>
      </w:r>
      <w:bookmarkEnd w:id="93"/>
      <w:bookmarkEnd w:id="94"/>
      <w:bookmarkStart w:id="97" w:name="_Toc11880"/>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rPr>
      </w:pPr>
    </w:p>
    <w:p>
      <w:pPr>
        <w:spacing w:after="50" w:line="420" w:lineRule="exact"/>
        <w:jc w:val="both"/>
        <w:rPr>
          <w:rFonts w:hint="eastAsia" w:ascii="宋体" w:hAnsi="宋体" w:eastAsia="宋体" w:cs="宋体"/>
          <w:b/>
          <w:bCs w:val="0"/>
          <w:color w:val="auto"/>
          <w:kern w:val="2"/>
          <w:sz w:val="36"/>
          <w:szCs w:val="36"/>
          <w:lang w:val="en-US" w:eastAsia="zh-CN"/>
        </w:rPr>
      </w:pPr>
    </w:p>
    <w:p>
      <w:pPr>
        <w:spacing w:after="50" w:line="420" w:lineRule="exact"/>
        <w:jc w:val="both"/>
        <w:rPr>
          <w:rFonts w:hint="eastAsia" w:ascii="宋体" w:hAnsi="宋体" w:eastAsia="宋体" w:cs="宋体"/>
          <w:b/>
          <w:bCs w:val="0"/>
          <w:color w:val="auto"/>
          <w:kern w:val="2"/>
          <w:sz w:val="36"/>
          <w:szCs w:val="36"/>
          <w:lang w:val="en-US" w:eastAsia="zh-CN"/>
        </w:rPr>
      </w:pPr>
    </w:p>
    <w:p>
      <w:pPr>
        <w:spacing w:after="50" w:line="420" w:lineRule="exact"/>
        <w:jc w:val="both"/>
        <w:rPr>
          <w:rFonts w:hint="eastAsia" w:ascii="宋体" w:hAnsi="宋体" w:eastAsia="宋体" w:cs="宋体"/>
          <w:b/>
          <w:bCs w:val="0"/>
          <w:color w:val="auto"/>
          <w:kern w:val="2"/>
          <w:sz w:val="36"/>
          <w:szCs w:val="36"/>
          <w:lang w:val="en-US" w:eastAsia="zh-CN"/>
        </w:rPr>
      </w:pPr>
    </w:p>
    <w:p>
      <w:pPr>
        <w:spacing w:after="50" w:line="420" w:lineRule="exact"/>
        <w:jc w:val="both"/>
        <w:rPr>
          <w:rFonts w:hint="eastAsia" w:ascii="宋体" w:hAnsi="宋体" w:eastAsia="宋体" w:cs="宋体"/>
          <w:b/>
          <w:bCs w:val="0"/>
          <w:color w:val="auto"/>
          <w:kern w:val="2"/>
          <w:sz w:val="36"/>
          <w:szCs w:val="36"/>
          <w:lang w:val="en-US" w:eastAsia="zh-CN"/>
        </w:rPr>
      </w:pPr>
    </w:p>
    <w:p>
      <w:pPr>
        <w:spacing w:after="50" w:line="420" w:lineRule="exact"/>
        <w:jc w:val="both"/>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val="0"/>
          <w:color w:val="auto"/>
          <w:kern w:val="2"/>
          <w:sz w:val="36"/>
          <w:szCs w:val="36"/>
          <w:lang w:val="en-US" w:eastAsia="zh-CN"/>
        </w:rPr>
        <w:t>第六章</w:t>
      </w:r>
      <w:r>
        <w:rPr>
          <w:rFonts w:hint="eastAsia" w:ascii="宋体" w:hAnsi="宋体" w:eastAsia="宋体" w:cs="宋体"/>
          <w:b/>
          <w:bCs/>
          <w:color w:val="auto"/>
          <w:kern w:val="2"/>
          <w:sz w:val="32"/>
          <w:szCs w:val="32"/>
          <w:highlight w:val="none"/>
          <w:lang w:val="en-US" w:eastAsia="zh-CN" w:bidi="ar-SA"/>
        </w:rPr>
        <w:t>采购项目技术、服务、政府采购合同内容条款及其他商务要求</w:t>
      </w:r>
    </w:p>
    <w:p>
      <w:pPr>
        <w:pStyle w:val="4"/>
        <w:spacing w:line="400" w:lineRule="exact"/>
        <w:ind w:firstLine="235" w:firstLineChars="98"/>
        <w:rPr>
          <w:rFonts w:hint="eastAsia" w:ascii="宋体" w:hAnsi="宋体" w:eastAsia="宋体" w:cs="宋体"/>
          <w:b w:val="0"/>
          <w:bCs w:val="0"/>
          <w:color w:val="auto"/>
          <w:kern w:val="2"/>
          <w:sz w:val="24"/>
          <w:szCs w:val="24"/>
          <w:highlight w:val="none"/>
          <w:lang w:val="en-US" w:eastAsia="zh-CN" w:bidi="ar-SA"/>
        </w:rPr>
      </w:pPr>
      <w:bookmarkStart w:id="98" w:name="PO_默认文件内容_27"/>
      <w:r>
        <w:rPr>
          <w:rFonts w:hint="eastAsia" w:ascii="宋体" w:hAnsi="宋体" w:eastAsia="宋体" w:cs="宋体"/>
          <w:b w:val="0"/>
          <w:bCs w:val="0"/>
          <w:color w:val="auto"/>
          <w:kern w:val="2"/>
          <w:sz w:val="24"/>
          <w:szCs w:val="24"/>
          <w:highlight w:val="none"/>
          <w:lang w:val="en-US" w:eastAsia="zh-CN" w:bidi="ar-SA"/>
        </w:rPr>
        <w:t>本章中标注“★”的条款为本次磋商采购项目的实质性要求条款，供应商应全部满足，否则作无效响应处理。</w:t>
      </w:r>
    </w:p>
    <w:bookmarkEnd w:id="98"/>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一、项目概况</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彭州市文化馆位于彭州市金彭西路，文化馆建筑面积6000㎡,地下停车场面积约2000㎡,可停车60余辆，拟通过竞争性磋商方式采购一名供应商提供物业管理服务。</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二、物业工作职责</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保安人员在上班期间，保证24小时进行不间断巡逻，维护采购人的财产安全和工作秩序；保安的重点工作是对物业服务区域进行巡查管理，地下停车场管理，对公用设备设施进行看护，做好预防工作和防止犯罪、盗窃事故的发生。</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保洁人员每天对1、2、4楼各房间、过道、楼梯、卫生间等的卫生进行清扫、保洁；每天对广场、演艺中心、楼道等进行清扫、保洁；演出前后对会议室、演艺大厅的卫生进行清扫。每天应对区域内的垃圾进行统一收集。星期一至星期五两名保洁人员均应上班，星期六至星期日应有一名保洁人员上班。</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▲3、供应商负责保安的管理，并制定相关的规章制度，同时遵守采购人的相关管理规定。</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▲4、供应商项目负责人随时与采购人协调沟通发现问题及时处理。</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三、物业服务要求</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▲1、按专业化服务的要求配备符合该项目需求的物业服务人员；上岗期间，统一着装。</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▲2、保安人员实行24小时值班制度和巡查制度，负责维护文化馆内的安全，重点是设备和消防安全；负责维护馆内公共秩序、安全保卫，防止一切事故的发生，确保安全运行。</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▲3、水电维修人员急修情况下在1小时内到达现场，小修1个工作日内完成，并定期对馆内线路进行安全检查；确保供水、供电系统安全运行。</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▲4、保洁人员随时对公共区域的环境卫生进行巡回保洁，保持无可见垃圾，并统一收集垃圾；办公区域的门窗一周擦拭一次，保证无明显灰尘。</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四、物业服务人员设置要求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★项目拟配备6人负责管理和服务。其中：安全保卫人员4人，卫生保洁员2人。所有项目工作人员与供应商应具有合法的劳动合同关系，服务人员统一着装，服务规范，语言文明。（提供承诺函，格式自拟）</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五、物业服务内容、质量及标准</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（一）公共秩序维护与管理 </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▲1、保卫人员24小时值守，对可疑人员进行盘问，防止盗窃、破坏及意外事故。</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▲2、监控设备24小时运行，监控图像清晰，外来人员进出监控中心应登记；监控录像资料应保存15天，调取监控资料应审批，有记录。</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（二）卫生保洁及绿化维护与管理</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▲1、保证文化馆内地面干净、整洁，桌面无灰尘，窗台玻璃干净，垃圾及时清理，保持干净、整洁，目视无垃圾。</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▲2、标识标牌、垃圾桶每天擦洗1次，公共卫生间每天清洗2次，保持干净、整洁。</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▲3、公共卫生间每周消毒1次。</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▲4、绿化带草坪每季度至少修剪1次，对灌木、乔木及时修剪。</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▲5、对绿化植物定期杀虫、施肥、松土，及时清理白色垃圾和杂物。</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▲（三）、消防系统维护与管理</w:t>
      </w:r>
    </w:p>
    <w:p>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1、室外消火栓、水泵接合器及室内外阀门随时保持可启用状态；室外消火栓、应急照明灯、疏散指示标志每日巡查 1 次，确保完好有效；灭火器每月检查 1 次；消火栓系统每周启动 1 次。 </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2、每年组织不少于 1 次员工或使用人参加的消防演练，有完善的消防安全管理制度及应急预案。 </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★三、商务要求</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1.报价要求：</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（1）供应商的报价是其完成本项目要求的全部工作内容的价格体现。</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2.服务期限:合同签订之日起1年。</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3.服务地点：成都市彭州市。</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4.付款方式：合同签订后7个工作日内支付合同金额的30%，服务期满6个月后7个工作日内支付合同金额的40%，一年服务期满后支付合同金额的30%。</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5.验收：采购人根据相关法律法规、供应商的响应文件、承诺与本合同约定标准进行验收。</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履约验收：成交人与采购人应严格按照《财政部关于进一步加强政府采购需求和履约验收管理的指导意见》（财库〔2016〕205号）及四川省财政厅《四川省政府采购项目需求论证和履约验收管理办法》(川财采〔2015〕32号)的要求进行验收。</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考核标准：本项目每个季度为一个考核周期。单个季度考核发现问题的，采购人有权勒令供应商限期整改，对整改不到位、不及时，或考核结果低于60分的，采购人有权扣除供应商当月服务费的2%-5%。连续两个季度考核低于60分，并且供应商不积极配合整改的，本合同自动终止，不再继续展约。考核情况由供应商项目经理签字认可，管理考核办法如下:</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1、中标人员工人数不足，扣除5分，未在限期内及时更换的，扣分累计;</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2、采购人提出更换不合适员工成交人在5日内不予更换的，扣除10分;</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3、中标人员工违反相关安全操作规定的，采购人有权责令立即改正，扣除10分;</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中标人员工违反作息时间的，按次扣减合同款项100元，计2分;上岗时未着公司统一制服的，按次扣减合同款项100元，计2分;未保持安静的，按次扣减合同款项100元，计2分;不爱护责任区域内的设施设备、损毁财物的，除照价赔偿外，按次扣减合同款项100元，计2分;</w:t>
      </w:r>
    </w:p>
    <w:p>
      <w:pPr>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5、中标人服务未达到上文所述服务标准的，每明细项按次扣减合同款50元，计1分。</w:t>
      </w:r>
    </w:p>
    <w:p>
      <w:pPr>
        <w:keepNext w:val="0"/>
        <w:keepLines w:val="0"/>
        <w:pageBreakBefore w:val="0"/>
        <w:widowControl w:val="0"/>
        <w:kinsoku/>
        <w:wordWrap/>
        <w:overflowPunct/>
        <w:topLinePunct w:val="0"/>
        <w:autoSpaceDE/>
        <w:autoSpaceDN/>
        <w:bidi w:val="0"/>
        <w:adjustRightInd/>
        <w:snapToGrid/>
        <w:spacing w:after="50" w:line="460" w:lineRule="exact"/>
        <w:ind w:firstLine="48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采购人组建物业督查小组，实行不定期督查，若抽查中先于供应商发现较为突出的管理问题(如设施设备长期损坏、垃圾死角未清理、车辆停放混乱无序、人员出入管理不规范、绿化清理修剪不及时等)，每发现一次扣减供应商物业服务费200元，计2分。</w:t>
      </w:r>
    </w:p>
    <w:p>
      <w:pPr>
        <w:pStyle w:val="3"/>
        <w:pageBreakBefore/>
        <w:numPr>
          <w:ilvl w:val="0"/>
          <w:numId w:val="0"/>
        </w:numPr>
        <w:spacing w:beforeLines="5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第七章    </w:t>
      </w:r>
      <w:bookmarkStart w:id="99" w:name="_Toc27004"/>
      <w:bookmarkStart w:id="100" w:name="_Toc6249"/>
      <w:bookmarkStart w:id="101" w:name="_Toc27426"/>
      <w:bookmarkStart w:id="102" w:name="_Toc14231"/>
      <w:bookmarkStart w:id="103" w:name="_Toc29830"/>
      <w:r>
        <w:rPr>
          <w:rFonts w:hint="eastAsia" w:ascii="宋体" w:hAnsi="宋体" w:eastAsia="宋体" w:cs="宋体"/>
          <w:color w:val="auto"/>
          <w:sz w:val="36"/>
          <w:szCs w:val="36"/>
          <w:highlight w:val="none"/>
        </w:rPr>
        <w:t>评审办法</w:t>
      </w:r>
      <w:bookmarkEnd w:id="95"/>
      <w:bookmarkEnd w:id="96"/>
      <w:bookmarkEnd w:id="97"/>
      <w:bookmarkEnd w:id="99"/>
      <w:bookmarkEnd w:id="100"/>
      <w:bookmarkEnd w:id="101"/>
      <w:bookmarkEnd w:id="102"/>
      <w:bookmarkEnd w:id="103"/>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1.总则</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 根据《中华人民共和国政府采购法》、《中华人民共和国政府采购法实施条例》、《政府采购竞争性磋商采购方式管理暂行办法》等法律制度，结合本采购项目特点制定本磋商方法。</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 磋商工作由采购代理机构负责组织，具体磋商由采购代理机构依法组建的磋商小组负责。</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 磋商工作应遵循公平、公正、科学及择优的原则，并以相同的磋商程序和标准对待所有的供应商。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 磋商小组按照磋商文件规定的磋商程序、评分方法和标准进行评审，并独立履行下列职责：</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（一）熟悉和理解磋商文件，确定磋商文件内容是否违反国家有关强制性规定或者磋商文件存在歧义、重大缺陷，根据需要书面要求采购人、采购代理机构对磋商文件作出解释；</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（二）审查供应商响应文件是否满足磋商文件要求，并作出公正评价；</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（三）根据需要要求供应商对响应文件中含义不明确、同类问题表述不一致或者有明显文字和计算错误的内容等作出必要的澄清、说明或者更正；</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（四）推荐成交供应商，或者受采购人委托确定成交供应商；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（五）起草评审报告并进行签署；</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（六）向采购人/采购代理机构、财政部门或者其他监督部门报告非法干预评审工作的行为；</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（七）法律、法规和规章规定的其他职责。</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 磋商过程独立、保密。供应商非法干预磋商过程的，其响应文件作无效处理。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2.磋商程序</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2.1审查磋商文件和停止评审。</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2.1.1 磋商小组正式评审前，应当对磋商文件进行熟悉和理解，内容主要包括磋商文件中供应商资格条件要求、采购项目技术、服务和商务要求、磋商办法和标准、政府采购政策要求以及政府采购合同主要条款等。</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 本磋商文件有下列情形之一的，磋商小组应当停止评审：</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（1）磋商文件的规定存在歧义、重大缺陷的；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（2）磋商文件明显以不合理条件对供应商实行差别待遇或者歧视待遇的；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（3）采购项目属于国家规定的优先、强制采购范围，但是磋商文件未依法体现优先、强制采购相关规定的；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（4）采购项目属于政府采购促进中小企业发展的范围，但是磋商文件未依法体现促进中小企业发展相关规定的；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（5）磋商文件将供应商的资格条件列为评分因素的；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（6）磋商文件载明的成交原则不合法的；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（7）磋商文件有违反国家其他有关强制性规定的情形。</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2.1.3 出现本条2.1.2规定应当停止评审情形的，磋商小组应当向采购人书面说明情况。除本条规定的情形外，磋商小组不得以任何方式和理由停止评审。</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2.2资格性审查。</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2.2.1本项目需要磋商小组进行资格性检查。</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磋商小组应依据法律法规和磋商文件的规定，对响应文件是否按照规定要求提供资格性证明材料、是否属于禁止参加磋商的供应商等进行审查，以确定供应商是否具备磋商资格。</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2.2.2资格性审查结束后，磋商小组应当出具资格性审查报告，没有通过资格审查的供应商，磋商小组应当在资格审查报告中说明原因。</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2.2.3磋商小组应依据磋商文件规定的实质性要求，对符合资格的响应文件进行有效性、完整性和响应程度审查，以确定参加磋商的供应商名单；</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响应文件有下列情形的，本项目不作为实质性要求进行规定，不得作为无效投标处理：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正副本数量齐全，只是未按照</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文件要求进行分装或者统装的；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存在个别地方(不超过2个)没有法定代表人签字，但有法定代表人的私人印章或者有效授权代理人签字的；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除</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文件明确要求加盖单位(法人)公章的以外，其他地方以相关专用章加盖的；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以骑缝章的形式代替响应文件文件内容逐页盖章的(但是骑缝章模糊不清，印章名称无法辨认的除外)；</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其他不影响采购项目实质性要求的情形。</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除政府采购法律制度规定的情形外，本项目</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或者其响应文件有下列情形之一的，作为无效投标处理：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文件正副本数量不足的；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文件组成明显不符合磋商文件的规定要求，影响</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rPr>
        <w:t>评判的；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文件的格式、语言、计量单位、报价货币、知识产权、</w:t>
      </w:r>
      <w:r>
        <w:rPr>
          <w:rFonts w:hint="eastAsia" w:ascii="宋体" w:hAnsi="宋体" w:eastAsia="宋体" w:cs="宋体"/>
          <w:b w:val="0"/>
          <w:bCs w:val="0"/>
          <w:color w:val="auto"/>
          <w:sz w:val="24"/>
          <w:szCs w:val="24"/>
          <w:highlight w:val="none"/>
          <w:lang w:val="en-US" w:eastAsia="zh-CN"/>
        </w:rPr>
        <w:t>响应文件</w:t>
      </w:r>
      <w:r>
        <w:rPr>
          <w:rFonts w:hint="eastAsia" w:ascii="宋体" w:hAnsi="宋体" w:eastAsia="宋体" w:cs="宋体"/>
          <w:b w:val="0"/>
          <w:bCs w:val="0"/>
          <w:color w:val="auto"/>
          <w:sz w:val="24"/>
          <w:szCs w:val="24"/>
          <w:highlight w:val="none"/>
        </w:rPr>
        <w:t>有效期等不符合磋商文件的规定，影响</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rPr>
        <w:t>评判的；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磋商报价不符合</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文件规定的价格标底和其他报价规定的；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技术、服务应答内容没有完全响应磋商文件带★号的实质性要求的；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磋商文件有明确要求，但响应文件未载明或者载明的采购项目履约时间、方式、数量与</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文件要求不一致的；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文件含有采购人不能接受的附加条件的。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2.2.4采购人或者采购代理机构宣布未通过资格性审查的供应商名单时，应当告知供应商未通过审查的原因。</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 通过资格性审查的供应商不足3家的(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若采购过程中符合要求的供应商（社会资本）只有2家，且采购人要求继续进行的，评审委员会应当遵照相关要求进行评审)，终止本次采购活动，并发布终止采购活动公告。</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2.4磋商。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2.4.1磋商小组所有成员集中与单一供应商分别进行一轮或多轮磋商，并给予所有参加磋商的供应商平等的磋商机会。磋商顺序以现场抽签的方式确定。磋商过程中，磋商小组可以根据磋商情况调整磋商轮次。</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2.4.2每轮磋商开始前，磋商小组应根据磋商文件的规定，并结合各供应商的响应文件拟定磋商内容。</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2.4.3在磋商过程中，磋商小组可以根据磋商文件和磋商情况实质性变动磋商文件的技术、服务要求以及合同草案条款，但不得变动磋商文件中的其他内容。实质性变动的内容，须经采购人代表书面确认。</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2.4.4对磋商文件作出的实质性变动是磋商文件的有效组成部分，磋商小组应当及时以书面形式同时通知所有参加磋商的供应商。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2.4.5磋商过程中，磋商文件变动的，供应商应当按照磋商文件的变动情况和磋商小组的要求重新提交响应文件，并由其法定代表人/主要负责人/本人或其授权代表签字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2.4.6磋商过程中，磋商的任何一方不得透露与磋商有关的其他供应商的技术资料、价格和其他信息。</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2.4.7磋商过程中，磋商小组发现或者知晓供应商存在违法、违纪行为的，磋商小组应当将该供应商响应文件作无效处理，不允许其提交最后报价。</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2.4.8磋商完成后，磋商小组应出具磋商情况记录表，磋商情况记录表需包含磋商内容、磋商意见、实质性变动内容等。   </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2.5最后报价。</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2.5.1磋商文件能够详细列明采购标的的技术、服务要求的，磋商结束后，磋商小组应当要求所有实质性响应的供应商在规定时间内提交最后报价，提交最后报价的供应商不得少于3家(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若采购过程中符合要求的供应商（社会资本）只有2家，且采购人要求继续进行的，评审委员会应当遵照相关要求进行评审)。或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2.5.2磋商结束后，磋商小组应当要求所有实质性响应的供应商在规定时间内提交最后报价。两轮（若有）以上报价的，供应商在未提高响应文件中承诺的产品及其服务质量的情况下，其最后报价不得高于对该项目之前的报价，否则，磋商小组应当对其响应文件按无效处理，不允许进入综合评分，并书面告知供应商，说明理由。</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2.5.3供应商最后报价应当由法定代表人/主要负责人/本人或其授权代表签字确认或加盖公章。最后报价是供应商响应文件的有效组成部分。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2.5.4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2.6比较与评价。由磋商小组采用综合评分法对提交最后报价的供应商的响应文件和最后报价进行综合评分，具体要求详见本章综合评分部分。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2.7推荐成交候选供应商。磋商小组应当根据综合评分情况，按照评审得分由高到低顺序推荐3家以上（本章2.3和2.5.1的情况除外）成交候选供应商，并编写磋商报告。评审得分相同的，按照最后报价由低到高的顺序推荐。评审得分且最后报价相同的，按照技术指标优劣顺序推荐。评审得分且最后报价且技术指标分项得分均相同的，不发达地区或少数民族地区的供应商推荐顺序在非不发达地区或少数民族地区的供应商之前；评审得分且最后报价且技术指标分项得分均相同的，且均为不发达地区或少数民族地区的供应商并列；评审得分且最后报价且技术指标分项得分均相同的，且不能判定为不发达地区或少数民族地区的供应商并列。</w:t>
      </w:r>
      <w:r>
        <w:rPr>
          <w:rFonts w:hint="eastAsia" w:ascii="宋体" w:hAnsi="宋体" w:eastAsia="宋体" w:cs="宋体"/>
          <w:b/>
          <w:bCs/>
          <w:color w:val="auto"/>
          <w:sz w:val="24"/>
          <w:szCs w:val="24"/>
          <w:highlight w:val="none"/>
        </w:rPr>
        <w:t>（不发达地区或少数民族地区的供应商需提供属于不发达地区或少数民族地区企业的相关证明材料，或供应商注册地为少数民族地区）</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2.8磋商小组复核。磋商小组评分汇总结束后，磋商小组应当进行评审复核，对拟推荐为成交候选供应商的、报价最低的、供应商资格审查未通过的、供应商响应文件作无效处理的重点复核。</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2.9采购组织单位现场复核评审结果。</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2.9.1评审结果汇总完成后，磋商小组拟出具磋商评审报告前，采购人/采购代理机构应当组织2名以上的本单位工作人员，在采购现场监督人员的监督之下，依据有关的法律制度和磋商文件对评审结果进行复核，出具复核报告，存在下列情形之一的，采购人/采购代理机构应当根据情况书面建议磋商小组现场修改评审结果：</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（1）资格性审查认定错误的；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（2）分值汇总计算错误的；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（3）分项评分超出评分标准范围的；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（4）客观评分不一致的。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存在本条上述情形的，由磋商小组自主决定是否采纳采购人/采购代理机构的书面建议，并承担独立评审责任。磋商小组采纳采购人/采购代理机构书面建议的，应当按照规定现场修改评审结果或者重新评审，并在磋商报告中详细记载有关事宜；不采纳采购人/采购代理机构书面建议的，应当书面说明理由。采购人/采购代理机构书面建议未被磋商小组采纳的，应当接照规定程序要求继续组织实施采购活动，不得擅自中止采购活动。采购人/采购代理机构认为磋商小组评审结果不合法的，应当书面报告采购项目同级财政部门。</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采购人/采购代理机构复核过程中，磋商小组成员不得离开评审现场。</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2.9.2有下列情形之一的，不得现场修改评审结果：</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（1）磋商小组已经出具磋商报告并且离开评审现场的；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（2）采购人/采购代理机构现场复核时，复核工作人员数量不足的；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（3）采购人/采购代理机构现场复核时，没有采购监督人员现场监督的；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（4）采购人/采购代理机构现场复核内容超出规定范围的；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（5）采购人/采购代理机构未提供书面建议的。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2.10编写磋商报告。磋商小组推荐成交候选供应商后，应向采购人/采购代理机构出具磋商报告。磋商报告应当包括以下主要内容：</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（1）邀请供应商参加采购活动的具体方式和相关情况；</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（2）响应文件开启日期和地点；</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（3）获取磋商文件的供应商名单和磋商小组成员名单；</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（4）评审情况记录和说明，包括对供应商的资格审查情况、供应商响应文件审查情况、磋商情况、报价情况等；</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（5）提出的成交候选供应商的排序名单及理由。</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2.11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2.12供应商澄清、说明</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2.12.2磋商小组要求供应商澄清、说明或者更正响应文件应当以书面形式作出。供应商的澄清、说明或者更正应当由法定代表人/主要负责人/本人或其授权代表签字或者加盖公章。</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2.13终止磋商采购活动。</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出现下列情形之一的，采购人或者采购代理机构应当终止竞争性磋商采购活动，发布项目终止公告并说明原因，重新开展采购活动：</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（1）因情况变化，不再符合规定的竞争性磋商采购方式适用情形的；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（2）出现影响采购公正的违法、违规行为的；</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在采购过程中符合要求的供应商或者报价未超过采购预算的供应商不足3家的(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若采购过程中符合要求的供应商（社会资本）只有2家，且采购人要求继续进行的，评审委员会应当遵照相关要求进行评审)。</w:t>
      </w:r>
    </w:p>
    <w:p>
      <w:pPr>
        <w:pStyle w:val="4"/>
        <w:keepNext w:val="0"/>
        <w:keepLines w:val="0"/>
        <w:pageBreakBefore w:val="0"/>
        <w:widowControl w:val="0"/>
        <w:kinsoku/>
        <w:wordWrap/>
        <w:overflowPunct/>
        <w:topLinePunct w:val="0"/>
        <w:autoSpaceDE/>
        <w:autoSpaceDN/>
        <w:bidi w:val="0"/>
        <w:adjustRightInd/>
        <w:snapToGrid/>
        <w:spacing w:before="0" w:after="0" w:line="24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3.综合评分</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3.1本次综合评分的因素是：详见“综合评分明细表中的评分因素及权重”。</w:t>
      </w:r>
    </w:p>
    <w:p>
      <w:pPr>
        <w:pStyle w:val="4"/>
        <w:keepNext w:val="0"/>
        <w:keepLines w:val="0"/>
        <w:pageBreakBefore w:val="0"/>
        <w:widowControl w:val="0"/>
        <w:kinsoku/>
        <w:wordWrap/>
        <w:overflowPunct/>
        <w:topLinePunct w:val="0"/>
        <w:autoSpaceDE/>
        <w:autoSpaceDN/>
        <w:bidi w:val="0"/>
        <w:adjustRightInd/>
        <w:snapToGrid/>
        <w:spacing w:before="0" w:after="0" w:line="360" w:lineRule="auto"/>
        <w:ind w:firstLine="470" w:firstLineChars="196"/>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3.2 除价格因素外，磋商小组成员应当根据自身专业情况独立对每个有效供应商的响应文件进行评价、打分。技术、与技术有关的服务及其他技术类评分因素由抽取的技术方面磋商小组成员独立评分。财务状况及其他经济类评分因素由抽取的经济方面磋商小组成员独立评分。政府采购政策功能、政府采购合同主要条款及其他政策合同类的评分因素由抽取的法律方面磋商小组成员独立评分。采购人代表原则上对技术、与技术有关的服务及其他技术类评分因素独立评分。价格及其他不能明确区分的评分因素由磋商小组成员共同评分。</w:t>
      </w:r>
    </w:p>
    <w:p>
      <w:pPr>
        <w:spacing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3.3综合评分明细表(总分100分)</w:t>
      </w:r>
    </w:p>
    <w:tbl>
      <w:tblPr>
        <w:tblStyle w:val="24"/>
        <w:tblpPr w:leftFromText="180" w:rightFromText="180" w:vertAnchor="text" w:horzAnchor="page" w:tblpX="692" w:tblpY="388"/>
        <w:tblOverlap w:val="never"/>
        <w:tblW w:w="105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0"/>
        <w:gridCol w:w="1293"/>
        <w:gridCol w:w="1188"/>
        <w:gridCol w:w="6453"/>
        <w:gridCol w:w="1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dxa"/>
            <w:noWrap w:val="0"/>
            <w:vAlign w:val="center"/>
          </w:tcPr>
          <w:p>
            <w:pPr>
              <w:spacing w:line="280" w:lineRule="exact"/>
              <w:jc w:val="center"/>
              <w:rPr>
                <w:rFonts w:hint="eastAsia" w:ascii="宋体" w:hAnsi="宋体" w:eastAsia="宋体" w:cs="宋体"/>
                <w:color w:val="auto"/>
                <w:sz w:val="24"/>
                <w:szCs w:val="24"/>
                <w:highlight w:val="none"/>
              </w:rPr>
            </w:pPr>
            <w:bookmarkStart w:id="104" w:name="_Toc24511"/>
            <w:r>
              <w:rPr>
                <w:rFonts w:hint="eastAsia" w:ascii="宋体" w:hAnsi="宋体" w:eastAsia="宋体" w:cs="宋体"/>
                <w:color w:val="auto"/>
                <w:sz w:val="24"/>
                <w:szCs w:val="24"/>
                <w:highlight w:val="none"/>
              </w:rPr>
              <w:t>序号</w:t>
            </w:r>
          </w:p>
        </w:tc>
        <w:tc>
          <w:tcPr>
            <w:tcW w:w="1293"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评分因素权重</w:t>
            </w:r>
          </w:p>
        </w:tc>
        <w:tc>
          <w:tcPr>
            <w:tcW w:w="1188"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6453"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c>
          <w:tcPr>
            <w:tcW w:w="1255"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93"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报价10%</w:t>
            </w:r>
          </w:p>
        </w:tc>
        <w:tc>
          <w:tcPr>
            <w:tcW w:w="1188"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6453" w:type="dxa"/>
            <w:noWrap w:val="0"/>
            <w:vAlign w:val="center"/>
          </w:tcPr>
          <w:p>
            <w:pPr>
              <w:spacing w:line="28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以本次有效的最低磋商报价为基准价，其价格分为满分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分.磋商报价得分=(磋商基准价／最后磋商报价)*</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*100。</w:t>
            </w:r>
          </w:p>
          <w:p>
            <w:pPr>
              <w:spacing w:line="28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.失信企业扣分：对记入诚信档案且在有效期内的失信供应商，在参加政府采购活动中直接从总分中扣除5分/次予以惩戒，供应商失信行为惩戒实行无限制累加制，直到总分 100 分扣完为止。</w:t>
            </w:r>
          </w:p>
          <w:p>
            <w:pPr>
              <w:spacing w:line="28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.参加政府采购活动的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应提供中小企业应提供《中小企业声明函》；残疾人福利性企业应提供《残疾人福利性单位声明函》。</w:t>
            </w:r>
          </w:p>
          <w:p>
            <w:pPr>
              <w:spacing w:line="28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为监狱企业的，提供由省级以上监狱管理局、戒毒管理局出具的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属于监狱企业的证明文件复印件。</w:t>
            </w:r>
          </w:p>
        </w:tc>
        <w:tc>
          <w:tcPr>
            <w:tcW w:w="1255" w:type="dxa"/>
            <w:vMerge w:val="restart"/>
            <w:noWrap w:val="0"/>
            <w:vAlign w:val="center"/>
          </w:tcPr>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共同评审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80"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93"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w:t>
            </w:r>
          </w:p>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1188"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分</w:t>
            </w:r>
          </w:p>
        </w:tc>
        <w:tc>
          <w:tcPr>
            <w:tcW w:w="6453" w:type="dxa"/>
            <w:noWrap w:val="0"/>
            <w:vAlign w:val="center"/>
          </w:tcPr>
          <w:p>
            <w:pPr>
              <w:spacing w:line="28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供应商所提供的技术、服务要求完全满足磋商文件中第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章技术、服务要求中带“▲”要求的得</w:t>
            </w: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分。有一项缺失或者低于磋商文件第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章技术、服务要求中带“▲”要求的扣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分，扣完为止，本项最高</w:t>
            </w: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分。</w:t>
            </w:r>
          </w:p>
        </w:tc>
        <w:tc>
          <w:tcPr>
            <w:tcW w:w="1255"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380"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93"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履约能力</w:t>
            </w:r>
          </w:p>
          <w:p>
            <w:pPr>
              <w:spacing w:line="280" w:lineRule="exact"/>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6%</w:t>
            </w:r>
          </w:p>
        </w:tc>
        <w:tc>
          <w:tcPr>
            <w:tcW w:w="1188" w:type="dxa"/>
            <w:noWrap w:val="0"/>
            <w:vAlign w:val="center"/>
          </w:tcPr>
          <w:p>
            <w:pPr>
              <w:spacing w:line="280" w:lineRule="exact"/>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p>
            <w:pPr>
              <w:spacing w:line="280" w:lineRule="exact"/>
              <w:jc w:val="center"/>
              <w:rPr>
                <w:rFonts w:hint="eastAsia" w:ascii="宋体" w:hAnsi="宋体" w:eastAsia="宋体" w:cs="宋体"/>
                <w:color w:val="auto"/>
                <w:sz w:val="24"/>
                <w:szCs w:val="24"/>
                <w:highlight w:val="none"/>
                <w:lang w:val="en-US" w:eastAsia="zh-CN"/>
              </w:rPr>
            </w:pPr>
          </w:p>
        </w:tc>
        <w:tc>
          <w:tcPr>
            <w:tcW w:w="6453" w:type="dxa"/>
            <w:noWrap w:val="0"/>
            <w:vAlign w:val="center"/>
          </w:tcPr>
          <w:p>
            <w:pP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具有1个类似业绩得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分。（以合同签订时间为准。）</w:t>
            </w:r>
          </w:p>
          <w:p>
            <w:pP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注：提供合同复印件并加盖公章。</w:t>
            </w:r>
          </w:p>
        </w:tc>
        <w:tc>
          <w:tcPr>
            <w:tcW w:w="1255"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380" w:type="dxa"/>
            <w:vMerge w:val="restart"/>
            <w:noWrap w:val="0"/>
            <w:vAlign w:val="center"/>
          </w:tcPr>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293" w:type="dxa"/>
            <w:vMerge w:val="restart"/>
            <w:noWrap w:val="0"/>
            <w:vAlign w:val="center"/>
          </w:tcPr>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服务方案</w:t>
            </w:r>
          </w:p>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w:t>
            </w:r>
          </w:p>
        </w:tc>
        <w:tc>
          <w:tcPr>
            <w:tcW w:w="1188"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公共秩序维护与管理方案12分</w:t>
            </w:r>
          </w:p>
        </w:tc>
        <w:tc>
          <w:tcPr>
            <w:tcW w:w="6453" w:type="dxa"/>
            <w:noWrap w:val="0"/>
            <w:vAlign w:val="top"/>
          </w:tcPr>
          <w:p>
            <w:pPr>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供应商针对本项目提供</w:t>
            </w:r>
            <w:r>
              <w:rPr>
                <w:rFonts w:hint="eastAsia" w:ascii="宋体" w:hAnsi="宋体" w:eastAsia="宋体" w:cs="宋体"/>
                <w:color w:val="auto"/>
                <w:sz w:val="24"/>
                <w:szCs w:val="24"/>
                <w:highlight w:val="none"/>
                <w:lang w:val="en-US" w:eastAsia="zh-CN"/>
              </w:rPr>
              <w:t>项目公共秩序维护与管理方案对：公共秩序维护服务范围、</w:t>
            </w:r>
            <w:r>
              <w:rPr>
                <w:rFonts w:hint="eastAsia" w:ascii="宋体" w:hAnsi="宋体" w:eastAsia="宋体" w:cs="宋体"/>
                <w:color w:val="auto"/>
                <w:sz w:val="24"/>
                <w:szCs w:val="24"/>
                <w:highlight w:val="none"/>
                <w:lang w:eastAsia="zh-CN"/>
              </w:rPr>
              <w:t>秩序维护员管理</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秩序维护请示汇报制度</w:t>
            </w:r>
            <w:r>
              <w:rPr>
                <w:rFonts w:hint="eastAsia" w:ascii="宋体" w:hAnsi="宋体" w:eastAsia="宋体" w:cs="宋体"/>
                <w:color w:val="auto"/>
                <w:sz w:val="24"/>
                <w:szCs w:val="24"/>
                <w:highlight w:val="none"/>
              </w:rPr>
              <w:t>作详细阐述；方案</w:t>
            </w:r>
            <w:r>
              <w:rPr>
                <w:rFonts w:hint="eastAsia" w:ascii="宋体" w:hAnsi="宋体" w:eastAsia="宋体" w:cs="宋体"/>
                <w:color w:val="auto"/>
                <w:sz w:val="24"/>
                <w:szCs w:val="24"/>
                <w:highlight w:val="none"/>
                <w:lang w:val="en-US" w:eastAsia="zh-CN"/>
              </w:rPr>
              <w:t>完善</w:t>
            </w:r>
            <w:r>
              <w:rPr>
                <w:rFonts w:hint="eastAsia" w:ascii="宋体" w:hAnsi="宋体" w:eastAsia="宋体" w:cs="宋体"/>
                <w:color w:val="auto"/>
                <w:sz w:val="24"/>
                <w:szCs w:val="24"/>
                <w:highlight w:val="none"/>
              </w:rPr>
              <w:t>、有针对性的得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分，每有一项缺失</w:t>
            </w:r>
            <w:r>
              <w:rPr>
                <w:rFonts w:hint="eastAsia" w:ascii="宋体" w:hAnsi="宋体" w:eastAsia="宋体" w:cs="宋体"/>
                <w:color w:val="auto"/>
                <w:sz w:val="24"/>
                <w:szCs w:val="24"/>
                <w:highlight w:val="none"/>
                <w:lang w:val="en-US" w:eastAsia="zh-CN"/>
              </w:rPr>
              <w:t>扣4分，每有一项</w:t>
            </w: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完善</w:t>
            </w:r>
            <w:r>
              <w:rPr>
                <w:rFonts w:hint="eastAsia" w:ascii="宋体" w:hAnsi="宋体" w:eastAsia="宋体" w:cs="宋体"/>
                <w:color w:val="auto"/>
                <w:sz w:val="24"/>
                <w:szCs w:val="24"/>
                <w:highlight w:val="none"/>
              </w:rPr>
              <w:t>或没有针对性得扣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本项最多得</w:t>
            </w:r>
            <w:r>
              <w:rPr>
                <w:rFonts w:hint="eastAsia" w:ascii="宋体" w:hAnsi="宋体" w:eastAsia="宋体" w:cs="宋体"/>
                <w:color w:val="auto"/>
                <w:sz w:val="24"/>
                <w:szCs w:val="24"/>
                <w:highlight w:val="none"/>
                <w:lang w:val="en-US" w:eastAsia="zh-CN"/>
              </w:rPr>
              <w:t>12分。</w:t>
            </w:r>
          </w:p>
        </w:tc>
        <w:tc>
          <w:tcPr>
            <w:tcW w:w="1255"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380" w:type="dxa"/>
            <w:vMerge w:val="continue"/>
            <w:noWrap w:val="0"/>
            <w:vAlign w:val="center"/>
          </w:tcPr>
          <w:p>
            <w:pPr>
              <w:spacing w:line="280" w:lineRule="exact"/>
              <w:jc w:val="center"/>
              <w:rPr>
                <w:rFonts w:hint="eastAsia" w:ascii="宋体" w:hAnsi="宋体" w:eastAsia="宋体" w:cs="宋体"/>
                <w:color w:val="auto"/>
                <w:sz w:val="24"/>
                <w:szCs w:val="24"/>
                <w:highlight w:val="none"/>
                <w:lang w:val="en-US" w:eastAsia="zh-CN"/>
              </w:rPr>
            </w:pPr>
          </w:p>
        </w:tc>
        <w:tc>
          <w:tcPr>
            <w:tcW w:w="1293" w:type="dxa"/>
            <w:vMerge w:val="continue"/>
            <w:noWrap w:val="0"/>
            <w:vAlign w:val="center"/>
          </w:tcPr>
          <w:p>
            <w:pPr>
              <w:spacing w:line="280" w:lineRule="exact"/>
              <w:jc w:val="center"/>
              <w:rPr>
                <w:rFonts w:hint="eastAsia" w:ascii="宋体" w:hAnsi="宋体" w:eastAsia="宋体" w:cs="宋体"/>
                <w:color w:val="auto"/>
                <w:sz w:val="24"/>
                <w:szCs w:val="24"/>
                <w:highlight w:val="none"/>
                <w:lang w:val="en-US" w:eastAsia="zh-CN"/>
              </w:rPr>
            </w:pPr>
          </w:p>
        </w:tc>
        <w:tc>
          <w:tcPr>
            <w:tcW w:w="1188" w:type="dxa"/>
            <w:noWrap w:val="0"/>
            <w:vAlign w:val="center"/>
          </w:tcPr>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卫生保洁服务方案</w:t>
            </w:r>
          </w:p>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w:t>
            </w:r>
          </w:p>
        </w:tc>
        <w:tc>
          <w:tcPr>
            <w:tcW w:w="6453" w:type="dxa"/>
            <w:noWrap w:val="0"/>
            <w:vAlign w:val="top"/>
          </w:tcPr>
          <w:p>
            <w:pP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供应商针对本项目提供</w:t>
            </w:r>
            <w:r>
              <w:rPr>
                <w:rFonts w:hint="eastAsia" w:ascii="宋体" w:hAnsi="宋体" w:eastAsia="宋体" w:cs="宋体"/>
                <w:color w:val="auto"/>
                <w:sz w:val="24"/>
                <w:szCs w:val="24"/>
                <w:highlight w:val="none"/>
                <w:lang w:val="en-US" w:eastAsia="zh-CN"/>
              </w:rPr>
              <w:t>卫生保洁服务方案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对地面保洁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垃圾整理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卫生间保洁及消毒</w:t>
            </w:r>
            <w:r>
              <w:rPr>
                <w:rFonts w:hint="eastAsia" w:ascii="宋体" w:hAnsi="宋体" w:eastAsia="宋体" w:cs="宋体"/>
                <w:color w:val="auto"/>
                <w:sz w:val="24"/>
                <w:szCs w:val="24"/>
                <w:highlight w:val="none"/>
              </w:rPr>
              <w:t>作详细阐述；方案</w:t>
            </w:r>
            <w:r>
              <w:rPr>
                <w:rFonts w:hint="eastAsia" w:ascii="宋体" w:hAnsi="宋体" w:eastAsia="宋体" w:cs="宋体"/>
                <w:color w:val="auto"/>
                <w:sz w:val="24"/>
                <w:szCs w:val="24"/>
                <w:highlight w:val="none"/>
                <w:lang w:val="en-US" w:eastAsia="zh-CN"/>
              </w:rPr>
              <w:t>清晰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完善</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分，每有一项缺失</w:t>
            </w:r>
            <w:r>
              <w:rPr>
                <w:rFonts w:hint="eastAsia" w:ascii="宋体" w:hAnsi="宋体" w:eastAsia="宋体" w:cs="宋体"/>
                <w:color w:val="auto"/>
                <w:sz w:val="24"/>
                <w:szCs w:val="24"/>
                <w:highlight w:val="none"/>
                <w:lang w:val="en-US" w:eastAsia="zh-CN"/>
              </w:rPr>
              <w:t>扣4分，每有一项</w:t>
            </w:r>
            <w:r>
              <w:rPr>
                <w:rFonts w:hint="eastAsia" w:ascii="宋体" w:hAnsi="宋体" w:eastAsia="宋体" w:cs="宋体"/>
                <w:color w:val="auto"/>
                <w:sz w:val="24"/>
                <w:szCs w:val="24"/>
                <w:highlight w:val="none"/>
              </w:rPr>
              <w:t>不</w:t>
            </w:r>
            <w:r>
              <w:rPr>
                <w:rFonts w:hint="eastAsia" w:ascii="宋体" w:hAnsi="宋体" w:eastAsia="宋体" w:cs="宋体"/>
                <w:color w:val="auto"/>
                <w:sz w:val="24"/>
                <w:szCs w:val="24"/>
                <w:highlight w:val="none"/>
                <w:lang w:val="en-US" w:eastAsia="zh-CN"/>
              </w:rPr>
              <w:t>清晰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不完善</w:t>
            </w:r>
            <w:r>
              <w:rPr>
                <w:rFonts w:hint="eastAsia" w:ascii="宋体" w:hAnsi="宋体" w:eastAsia="宋体" w:cs="宋体"/>
                <w:color w:val="auto"/>
                <w:sz w:val="24"/>
                <w:szCs w:val="24"/>
                <w:highlight w:val="none"/>
              </w:rPr>
              <w:t>得扣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本项最多得</w:t>
            </w:r>
            <w:r>
              <w:rPr>
                <w:rFonts w:hint="eastAsia" w:ascii="宋体" w:hAnsi="宋体" w:eastAsia="宋体" w:cs="宋体"/>
                <w:color w:val="auto"/>
                <w:sz w:val="24"/>
                <w:szCs w:val="24"/>
                <w:highlight w:val="none"/>
                <w:lang w:val="en-US" w:eastAsia="zh-CN"/>
              </w:rPr>
              <w:t>12分。</w:t>
            </w:r>
          </w:p>
        </w:tc>
        <w:tc>
          <w:tcPr>
            <w:tcW w:w="1255"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380"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c>
          <w:tcPr>
            <w:tcW w:w="1293" w:type="dxa"/>
            <w:vMerge w:val="continue"/>
            <w:noWrap w:val="0"/>
            <w:vAlign w:val="center"/>
          </w:tcPr>
          <w:p>
            <w:pPr>
              <w:spacing w:line="280" w:lineRule="exact"/>
              <w:rPr>
                <w:rFonts w:hint="eastAsia" w:ascii="宋体" w:hAnsi="宋体" w:eastAsia="宋体" w:cs="宋体"/>
                <w:color w:val="auto"/>
                <w:sz w:val="24"/>
                <w:szCs w:val="24"/>
                <w:highlight w:val="none"/>
              </w:rPr>
            </w:pPr>
          </w:p>
        </w:tc>
        <w:tc>
          <w:tcPr>
            <w:tcW w:w="1188" w:type="dxa"/>
            <w:noWrap w:val="0"/>
            <w:vAlign w:val="center"/>
          </w:tcPr>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绿化维护与管理方案12</w:t>
            </w:r>
            <w:r>
              <w:rPr>
                <w:rFonts w:hint="eastAsia" w:ascii="宋体" w:hAnsi="宋体" w:eastAsia="宋体" w:cs="宋体"/>
                <w:color w:val="auto"/>
                <w:sz w:val="24"/>
                <w:szCs w:val="24"/>
                <w:highlight w:val="none"/>
                <w:lang w:eastAsia="zh-CN"/>
              </w:rPr>
              <w:t>分</w:t>
            </w:r>
          </w:p>
        </w:tc>
        <w:tc>
          <w:tcPr>
            <w:tcW w:w="6453" w:type="dxa"/>
            <w:noWrap w:val="0"/>
            <w:vAlign w:val="center"/>
          </w:tcPr>
          <w:p>
            <w:pP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供应商针对本项目提供</w:t>
            </w:r>
            <w:r>
              <w:rPr>
                <w:rFonts w:hint="eastAsia" w:ascii="宋体" w:hAnsi="宋体" w:eastAsia="宋体" w:cs="宋体"/>
                <w:color w:val="auto"/>
                <w:sz w:val="24"/>
                <w:szCs w:val="24"/>
                <w:highlight w:val="none"/>
                <w:lang w:val="en-US" w:eastAsia="zh-CN"/>
              </w:rPr>
              <w:t>绿化维护与管理方案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对草坪日常养护管理规定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乔灌木日常养护管理规定、绿化养护质量标准</w:t>
            </w:r>
            <w:r>
              <w:rPr>
                <w:rFonts w:hint="eastAsia" w:ascii="宋体" w:hAnsi="宋体" w:eastAsia="宋体" w:cs="宋体"/>
                <w:color w:val="auto"/>
                <w:sz w:val="24"/>
                <w:szCs w:val="24"/>
                <w:highlight w:val="none"/>
                <w:lang w:eastAsia="zh-CN"/>
              </w:rPr>
              <w:t>作详细阐述；方案详尽、清晰的得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分，每有一项缺失</w:t>
            </w:r>
            <w:r>
              <w:rPr>
                <w:rFonts w:hint="eastAsia" w:ascii="宋体" w:hAnsi="宋体" w:eastAsia="宋体" w:cs="宋体"/>
                <w:color w:val="auto"/>
                <w:sz w:val="24"/>
                <w:szCs w:val="24"/>
                <w:highlight w:val="none"/>
                <w:lang w:val="en-US" w:eastAsia="zh-CN"/>
              </w:rPr>
              <w:t>扣4分，每有一项</w:t>
            </w:r>
            <w:r>
              <w:rPr>
                <w:rFonts w:hint="eastAsia" w:ascii="宋体" w:hAnsi="宋体" w:eastAsia="宋体" w:cs="宋体"/>
                <w:color w:val="auto"/>
                <w:sz w:val="24"/>
                <w:szCs w:val="24"/>
                <w:highlight w:val="none"/>
                <w:lang w:eastAsia="zh-CN"/>
              </w:rPr>
              <w:t>不够详尽或不够清晰得扣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分，本项最多得</w:t>
            </w:r>
            <w:r>
              <w:rPr>
                <w:rFonts w:hint="eastAsia" w:ascii="宋体" w:hAnsi="宋体" w:eastAsia="宋体" w:cs="宋体"/>
                <w:color w:val="auto"/>
                <w:sz w:val="24"/>
                <w:szCs w:val="24"/>
                <w:highlight w:val="none"/>
                <w:lang w:val="en-US" w:eastAsia="zh-CN"/>
              </w:rPr>
              <w:t>12分。</w:t>
            </w:r>
          </w:p>
        </w:tc>
        <w:tc>
          <w:tcPr>
            <w:tcW w:w="1255"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380"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c>
          <w:tcPr>
            <w:tcW w:w="1293" w:type="dxa"/>
            <w:vMerge w:val="continue"/>
            <w:noWrap w:val="0"/>
            <w:vAlign w:val="center"/>
          </w:tcPr>
          <w:p>
            <w:pPr>
              <w:spacing w:line="280" w:lineRule="exact"/>
              <w:rPr>
                <w:rFonts w:hint="eastAsia" w:ascii="宋体" w:hAnsi="宋体" w:eastAsia="宋体" w:cs="宋体"/>
                <w:color w:val="auto"/>
                <w:sz w:val="24"/>
                <w:szCs w:val="24"/>
                <w:highlight w:val="none"/>
              </w:rPr>
            </w:pPr>
          </w:p>
        </w:tc>
        <w:tc>
          <w:tcPr>
            <w:tcW w:w="1188" w:type="dxa"/>
            <w:noWrap w:val="0"/>
            <w:vAlign w:val="center"/>
          </w:tcPr>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安全管理方案</w:t>
            </w:r>
          </w:p>
          <w:p>
            <w:pPr>
              <w:spacing w:line="2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16分</w:t>
            </w:r>
          </w:p>
        </w:tc>
        <w:tc>
          <w:tcPr>
            <w:tcW w:w="6453" w:type="dxa"/>
            <w:noWrap w:val="0"/>
            <w:vAlign w:val="center"/>
          </w:tcPr>
          <w:p>
            <w:pPr>
              <w:spacing w:line="28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供应商针对本项目</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eastAsia="zh-CN"/>
              </w:rPr>
              <w:t>突发事件处理方案：</w:t>
            </w:r>
            <w:r>
              <w:rPr>
                <w:rFonts w:hint="eastAsia" w:ascii="宋体" w:hAnsi="宋体" w:eastAsia="宋体" w:cs="宋体"/>
                <w:color w:val="auto"/>
                <w:sz w:val="24"/>
                <w:szCs w:val="24"/>
                <w:highlight w:val="none"/>
                <w:lang w:val="en-US" w:eastAsia="zh-CN"/>
              </w:rPr>
              <w:t>对断水断电应急预案、突发公共卫生事件应急预案、消防安全应急预案、防汛应急预案</w:t>
            </w:r>
            <w:r>
              <w:rPr>
                <w:rFonts w:hint="eastAsia" w:ascii="宋体" w:hAnsi="宋体" w:eastAsia="宋体" w:cs="宋体"/>
                <w:color w:val="auto"/>
                <w:sz w:val="24"/>
                <w:szCs w:val="24"/>
                <w:highlight w:val="none"/>
                <w:lang w:eastAsia="zh-CN"/>
              </w:rPr>
              <w:t>作详细阐述；方案详尽、清晰的得</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lang w:eastAsia="zh-CN"/>
              </w:rPr>
              <w:t>分，每有一项缺失</w:t>
            </w:r>
            <w:r>
              <w:rPr>
                <w:rFonts w:hint="eastAsia" w:ascii="宋体" w:hAnsi="宋体" w:eastAsia="宋体" w:cs="宋体"/>
                <w:color w:val="auto"/>
                <w:sz w:val="24"/>
                <w:szCs w:val="24"/>
                <w:highlight w:val="none"/>
                <w:lang w:val="en-US" w:eastAsia="zh-CN"/>
              </w:rPr>
              <w:t>扣4分，每有一项</w:t>
            </w:r>
            <w:r>
              <w:rPr>
                <w:rFonts w:hint="eastAsia" w:ascii="宋体" w:hAnsi="宋体" w:eastAsia="宋体" w:cs="宋体"/>
                <w:color w:val="auto"/>
                <w:sz w:val="24"/>
                <w:szCs w:val="24"/>
                <w:highlight w:val="none"/>
                <w:lang w:eastAsia="zh-CN"/>
              </w:rPr>
              <w:t>不够详尽或不够清晰得扣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分，本项最多得</w:t>
            </w:r>
            <w:r>
              <w:rPr>
                <w:rFonts w:hint="eastAsia" w:ascii="宋体" w:hAnsi="宋体" w:eastAsia="宋体" w:cs="宋体"/>
                <w:color w:val="auto"/>
                <w:sz w:val="24"/>
                <w:szCs w:val="24"/>
                <w:highlight w:val="none"/>
                <w:lang w:val="en-US" w:eastAsia="zh-CN"/>
              </w:rPr>
              <w:t>16分。</w:t>
            </w:r>
          </w:p>
        </w:tc>
        <w:tc>
          <w:tcPr>
            <w:tcW w:w="1255" w:type="dxa"/>
            <w:vMerge w:val="continue"/>
            <w:noWrap w:val="0"/>
            <w:vAlign w:val="center"/>
          </w:tcPr>
          <w:p>
            <w:pPr>
              <w:spacing w:line="28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10569" w:type="dxa"/>
            <w:gridSpan w:val="5"/>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、当供应商的综合评分相同时，供应商为少数民族地区的获得优先推荐</w:t>
            </w:r>
            <w:r>
              <w:rPr>
                <w:rFonts w:hint="eastAsia" w:ascii="宋体" w:hAnsi="宋体" w:eastAsia="宋体" w:cs="宋体"/>
                <w:color w:val="auto"/>
                <w:sz w:val="24"/>
                <w:szCs w:val="24"/>
                <w:highlight w:val="none"/>
              </w:rPr>
              <w:t>资格（少数民族地区提供相关证明材料）；</w:t>
            </w:r>
          </w:p>
          <w:p>
            <w:pPr>
              <w:spacing w:line="2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、本表中要求提供的复印件材料，均需加盖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单位公章（空白页可不加盖单位公章</w:t>
            </w:r>
            <w:r>
              <w:rPr>
                <w:rFonts w:hint="eastAsia" w:ascii="宋体" w:hAnsi="宋体" w:eastAsia="宋体" w:cs="宋体"/>
                <w:color w:val="auto"/>
                <w:sz w:val="24"/>
                <w:szCs w:val="24"/>
                <w:highlight w:val="none"/>
                <w:lang w:eastAsia="zh-CN"/>
              </w:rPr>
              <w:t>）</w:t>
            </w:r>
          </w:p>
        </w:tc>
      </w:tr>
    </w:tbl>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注：评分的取值按四舍五入法，保留小数点后两位。</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4.磋商纪律及注意事项</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4.1磋商小组内部讨论的情况和意见必须保密，任何人不得以任何形式透露给供应商或与供应商有关的单位或个人。</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4.2在磋商过程中，供应商不得以任何形式对磋商小组成员进行旨在影响谈判结果的私下接触，否则将取消其参与磋商的资格。</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4.3对各供应商的商业秘密，磋商小组成员应予以保密，不得泄露给其他供应商。</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4.4 磋商小组独立评判，推荐成交候选人，并写出书面报告。</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4.5 磋商小组可根据需要对供应商进行实地考察。</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5.磋商小组在政府采购活动中承担以下义务：</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（一）遵守评审工作纪律；</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（二）按照客观、公正、审慎的原则，根据磋商文件规定的评审程序、评审方法和评审标准进行独立评审；</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（三）不得泄露评审文件、评审情况和在评审过程中获悉的商业秘密；</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（四）及时向财政部门报告评审过程中发现的采购人、采购代理机构向评审专家做倾向性、误导性的解释或者说明，以及供应商行贿、提供虚假材料或者串通等违法行为；</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（五）发现磋商文件内容违反国家有关强制性规定或者磋商文件存在歧义、重大缺陷导致评审工作无法进行时，停止评审并向采购人或者采购代理机构书面说明情况；</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（六）及时向财政、监察等部门举报在评审过程中受到非法干预的情况；</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（七）配合答复处理供应商的询问、质疑和投诉等事项；</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（八）法律、法规和规章规定的其他义务。</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6.评审专家在政府采购活动中应当遵守以下工作纪律：</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（一）不得参加与自己有《中华人民共和国政府采购法实施条例》第九条规定的利害关系的政府采购项目的评标活动。发现参加了与自己有利害关系的评审活动，须主动提出回避，退出评审；</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（二）评审前，应当将通讯工具或者相关电子设备交由采购代理机构统一保管；</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（三）评审过程中，不得与外界联系，因发生不可预见情况，确实需要与外界联系的，应当在监督人员监督之下办理；</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（五）在评审过程中和评审结束后，不得记录、复制或带走任何评审资料，不得向外界透露评审内容；</w:t>
      </w:r>
    </w:p>
    <w:p>
      <w:pPr>
        <w:pStyle w:val="4"/>
        <w:keepNext w:val="0"/>
        <w:keepLines w:val="0"/>
        <w:spacing w:before="0" w:after="0" w:line="400" w:lineRule="exact"/>
        <w:ind w:firstLine="470" w:firstLineChars="19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（六）评审现场服从采购代理机构工作人员的管理，接受现场监督人员的合法监督；</w:t>
      </w:r>
    </w:p>
    <w:p>
      <w:pPr>
        <w:widowControl/>
        <w:autoSpaceDE w:val="0"/>
        <w:autoSpaceDN w:val="0"/>
        <w:spacing w:line="360" w:lineRule="auto"/>
        <w:ind w:right="53" w:firstLine="480" w:firstLineChars="200"/>
        <w:jc w:val="center"/>
        <w:textAlignment w:val="bottom"/>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（七）遵守有关廉洁自律规定，不得私下接触供应商，不得收受供应商及有关业务单位和个人的财物或好处，不得接受采购代理机构的请托。</w:t>
      </w:r>
      <w:r>
        <w:rPr>
          <w:rFonts w:hint="eastAsia" w:ascii="宋体" w:hAnsi="宋体" w:eastAsia="宋体" w:cs="宋体"/>
          <w:color w:val="auto"/>
          <w:highlight w:val="none"/>
        </w:rPr>
        <w:br w:type="page"/>
      </w:r>
      <w:bookmarkEnd w:id="104"/>
      <w:bookmarkStart w:id="105" w:name="_Toc23669"/>
      <w:bookmarkStart w:id="106" w:name="_Toc28814"/>
      <w:bookmarkStart w:id="107" w:name="_Toc14305_WPSOffice_Level1"/>
      <w:bookmarkStart w:id="108" w:name="_Toc9426"/>
      <w:r>
        <w:rPr>
          <w:rFonts w:hint="eastAsia" w:ascii="宋体" w:hAnsi="宋体" w:eastAsia="宋体" w:cs="宋体"/>
          <w:b/>
          <w:color w:val="auto"/>
          <w:sz w:val="52"/>
          <w:szCs w:val="52"/>
          <w:highlight w:val="none"/>
          <w:lang w:eastAsia="zh-CN"/>
        </w:rPr>
        <w:t xml:space="preserve">第八章  </w:t>
      </w:r>
      <w:bookmarkEnd w:id="105"/>
      <w:bookmarkEnd w:id="106"/>
      <w:bookmarkEnd w:id="107"/>
      <w:bookmarkStart w:id="109" w:name="_Toc30866_WPSOffice_Level1"/>
      <w:bookmarkStart w:id="110" w:name="_Toc13033_WPSOffice_Level1"/>
      <w:bookmarkStart w:id="111" w:name="_Toc22492"/>
      <w:r>
        <w:rPr>
          <w:rFonts w:hint="eastAsia" w:ascii="宋体" w:hAnsi="宋体" w:eastAsia="宋体" w:cs="宋体"/>
          <w:b/>
          <w:color w:val="auto"/>
          <w:sz w:val="52"/>
          <w:szCs w:val="52"/>
          <w:highlight w:val="none"/>
          <w:lang w:eastAsia="zh-CN"/>
        </w:rPr>
        <w:t>政府采购项目</w:t>
      </w:r>
      <w:bookmarkEnd w:id="108"/>
      <w:bookmarkEnd w:id="109"/>
      <w:bookmarkEnd w:id="110"/>
      <w:bookmarkEnd w:id="111"/>
    </w:p>
    <w:p>
      <w:pPr>
        <w:tabs>
          <w:tab w:val="left" w:pos="720"/>
        </w:tabs>
        <w:spacing w:line="360" w:lineRule="auto"/>
        <w:jc w:val="center"/>
        <w:rPr>
          <w:rFonts w:hint="default" w:ascii="宋体" w:hAnsi="宋体" w:eastAsia="宋体" w:cs="宋体"/>
          <w:b/>
          <w:color w:val="auto"/>
          <w:sz w:val="52"/>
          <w:szCs w:val="52"/>
          <w:highlight w:val="none"/>
          <w:lang w:val="en-US" w:eastAsia="zh-CN"/>
        </w:rPr>
      </w:pPr>
      <w:bookmarkStart w:id="112" w:name="_Toc3861"/>
      <w:bookmarkStart w:id="113" w:name="_Toc6103"/>
      <w:r>
        <w:rPr>
          <w:rFonts w:hint="eastAsia" w:ascii="宋体" w:hAnsi="宋体" w:eastAsia="宋体" w:cs="宋体"/>
          <w:b/>
          <w:color w:val="auto"/>
          <w:sz w:val="52"/>
          <w:szCs w:val="52"/>
          <w:highlight w:val="none"/>
        </w:rPr>
        <w:t>政府采购</w:t>
      </w:r>
      <w:r>
        <w:rPr>
          <w:rFonts w:hint="eastAsia" w:ascii="宋体" w:hAnsi="宋体" w:eastAsia="宋体" w:cs="宋体"/>
          <w:b/>
          <w:color w:val="auto"/>
          <w:sz w:val="52"/>
          <w:szCs w:val="52"/>
          <w:highlight w:val="none"/>
          <w:lang w:eastAsia="zh-CN"/>
        </w:rPr>
        <w:t>合同（</w:t>
      </w:r>
      <w:r>
        <w:rPr>
          <w:rFonts w:hint="eastAsia" w:ascii="宋体" w:hAnsi="宋体" w:eastAsia="宋体" w:cs="宋体"/>
          <w:b/>
          <w:color w:val="auto"/>
          <w:sz w:val="52"/>
          <w:szCs w:val="52"/>
          <w:highlight w:val="none"/>
          <w:lang w:val="en-US" w:eastAsia="zh-CN"/>
        </w:rPr>
        <w:t>草案）</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合同编号：XXXX。</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签订地点：XXXX。</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签订时间：XXXX年XX月XX日。</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采购人（甲方）：</w:t>
      </w:r>
    </w:p>
    <w:p>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供应商（乙方）：</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依据《</w:t>
      </w:r>
      <w:r>
        <w:rPr>
          <w:rFonts w:hint="eastAsia" w:ascii="宋体" w:hAnsi="宋体" w:eastAsia="宋体" w:cs="宋体"/>
          <w:color w:val="auto"/>
          <w:sz w:val="24"/>
          <w:highlight w:val="none"/>
          <w:lang w:eastAsia="zh-CN"/>
        </w:rPr>
        <w:t>中华人民共和国民法典</w:t>
      </w:r>
      <w:r>
        <w:rPr>
          <w:rFonts w:hint="eastAsia" w:ascii="宋体" w:hAnsi="宋体" w:eastAsia="宋体" w:cs="宋体"/>
          <w:color w:val="auto"/>
          <w:sz w:val="24"/>
          <w:highlight w:val="none"/>
        </w:rPr>
        <w:t>》、《中华人民共和国政府采购法》与项目行业有关的法律法规，以及XXXX项目（项目编号：XXXX）的《磋商文件》，乙方的《响应文件》及《成交通知书》，甲、乙双方同意签订本合同。详细技术说明及其他有关合同项目的特定信息由合同附件予以说明，合同附件及本项目的《磋商文件》，乙方的《响应文件》及《成交通知书》，等均为本合同的组成部分。</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一、服务内容</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二、合同期限</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三、服务质量标准</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四、服务费用支付方式</w:t>
      </w:r>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五、知识产权</w:t>
      </w:r>
    </w:p>
    <w:p>
      <w:pPr>
        <w:spacing w:line="360" w:lineRule="auto"/>
        <w:ind w:left="426"/>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    乙方应保证所提供的服务或其任何一部分均不会侵犯任何第三方的专利权、商标权或著作权。</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六、无产权瑕疵条款</w:t>
      </w:r>
    </w:p>
    <w:p>
      <w:pPr>
        <w:spacing w:line="360" w:lineRule="auto"/>
        <w:ind w:left="6" w:firstLine="420" w:firstLineChars="175"/>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乙方保证所提供的服务的所有权完全属于乙方且无任何抵押、查封等产权瑕疵。如有产权瑕疵的，视为乙方违约。乙方应负担由此而产生的一切损失。</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七、甲方的权利和义务</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甲方有权对合同规定范围内乙方的服务行为进行监督和检查，拥有监管权。有权定期核对乙方提供服务所配备的人员数量。对甲方认为不合理的部分有权下达整改通知书，并要求乙方限期整改，逾期天不整改的，乙方需向甲方支付合同总金额的违约金；逾期天不整改的，甲方有权终止合同，乙方则应按合同总价的的款额向甲方偿付赔偿金，并须全额退还甲方已经付给乙方的服务款及其利息。</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2、甲方有权依据双方签订的考评办法对乙方提供的服务进行定期考评。当考评结果未达到标准时，有权依据考评办法约定的数额扣除。</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3、负责检查监督乙方管理工作的实施及制度的执行情况。</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4、根据本合同规定，按时向乙方支付应付服务费用。</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5、国家法律、法规所规定由甲方承担的其它责任。</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八、乙方的权利和义务</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1、对本合同规定的委托服务范围内的项目享有管理权及服务义务。</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2、根据本合同的规定向甲方收取相关服务费用，并有权在本项目管理范围内管理及合理使用。</w:t>
      </w:r>
    </w:p>
    <w:p>
      <w:pPr>
        <w:adjustRightInd w:val="0"/>
        <w:spacing w:line="360" w:lineRule="auto"/>
        <w:ind w:firstLine="480" w:firstLineChars="200"/>
        <w:jc w:val="lef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3、及时向甲方通告本项目服务范围内有关服务的重大事项，及时配合处理投诉。</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接受项目行业管理部门及政府有关部门的指导，接受甲方的监督。</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5、国家法律、法规所规定由乙方承担的其它责任。</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九、违约责任</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1、甲乙双方必须遵守本合同并执行合同中的各项规定，保证本合同的正常履行。</w:t>
      </w:r>
    </w:p>
    <w:p>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十、不可抗力事件处理</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1、在合同有效期内，任何一方因不可抗力事件导致不能履行合同，则合同履行期可延长，其延长期与不可抗力影响期相同。</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2、不可抗力事件发生后，应立即通知对方，并寄送有关权威机构出具的证明。</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3、不可抗力事件延续天以上，双方应通过友好协商，确定是否继续履行合同。</w:t>
      </w:r>
    </w:p>
    <w:p>
      <w:pPr>
        <w:spacing w:line="360" w:lineRule="auto"/>
        <w:rPr>
          <w:rFonts w:hint="eastAsia" w:ascii="宋体" w:hAnsi="宋体" w:eastAsia="宋体" w:cs="宋体"/>
          <w:b/>
          <w:color w:val="auto"/>
          <w:sz w:val="24"/>
          <w:highlight w:val="none"/>
        </w:rPr>
      </w:pPr>
      <w:bookmarkStart w:id="114" w:name="_Toc185395254"/>
      <w:bookmarkStart w:id="115" w:name="_Toc212019599"/>
      <w:bookmarkStart w:id="116" w:name="_Toc211854454"/>
      <w:bookmarkStart w:id="117" w:name="_Toc232492933"/>
      <w:bookmarkStart w:id="118" w:name="_Toc239233919"/>
      <w:bookmarkStart w:id="119" w:name="_Toc238984980"/>
      <w:bookmarkStart w:id="120" w:name="_Toc286993792"/>
      <w:bookmarkStart w:id="121" w:name="_Toc247334846"/>
      <w:bookmarkStart w:id="122" w:name="_Toc241833908"/>
      <w:bookmarkStart w:id="123" w:name="_Toc251768867"/>
      <w:bookmarkStart w:id="124" w:name="_Toc225654649"/>
      <w:bookmarkStart w:id="125" w:name="_Toc225670756"/>
      <w:bookmarkStart w:id="126" w:name="_Toc225244857"/>
      <w:bookmarkStart w:id="127" w:name="_Toc211911353"/>
      <w:bookmarkStart w:id="128" w:name="_Toc237145411"/>
      <w:bookmarkStart w:id="129" w:name="_Toc239568423"/>
      <w:r>
        <w:rPr>
          <w:rFonts w:hint="eastAsia" w:ascii="宋体" w:hAnsi="宋体" w:eastAsia="宋体" w:cs="宋体"/>
          <w:b/>
          <w:color w:val="auto"/>
          <w:sz w:val="24"/>
          <w:highlight w:val="none"/>
        </w:rPr>
        <w:t>十一、解决合同纠纷的方式</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pPr>
        <w:spacing w:line="360" w:lineRule="auto"/>
        <w:ind w:left="426"/>
        <w:rPr>
          <w:rFonts w:hint="eastAsia" w:ascii="宋体" w:hAnsi="宋体" w:eastAsia="宋体" w:cs="宋体"/>
          <w:bCs/>
          <w:color w:val="auto"/>
          <w:sz w:val="24"/>
          <w:highlight w:val="none"/>
        </w:rPr>
      </w:pPr>
      <w:bookmarkStart w:id="130" w:name="_Toc241833909"/>
      <w:bookmarkStart w:id="131" w:name="_Toc282696231"/>
      <w:bookmarkStart w:id="132" w:name="_Toc225244858"/>
      <w:bookmarkStart w:id="133" w:name="_Toc212019600"/>
      <w:bookmarkStart w:id="134" w:name="_Toc211854455"/>
      <w:bookmarkStart w:id="135" w:name="_Toc247334847"/>
      <w:bookmarkStart w:id="136" w:name="_Toc185395255"/>
      <w:bookmarkStart w:id="137" w:name="_Toc251768868"/>
      <w:bookmarkStart w:id="138" w:name="_Toc286993793"/>
      <w:bookmarkStart w:id="139" w:name="_Toc225654650"/>
      <w:bookmarkStart w:id="140" w:name="_Toc232492934"/>
      <w:bookmarkStart w:id="141" w:name="_Toc239568424"/>
      <w:bookmarkStart w:id="142" w:name="_Toc225670757"/>
      <w:bookmarkStart w:id="143" w:name="_Toc211911354"/>
      <w:bookmarkStart w:id="144" w:name="_Toc237145412"/>
      <w:bookmarkStart w:id="145" w:name="_Toc239233920"/>
      <w:bookmarkStart w:id="146" w:name="_Toc283019219"/>
      <w:bookmarkStart w:id="147" w:name="_Toc238984981"/>
      <w:r>
        <w:rPr>
          <w:rFonts w:hint="eastAsia" w:ascii="宋体" w:hAnsi="宋体" w:eastAsia="宋体" w:cs="宋体"/>
          <w:bCs/>
          <w:color w:val="auto"/>
          <w:sz w:val="24"/>
          <w:highlight w:val="none"/>
        </w:rPr>
        <w:t>1、合同履行期间,若双方发生争议，可协商或由有关部门调解解决，协商或调解不成的，由当事人依法维护其合法权益。</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十二、</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hint="eastAsia" w:ascii="宋体" w:hAnsi="宋体" w:eastAsia="宋体" w:cs="宋体"/>
          <w:b/>
          <w:color w:val="auto"/>
          <w:sz w:val="24"/>
          <w:highlight w:val="none"/>
        </w:rPr>
        <w:t>其他</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1、合同经双方法定代表人或授权委托代理人签字并加盖单位公章后生效。</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2、合同执行中涉及采购资金和采购内容修改或补充的，须经政府采购监管部门审批，并签书面补充协议报政府采购监督管理部门备案，方可作为主合同不可分割的一部分。</w:t>
      </w:r>
    </w:p>
    <w:p>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3、本合同一式    份，甲方    份，乙方    份，政府采购代理机构    份，同级财政部门备案    份，具有同等法律效力。</w:t>
      </w:r>
    </w:p>
    <w:p>
      <w:pPr>
        <w:tabs>
          <w:tab w:val="left" w:pos="0"/>
        </w:tabs>
        <w:spacing w:line="360" w:lineRule="auto"/>
        <w:ind w:firstLine="480" w:firstLineChars="200"/>
        <w:rPr>
          <w:rFonts w:hint="eastAsia" w:ascii="宋体" w:hAnsi="宋体" w:eastAsia="宋体" w:cs="宋体"/>
          <w:color w:val="auto"/>
          <w:sz w:val="24"/>
          <w:highlight w:val="none"/>
        </w:rPr>
      </w:pP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（盖章）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乙方：   （盖章）</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法定代表人（授权代表）：法定代表人（授权代表）：</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地址：地址：</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开户银行：开户银行：</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账号：账号：</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电话：电话：</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传真：传真：</w:t>
      </w:r>
    </w:p>
    <w:p>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签约日期：  年  月   日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签约日期：  年   月   日</w:t>
      </w:r>
    </w:p>
    <w:p>
      <w:pPr>
        <w:widowControl/>
        <w:spacing w:line="360" w:lineRule="auto"/>
        <w:jc w:val="left"/>
        <w:rPr>
          <w:rFonts w:hint="eastAsia" w:ascii="宋体" w:hAnsi="宋体" w:eastAsia="宋体" w:cs="宋体"/>
          <w:color w:val="auto"/>
          <w:sz w:val="24"/>
          <w:highlight w:val="none"/>
        </w:rPr>
      </w:pPr>
    </w:p>
    <w:p>
      <w:pPr>
        <w:pStyle w:val="20"/>
        <w:widowControl/>
        <w:spacing w:beforeAutospacing="1" w:afterAutospacing="1" w:line="360" w:lineRule="auto"/>
        <w:rPr>
          <w:rFonts w:hint="eastAsia" w:ascii="宋体" w:hAnsi="宋体" w:eastAsia="宋体" w:cs="宋体"/>
          <w:color w:val="auto"/>
          <w:highlight w:val="none"/>
        </w:rPr>
      </w:pPr>
      <w:r>
        <w:rPr>
          <w:rFonts w:hint="eastAsia" w:ascii="宋体" w:hAnsi="宋体" w:eastAsia="宋体" w:cs="宋体"/>
          <w:color w:val="auto"/>
          <w:highlight w:val="none"/>
        </w:rPr>
        <w:t>注：合同范本仅供参考，所有条款均可在采购人与成交供应商协商后进行修改。</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bookmarkEnd w:id="112"/>
    <w:bookmarkEnd w:id="113"/>
    <w:p>
      <w:pPr>
        <w:pStyle w:val="3"/>
        <w:spacing w:line="400" w:lineRule="exact"/>
        <w:jc w:val="center"/>
        <w:rPr>
          <w:rFonts w:hint="eastAsia" w:ascii="宋体" w:hAnsi="宋体" w:eastAsia="宋体" w:cs="宋体"/>
          <w:color w:val="auto"/>
          <w:sz w:val="36"/>
          <w:szCs w:val="36"/>
          <w:highlight w:val="none"/>
          <w:lang w:eastAsia="zh-CN"/>
        </w:rPr>
      </w:pPr>
      <w:bookmarkStart w:id="148" w:name="_Toc375"/>
      <w:bookmarkStart w:id="149" w:name="_Toc17860"/>
      <w:bookmarkStart w:id="150" w:name="_Toc14834"/>
      <w:bookmarkStart w:id="151" w:name="_Toc22591"/>
      <w:bookmarkStart w:id="152" w:name="_Toc1488"/>
      <w:bookmarkStart w:id="153" w:name="_Toc19345"/>
      <w:r>
        <w:rPr>
          <w:rFonts w:hint="eastAsia" w:ascii="宋体" w:hAnsi="宋体" w:eastAsia="宋体" w:cs="宋体"/>
          <w:color w:val="auto"/>
          <w:sz w:val="36"/>
          <w:szCs w:val="36"/>
          <w:highlight w:val="none"/>
          <w:lang w:eastAsia="zh-CN"/>
        </w:rPr>
        <w:t>附件</w:t>
      </w:r>
      <w:r>
        <w:rPr>
          <w:rFonts w:hint="eastAsia" w:ascii="宋体" w:hAnsi="宋体" w:eastAsia="宋体" w:cs="宋体"/>
          <w:color w:val="auto"/>
          <w:sz w:val="36"/>
          <w:szCs w:val="36"/>
          <w:highlight w:val="none"/>
          <w:lang w:val="en-US" w:eastAsia="zh-CN"/>
        </w:rPr>
        <w:t>一</w:t>
      </w:r>
      <w:r>
        <w:rPr>
          <w:rFonts w:hint="eastAsia" w:ascii="宋体" w:hAnsi="宋体" w:eastAsia="宋体" w:cs="宋体"/>
          <w:color w:val="auto"/>
          <w:sz w:val="36"/>
          <w:szCs w:val="36"/>
          <w:highlight w:val="none"/>
          <w:lang w:eastAsia="zh-CN"/>
        </w:rPr>
        <w:t>报名登记表</w:t>
      </w:r>
      <w:bookmarkEnd w:id="148"/>
      <w:bookmarkEnd w:id="149"/>
      <w:bookmarkEnd w:id="150"/>
      <w:bookmarkEnd w:id="151"/>
      <w:bookmarkEnd w:id="152"/>
      <w:bookmarkEnd w:id="153"/>
    </w:p>
    <w:tbl>
      <w:tblPr>
        <w:tblStyle w:val="25"/>
        <w:tblpPr w:leftFromText="180" w:rightFromText="180" w:vertAnchor="text" w:horzAnchor="page" w:tblpX="1382" w:tblpY="14"/>
        <w:tblOverlap w:val="never"/>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1"/>
        <w:gridCol w:w="4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140" w:type="dxa"/>
            <w:gridSpan w:val="2"/>
            <w:noWrap w:val="0"/>
            <w:vAlign w:val="center"/>
          </w:tcPr>
          <w:p>
            <w:pPr>
              <w:snapToGrid w:val="0"/>
              <w:spacing w:beforeLines="50"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项目名称：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561" w:type="dxa"/>
            <w:noWrap w:val="0"/>
            <w:vAlign w:val="center"/>
          </w:tcPr>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项目编号：</w:t>
            </w:r>
          </w:p>
        </w:tc>
        <w:tc>
          <w:tcPr>
            <w:tcW w:w="4579" w:type="dxa"/>
            <w:noWrap w:val="0"/>
            <w:vAlign w:val="center"/>
          </w:tcPr>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标    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140" w:type="dxa"/>
            <w:gridSpan w:val="2"/>
            <w:noWrap w:val="0"/>
            <w:vAlign w:val="center"/>
          </w:tcPr>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报名单位：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4561" w:type="dxa"/>
            <w:noWrap w:val="0"/>
            <w:vAlign w:val="center"/>
          </w:tcPr>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报名时间：</w:t>
            </w:r>
          </w:p>
        </w:tc>
        <w:tc>
          <w:tcPr>
            <w:tcW w:w="4579" w:type="dxa"/>
            <w:noWrap w:val="0"/>
            <w:vAlign w:val="center"/>
          </w:tcPr>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9140" w:type="dxa"/>
            <w:gridSpan w:val="2"/>
            <w:noWrap w:val="0"/>
            <w:vAlign w:val="center"/>
          </w:tcPr>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联系邮箱（注：请填写QQ邮箱以方便我单位发送竞争性磋商文件）：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2" w:hRule="atLeast"/>
        </w:trPr>
        <w:tc>
          <w:tcPr>
            <w:tcW w:w="9140"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一、报名时供应商需将以下资料（整理成PDF）发送致邮箱  349170664@qq.com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①报名登记表；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②单位介绍信；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③经办人身份证复印件；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④邮件正文内容请备注</w:t>
            </w:r>
          </w:p>
          <w:p>
            <w:pPr>
              <w:pStyle w:val="1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⑤转账截图</w:t>
            </w:r>
          </w:p>
          <w:p>
            <w:pPr>
              <w:pStyle w:val="38"/>
              <w:ind w:firstLine="480" w:firstLineChars="200"/>
              <w:jc w:val="both"/>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报名单位全称：XXXXX</w:t>
            </w:r>
          </w:p>
          <w:p>
            <w:pPr>
              <w:pStyle w:val="38"/>
              <w:ind w:firstLine="480" w:firstLineChars="200"/>
              <w:jc w:val="both"/>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联系人：XXXXX</w:t>
            </w:r>
          </w:p>
          <w:p>
            <w:pPr>
              <w:pStyle w:val="38"/>
              <w:ind w:firstLine="480" w:firstLineChars="200"/>
              <w:jc w:val="both"/>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联系电话：XXXXX</w:t>
            </w:r>
          </w:p>
          <w:p>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联系邮箱：</w:t>
            </w:r>
            <w:r>
              <w:rPr>
                <w:rFonts w:hint="eastAsia" w:ascii="宋体" w:hAnsi="宋体" w:eastAsia="宋体" w:cs="宋体"/>
                <w:color w:val="auto"/>
                <w:kern w:val="0"/>
                <w:highlight w:val="none"/>
                <w:lang w:val="en-US" w:eastAsia="zh-CN"/>
              </w:rPr>
              <w:t>XXXXX</w:t>
            </w:r>
          </w:p>
          <w:p>
            <w:pPr>
              <w:pStyle w:val="38"/>
              <w:jc w:val="both"/>
              <w:rPr>
                <w:rFonts w:hint="eastAsia" w:ascii="宋体" w:hAnsi="宋体" w:eastAsia="宋体" w:cs="宋体"/>
                <w:color w:val="auto"/>
                <w:kern w:val="0"/>
                <w:highlight w:val="none"/>
                <w:lang w:val="en-US" w:eastAsia="zh-CN"/>
              </w:rPr>
            </w:pPr>
          </w:p>
          <w:p>
            <w:pP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注：以上资料均须加盖单位鲜章，我单位收到后，将在当天内以邮箱的形式回复是否报名成功。</w:t>
            </w:r>
          </w:p>
          <w:p>
            <w:pPr>
              <w:numPr>
                <w:ilvl w:val="0"/>
                <w:numId w:val="3"/>
              </w:numPr>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其他相关报名问题咨询：</w:t>
            </w:r>
          </w:p>
          <w:p>
            <w:pPr>
              <w:pStyle w:val="39"/>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 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胡先生</w:t>
            </w:r>
          </w:p>
          <w:p>
            <w:pPr>
              <w:pStyle w:val="12"/>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13880976971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8" w:hRule="atLeast"/>
        </w:trPr>
        <w:tc>
          <w:tcPr>
            <w:tcW w:w="9140" w:type="dxa"/>
            <w:gridSpan w:val="2"/>
            <w:noWrap w:val="0"/>
            <w:vAlign w:val="center"/>
          </w:tcPr>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声明：以上资料均真实，复印件与我单位原件一致</w:t>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购买人（签字）：</w:t>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日         期 ： </w:t>
            </w:r>
          </w:p>
        </w:tc>
      </w:tr>
    </w:tbl>
    <w:p>
      <w:pPr>
        <w:ind w:left="0" w:leftChars="0" w:firstLine="0" w:firstLineChars="0"/>
        <w:jc w:val="center"/>
        <w:outlineLvl w:val="0"/>
        <w:rPr>
          <w:rFonts w:hint="eastAsia" w:ascii="宋体" w:hAnsi="宋体" w:eastAsia="宋体" w:cs="宋体"/>
          <w:b/>
          <w:bCs/>
          <w:color w:val="auto"/>
          <w:kern w:val="44"/>
          <w:sz w:val="36"/>
          <w:szCs w:val="36"/>
          <w:highlight w:val="none"/>
          <w:lang w:val="en-US" w:eastAsia="zh-CN" w:bidi="ar-SA"/>
        </w:rPr>
      </w:pPr>
      <w:bookmarkStart w:id="154" w:name="_Toc32746_WPSOffice_Level1"/>
      <w:bookmarkStart w:id="155" w:name="_Toc9917"/>
      <w:bookmarkStart w:id="156" w:name="_Toc19047"/>
      <w:bookmarkStart w:id="157" w:name="_Toc27103"/>
      <w:bookmarkStart w:id="158" w:name="_Toc11816"/>
      <w:bookmarkStart w:id="159" w:name="_Toc4260"/>
      <w:bookmarkStart w:id="160" w:name="_Toc103"/>
      <w:r>
        <w:rPr>
          <w:rFonts w:hint="eastAsia" w:ascii="宋体" w:hAnsi="宋体" w:eastAsia="宋体" w:cs="宋体"/>
          <w:color w:val="auto"/>
          <w:spacing w:val="4"/>
          <w:highlight w:val="none"/>
          <w:lang w:eastAsia="zh-CN"/>
        </w:rPr>
        <w:br w:type="page"/>
      </w:r>
      <w:bookmarkStart w:id="161" w:name="_Toc4620"/>
      <w:bookmarkStart w:id="162" w:name="_Toc14106"/>
      <w:bookmarkStart w:id="163" w:name="_Toc15320"/>
      <w:r>
        <w:rPr>
          <w:rFonts w:hint="eastAsia" w:ascii="宋体" w:hAnsi="宋体" w:eastAsia="宋体" w:cs="宋体"/>
          <w:b/>
          <w:bCs/>
          <w:color w:val="auto"/>
          <w:kern w:val="44"/>
          <w:sz w:val="36"/>
          <w:szCs w:val="36"/>
          <w:highlight w:val="none"/>
          <w:lang w:val="en-US" w:eastAsia="zh-CN" w:bidi="ar-SA"/>
        </w:rPr>
        <w:t>附件二 介绍信</w:t>
      </w:r>
      <w:bookmarkEnd w:id="161"/>
      <w:bookmarkEnd w:id="162"/>
      <w:bookmarkEnd w:id="163"/>
    </w:p>
    <w:p>
      <w:pPr>
        <w:spacing w:line="480" w:lineRule="auto"/>
        <w:ind w:left="0" w:leftChars="0" w:firstLine="0" w:firstLineChars="0"/>
        <w:jc w:val="left"/>
        <w:rPr>
          <w:rFonts w:hint="eastAsia" w:ascii="宋体" w:hAnsi="宋体" w:eastAsia="宋体" w:cs="宋体"/>
          <w:b/>
          <w:bCs/>
          <w:color w:val="auto"/>
          <w:sz w:val="28"/>
          <w:szCs w:val="28"/>
          <w:highlight w:val="none"/>
          <w:lang w:eastAsia="zh-CN"/>
        </w:rPr>
      </w:pPr>
    </w:p>
    <w:p>
      <w:pPr>
        <w:spacing w:line="480" w:lineRule="auto"/>
        <w:ind w:left="0" w:leftChars="0" w:firstLine="0" w:firstLineChars="0"/>
        <w:jc w:val="left"/>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eastAsia="zh-CN"/>
        </w:rPr>
        <w:t>四川中科远洋工程项目管理有限公司</w:t>
      </w:r>
      <w:r>
        <w:rPr>
          <w:rFonts w:hint="eastAsia" w:ascii="宋体" w:hAnsi="宋体" w:eastAsia="宋体" w:cs="宋体"/>
          <w:color w:val="auto"/>
          <w:sz w:val="28"/>
          <w:szCs w:val="28"/>
          <w:highlight w:val="none"/>
          <w:lang w:val="en-US" w:eastAsia="zh-CN"/>
        </w:rPr>
        <w:t>：</w:t>
      </w:r>
    </w:p>
    <w:p>
      <w:pPr>
        <w:spacing w:line="480" w:lineRule="auto"/>
        <w:ind w:firstLine="48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兹介绍我单位员工</w:t>
      </w:r>
      <w:r>
        <w:rPr>
          <w:rFonts w:hint="eastAsia" w:ascii="宋体" w:hAnsi="宋体" w:eastAsia="宋体" w:cs="宋体"/>
          <w:color w:val="auto"/>
          <w:sz w:val="28"/>
          <w:szCs w:val="28"/>
          <w:highlight w:val="none"/>
          <w:u w:val="single"/>
          <w:lang w:val="en-US" w:eastAsia="zh-CN"/>
        </w:rPr>
        <w:t xml:space="preserve">  XXX  </w:t>
      </w:r>
      <w:r>
        <w:rPr>
          <w:rFonts w:hint="eastAsia" w:ascii="宋体" w:hAnsi="宋体" w:eastAsia="宋体" w:cs="宋体"/>
          <w:color w:val="auto"/>
          <w:sz w:val="28"/>
          <w:szCs w:val="28"/>
          <w:highlight w:val="none"/>
          <w:u w:val="none"/>
          <w:lang w:val="en-US" w:eastAsia="zh-CN"/>
        </w:rPr>
        <w:t>（身份证号：</w:t>
      </w:r>
      <w:r>
        <w:rPr>
          <w:rFonts w:hint="eastAsia" w:ascii="宋体" w:hAnsi="宋体" w:eastAsia="宋体" w:cs="宋体"/>
          <w:color w:val="auto"/>
          <w:sz w:val="28"/>
          <w:szCs w:val="28"/>
          <w:highlight w:val="none"/>
          <w:u w:val="single"/>
          <w:lang w:val="en-US" w:eastAsia="zh-CN"/>
        </w:rPr>
        <w:t xml:space="preserve"> XXX </w:t>
      </w:r>
      <w:r>
        <w:rPr>
          <w:rFonts w:hint="eastAsia" w:ascii="宋体" w:hAnsi="宋体" w:eastAsia="宋体" w:cs="宋体"/>
          <w:color w:val="auto"/>
          <w:sz w:val="28"/>
          <w:szCs w:val="28"/>
          <w:highlight w:val="none"/>
          <w:u w:val="none"/>
          <w:lang w:val="en-US" w:eastAsia="zh-CN"/>
        </w:rPr>
        <w:t>）</w:t>
      </w:r>
      <w:r>
        <w:rPr>
          <w:rFonts w:hint="eastAsia" w:ascii="宋体" w:hAnsi="宋体" w:eastAsia="宋体" w:cs="宋体"/>
          <w:color w:val="auto"/>
          <w:sz w:val="28"/>
          <w:szCs w:val="28"/>
          <w:highlight w:val="none"/>
          <w:lang w:val="en-US" w:eastAsia="zh-CN"/>
        </w:rPr>
        <w:t>，前来贵单位办理</w:t>
      </w:r>
      <w:r>
        <w:rPr>
          <w:rFonts w:hint="eastAsia" w:ascii="宋体" w:hAnsi="宋体" w:eastAsia="宋体" w:cs="宋体"/>
          <w:color w:val="auto"/>
          <w:sz w:val="28"/>
          <w:szCs w:val="28"/>
          <w:highlight w:val="none"/>
          <w:u w:val="none"/>
          <w:lang w:val="en-US" w:eastAsia="zh-CN"/>
        </w:rPr>
        <w:t>关于</w:t>
      </w:r>
      <w:r>
        <w:rPr>
          <w:rFonts w:hint="eastAsia" w:ascii="宋体" w:hAnsi="宋体" w:eastAsia="宋体" w:cs="宋体"/>
          <w:color w:val="auto"/>
          <w:sz w:val="28"/>
          <w:szCs w:val="28"/>
          <w:highlight w:val="none"/>
          <w:u w:val="single"/>
          <w:lang w:val="en-US" w:eastAsia="zh-CN"/>
        </w:rPr>
        <w:t xml:space="preserve">  XXXXX   </w:t>
      </w:r>
      <w:r>
        <w:rPr>
          <w:rFonts w:hint="eastAsia" w:ascii="宋体" w:hAnsi="宋体" w:eastAsia="宋体" w:cs="宋体"/>
          <w:color w:val="auto"/>
          <w:sz w:val="28"/>
          <w:szCs w:val="28"/>
          <w:highlight w:val="none"/>
          <w:lang w:val="en-US" w:eastAsia="zh-CN"/>
        </w:rPr>
        <w:t>项目（项目编号：</w:t>
      </w:r>
      <w:r>
        <w:rPr>
          <w:rFonts w:hint="eastAsia" w:ascii="宋体" w:hAnsi="宋体" w:eastAsia="宋体" w:cs="宋体"/>
          <w:color w:val="auto"/>
          <w:sz w:val="28"/>
          <w:szCs w:val="28"/>
          <w:highlight w:val="none"/>
          <w:u w:val="single"/>
          <w:lang w:val="en-US" w:eastAsia="zh-CN"/>
        </w:rPr>
        <w:t xml:space="preserve"> XXXX </w:t>
      </w:r>
      <w:r>
        <w:rPr>
          <w:rFonts w:hint="eastAsia" w:ascii="宋体" w:hAnsi="宋体" w:eastAsia="宋体" w:cs="宋体"/>
          <w:color w:val="auto"/>
          <w:sz w:val="28"/>
          <w:szCs w:val="28"/>
          <w:highlight w:val="none"/>
          <w:u w:val="none"/>
          <w:lang w:val="en-US" w:eastAsia="zh-CN"/>
        </w:rPr>
        <w:t>；）</w:t>
      </w:r>
      <w:r>
        <w:rPr>
          <w:rFonts w:hint="eastAsia" w:ascii="宋体" w:hAnsi="宋体" w:eastAsia="宋体" w:cs="宋体"/>
          <w:color w:val="auto"/>
          <w:sz w:val="28"/>
          <w:szCs w:val="28"/>
          <w:highlight w:val="none"/>
          <w:u w:val="single"/>
          <w:lang w:val="en-US" w:eastAsia="zh-CN"/>
        </w:rPr>
        <w:t xml:space="preserve">  XXX </w:t>
      </w:r>
      <w:r>
        <w:rPr>
          <w:rFonts w:hint="eastAsia" w:ascii="宋体" w:hAnsi="宋体" w:eastAsia="宋体" w:cs="宋体"/>
          <w:color w:val="auto"/>
          <w:sz w:val="28"/>
          <w:szCs w:val="28"/>
          <w:highlight w:val="none"/>
          <w:u w:val="none"/>
          <w:lang w:val="en-US" w:eastAsia="zh-CN"/>
        </w:rPr>
        <w:t xml:space="preserve"> （报名事宜/领取中标通知书事宜）</w:t>
      </w:r>
      <w:r>
        <w:rPr>
          <w:rFonts w:hint="eastAsia" w:ascii="宋体" w:hAnsi="宋体" w:eastAsia="宋体" w:cs="宋体"/>
          <w:color w:val="auto"/>
          <w:sz w:val="28"/>
          <w:szCs w:val="28"/>
          <w:highlight w:val="none"/>
          <w:lang w:val="en-US" w:eastAsia="zh-CN"/>
        </w:rPr>
        <w:t>。</w:t>
      </w:r>
    </w:p>
    <w:p>
      <w:pPr>
        <w:spacing w:line="480" w:lineRule="auto"/>
        <w:ind w:firstLine="48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望贵单位予以接洽！</w:t>
      </w:r>
    </w:p>
    <w:p>
      <w:pPr>
        <w:spacing w:line="360" w:lineRule="auto"/>
        <w:rPr>
          <w:rFonts w:hint="eastAsia" w:ascii="宋体" w:hAnsi="宋体" w:eastAsia="宋体" w:cs="宋体"/>
          <w:color w:val="auto"/>
          <w:sz w:val="28"/>
          <w:szCs w:val="28"/>
          <w:highlight w:val="none"/>
          <w:lang w:val="en-US" w:eastAsia="zh-CN"/>
        </w:rPr>
      </w:pPr>
    </w:p>
    <w:p>
      <w:pPr>
        <w:spacing w:line="360" w:lineRule="auto"/>
        <w:jc w:val="right"/>
        <w:rPr>
          <w:rFonts w:hint="eastAsia" w:ascii="宋体" w:hAnsi="宋体" w:eastAsia="宋体" w:cs="宋体"/>
          <w:b/>
          <w:bCs/>
          <w:color w:val="auto"/>
          <w:sz w:val="28"/>
          <w:szCs w:val="28"/>
          <w:highlight w:val="none"/>
          <w:u w:val="single"/>
          <w:lang w:eastAsia="zh-CN"/>
        </w:rPr>
      </w:pPr>
      <w:r>
        <w:rPr>
          <w:rFonts w:hint="eastAsia" w:ascii="宋体" w:hAnsi="宋体" w:eastAsia="宋体" w:cs="宋体"/>
          <w:b/>
          <w:bCs/>
          <w:color w:val="auto"/>
          <w:sz w:val="28"/>
          <w:szCs w:val="28"/>
          <w:highlight w:val="none"/>
          <w:u w:val="single"/>
          <w:lang w:eastAsia="zh-CN"/>
        </w:rPr>
        <w:t>（有效期限</w:t>
      </w:r>
      <w:r>
        <w:rPr>
          <w:rFonts w:hint="eastAsia" w:ascii="宋体" w:hAnsi="宋体" w:eastAsia="宋体" w:cs="宋体"/>
          <w:b/>
          <w:bCs/>
          <w:color w:val="auto"/>
          <w:sz w:val="28"/>
          <w:szCs w:val="28"/>
          <w:highlight w:val="none"/>
          <w:u w:val="single"/>
          <w:lang w:val="en-US" w:eastAsia="zh-CN"/>
        </w:rPr>
        <w:t xml:space="preserve">     天</w:t>
      </w:r>
      <w:r>
        <w:rPr>
          <w:rFonts w:hint="eastAsia" w:ascii="宋体" w:hAnsi="宋体" w:eastAsia="宋体" w:cs="宋体"/>
          <w:b/>
          <w:bCs/>
          <w:color w:val="auto"/>
          <w:sz w:val="28"/>
          <w:szCs w:val="28"/>
          <w:highlight w:val="none"/>
          <w:u w:val="single"/>
          <w:lang w:eastAsia="zh-CN"/>
        </w:rPr>
        <w:t>）</w:t>
      </w:r>
    </w:p>
    <w:p>
      <w:pPr>
        <w:spacing w:line="360" w:lineRule="auto"/>
        <w:jc w:val="right"/>
        <w:rPr>
          <w:rFonts w:hint="eastAsia" w:ascii="宋体" w:hAnsi="宋体" w:eastAsia="宋体" w:cs="宋体"/>
          <w:b/>
          <w:bCs/>
          <w:color w:val="auto"/>
          <w:sz w:val="28"/>
          <w:szCs w:val="28"/>
          <w:highlight w:val="none"/>
          <w:u w:val="single"/>
        </w:rPr>
      </w:pPr>
    </w:p>
    <w:p>
      <w:pPr>
        <w:spacing w:line="360" w:lineRule="auto"/>
        <w:jc w:val="righ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u w:val="single"/>
        </w:rPr>
        <w:t>（后附</w:t>
      </w:r>
      <w:r>
        <w:rPr>
          <w:rFonts w:hint="eastAsia" w:ascii="宋体" w:hAnsi="宋体" w:eastAsia="宋体" w:cs="宋体"/>
          <w:b/>
          <w:bCs/>
          <w:color w:val="auto"/>
          <w:sz w:val="28"/>
          <w:szCs w:val="28"/>
          <w:highlight w:val="none"/>
          <w:u w:val="single"/>
          <w:lang w:val="en-US" w:eastAsia="zh-CN"/>
        </w:rPr>
        <w:t>被</w:t>
      </w:r>
      <w:r>
        <w:rPr>
          <w:rFonts w:hint="eastAsia" w:ascii="宋体" w:hAnsi="宋体" w:eastAsia="宋体" w:cs="宋体"/>
          <w:b/>
          <w:bCs/>
          <w:color w:val="auto"/>
          <w:sz w:val="28"/>
          <w:szCs w:val="28"/>
          <w:highlight w:val="none"/>
          <w:u w:val="single"/>
        </w:rPr>
        <w:t>介绍人身份证复印件加盖公章）</w:t>
      </w:r>
    </w:p>
    <w:p>
      <w:pPr>
        <w:spacing w:line="360" w:lineRule="auto"/>
        <w:rPr>
          <w:rFonts w:hint="eastAsia" w:ascii="宋体" w:hAnsi="宋体" w:eastAsia="宋体" w:cs="宋体"/>
          <w:color w:val="auto"/>
          <w:sz w:val="28"/>
          <w:szCs w:val="28"/>
          <w:highlight w:val="none"/>
          <w:lang w:val="en-US" w:eastAsia="zh-CN"/>
        </w:rPr>
      </w:pPr>
    </w:p>
    <w:p>
      <w:pPr>
        <w:spacing w:line="360" w:lineRule="auto"/>
        <w:ind w:firstLine="480"/>
        <w:rPr>
          <w:rFonts w:hint="eastAsia" w:ascii="宋体" w:hAnsi="宋体" w:eastAsia="宋体" w:cs="宋体"/>
          <w:color w:val="auto"/>
          <w:sz w:val="28"/>
          <w:szCs w:val="28"/>
          <w:highlight w:val="none"/>
          <w:lang w:val="en-US" w:eastAsia="zh-CN"/>
        </w:rPr>
      </w:pPr>
    </w:p>
    <w:p>
      <w:pPr>
        <w:spacing w:line="360" w:lineRule="auto"/>
        <w:ind w:firstLine="4760" w:firstLineChars="170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单位名称：XXXXX</w:t>
      </w:r>
    </w:p>
    <w:p>
      <w:pPr>
        <w:rPr>
          <w:rFonts w:hint="eastAsia" w:ascii="宋体" w:hAnsi="宋体" w:eastAsia="宋体" w:cs="宋体"/>
          <w:color w:val="auto"/>
          <w:spacing w:val="4"/>
          <w:highlight w:val="none"/>
          <w:lang w:eastAsia="zh-CN"/>
        </w:rPr>
      </w:pPr>
      <w:r>
        <w:rPr>
          <w:rFonts w:hint="eastAsia" w:ascii="宋体" w:hAnsi="宋体" w:eastAsia="宋体" w:cs="宋体"/>
          <w:color w:val="auto"/>
          <w:sz w:val="28"/>
          <w:szCs w:val="28"/>
          <w:highlight w:val="none"/>
          <w:lang w:val="en-US" w:eastAsia="zh-CN"/>
        </w:rPr>
        <w:t xml:space="preserve">                                 2022年XX月XXX日</w:t>
      </w:r>
    </w:p>
    <w:p>
      <w:pPr>
        <w:rPr>
          <w:rFonts w:hint="eastAsia" w:ascii="宋体" w:hAnsi="宋体" w:eastAsia="宋体" w:cs="宋体"/>
          <w:color w:val="auto"/>
          <w:spacing w:val="4"/>
          <w:highlight w:val="none"/>
          <w:lang w:eastAsia="zh-CN"/>
        </w:rPr>
      </w:pPr>
      <w:r>
        <w:rPr>
          <w:rFonts w:hint="eastAsia" w:ascii="宋体" w:hAnsi="宋体" w:eastAsia="宋体" w:cs="宋体"/>
          <w:color w:val="auto"/>
          <w:spacing w:val="4"/>
          <w:highlight w:val="none"/>
          <w:lang w:eastAsia="zh-CN"/>
        </w:rPr>
        <w:br w:type="page"/>
      </w:r>
    </w:p>
    <w:p>
      <w:pPr>
        <w:pStyle w:val="3"/>
        <w:spacing w:line="400" w:lineRule="exact"/>
        <w:jc w:val="center"/>
        <w:rPr>
          <w:rFonts w:hint="eastAsia" w:ascii="宋体" w:hAnsi="宋体" w:eastAsia="宋体" w:cs="宋体"/>
          <w:color w:val="auto"/>
          <w:sz w:val="36"/>
          <w:szCs w:val="36"/>
          <w:highlight w:val="none"/>
          <w:lang w:val="en-US" w:eastAsia="zh-CN"/>
        </w:rPr>
      </w:pPr>
      <w:bookmarkStart w:id="164" w:name="_Toc31280"/>
      <w:bookmarkStart w:id="165" w:name="_Toc26407"/>
      <w:bookmarkStart w:id="166" w:name="_Toc19973"/>
      <w:r>
        <w:rPr>
          <w:rFonts w:hint="eastAsia" w:ascii="宋体" w:hAnsi="宋体" w:eastAsia="宋体" w:cs="宋体"/>
          <w:color w:val="auto"/>
          <w:sz w:val="36"/>
          <w:szCs w:val="36"/>
          <w:highlight w:val="none"/>
          <w:lang w:eastAsia="zh-CN"/>
        </w:rPr>
        <w:t>附件</w:t>
      </w:r>
      <w:r>
        <w:rPr>
          <w:rFonts w:hint="eastAsia" w:ascii="宋体" w:hAnsi="宋体" w:eastAsia="宋体" w:cs="宋体"/>
          <w:color w:val="auto"/>
          <w:sz w:val="36"/>
          <w:szCs w:val="36"/>
          <w:highlight w:val="none"/>
          <w:lang w:val="en-US" w:eastAsia="zh-CN"/>
        </w:rPr>
        <w:t xml:space="preserve">三  </w:t>
      </w:r>
      <w:bookmarkEnd w:id="154"/>
      <w:bookmarkEnd w:id="155"/>
      <w:bookmarkEnd w:id="156"/>
      <w:r>
        <w:rPr>
          <w:rFonts w:hint="eastAsia" w:ascii="宋体" w:hAnsi="宋体" w:eastAsia="宋体" w:cs="宋体"/>
          <w:color w:val="auto"/>
          <w:sz w:val="36"/>
          <w:szCs w:val="36"/>
          <w:highlight w:val="none"/>
          <w:lang w:val="en-US" w:eastAsia="zh-CN"/>
        </w:rPr>
        <w:t>报名流程须知</w:t>
      </w:r>
      <w:bookmarkEnd w:id="157"/>
      <w:bookmarkEnd w:id="158"/>
      <w:bookmarkEnd w:id="159"/>
      <w:bookmarkEnd w:id="160"/>
      <w:bookmarkEnd w:id="164"/>
      <w:bookmarkEnd w:id="165"/>
      <w:bookmarkEnd w:id="166"/>
    </w:p>
    <w:p>
      <w:pPr>
        <w:bidi w:val="0"/>
        <w:jc w:val="center"/>
        <w:rPr>
          <w:rFonts w:hint="eastAsia" w:ascii="宋体" w:hAnsi="宋体" w:eastAsia="宋体" w:cs="宋体"/>
          <w:b w:val="0"/>
          <w:bCs w:val="0"/>
          <w:color w:val="auto"/>
          <w:szCs w:val="28"/>
          <w:highlight w:val="none"/>
        </w:rPr>
      </w:pPr>
      <w:bookmarkStart w:id="167" w:name="_Toc29468"/>
      <w:bookmarkStart w:id="168" w:name="_Toc28774"/>
      <w:bookmarkStart w:id="169" w:name="_Toc32008"/>
      <w:bookmarkStart w:id="170" w:name="_Toc19954_WPSOffice_Level1"/>
      <w:bookmarkStart w:id="171" w:name="_Toc8518"/>
      <w:bookmarkStart w:id="172" w:name="_Toc3758_WPSOffice_Level1"/>
      <w:bookmarkStart w:id="173" w:name="_Toc49"/>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交纳报名费转账时请备注①项目编号②报名单位全称</w:t>
      </w:r>
      <w:r>
        <w:rPr>
          <w:rFonts w:hint="eastAsia" w:ascii="宋体" w:hAnsi="宋体" w:eastAsia="宋体" w:cs="宋体"/>
          <w:color w:val="auto"/>
          <w:highlight w:val="none"/>
          <w:lang w:val="en-US" w:eastAsia="zh-CN"/>
        </w:rPr>
        <w:t>）</w:t>
      </w:r>
      <w:bookmarkEnd w:id="167"/>
      <w:bookmarkEnd w:id="168"/>
      <w:bookmarkEnd w:id="169"/>
      <w:bookmarkEnd w:id="170"/>
      <w:bookmarkEnd w:id="171"/>
      <w:bookmarkEnd w:id="172"/>
      <w:bookmarkEnd w:id="173"/>
    </w:p>
    <w:p>
      <w:pPr>
        <w:bidi w:val="0"/>
        <w:rPr>
          <w:rFonts w:hint="eastAsia" w:ascii="宋体" w:hAnsi="宋体" w:eastAsia="宋体" w:cs="宋体"/>
          <w:b/>
          <w:bCs/>
          <w:color w:val="auto"/>
          <w:sz w:val="28"/>
          <w:szCs w:val="28"/>
          <w:highlight w:val="none"/>
        </w:rPr>
      </w:pPr>
      <w:bookmarkStart w:id="174" w:name="_Toc22831"/>
      <w:bookmarkStart w:id="175" w:name="_Toc3007"/>
      <w:r>
        <w:rPr>
          <w:rFonts w:hint="eastAsia" w:ascii="宋体" w:hAnsi="宋体" w:eastAsia="宋体" w:cs="宋体"/>
          <w:b/>
          <w:bCs/>
          <w:color w:val="auto"/>
          <w:sz w:val="28"/>
          <w:szCs w:val="28"/>
          <w:highlight w:val="none"/>
        </w:rPr>
        <w:t>一、介绍信或授权委托书（加盖鲜章）</w:t>
      </w:r>
      <w:bookmarkEnd w:id="174"/>
      <w:bookmarkEnd w:id="175"/>
    </w:p>
    <w:p>
      <w:pPr>
        <w:bidi w:val="0"/>
        <w:rPr>
          <w:rFonts w:hint="eastAsia" w:ascii="宋体" w:hAnsi="宋体" w:eastAsia="宋体" w:cs="宋体"/>
          <w:b/>
          <w:bCs/>
          <w:color w:val="auto"/>
          <w:sz w:val="28"/>
          <w:szCs w:val="28"/>
          <w:highlight w:val="none"/>
        </w:rPr>
      </w:pPr>
      <w:bookmarkStart w:id="176" w:name="_Toc19904"/>
      <w:bookmarkStart w:id="177" w:name="_Toc21164"/>
      <w:r>
        <w:rPr>
          <w:rFonts w:hint="eastAsia" w:ascii="宋体" w:hAnsi="宋体" w:eastAsia="宋体" w:cs="宋体"/>
          <w:b/>
          <w:bCs/>
          <w:color w:val="auto"/>
          <w:sz w:val="28"/>
          <w:szCs w:val="28"/>
          <w:highlight w:val="none"/>
        </w:rPr>
        <w:t>二、经办人身份证复印件（复印件加盖鲜章）</w:t>
      </w:r>
      <w:bookmarkEnd w:id="176"/>
      <w:bookmarkEnd w:id="177"/>
    </w:p>
    <w:p>
      <w:pPr>
        <w:bidi w:val="0"/>
        <w:rPr>
          <w:rFonts w:hint="eastAsia" w:ascii="宋体" w:hAnsi="宋体" w:eastAsia="宋体" w:cs="宋体"/>
          <w:b/>
          <w:bCs/>
          <w:color w:val="auto"/>
          <w:sz w:val="28"/>
          <w:szCs w:val="28"/>
          <w:highlight w:val="none"/>
          <w:lang w:val="en-US" w:eastAsia="zh-CN"/>
        </w:rPr>
      </w:pPr>
      <w:bookmarkStart w:id="178" w:name="_Toc13610"/>
      <w:bookmarkStart w:id="179" w:name="_Toc2415"/>
      <w:r>
        <w:rPr>
          <w:rFonts w:hint="eastAsia" w:ascii="宋体" w:hAnsi="宋体" w:eastAsia="宋体" w:cs="宋体"/>
          <w:b/>
          <w:bCs/>
          <w:color w:val="auto"/>
          <w:sz w:val="28"/>
          <w:szCs w:val="28"/>
          <w:highlight w:val="none"/>
        </w:rPr>
        <w:t>三、已填好完整的报名表。</w:t>
      </w:r>
      <w:bookmarkEnd w:id="178"/>
      <w:bookmarkEnd w:id="179"/>
    </w:p>
    <w:p>
      <w:pPr>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（支付时备注公司名称）</w:t>
      </w:r>
    </w:p>
    <w:p>
      <w:pPr>
        <w:pStyle w:val="12"/>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drawing>
          <wp:inline distT="0" distB="0" distL="114300" distR="114300">
            <wp:extent cx="2760345" cy="4025265"/>
            <wp:effectExtent l="0" t="0" r="1905" b="13335"/>
            <wp:docPr id="12" name="图片 12" descr="ffc9d5100ee12293333c0c94f0f51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fc9d5100ee12293333c0c94f0f51bc"/>
                    <pic:cNvPicPr>
                      <a:picLocks noChangeAspect="1"/>
                    </pic:cNvPicPr>
                  </pic:nvPicPr>
                  <pic:blipFill>
                    <a:blip r:embed="rId23"/>
                    <a:srcRect r="595" b="33098"/>
                    <a:stretch>
                      <a:fillRect/>
                    </a:stretch>
                  </pic:blipFill>
                  <pic:spPr>
                    <a:xfrm>
                      <a:off x="0" y="0"/>
                      <a:ext cx="2760345" cy="4025265"/>
                    </a:xfrm>
                    <a:prstGeom prst="rect">
                      <a:avLst/>
                    </a:prstGeom>
                  </pic:spPr>
                </pic:pic>
              </a:graphicData>
            </a:graphic>
          </wp:inline>
        </w:drawing>
      </w:r>
    </w:p>
    <w:p>
      <w:pPr>
        <w:pStyle w:val="12"/>
        <w:rPr>
          <w:rFonts w:hint="eastAsia" w:ascii="宋体" w:hAnsi="宋体" w:eastAsia="宋体" w:cs="宋体"/>
          <w:color w:val="auto"/>
          <w:lang w:val="en-US" w:eastAsia="zh-CN"/>
        </w:rPr>
      </w:pPr>
    </w:p>
    <w:p>
      <w:pPr>
        <w:rPr>
          <w:rFonts w:hint="eastAsia" w:ascii="宋体" w:hAnsi="宋体" w:eastAsia="宋体" w:cs="宋体"/>
          <w:i w:val="0"/>
          <w:caps w:val="0"/>
          <w:color w:val="auto"/>
          <w:spacing w:val="0"/>
          <w:sz w:val="28"/>
          <w:szCs w:val="28"/>
          <w:highlight w:val="none"/>
        </w:rPr>
      </w:pPr>
      <w:bookmarkStart w:id="180" w:name="_Toc27197"/>
      <w:bookmarkStart w:id="181" w:name="_Toc11950"/>
      <w:r>
        <w:rPr>
          <w:rFonts w:hint="eastAsia" w:ascii="宋体" w:hAnsi="宋体" w:eastAsia="宋体" w:cs="宋体"/>
          <w:color w:val="auto"/>
          <w:sz w:val="28"/>
          <w:szCs w:val="28"/>
          <w:highlight w:val="none"/>
          <w:lang w:eastAsia="zh-CN"/>
        </w:rPr>
        <w:t>注：</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以上资料均为电子扫描件。</w:t>
      </w:r>
      <w:bookmarkEnd w:id="180"/>
      <w:bookmarkEnd w:id="181"/>
      <w:r>
        <w:rPr>
          <w:rFonts w:hint="eastAsia" w:ascii="宋体" w:hAnsi="宋体" w:eastAsia="宋体" w:cs="宋体"/>
          <w:color w:val="auto"/>
          <w:sz w:val="28"/>
          <w:szCs w:val="28"/>
          <w:highlight w:val="none"/>
        </w:rPr>
        <w:t>2、请将所需报名资料填好发送到</w:t>
      </w:r>
      <w:r>
        <w:rPr>
          <w:rFonts w:hint="eastAsia" w:ascii="宋体" w:hAnsi="宋体" w:eastAsia="宋体" w:cs="宋体"/>
          <w:color w:val="auto"/>
          <w:sz w:val="28"/>
          <w:szCs w:val="28"/>
          <w:highlight w:val="none"/>
          <w:lang w:eastAsia="zh-CN"/>
        </w:rPr>
        <w:t>中科远洋工程项目管理有限公司</w:t>
      </w:r>
      <w:r>
        <w:rPr>
          <w:rFonts w:hint="eastAsia" w:ascii="宋体" w:hAnsi="宋体" w:eastAsia="宋体" w:cs="宋体"/>
          <w:color w:val="auto"/>
          <w:sz w:val="28"/>
          <w:szCs w:val="28"/>
          <w:highlight w:val="none"/>
        </w:rPr>
        <w:t>邮箱：</w:t>
      </w:r>
      <w:r>
        <w:rPr>
          <w:rFonts w:hint="eastAsia" w:ascii="宋体" w:hAnsi="宋体" w:eastAsia="宋体" w:cs="宋体"/>
          <w:color w:val="auto"/>
          <w:sz w:val="28"/>
          <w:szCs w:val="28"/>
          <w:highlight w:val="none"/>
          <w:lang w:val="en-US" w:eastAsia="zh-CN"/>
        </w:rPr>
        <w:t>349170664</w:t>
      </w:r>
      <w:r>
        <w:rPr>
          <w:rFonts w:hint="eastAsia" w:ascii="宋体" w:hAnsi="宋体" w:eastAsia="宋体" w:cs="宋体"/>
          <w:color w:val="auto"/>
          <w:sz w:val="28"/>
          <w:szCs w:val="28"/>
          <w:highlight w:val="none"/>
        </w:rPr>
        <w:t>@qq.com。</w:t>
      </w:r>
    </w:p>
    <w:p>
      <w:pPr>
        <w:bidi w:val="0"/>
        <w:rPr>
          <w:rFonts w:hint="eastAsia" w:ascii="宋体" w:hAnsi="宋体" w:eastAsia="宋体" w:cs="宋体"/>
          <w:color w:val="auto"/>
          <w:sz w:val="28"/>
          <w:szCs w:val="28"/>
          <w:highlight w:val="none"/>
        </w:rPr>
      </w:pPr>
    </w:p>
    <w:p>
      <w:pPr>
        <w:pStyle w:val="39"/>
        <w:spacing w:line="240" w:lineRule="auto"/>
        <w:rPr>
          <w:rFonts w:hint="eastAsia" w:ascii="宋体" w:hAnsi="宋体" w:eastAsia="宋体" w:cs="宋体"/>
          <w:color w:val="auto"/>
          <w:sz w:val="20"/>
          <w:szCs w:val="22"/>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auto"/>
          <w:spacing w:val="0"/>
          <w:sz w:val="28"/>
          <w:szCs w:val="28"/>
        </w:rPr>
      </w:pPr>
      <w:r>
        <w:rPr>
          <w:rFonts w:hint="eastAsia" w:ascii="宋体" w:hAnsi="宋体" w:eastAsia="宋体" w:cs="宋体"/>
          <w:color w:val="auto"/>
          <w:sz w:val="28"/>
          <w:szCs w:val="28"/>
          <w:highlight w:val="none"/>
          <w:lang w:eastAsia="zh-CN"/>
        </w:rPr>
        <w:t>附件四</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i w:val="0"/>
          <w:caps w:val="0"/>
          <w:color w:val="auto"/>
          <w:spacing w:val="0"/>
          <w:sz w:val="28"/>
          <w:szCs w:val="28"/>
          <w:shd w:val="clear" w:fill="FFFFFF"/>
        </w:rPr>
        <w:t>中小企业划分标准</w:t>
      </w:r>
    </w:p>
    <w:p>
      <w:pPr>
        <w:pStyle w:val="39"/>
        <w:spacing w:line="240" w:lineRule="auto"/>
        <w:rPr>
          <w:rFonts w:hint="eastAsia" w:ascii="宋体" w:hAnsi="宋体" w:eastAsia="宋体" w:cs="宋体"/>
          <w:color w:val="auto"/>
          <w:highlight w:val="none"/>
          <w:lang w:eastAsia="zh-CN"/>
        </w:rPr>
      </w:pPr>
    </w:p>
    <w:p>
      <w:pPr>
        <w:pStyle w:val="39"/>
        <w:spacing w:line="240" w:lineRule="auto"/>
        <w:rPr>
          <w:rFonts w:hint="eastAsia" w:ascii="宋体" w:hAnsi="宋体" w:eastAsia="宋体" w:cs="宋体"/>
          <w:color w:val="auto"/>
          <w:highlight w:val="none"/>
          <w:lang w:eastAsia="zh-CN"/>
        </w:rPr>
      </w:pPr>
      <w:r>
        <w:rPr>
          <w:rFonts w:hint="eastAsia" w:ascii="宋体" w:hAnsi="宋体" w:eastAsia="宋体" w:cs="宋体"/>
          <w:color w:val="auto"/>
        </w:rPr>
        <w:drawing>
          <wp:inline distT="0" distB="0" distL="114300" distR="114300">
            <wp:extent cx="5688330" cy="6505575"/>
            <wp:effectExtent l="0" t="0" r="762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4"/>
                    <a:stretch>
                      <a:fillRect/>
                    </a:stretch>
                  </pic:blipFill>
                  <pic:spPr>
                    <a:xfrm>
                      <a:off x="0" y="0"/>
                      <a:ext cx="5688330" cy="6505575"/>
                    </a:xfrm>
                    <a:prstGeom prst="rect">
                      <a:avLst/>
                    </a:prstGeom>
                    <a:noFill/>
                    <a:ln>
                      <a:noFill/>
                    </a:ln>
                  </pic:spPr>
                </pic:pic>
              </a:graphicData>
            </a:graphic>
          </wp:inline>
        </w:drawing>
      </w:r>
    </w:p>
    <w:sectPr>
      <w:pgSz w:w="11906" w:h="16838"/>
      <w:pgMar w:top="1440" w:right="1474" w:bottom="1440" w:left="1474"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Eʩ">
    <w:altName w:val="微软雅黑"/>
    <w:panose1 w:val="00000000000000000000"/>
    <w:charset w:val="00"/>
    <w:family w:val="auto"/>
    <w:pitch w:val="default"/>
    <w:sig w:usb0="00000000" w:usb1="00000000" w:usb2="00000000"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rPr>
        <w:rStyle w:val="27"/>
      </w:rPr>
    </w:pPr>
    <w:r>
      <w:fldChar w:fldCharType="begin"/>
    </w:r>
    <w:r>
      <w:rPr>
        <w:rStyle w:val="27"/>
      </w:rPr>
      <w:instrText xml:space="preserve">PAGE  </w:instrText>
    </w:r>
    <w:r>
      <w:fldChar w:fldCharType="separate"/>
    </w:r>
    <w:r>
      <w:rPr>
        <w:rStyle w:val="27"/>
      </w:rPr>
      <w:t xml:space="preserve"> </w: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Style w:val="27"/>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b/>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3icgBAACb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teUOG5x4pcf3y8/f19+fSPo&#10;Q4GGAA3m3QfMTONbP+LaLH5AZ+Y9qmjzFxkRjKO856u8ckxE5Efrer2uMCQwtlwQnz08DxHSO+kt&#10;yUZLI86vyMpPHyBNqUtKrub8nTamzNC4vxyImT0s9z71mK007seZ0N53Z+Qz4Ohb6nDTKTHvHSqb&#10;t2Qx4mLsF+MYoj70ZY1yPQhvjgmbKL3lChPsXBhnVtjN+5WX4vG9ZD38U9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P94nIAQAAmwMAAA4AAAAAAAAAAQAgAAAAHgEAAGRycy9lMm9Eb2Mu&#10;eG1sUEsFBgAAAAAGAAYAWQEAAFgFA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b/>
      </w:rPr>
      <w:t>业务咨询：</w:t>
    </w:r>
    <w:r>
      <w:rPr>
        <w:rFonts w:hint="eastAsia"/>
        <w:b/>
        <w:lang w:eastAsia="zh-CN"/>
      </w:rPr>
      <w:t>028-61677271</w:t>
    </w:r>
    <w:r>
      <w:rPr>
        <w:b/>
      </w:rPr>
      <w:t xml:space="preserve">   </w:t>
    </w:r>
    <w:r>
      <w:rPr>
        <w:rFonts w:hint="eastAsia"/>
        <w:b/>
        <w:lang w:val="en-US" w:eastAsia="zh-CN"/>
      </w:rPr>
      <w:t xml:space="preserve">                                                      </w:t>
    </w:r>
    <w:r>
      <w:rPr>
        <w:b/>
      </w:rPr>
      <w:t>投诉建议：028-61195711</w:t>
    </w:r>
  </w:p>
  <w:p>
    <w:pPr>
      <w:pStyle w:val="16"/>
    </w:pPr>
    <w:r>
      <w:rPr>
        <w:b/>
      </w:rPr>
      <w:t>地址：</w:t>
    </w:r>
    <w:r>
      <w:rPr>
        <w:rFonts w:hint="eastAsia"/>
        <w:b/>
        <w:lang w:eastAsia="zh-CN"/>
      </w:rPr>
      <w:t>四川省成都市武侯区武科东四路18号联邦财富中心1-2-1005（C区）</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Style w:val="27"/>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nmGe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4d8ctTvz84/v55+/zr28E&#10;fShQH6DGvMeAmWm48QMmz35AZ+Y9qGjzFxkRjKO8p4u8ckhE5Eer5WpVYUhgbL4gPnt6HiKkO+kt&#10;yUZDI86vyMqP95DG1DklV3P+VhtTZmjcXw7EzB6Wex97zFYadsNEaOfbE/LpcfQNdbjplJiPDpXN&#10;WzIbcTZ2s3EIUe+7ska5HoQPh4RNlN5yhRF2KowzK+ym/cpL8fxesp7+qc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p5hnvIAQAAmwMAAA4AAAAAAAAAAQAgAAAAHgEAAGRycy9lMm9Eb2Mu&#10;eG1sUEsFBgAAAAAGAAYAWQEAAFgFA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b/>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v:textbox>
            </v:shape>
          </w:pict>
        </mc:Fallback>
      </mc:AlternateContent>
    </w:r>
    <w:r>
      <w:rPr>
        <w:b/>
      </w:rPr>
      <w:t>业务咨询：</w:t>
    </w:r>
    <w:r>
      <w:rPr>
        <w:rFonts w:hint="eastAsia"/>
        <w:b/>
        <w:lang w:eastAsia="zh-CN"/>
      </w:rPr>
      <w:t>028-61677271</w:t>
    </w:r>
    <w:r>
      <w:rPr>
        <w:b/>
      </w:rPr>
      <w:t xml:space="preserve">   </w:t>
    </w:r>
    <w:r>
      <w:rPr>
        <w:rFonts w:hint="eastAsia"/>
        <w:b/>
        <w:lang w:val="en-US" w:eastAsia="zh-CN"/>
      </w:rPr>
      <w:t xml:space="preserve">                                                      </w:t>
    </w:r>
    <w:r>
      <w:rPr>
        <w:b/>
      </w:rPr>
      <w:t>投诉建议：028-61195711</w:t>
    </w:r>
  </w:p>
  <w:p>
    <w:pPr>
      <w:pStyle w:val="16"/>
    </w:pPr>
    <w:r>
      <w:rPr>
        <w:b/>
      </w:rPr>
      <w:t>地址：</w:t>
    </w:r>
    <w:r>
      <w:rPr>
        <w:rFonts w:hint="eastAsia"/>
        <w:b/>
        <w:lang w:eastAsia="zh-CN"/>
      </w:rPr>
      <w:t>四川省成都市武侯区武科东四路18号联邦财富中心1-2-1005（C区）</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Style w:val="27"/>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4M8c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DV2iJI5bnPj5x/fzz9/nX98I&#10;+lCgPkCNeY8BM9Nw4wdcm9kP6My8BxVt/iIjgnHEOl3klUMiIj9aLVerCkMCY/MF8dnT8xAh3Ulv&#10;STYaGnF+RVZ+vIc0ps4puZrzt9qYMkPj/nIgZvaw3PvYY7bSsBsmQjvfnpBPj6NvqMNNp8R8dKgs&#10;9pdmI87GbjYOIep9V9Yo14Pw4ZCwidJbrjDCToVxZoXdtF95KZ7fS9bTP7X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TgzxyQEAAJsDAAAOAAAAAAAAAAEAIAAAAB4BAABkcnMvZTJvRG9j&#10;LnhtbFBLBQYAAAAABgAGAFkBAABZ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b/>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OwyWMo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jOwyWMoBAACbAwAADgAAAAAAAAABACAAAAAeAQAAZHJzL2Uyb0Rv&#10;Yy54bWxQSwUGAAAAAAYABgBZAQAAWgU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b/>
      </w:rPr>
      <w:t>业务咨询：</w:t>
    </w:r>
    <w:r>
      <w:rPr>
        <w:rFonts w:hint="eastAsia"/>
        <w:b/>
        <w:lang w:eastAsia="zh-CN"/>
      </w:rPr>
      <w:t>028-61677271</w:t>
    </w:r>
    <w:r>
      <w:rPr>
        <w:b/>
      </w:rPr>
      <w:t xml:space="preserve">   </w:t>
    </w:r>
    <w:r>
      <w:rPr>
        <w:rFonts w:hint="eastAsia"/>
        <w:b/>
        <w:lang w:val="en-US" w:eastAsia="zh-CN"/>
      </w:rPr>
      <w:t xml:space="preserve">                                                      </w:t>
    </w:r>
    <w:r>
      <w:rPr>
        <w:b/>
      </w:rPr>
      <w:t>投诉建议：028-61195711</w:t>
    </w:r>
  </w:p>
  <w:p>
    <w:pPr>
      <w:pStyle w:val="16"/>
    </w:pPr>
    <w:r>
      <w:rPr>
        <w:b/>
      </w:rPr>
      <w:t>地址：</w:t>
    </w:r>
    <w:r>
      <w:rPr>
        <w:rFonts w:hint="eastAsia"/>
        <w:b/>
        <w:lang w:eastAsia="zh-CN"/>
      </w:rPr>
      <w:t>四川省成都市武侯区武科东四路18号联邦财富中心1-2-1005（C区）</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Style w:val="27"/>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gUyskBAACb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gWN+GaEsctTvz888f515/z7+8E&#10;fShQH6DGvIeAmWn44AdMnv2Azsx7UNHmLzIiGEd5Txd55ZCIyI9Wy9WqwpDA2HxBfPb4PERIH6W3&#10;JBsNjTi/Iis/3kEaU+eUXM35W21MmaFx/zkQM3tY7n3sMVtp2A0ToZ1vT8inx9E31OGmU2I+OVQ2&#10;b8lsxNnYzcYhRL3vyhrlehDeHxI2UXrLFUbYqTDOrLCb9isvxb/3kvX4T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MOBTKyQEAAJsDAAAOAAAAAAAAAAEAIAAAAB4BAABkcnMvZTJvRG9j&#10;LnhtbFBLBQYAAAAABgAGAFkBAABZ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v:textbox>
            </v:shape>
          </w:pict>
        </mc:Fallback>
      </mc:AlternateContent>
    </w:r>
    <w:r>
      <w:rPr>
        <w:b/>
      </w:rPr>
      <w:t>业务咨询：</w:t>
    </w:r>
    <w:r>
      <w:rPr>
        <w:rFonts w:hint="eastAsia"/>
        <w:b/>
        <w:lang w:eastAsia="zh-CN"/>
      </w:rPr>
      <w:t>028-61677271</w:t>
    </w:r>
    <w:r>
      <w:rPr>
        <w:b/>
      </w:rPr>
      <w:t xml:space="preserve">   </w:t>
    </w:r>
    <w:r>
      <w:rPr>
        <w:rFonts w:hint="eastAsia"/>
        <w:b/>
        <w:lang w:val="en-US" w:eastAsia="zh-CN"/>
      </w:rPr>
      <w:t xml:space="preserve">                                                      </w:t>
    </w:r>
    <w:r>
      <w:rPr>
        <w:b/>
      </w:rPr>
      <w:t>投诉建议：028-61195711</w:t>
    </w:r>
  </w:p>
  <w:p>
    <w:pPr>
      <w:pStyle w:val="16"/>
    </w:pPr>
    <w:r>
      <w:rPr>
        <w:b/>
      </w:rPr>
      <w:t>地址：</w:t>
    </w:r>
    <w:r>
      <w:rPr>
        <w:rFonts w:hint="eastAsia"/>
        <w:b/>
        <w:lang w:eastAsia="zh-CN"/>
      </w:rPr>
      <w:t>四川省成都市武侯区武科东四路18号联邦财富中心1-2-1005（C区）</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Style w:val="27"/>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b/>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FvRG8k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JbShy3OPHzzx/nX4/nh+8E&#10;fShQH6DGvLuAmWl47wdMnv2Azsx7UNHmLzIiGEd5Txd55ZCIyI9Wy9WqwpDA2HxBfPb0PERIH6S3&#10;JBsNjTi/Iis/foI0ps4puZrzt9qYMkPj/nIgZvaw3PvYY7bSsBsmQjvfnpBPj6NvqMNNp8R8dKhs&#10;3pLZiLOxm41DiHrflTXK9SC8Oy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W9EbyQEAAJsDAAAOAAAAAAAAAAEAIAAAAB4BAABkcnMvZTJvRG9j&#10;LnhtbFBLBQYAAAAABgAGAFkBAABZ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v:textbox>
            </v:shape>
          </w:pict>
        </mc:Fallback>
      </mc:AlternateContent>
    </w:r>
    <w:r>
      <w:rPr>
        <w:b/>
      </w:rPr>
      <w:t>业务咨询：</w:t>
    </w:r>
    <w:r>
      <w:rPr>
        <w:rFonts w:hint="eastAsia"/>
        <w:b/>
        <w:lang w:eastAsia="zh-CN"/>
      </w:rPr>
      <w:t>028-61677271</w:t>
    </w:r>
    <w:r>
      <w:rPr>
        <w:b/>
      </w:rPr>
      <w:t xml:space="preserve">   </w:t>
    </w:r>
    <w:r>
      <w:rPr>
        <w:rFonts w:hint="eastAsia"/>
        <w:b/>
        <w:lang w:val="en-US" w:eastAsia="zh-CN"/>
      </w:rPr>
      <w:t xml:space="preserve">                                                      </w:t>
    </w:r>
    <w:r>
      <w:rPr>
        <w:b/>
      </w:rPr>
      <w:t>投诉建议：028-61195711</w:t>
    </w:r>
  </w:p>
  <w:p>
    <w:pPr>
      <w:pStyle w:val="16"/>
    </w:pPr>
    <w:r>
      <w:rPr>
        <w:b/>
      </w:rPr>
      <w:t>地址：</w:t>
    </w:r>
    <w:r>
      <w:rPr>
        <w:rFonts w:hint="eastAsia"/>
        <w:b/>
        <w:lang w:eastAsia="zh-CN"/>
      </w:rPr>
      <w:t>四川省成都市武侯区武科东四路18号联邦财富中心1-2-1005（C区）</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75</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75</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double" w:color="auto" w:sz="8" w:space="1"/>
      </w:pBdr>
      <w:jc w:val="left"/>
    </w:pPr>
    <w:r>
      <w:rPr>
        <w:rFonts w:hint="eastAsia" w:eastAsia="宋体"/>
      </w:rPr>
      <w:drawing>
        <wp:inline distT="0" distB="0" distL="114300" distR="114300">
          <wp:extent cx="1570355" cy="485140"/>
          <wp:effectExtent l="0" t="0" r="10795" b="10160"/>
          <wp:docPr id="2" name="图片 2" descr="56806613152702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68066131527028069"/>
                  <pic:cNvPicPr>
                    <a:picLocks noChangeAspect="1"/>
                  </pic:cNvPicPr>
                </pic:nvPicPr>
                <pic:blipFill>
                  <a:blip r:embed="rId1"/>
                  <a:srcRect l="11531" t="20508" r="9595" b="24992"/>
                  <a:stretch>
                    <a:fillRect/>
                  </a:stretch>
                </pic:blipFill>
                <pic:spPr>
                  <a:xfrm>
                    <a:off x="0" y="0"/>
                    <a:ext cx="1570355" cy="485140"/>
                  </a:xfrm>
                  <a:prstGeom prst="rect">
                    <a:avLst/>
                  </a:prstGeom>
                  <a:noFill/>
                  <a:ln w="9525">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rFonts w:hint="eastAsia"/>
      </w:rPr>
      <w:t>四川省工商行政管理局数据中心建设项目政府采购—磋商文件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bidi w:val="0"/>
      <w:jc w:val="left"/>
    </w:pPr>
    <w:r>
      <w:rPr>
        <w:szCs w:val="21"/>
      </w:rPr>
      <w:drawing>
        <wp:inline distT="0" distB="0" distL="114300" distR="114300">
          <wp:extent cx="2136140" cy="374015"/>
          <wp:effectExtent l="0" t="0" r="16510" b="6985"/>
          <wp:docPr id="15" name="图片 1" descr="1554722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1554722862(1)"/>
                  <pic:cNvPicPr>
                    <a:picLocks noChangeAspect="1"/>
                  </pic:cNvPicPr>
                </pic:nvPicPr>
                <pic:blipFill>
                  <a:blip r:embed="rId1"/>
                  <a:stretch>
                    <a:fillRect/>
                  </a:stretch>
                </pic:blipFill>
                <pic:spPr>
                  <a:xfrm>
                    <a:off x="0" y="0"/>
                    <a:ext cx="2136140" cy="374015"/>
                  </a:xfrm>
                  <a:prstGeom prst="rect">
                    <a:avLst/>
                  </a:prstGeom>
                  <a:noFill/>
                  <a:ln>
                    <a:noFill/>
                  </a:ln>
                </pic:spPr>
              </pic:pic>
            </a:graphicData>
          </a:graphic>
        </wp:inline>
      </w:drawing>
    </w:r>
    <w:r>
      <w:rPr>
        <w:rFonts w:hint="eastAsia"/>
        <w:szCs w:val="21"/>
        <w:lang w:val="en-US" w:eastAsia="zh-CN"/>
      </w:rPr>
      <w:t xml:space="preserve">                                  </w:t>
    </w:r>
    <w:r>
      <w:rPr>
        <w:rFonts w:hint="eastAsia" w:ascii="仿宋" w:hAnsi="仿宋" w:eastAsia="仿宋"/>
        <w:b/>
        <w:szCs w:val="21"/>
      </w:rPr>
      <w:t>您的咨询顾问，竭诚为您服务！！！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double" w:color="auto" w:sz="8" w:space="1"/>
      </w:pBdr>
      <w:jc w:val="left"/>
    </w:pPr>
    <w:r>
      <w:rPr>
        <w:rFonts w:hint="eastAsia" w:eastAsia="宋体"/>
      </w:rPr>
      <w:drawing>
        <wp:inline distT="0" distB="0" distL="114300" distR="114300">
          <wp:extent cx="1570355" cy="485140"/>
          <wp:effectExtent l="0" t="0" r="10795" b="10160"/>
          <wp:docPr id="11" name="图片 1" descr="56806613152702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568066131527028069"/>
                  <pic:cNvPicPr>
                    <a:picLocks noChangeAspect="1"/>
                  </pic:cNvPicPr>
                </pic:nvPicPr>
                <pic:blipFill>
                  <a:blip r:embed="rId1"/>
                  <a:srcRect l="11531" t="20508" r="9595" b="24992"/>
                  <a:stretch>
                    <a:fillRect/>
                  </a:stretch>
                </pic:blipFill>
                <pic:spPr>
                  <a:xfrm>
                    <a:off x="0" y="0"/>
                    <a:ext cx="1570355" cy="485140"/>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3786C"/>
    <w:multiLevelType w:val="singleLevel"/>
    <w:tmpl w:val="8CA3786C"/>
    <w:lvl w:ilvl="0" w:tentative="0">
      <w:start w:val="2"/>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
    <w:nsid w:val="59C07086"/>
    <w:multiLevelType w:val="multilevel"/>
    <w:tmpl w:val="59C07086"/>
    <w:lvl w:ilvl="0" w:tentative="0">
      <w:start w:val="1"/>
      <w:numFmt w:val="decimal"/>
      <w:suff w:val="nothing"/>
      <w:lvlText w:val="%1、"/>
      <w:lvlJc w:val="left"/>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8A0347"/>
    <w:rsid w:val="000572DB"/>
    <w:rsid w:val="0008232D"/>
    <w:rsid w:val="004E0680"/>
    <w:rsid w:val="0093532E"/>
    <w:rsid w:val="00E24400"/>
    <w:rsid w:val="00EC3934"/>
    <w:rsid w:val="01365727"/>
    <w:rsid w:val="017C0434"/>
    <w:rsid w:val="019878A2"/>
    <w:rsid w:val="01C11FAD"/>
    <w:rsid w:val="02353133"/>
    <w:rsid w:val="02583EA6"/>
    <w:rsid w:val="02873592"/>
    <w:rsid w:val="03174412"/>
    <w:rsid w:val="034A03FB"/>
    <w:rsid w:val="038D4638"/>
    <w:rsid w:val="03C063C1"/>
    <w:rsid w:val="03E06A00"/>
    <w:rsid w:val="043308F5"/>
    <w:rsid w:val="04652461"/>
    <w:rsid w:val="04CE1AC6"/>
    <w:rsid w:val="04FB0376"/>
    <w:rsid w:val="05003375"/>
    <w:rsid w:val="0520663A"/>
    <w:rsid w:val="05221751"/>
    <w:rsid w:val="05793E7D"/>
    <w:rsid w:val="05D767AA"/>
    <w:rsid w:val="05DD2887"/>
    <w:rsid w:val="068517FF"/>
    <w:rsid w:val="068D2EFE"/>
    <w:rsid w:val="069C6430"/>
    <w:rsid w:val="06AE71AB"/>
    <w:rsid w:val="06C6647D"/>
    <w:rsid w:val="072E4CFB"/>
    <w:rsid w:val="07646AA2"/>
    <w:rsid w:val="07776902"/>
    <w:rsid w:val="079C4CB3"/>
    <w:rsid w:val="07B105CD"/>
    <w:rsid w:val="07B3576E"/>
    <w:rsid w:val="07BF1EFE"/>
    <w:rsid w:val="07CC2CA2"/>
    <w:rsid w:val="07F90FE2"/>
    <w:rsid w:val="08481B56"/>
    <w:rsid w:val="08BF0E59"/>
    <w:rsid w:val="08D72C64"/>
    <w:rsid w:val="0976370F"/>
    <w:rsid w:val="097E00A2"/>
    <w:rsid w:val="09974E6E"/>
    <w:rsid w:val="09A647B3"/>
    <w:rsid w:val="09C421E0"/>
    <w:rsid w:val="09C765B8"/>
    <w:rsid w:val="0A066D5F"/>
    <w:rsid w:val="0A1B41C3"/>
    <w:rsid w:val="0A757460"/>
    <w:rsid w:val="0AAD2E17"/>
    <w:rsid w:val="0AD40054"/>
    <w:rsid w:val="0AE87A1D"/>
    <w:rsid w:val="0B451ABF"/>
    <w:rsid w:val="0B602530"/>
    <w:rsid w:val="0B755210"/>
    <w:rsid w:val="0C5574D3"/>
    <w:rsid w:val="0C627430"/>
    <w:rsid w:val="0CD008E4"/>
    <w:rsid w:val="0D601719"/>
    <w:rsid w:val="0D9139DE"/>
    <w:rsid w:val="0D953D20"/>
    <w:rsid w:val="0DB601B5"/>
    <w:rsid w:val="0DEB6FDE"/>
    <w:rsid w:val="0DF4352F"/>
    <w:rsid w:val="0E1230D8"/>
    <w:rsid w:val="0E3E4E11"/>
    <w:rsid w:val="0E43042D"/>
    <w:rsid w:val="0E4D2754"/>
    <w:rsid w:val="0EEA2EB3"/>
    <w:rsid w:val="0EF645D5"/>
    <w:rsid w:val="0F2410AB"/>
    <w:rsid w:val="0F511654"/>
    <w:rsid w:val="0F7D2AD6"/>
    <w:rsid w:val="0FA94019"/>
    <w:rsid w:val="0FE13C8C"/>
    <w:rsid w:val="0FEC4707"/>
    <w:rsid w:val="10337117"/>
    <w:rsid w:val="103E20DF"/>
    <w:rsid w:val="106C2FBC"/>
    <w:rsid w:val="10B9753A"/>
    <w:rsid w:val="10E44E55"/>
    <w:rsid w:val="10E613D9"/>
    <w:rsid w:val="10EC2060"/>
    <w:rsid w:val="10FB02F8"/>
    <w:rsid w:val="11384FA9"/>
    <w:rsid w:val="11514EC5"/>
    <w:rsid w:val="11552D14"/>
    <w:rsid w:val="118917FF"/>
    <w:rsid w:val="118F095B"/>
    <w:rsid w:val="11AD2612"/>
    <w:rsid w:val="11D32CA8"/>
    <w:rsid w:val="11FB06BF"/>
    <w:rsid w:val="12202CBA"/>
    <w:rsid w:val="123F2FBB"/>
    <w:rsid w:val="129A01F0"/>
    <w:rsid w:val="12AC5D1F"/>
    <w:rsid w:val="12AF022C"/>
    <w:rsid w:val="12B30EE2"/>
    <w:rsid w:val="12C3708C"/>
    <w:rsid w:val="12E52A06"/>
    <w:rsid w:val="13100491"/>
    <w:rsid w:val="131D1F5F"/>
    <w:rsid w:val="138222E6"/>
    <w:rsid w:val="13C64B78"/>
    <w:rsid w:val="13E657F5"/>
    <w:rsid w:val="143D107C"/>
    <w:rsid w:val="143D3718"/>
    <w:rsid w:val="144A689D"/>
    <w:rsid w:val="149B5C8E"/>
    <w:rsid w:val="14AA42B7"/>
    <w:rsid w:val="14BD7F4F"/>
    <w:rsid w:val="14E00458"/>
    <w:rsid w:val="14EB6FF1"/>
    <w:rsid w:val="14F87C18"/>
    <w:rsid w:val="1506122C"/>
    <w:rsid w:val="15390719"/>
    <w:rsid w:val="15503929"/>
    <w:rsid w:val="15537580"/>
    <w:rsid w:val="159F2443"/>
    <w:rsid w:val="15A502B1"/>
    <w:rsid w:val="15D75E4D"/>
    <w:rsid w:val="16205E96"/>
    <w:rsid w:val="16457F30"/>
    <w:rsid w:val="16491AF0"/>
    <w:rsid w:val="16B73CA4"/>
    <w:rsid w:val="17000A45"/>
    <w:rsid w:val="17025538"/>
    <w:rsid w:val="174C678D"/>
    <w:rsid w:val="17947F14"/>
    <w:rsid w:val="179E79C0"/>
    <w:rsid w:val="184009E9"/>
    <w:rsid w:val="197C194C"/>
    <w:rsid w:val="199366BA"/>
    <w:rsid w:val="19DA5415"/>
    <w:rsid w:val="1A590C4C"/>
    <w:rsid w:val="1A696EB6"/>
    <w:rsid w:val="1A840BF5"/>
    <w:rsid w:val="1AA309B6"/>
    <w:rsid w:val="1ADE7895"/>
    <w:rsid w:val="1B040EED"/>
    <w:rsid w:val="1B096797"/>
    <w:rsid w:val="1B12287D"/>
    <w:rsid w:val="1BBA2FB9"/>
    <w:rsid w:val="1C2A0408"/>
    <w:rsid w:val="1C5B4B16"/>
    <w:rsid w:val="1C700BE1"/>
    <w:rsid w:val="1CA044CA"/>
    <w:rsid w:val="1CEE7A11"/>
    <w:rsid w:val="1CFB7415"/>
    <w:rsid w:val="1D1C3058"/>
    <w:rsid w:val="1D497222"/>
    <w:rsid w:val="1D6F512E"/>
    <w:rsid w:val="1D8A15EE"/>
    <w:rsid w:val="1DF713F5"/>
    <w:rsid w:val="1E147754"/>
    <w:rsid w:val="1E2B7012"/>
    <w:rsid w:val="1E3F275C"/>
    <w:rsid w:val="1EC91364"/>
    <w:rsid w:val="1EE4170A"/>
    <w:rsid w:val="1F0706C8"/>
    <w:rsid w:val="1F21067A"/>
    <w:rsid w:val="1F2C73C2"/>
    <w:rsid w:val="1F4B33AE"/>
    <w:rsid w:val="1F4D4C0B"/>
    <w:rsid w:val="1F5A5189"/>
    <w:rsid w:val="1F965DCE"/>
    <w:rsid w:val="1FCF744F"/>
    <w:rsid w:val="203C39B2"/>
    <w:rsid w:val="205E2448"/>
    <w:rsid w:val="206B2911"/>
    <w:rsid w:val="206F146B"/>
    <w:rsid w:val="209C5197"/>
    <w:rsid w:val="20A1192E"/>
    <w:rsid w:val="20F67B19"/>
    <w:rsid w:val="21A21BA1"/>
    <w:rsid w:val="21B7589E"/>
    <w:rsid w:val="21E0714D"/>
    <w:rsid w:val="21E7439F"/>
    <w:rsid w:val="21F25E85"/>
    <w:rsid w:val="22405159"/>
    <w:rsid w:val="22C9287E"/>
    <w:rsid w:val="22ED3EA8"/>
    <w:rsid w:val="23104318"/>
    <w:rsid w:val="23461C94"/>
    <w:rsid w:val="238049A3"/>
    <w:rsid w:val="23B16CD9"/>
    <w:rsid w:val="23EF2CE3"/>
    <w:rsid w:val="240129CD"/>
    <w:rsid w:val="240C48AD"/>
    <w:rsid w:val="2449787D"/>
    <w:rsid w:val="246A1948"/>
    <w:rsid w:val="2498107D"/>
    <w:rsid w:val="24DF205D"/>
    <w:rsid w:val="25DC3647"/>
    <w:rsid w:val="26383E7E"/>
    <w:rsid w:val="270A2296"/>
    <w:rsid w:val="272252D5"/>
    <w:rsid w:val="278B3ED2"/>
    <w:rsid w:val="27BC7E95"/>
    <w:rsid w:val="27BD574E"/>
    <w:rsid w:val="27BF0F20"/>
    <w:rsid w:val="27DC2509"/>
    <w:rsid w:val="28017405"/>
    <w:rsid w:val="28086121"/>
    <w:rsid w:val="28092B19"/>
    <w:rsid w:val="28604D4E"/>
    <w:rsid w:val="28BB1AC6"/>
    <w:rsid w:val="28C927D1"/>
    <w:rsid w:val="28E35D66"/>
    <w:rsid w:val="293F1EF6"/>
    <w:rsid w:val="29915FF5"/>
    <w:rsid w:val="29951B7D"/>
    <w:rsid w:val="29A26AE2"/>
    <w:rsid w:val="29AF3ED8"/>
    <w:rsid w:val="29BE5A96"/>
    <w:rsid w:val="2A173122"/>
    <w:rsid w:val="2A18574E"/>
    <w:rsid w:val="2A393587"/>
    <w:rsid w:val="2A425E32"/>
    <w:rsid w:val="2A4F0998"/>
    <w:rsid w:val="2AC75D3D"/>
    <w:rsid w:val="2AD53448"/>
    <w:rsid w:val="2B015F70"/>
    <w:rsid w:val="2B0C6F5D"/>
    <w:rsid w:val="2B4E6591"/>
    <w:rsid w:val="2B6A3CAE"/>
    <w:rsid w:val="2BA11214"/>
    <w:rsid w:val="2C616FC6"/>
    <w:rsid w:val="2C6C7D7B"/>
    <w:rsid w:val="2C6D6FF6"/>
    <w:rsid w:val="2C8C2729"/>
    <w:rsid w:val="2CD1529A"/>
    <w:rsid w:val="2D81051B"/>
    <w:rsid w:val="2DEF5FA0"/>
    <w:rsid w:val="2E1A7044"/>
    <w:rsid w:val="2E253AD8"/>
    <w:rsid w:val="2E4A56C2"/>
    <w:rsid w:val="2E6050DC"/>
    <w:rsid w:val="2E816717"/>
    <w:rsid w:val="2EA76294"/>
    <w:rsid w:val="2EC04431"/>
    <w:rsid w:val="2F1F1925"/>
    <w:rsid w:val="2F6A55A8"/>
    <w:rsid w:val="2F6F5F6B"/>
    <w:rsid w:val="2F790E69"/>
    <w:rsid w:val="2F7C423F"/>
    <w:rsid w:val="2FAE6DEC"/>
    <w:rsid w:val="2FAF0120"/>
    <w:rsid w:val="2FB259EF"/>
    <w:rsid w:val="2FBA79EF"/>
    <w:rsid w:val="2FE47521"/>
    <w:rsid w:val="3002020A"/>
    <w:rsid w:val="30142C54"/>
    <w:rsid w:val="302A738E"/>
    <w:rsid w:val="30FF519D"/>
    <w:rsid w:val="312F07F6"/>
    <w:rsid w:val="3167742D"/>
    <w:rsid w:val="31A51937"/>
    <w:rsid w:val="326A41D4"/>
    <w:rsid w:val="326E7EAB"/>
    <w:rsid w:val="32733244"/>
    <w:rsid w:val="32EB2411"/>
    <w:rsid w:val="335A4A8C"/>
    <w:rsid w:val="33BA2663"/>
    <w:rsid w:val="33BE2E7B"/>
    <w:rsid w:val="33C26AC8"/>
    <w:rsid w:val="33C41992"/>
    <w:rsid w:val="34014301"/>
    <w:rsid w:val="342A3EA0"/>
    <w:rsid w:val="343E79CA"/>
    <w:rsid w:val="346D73F7"/>
    <w:rsid w:val="34852C17"/>
    <w:rsid w:val="350051F3"/>
    <w:rsid w:val="352A5E40"/>
    <w:rsid w:val="35344AF8"/>
    <w:rsid w:val="35520407"/>
    <w:rsid w:val="355C33AF"/>
    <w:rsid w:val="357E1275"/>
    <w:rsid w:val="35C83D66"/>
    <w:rsid w:val="35C95DA9"/>
    <w:rsid w:val="35CB2BD1"/>
    <w:rsid w:val="36635AD6"/>
    <w:rsid w:val="367E6678"/>
    <w:rsid w:val="368047A3"/>
    <w:rsid w:val="368D480D"/>
    <w:rsid w:val="36A605BF"/>
    <w:rsid w:val="371E4DCD"/>
    <w:rsid w:val="37245EB7"/>
    <w:rsid w:val="372F08BB"/>
    <w:rsid w:val="375F4D57"/>
    <w:rsid w:val="37966B5F"/>
    <w:rsid w:val="379E140D"/>
    <w:rsid w:val="37A25842"/>
    <w:rsid w:val="37AD5197"/>
    <w:rsid w:val="380E708A"/>
    <w:rsid w:val="38B475E0"/>
    <w:rsid w:val="38D636DC"/>
    <w:rsid w:val="38E94576"/>
    <w:rsid w:val="39053AD8"/>
    <w:rsid w:val="394A707A"/>
    <w:rsid w:val="39AF680B"/>
    <w:rsid w:val="39C351C2"/>
    <w:rsid w:val="3A1115DB"/>
    <w:rsid w:val="3A1C614D"/>
    <w:rsid w:val="3ABC572A"/>
    <w:rsid w:val="3ADD6FFD"/>
    <w:rsid w:val="3AF826EC"/>
    <w:rsid w:val="3B121FFB"/>
    <w:rsid w:val="3B1705E5"/>
    <w:rsid w:val="3BB1108F"/>
    <w:rsid w:val="3BDB204C"/>
    <w:rsid w:val="3BEE4D27"/>
    <w:rsid w:val="3BF7404B"/>
    <w:rsid w:val="3C0020F4"/>
    <w:rsid w:val="3C177065"/>
    <w:rsid w:val="3C1D57EB"/>
    <w:rsid w:val="3C5924B3"/>
    <w:rsid w:val="3C596709"/>
    <w:rsid w:val="3CCE5B4E"/>
    <w:rsid w:val="3CD01240"/>
    <w:rsid w:val="3D080CCD"/>
    <w:rsid w:val="3D4B7589"/>
    <w:rsid w:val="3D751C31"/>
    <w:rsid w:val="3DAD3478"/>
    <w:rsid w:val="3DBB0A5F"/>
    <w:rsid w:val="3DD83005"/>
    <w:rsid w:val="3DE02F33"/>
    <w:rsid w:val="3DE0583A"/>
    <w:rsid w:val="3DFB0D0A"/>
    <w:rsid w:val="3E032FB2"/>
    <w:rsid w:val="3E143322"/>
    <w:rsid w:val="3E2149D7"/>
    <w:rsid w:val="3E325268"/>
    <w:rsid w:val="3E861631"/>
    <w:rsid w:val="3E9015B5"/>
    <w:rsid w:val="3EAE1496"/>
    <w:rsid w:val="3F6500C5"/>
    <w:rsid w:val="3F767793"/>
    <w:rsid w:val="3FB403C6"/>
    <w:rsid w:val="3FCC64B1"/>
    <w:rsid w:val="40093CD4"/>
    <w:rsid w:val="401C3175"/>
    <w:rsid w:val="4020536E"/>
    <w:rsid w:val="40237A8B"/>
    <w:rsid w:val="40553470"/>
    <w:rsid w:val="40697C1F"/>
    <w:rsid w:val="407D6ADC"/>
    <w:rsid w:val="40947466"/>
    <w:rsid w:val="40C00F0D"/>
    <w:rsid w:val="413D19A1"/>
    <w:rsid w:val="415D0244"/>
    <w:rsid w:val="416F738F"/>
    <w:rsid w:val="41795AD7"/>
    <w:rsid w:val="41882DA9"/>
    <w:rsid w:val="41E2303A"/>
    <w:rsid w:val="41E9119F"/>
    <w:rsid w:val="42076478"/>
    <w:rsid w:val="4230082E"/>
    <w:rsid w:val="423744DD"/>
    <w:rsid w:val="42576BA9"/>
    <w:rsid w:val="42996754"/>
    <w:rsid w:val="42A33DE7"/>
    <w:rsid w:val="42B61FA3"/>
    <w:rsid w:val="42F3693F"/>
    <w:rsid w:val="430D679F"/>
    <w:rsid w:val="431A1236"/>
    <w:rsid w:val="43336E53"/>
    <w:rsid w:val="438A5DDA"/>
    <w:rsid w:val="43B45E8C"/>
    <w:rsid w:val="43E72FFE"/>
    <w:rsid w:val="43FF1D68"/>
    <w:rsid w:val="445123F7"/>
    <w:rsid w:val="44CA59DA"/>
    <w:rsid w:val="44CE0696"/>
    <w:rsid w:val="44E05B88"/>
    <w:rsid w:val="45243265"/>
    <w:rsid w:val="45443D52"/>
    <w:rsid w:val="45527199"/>
    <w:rsid w:val="45B209F1"/>
    <w:rsid w:val="45BA3459"/>
    <w:rsid w:val="45C93FC6"/>
    <w:rsid w:val="45DA374F"/>
    <w:rsid w:val="45DC1AA8"/>
    <w:rsid w:val="45E67823"/>
    <w:rsid w:val="46000B49"/>
    <w:rsid w:val="46427576"/>
    <w:rsid w:val="469D03B1"/>
    <w:rsid w:val="46A31049"/>
    <w:rsid w:val="46B70792"/>
    <w:rsid w:val="46C52059"/>
    <w:rsid w:val="475B6D46"/>
    <w:rsid w:val="477A1CC4"/>
    <w:rsid w:val="4794632E"/>
    <w:rsid w:val="47B61CD8"/>
    <w:rsid w:val="47DA442E"/>
    <w:rsid w:val="48207F80"/>
    <w:rsid w:val="48491323"/>
    <w:rsid w:val="48770A79"/>
    <w:rsid w:val="48E735D2"/>
    <w:rsid w:val="48F31881"/>
    <w:rsid w:val="48FC03CA"/>
    <w:rsid w:val="49072709"/>
    <w:rsid w:val="494F5D5E"/>
    <w:rsid w:val="495434C1"/>
    <w:rsid w:val="495C4470"/>
    <w:rsid w:val="49977782"/>
    <w:rsid w:val="4A066321"/>
    <w:rsid w:val="4A070A39"/>
    <w:rsid w:val="4A320BEF"/>
    <w:rsid w:val="4A4A7790"/>
    <w:rsid w:val="4A685453"/>
    <w:rsid w:val="4A877F1A"/>
    <w:rsid w:val="4A8C5665"/>
    <w:rsid w:val="4ABC338A"/>
    <w:rsid w:val="4AD1678D"/>
    <w:rsid w:val="4AE84325"/>
    <w:rsid w:val="4AED63DB"/>
    <w:rsid w:val="4B015A83"/>
    <w:rsid w:val="4B142E4E"/>
    <w:rsid w:val="4B1C0442"/>
    <w:rsid w:val="4B2E0D52"/>
    <w:rsid w:val="4B90100E"/>
    <w:rsid w:val="4BA14D36"/>
    <w:rsid w:val="4BAB0D19"/>
    <w:rsid w:val="4BB521B8"/>
    <w:rsid w:val="4BE5265A"/>
    <w:rsid w:val="4C2650FB"/>
    <w:rsid w:val="4C265EFF"/>
    <w:rsid w:val="4C444E6C"/>
    <w:rsid w:val="4C467939"/>
    <w:rsid w:val="4C705189"/>
    <w:rsid w:val="4CC53416"/>
    <w:rsid w:val="4CE71997"/>
    <w:rsid w:val="4D077882"/>
    <w:rsid w:val="4DA33D2D"/>
    <w:rsid w:val="4DA6020E"/>
    <w:rsid w:val="4DAC40FA"/>
    <w:rsid w:val="4DC27794"/>
    <w:rsid w:val="4DD53464"/>
    <w:rsid w:val="4E03439C"/>
    <w:rsid w:val="4E07722E"/>
    <w:rsid w:val="4E3524DD"/>
    <w:rsid w:val="4E700908"/>
    <w:rsid w:val="4E7A5A95"/>
    <w:rsid w:val="4EBE34D3"/>
    <w:rsid w:val="4EC711FE"/>
    <w:rsid w:val="4EE22E7B"/>
    <w:rsid w:val="4EFE3743"/>
    <w:rsid w:val="4F2C0E74"/>
    <w:rsid w:val="4FC2275A"/>
    <w:rsid w:val="4FFD1F31"/>
    <w:rsid w:val="5030182D"/>
    <w:rsid w:val="50655525"/>
    <w:rsid w:val="50987C24"/>
    <w:rsid w:val="50B40F56"/>
    <w:rsid w:val="50B9348B"/>
    <w:rsid w:val="510C6CD7"/>
    <w:rsid w:val="51476FDF"/>
    <w:rsid w:val="515E01BB"/>
    <w:rsid w:val="51762084"/>
    <w:rsid w:val="519D50C1"/>
    <w:rsid w:val="51BD12C3"/>
    <w:rsid w:val="52271A21"/>
    <w:rsid w:val="523E4DFA"/>
    <w:rsid w:val="52511F34"/>
    <w:rsid w:val="525C3ACD"/>
    <w:rsid w:val="526454A1"/>
    <w:rsid w:val="528A0347"/>
    <w:rsid w:val="528A2886"/>
    <w:rsid w:val="52950909"/>
    <w:rsid w:val="52E84350"/>
    <w:rsid w:val="53030DC7"/>
    <w:rsid w:val="532A5629"/>
    <w:rsid w:val="53420D95"/>
    <w:rsid w:val="5391633A"/>
    <w:rsid w:val="539D7A92"/>
    <w:rsid w:val="53B34DD5"/>
    <w:rsid w:val="53CA0C7C"/>
    <w:rsid w:val="543A6F16"/>
    <w:rsid w:val="54682360"/>
    <w:rsid w:val="54841553"/>
    <w:rsid w:val="54CF21D8"/>
    <w:rsid w:val="54E63439"/>
    <w:rsid w:val="54FE26E2"/>
    <w:rsid w:val="5529669D"/>
    <w:rsid w:val="55437D0D"/>
    <w:rsid w:val="55703A38"/>
    <w:rsid w:val="55705E40"/>
    <w:rsid w:val="557C3B1A"/>
    <w:rsid w:val="55FE4470"/>
    <w:rsid w:val="560641D5"/>
    <w:rsid w:val="560D5CFF"/>
    <w:rsid w:val="56830AEA"/>
    <w:rsid w:val="56C8472B"/>
    <w:rsid w:val="56D8462C"/>
    <w:rsid w:val="571A5D84"/>
    <w:rsid w:val="5745772D"/>
    <w:rsid w:val="57F74180"/>
    <w:rsid w:val="581101B8"/>
    <w:rsid w:val="58404823"/>
    <w:rsid w:val="586F168C"/>
    <w:rsid w:val="589A60AC"/>
    <w:rsid w:val="58A845FF"/>
    <w:rsid w:val="58A932C4"/>
    <w:rsid w:val="58C63F3F"/>
    <w:rsid w:val="58CF38C7"/>
    <w:rsid w:val="58FF60FE"/>
    <w:rsid w:val="59112915"/>
    <w:rsid w:val="594B12C0"/>
    <w:rsid w:val="59851222"/>
    <w:rsid w:val="59ED5EA4"/>
    <w:rsid w:val="5A071978"/>
    <w:rsid w:val="5A714CA5"/>
    <w:rsid w:val="5A907933"/>
    <w:rsid w:val="5ABF799F"/>
    <w:rsid w:val="5AE34BF4"/>
    <w:rsid w:val="5AEC06E0"/>
    <w:rsid w:val="5B44790E"/>
    <w:rsid w:val="5B583B75"/>
    <w:rsid w:val="5BC2507D"/>
    <w:rsid w:val="5BC57C1A"/>
    <w:rsid w:val="5BCD6899"/>
    <w:rsid w:val="5C071D8E"/>
    <w:rsid w:val="5C143AB0"/>
    <w:rsid w:val="5C306667"/>
    <w:rsid w:val="5C3760C2"/>
    <w:rsid w:val="5C404166"/>
    <w:rsid w:val="5C567917"/>
    <w:rsid w:val="5C850ACB"/>
    <w:rsid w:val="5C8969EB"/>
    <w:rsid w:val="5C8C74DF"/>
    <w:rsid w:val="5C942BEB"/>
    <w:rsid w:val="5C972C7C"/>
    <w:rsid w:val="5CF35629"/>
    <w:rsid w:val="5CF61486"/>
    <w:rsid w:val="5CF82B0D"/>
    <w:rsid w:val="5D1825D1"/>
    <w:rsid w:val="5D2A3928"/>
    <w:rsid w:val="5D4412DC"/>
    <w:rsid w:val="5D634296"/>
    <w:rsid w:val="5D6D3B73"/>
    <w:rsid w:val="5D733E17"/>
    <w:rsid w:val="5D7E1ABA"/>
    <w:rsid w:val="5D986022"/>
    <w:rsid w:val="5DD20565"/>
    <w:rsid w:val="5DEA0745"/>
    <w:rsid w:val="5DF45795"/>
    <w:rsid w:val="5E2B2FBB"/>
    <w:rsid w:val="5E354D8B"/>
    <w:rsid w:val="5E3F5CFC"/>
    <w:rsid w:val="5E555563"/>
    <w:rsid w:val="5E5B3366"/>
    <w:rsid w:val="5E764CFB"/>
    <w:rsid w:val="5E771882"/>
    <w:rsid w:val="5EB32677"/>
    <w:rsid w:val="5F0A0E0A"/>
    <w:rsid w:val="5F2E5A0A"/>
    <w:rsid w:val="5F675EA7"/>
    <w:rsid w:val="5F6A41A2"/>
    <w:rsid w:val="5FEE461B"/>
    <w:rsid w:val="60633F94"/>
    <w:rsid w:val="607C279D"/>
    <w:rsid w:val="608875BC"/>
    <w:rsid w:val="60996615"/>
    <w:rsid w:val="60AD43AA"/>
    <w:rsid w:val="60DA69EE"/>
    <w:rsid w:val="60E11857"/>
    <w:rsid w:val="61116DF2"/>
    <w:rsid w:val="61453BA5"/>
    <w:rsid w:val="614936C0"/>
    <w:rsid w:val="617F5845"/>
    <w:rsid w:val="61845F44"/>
    <w:rsid w:val="61F9494E"/>
    <w:rsid w:val="621144ED"/>
    <w:rsid w:val="623A1C58"/>
    <w:rsid w:val="62664474"/>
    <w:rsid w:val="62781F50"/>
    <w:rsid w:val="62C727A8"/>
    <w:rsid w:val="62CC797C"/>
    <w:rsid w:val="62DC288F"/>
    <w:rsid w:val="6311406B"/>
    <w:rsid w:val="63AA6DB7"/>
    <w:rsid w:val="63E02B52"/>
    <w:rsid w:val="63E05458"/>
    <w:rsid w:val="63E25F14"/>
    <w:rsid w:val="63F55432"/>
    <w:rsid w:val="641679FF"/>
    <w:rsid w:val="641F4FF2"/>
    <w:rsid w:val="64824D2E"/>
    <w:rsid w:val="648914D3"/>
    <w:rsid w:val="6496097F"/>
    <w:rsid w:val="64D13B80"/>
    <w:rsid w:val="64DA3D2F"/>
    <w:rsid w:val="64F40EFD"/>
    <w:rsid w:val="6506620D"/>
    <w:rsid w:val="654A63C9"/>
    <w:rsid w:val="65DA2CE4"/>
    <w:rsid w:val="65E92DA9"/>
    <w:rsid w:val="667552EF"/>
    <w:rsid w:val="667B02D8"/>
    <w:rsid w:val="66AB4A19"/>
    <w:rsid w:val="66BC5C11"/>
    <w:rsid w:val="66C034BC"/>
    <w:rsid w:val="66D56BAF"/>
    <w:rsid w:val="66FC4223"/>
    <w:rsid w:val="672F75EC"/>
    <w:rsid w:val="67305336"/>
    <w:rsid w:val="6751076B"/>
    <w:rsid w:val="678A6E6B"/>
    <w:rsid w:val="67B831EF"/>
    <w:rsid w:val="67F87871"/>
    <w:rsid w:val="67FA4E1F"/>
    <w:rsid w:val="683F2D61"/>
    <w:rsid w:val="6892449C"/>
    <w:rsid w:val="68B95A2F"/>
    <w:rsid w:val="68BC33FF"/>
    <w:rsid w:val="68C41B18"/>
    <w:rsid w:val="68C94DC6"/>
    <w:rsid w:val="68CC2DE8"/>
    <w:rsid w:val="68D22C3A"/>
    <w:rsid w:val="68DF3E54"/>
    <w:rsid w:val="690944B2"/>
    <w:rsid w:val="692C6ED1"/>
    <w:rsid w:val="693F5C66"/>
    <w:rsid w:val="69586FC7"/>
    <w:rsid w:val="69683806"/>
    <w:rsid w:val="69863AC8"/>
    <w:rsid w:val="69BA598F"/>
    <w:rsid w:val="69DD380C"/>
    <w:rsid w:val="69E240B1"/>
    <w:rsid w:val="6A0A000D"/>
    <w:rsid w:val="6A366999"/>
    <w:rsid w:val="6A395C02"/>
    <w:rsid w:val="6A993404"/>
    <w:rsid w:val="6ACE78E6"/>
    <w:rsid w:val="6AD11CF6"/>
    <w:rsid w:val="6AD311E5"/>
    <w:rsid w:val="6B106207"/>
    <w:rsid w:val="6B3B169F"/>
    <w:rsid w:val="6B4D093D"/>
    <w:rsid w:val="6B737408"/>
    <w:rsid w:val="6B9E4055"/>
    <w:rsid w:val="6BBD0670"/>
    <w:rsid w:val="6BF67F73"/>
    <w:rsid w:val="6BFA7EBC"/>
    <w:rsid w:val="6C022D08"/>
    <w:rsid w:val="6C2C6344"/>
    <w:rsid w:val="6CB4241B"/>
    <w:rsid w:val="6CF846C9"/>
    <w:rsid w:val="6D00300F"/>
    <w:rsid w:val="6D535020"/>
    <w:rsid w:val="6D5C0BDE"/>
    <w:rsid w:val="6D7B7781"/>
    <w:rsid w:val="6D8C3FA6"/>
    <w:rsid w:val="6D9132E1"/>
    <w:rsid w:val="6DAC2456"/>
    <w:rsid w:val="6DE554FF"/>
    <w:rsid w:val="6E256977"/>
    <w:rsid w:val="6E2B31EA"/>
    <w:rsid w:val="6E3C78FF"/>
    <w:rsid w:val="6E59359C"/>
    <w:rsid w:val="6EA0203D"/>
    <w:rsid w:val="6EB262ED"/>
    <w:rsid w:val="6F18613F"/>
    <w:rsid w:val="6F1A7904"/>
    <w:rsid w:val="6F236ED7"/>
    <w:rsid w:val="6F3661C4"/>
    <w:rsid w:val="6F376E9C"/>
    <w:rsid w:val="6F790C5F"/>
    <w:rsid w:val="6F7A06F3"/>
    <w:rsid w:val="6F800AE7"/>
    <w:rsid w:val="6F8E30AC"/>
    <w:rsid w:val="6FCE1AB9"/>
    <w:rsid w:val="6FED4B70"/>
    <w:rsid w:val="7051252D"/>
    <w:rsid w:val="70515FB1"/>
    <w:rsid w:val="707E1456"/>
    <w:rsid w:val="710D46D2"/>
    <w:rsid w:val="713E5D7D"/>
    <w:rsid w:val="718467D2"/>
    <w:rsid w:val="71B2295B"/>
    <w:rsid w:val="721A69BE"/>
    <w:rsid w:val="72574356"/>
    <w:rsid w:val="72933209"/>
    <w:rsid w:val="73597656"/>
    <w:rsid w:val="73702D37"/>
    <w:rsid w:val="738C47D0"/>
    <w:rsid w:val="73CA620C"/>
    <w:rsid w:val="740D7492"/>
    <w:rsid w:val="74621F78"/>
    <w:rsid w:val="75215015"/>
    <w:rsid w:val="754143B4"/>
    <w:rsid w:val="754E03EF"/>
    <w:rsid w:val="7572652B"/>
    <w:rsid w:val="75FF4F04"/>
    <w:rsid w:val="765426F4"/>
    <w:rsid w:val="7676051E"/>
    <w:rsid w:val="7682689F"/>
    <w:rsid w:val="768B5928"/>
    <w:rsid w:val="768D3FAD"/>
    <w:rsid w:val="769277F9"/>
    <w:rsid w:val="76B202EE"/>
    <w:rsid w:val="76D84D0C"/>
    <w:rsid w:val="76E61E34"/>
    <w:rsid w:val="776E692A"/>
    <w:rsid w:val="77AA23E4"/>
    <w:rsid w:val="77B94075"/>
    <w:rsid w:val="77C71BBC"/>
    <w:rsid w:val="77CF4E20"/>
    <w:rsid w:val="77F2674D"/>
    <w:rsid w:val="77FE57F5"/>
    <w:rsid w:val="780C3BD6"/>
    <w:rsid w:val="7837726E"/>
    <w:rsid w:val="78393728"/>
    <w:rsid w:val="785F2E23"/>
    <w:rsid w:val="789B57B3"/>
    <w:rsid w:val="78D06DD6"/>
    <w:rsid w:val="78DF0578"/>
    <w:rsid w:val="79112A96"/>
    <w:rsid w:val="79122CA6"/>
    <w:rsid w:val="79326349"/>
    <w:rsid w:val="793E5625"/>
    <w:rsid w:val="79704CE1"/>
    <w:rsid w:val="79926D21"/>
    <w:rsid w:val="79C31126"/>
    <w:rsid w:val="79E70F2C"/>
    <w:rsid w:val="7A1B0613"/>
    <w:rsid w:val="7A1D0EF3"/>
    <w:rsid w:val="7A207055"/>
    <w:rsid w:val="7A2349B5"/>
    <w:rsid w:val="7A2D75F1"/>
    <w:rsid w:val="7A843F55"/>
    <w:rsid w:val="7A9568FB"/>
    <w:rsid w:val="7A972630"/>
    <w:rsid w:val="7AAE42F2"/>
    <w:rsid w:val="7AB36FC1"/>
    <w:rsid w:val="7AD7114D"/>
    <w:rsid w:val="7AEE3904"/>
    <w:rsid w:val="7B135551"/>
    <w:rsid w:val="7B1B1B72"/>
    <w:rsid w:val="7B4E7BA0"/>
    <w:rsid w:val="7B6C6515"/>
    <w:rsid w:val="7BA31C21"/>
    <w:rsid w:val="7BD708FF"/>
    <w:rsid w:val="7C121D39"/>
    <w:rsid w:val="7C2B4418"/>
    <w:rsid w:val="7C6C5C09"/>
    <w:rsid w:val="7C803E0D"/>
    <w:rsid w:val="7C8A71C0"/>
    <w:rsid w:val="7C8B0EF9"/>
    <w:rsid w:val="7CCA0B85"/>
    <w:rsid w:val="7D8E611F"/>
    <w:rsid w:val="7DB667E5"/>
    <w:rsid w:val="7DCE03B6"/>
    <w:rsid w:val="7E04213D"/>
    <w:rsid w:val="7E0724FD"/>
    <w:rsid w:val="7E210FC1"/>
    <w:rsid w:val="7ED46B7D"/>
    <w:rsid w:val="7EE26360"/>
    <w:rsid w:val="7EF1488F"/>
    <w:rsid w:val="7F16542D"/>
    <w:rsid w:val="7F464F31"/>
    <w:rsid w:val="7F67091C"/>
    <w:rsid w:val="7F8162FD"/>
    <w:rsid w:val="7F871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iPriority="99"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57"/>
    <w:unhideWhenUsed/>
    <w:qFormat/>
    <w:uiPriority w:val="0"/>
    <w:pPr>
      <w:keepNext/>
      <w:keepLines/>
      <w:spacing w:before="260" w:after="260" w:line="415" w:lineRule="auto"/>
      <w:outlineLvl w:val="2"/>
    </w:pPr>
    <w:rPr>
      <w:b/>
      <w:bCs/>
      <w:sz w:val="32"/>
      <w:szCs w:val="32"/>
    </w:rPr>
  </w:style>
  <w:style w:type="paragraph" w:styleId="6">
    <w:name w:val="heading 4"/>
    <w:basedOn w:val="1"/>
    <w:next w:val="1"/>
    <w:unhideWhenUsed/>
    <w:qFormat/>
    <w:uiPriority w:val="0"/>
    <w:pPr>
      <w:keepNext/>
      <w:keepLines/>
      <w:spacing w:line="372" w:lineRule="auto"/>
      <w:outlineLvl w:val="3"/>
    </w:pPr>
    <w:rPr>
      <w:rFonts w:ascii="Arial" w:hAnsi="Arial" w:eastAsia="黑体"/>
      <w:b/>
      <w:sz w:val="28"/>
    </w:rPr>
  </w:style>
  <w:style w:type="paragraph" w:styleId="7">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line="480" w:lineRule="auto"/>
      <w:ind w:left="420" w:leftChars="200"/>
    </w:pPr>
  </w:style>
  <w:style w:type="paragraph" w:styleId="8">
    <w:name w:val="index 8"/>
    <w:basedOn w:val="1"/>
    <w:next w:val="1"/>
    <w:qFormat/>
    <w:uiPriority w:val="0"/>
    <w:pPr>
      <w:spacing w:line="276" w:lineRule="auto"/>
      <w:jc w:val="left"/>
    </w:pPr>
    <w:rPr>
      <w:rFonts w:ascii="宋体" w:hAnsi="宋体" w:eastAsia="宋体"/>
      <w:color w:val="FF0000"/>
      <w:szCs w:val="21"/>
    </w:rPr>
  </w:style>
  <w:style w:type="paragraph" w:styleId="9">
    <w:name w:val="Normal Indent"/>
    <w:basedOn w:val="1"/>
    <w:qFormat/>
    <w:uiPriority w:val="0"/>
    <w:pPr>
      <w:ind w:firstLine="200" w:firstLineChars="200"/>
    </w:pPr>
  </w:style>
  <w:style w:type="paragraph" w:styleId="10">
    <w:name w:val="annotation text"/>
    <w:basedOn w:val="1"/>
    <w:qFormat/>
    <w:uiPriority w:val="0"/>
    <w:pPr>
      <w:jc w:val="left"/>
    </w:pPr>
  </w:style>
  <w:style w:type="paragraph" w:styleId="11">
    <w:name w:val="Body Text 3"/>
    <w:basedOn w:val="1"/>
    <w:unhideWhenUsed/>
    <w:qFormat/>
    <w:uiPriority w:val="99"/>
    <w:pPr>
      <w:jc w:val="center"/>
    </w:pPr>
    <w:rPr>
      <w:rFonts w:hint="eastAsia" w:hAnsi="Symbol"/>
      <w:sz w:val="10"/>
    </w:rPr>
  </w:style>
  <w:style w:type="paragraph" w:styleId="12">
    <w:name w:val="Body Text"/>
    <w:basedOn w:val="1"/>
    <w:next w:val="1"/>
    <w:qFormat/>
    <w:uiPriority w:val="0"/>
    <w:pPr>
      <w:spacing w:after="120"/>
    </w:pPr>
  </w:style>
  <w:style w:type="paragraph" w:styleId="13">
    <w:name w:val="Body Text Indent"/>
    <w:basedOn w:val="1"/>
    <w:qFormat/>
    <w:uiPriority w:val="0"/>
    <w:pPr>
      <w:ind w:firstLine="630"/>
    </w:pPr>
    <w:rPr>
      <w:sz w:val="32"/>
      <w:szCs w:val="20"/>
    </w:rPr>
  </w:style>
  <w:style w:type="paragraph" w:styleId="14">
    <w:name w:val="Plain Text"/>
    <w:basedOn w:val="1"/>
    <w:next w:val="1"/>
    <w:qFormat/>
    <w:uiPriority w:val="0"/>
    <w:pPr>
      <w:widowControl w:val="0"/>
      <w:jc w:val="both"/>
    </w:pPr>
    <w:rPr>
      <w:rFonts w:ascii="宋体" w:hAnsi="Courier New" w:cs="Courier New"/>
      <w:kern w:val="2"/>
      <w:sz w:val="21"/>
      <w:szCs w:val="21"/>
    </w:rPr>
  </w:style>
  <w:style w:type="paragraph" w:styleId="15">
    <w:name w:val="Balloon Text"/>
    <w:basedOn w:val="1"/>
    <w:link w:val="62"/>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20"/>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8">
    <w:name w:val="toc 1"/>
    <w:basedOn w:val="1"/>
    <w:next w:val="1"/>
    <w:qFormat/>
    <w:uiPriority w:val="0"/>
  </w:style>
  <w:style w:type="paragraph" w:styleId="19">
    <w:name w:val="Subtitle"/>
    <w:basedOn w:val="1"/>
    <w:next w:val="1"/>
    <w:qFormat/>
    <w:uiPriority w:val="0"/>
    <w:pPr>
      <w:wordWrap w:val="0"/>
      <w:spacing w:before="0" w:after="60" w:line="240" w:lineRule="auto"/>
      <w:ind w:left="1024"/>
      <w:jc w:val="center"/>
    </w:pPr>
    <w:rPr>
      <w:rFonts w:ascii="宋体" w:hAnsi="宋体" w:eastAsia="Times New Roman" w:cs="Times New Roman"/>
    </w:rPr>
  </w:style>
  <w:style w:type="paragraph" w:styleId="20">
    <w:name w:val="Normal (Web)"/>
    <w:basedOn w:val="1"/>
    <w:qFormat/>
    <w:uiPriority w:val="0"/>
    <w:pPr>
      <w:widowControl/>
      <w:spacing w:before="100" w:beforeAutospacing="1" w:after="100" w:afterAutospacing="1"/>
      <w:jc w:val="left"/>
    </w:pPr>
    <w:rPr>
      <w:rFonts w:ascii="宋体"/>
      <w:kern w:val="0"/>
      <w:sz w:val="18"/>
      <w:szCs w:val="18"/>
    </w:rPr>
  </w:style>
  <w:style w:type="paragraph" w:styleId="21">
    <w:name w:val="Title"/>
    <w:basedOn w:val="1"/>
    <w:next w:val="1"/>
    <w:qFormat/>
    <w:uiPriority w:val="99"/>
    <w:pPr>
      <w:spacing w:before="240" w:after="60"/>
      <w:jc w:val="center"/>
      <w:outlineLvl w:val="0"/>
    </w:pPr>
    <w:rPr>
      <w:rFonts w:ascii="Cambria" w:hAnsi="Cambria"/>
      <w:b/>
      <w:bCs/>
      <w:sz w:val="32"/>
      <w:szCs w:val="32"/>
    </w:rPr>
  </w:style>
  <w:style w:type="paragraph" w:styleId="22">
    <w:name w:val="Body Text First Indent"/>
    <w:basedOn w:val="12"/>
    <w:qFormat/>
    <w:uiPriority w:val="0"/>
    <w:pPr>
      <w:ind w:firstLine="420" w:firstLineChars="100"/>
    </w:pPr>
  </w:style>
  <w:style w:type="paragraph" w:styleId="23">
    <w:name w:val="Body Text First Indent 2"/>
    <w:basedOn w:val="13"/>
    <w:unhideWhenUsed/>
    <w:qFormat/>
    <w:uiPriority w:val="99"/>
    <w:pPr>
      <w:widowControl/>
      <w:adjustRightInd w:val="0"/>
      <w:snapToGrid w:val="0"/>
      <w:spacing w:after="120"/>
      <w:ind w:left="420" w:leftChars="200" w:firstLine="420" w:firstLineChars="200"/>
      <w:jc w:val="left"/>
    </w:pPr>
    <w:rPr>
      <w:rFonts w:ascii="Tahoma" w:hAnsi="Tahoma" w:eastAsia="微软雅黑" w:cs="Times New Roman"/>
      <w:sz w:val="22"/>
      <w:szCs w:val="22"/>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qFormat/>
    <w:uiPriority w:val="0"/>
    <w:rPr>
      <w:color w:val="800080"/>
      <w:u w:val="none"/>
    </w:rPr>
  </w:style>
  <w:style w:type="character" w:styleId="29">
    <w:name w:val="HTML Definition"/>
    <w:basedOn w:val="26"/>
    <w:qFormat/>
    <w:uiPriority w:val="0"/>
  </w:style>
  <w:style w:type="character" w:styleId="30">
    <w:name w:val="HTML Variable"/>
    <w:basedOn w:val="26"/>
    <w:qFormat/>
    <w:uiPriority w:val="0"/>
  </w:style>
  <w:style w:type="character" w:styleId="31">
    <w:name w:val="Hyperlink"/>
    <w:basedOn w:val="26"/>
    <w:qFormat/>
    <w:uiPriority w:val="0"/>
    <w:rPr>
      <w:color w:val="0000FF"/>
      <w:u w:val="none"/>
    </w:rPr>
  </w:style>
  <w:style w:type="character" w:styleId="32">
    <w:name w:val="HTML Code"/>
    <w:basedOn w:val="26"/>
    <w:qFormat/>
    <w:uiPriority w:val="0"/>
    <w:rPr>
      <w:rFonts w:ascii="Courier New" w:hAnsi="Courier New"/>
      <w:sz w:val="20"/>
    </w:rPr>
  </w:style>
  <w:style w:type="character" w:styleId="33">
    <w:name w:val="HTML Cite"/>
    <w:basedOn w:val="26"/>
    <w:qFormat/>
    <w:uiPriority w:val="0"/>
  </w:style>
  <w:style w:type="paragraph" w:customStyle="1" w:styleId="34">
    <w:name w:val="一级条标题"/>
    <w:basedOn w:val="35"/>
    <w:next w:val="1"/>
    <w:qFormat/>
    <w:uiPriority w:val="99"/>
    <w:pPr>
      <w:widowControl/>
      <w:ind w:left="420"/>
      <w:outlineLvl w:val="2"/>
    </w:pPr>
    <w:rPr>
      <w:rFonts w:ascii="黑体" w:hAnsi="Times New Roman" w:eastAsia="黑体" w:cs="黑体"/>
      <w:kern w:val="0"/>
      <w:szCs w:val="21"/>
    </w:rPr>
  </w:style>
  <w:style w:type="paragraph" w:customStyle="1" w:styleId="3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36">
    <w:name w:val="标题 5（有编号）（绿盟科技）"/>
    <w:basedOn w:val="1"/>
    <w:next w:val="37"/>
    <w:qFormat/>
    <w:uiPriority w:val="0"/>
    <w:pPr>
      <w:keepNext/>
      <w:keepLines/>
      <w:numPr>
        <w:ilvl w:val="4"/>
        <w:numId w:val="1"/>
      </w:numPr>
      <w:tabs>
        <w:tab w:val="left" w:pos="0"/>
      </w:tabs>
      <w:spacing w:before="280" w:after="156" w:line="377" w:lineRule="auto"/>
      <w:jc w:val="left"/>
      <w:outlineLvl w:val="4"/>
    </w:pPr>
    <w:rPr>
      <w:rFonts w:ascii="Arial" w:hAnsi="Arial" w:eastAsia="黑体"/>
      <w:b/>
      <w:kern w:val="0"/>
      <w:sz w:val="24"/>
      <w:szCs w:val="28"/>
    </w:rPr>
  </w:style>
  <w:style w:type="paragraph" w:customStyle="1" w:styleId="3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38">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9">
    <w:name w:val="正文首行缩进两字符"/>
    <w:basedOn w:val="1"/>
    <w:qFormat/>
    <w:uiPriority w:val="0"/>
    <w:pPr>
      <w:spacing w:line="360" w:lineRule="auto"/>
      <w:ind w:firstLine="200" w:firstLineChars="200"/>
    </w:pPr>
  </w:style>
  <w:style w:type="paragraph" w:customStyle="1" w:styleId="40">
    <w:name w:val="样式"/>
    <w:qFormat/>
    <w:uiPriority w:val="0"/>
    <w:pPr>
      <w:widowControl w:val="0"/>
      <w:autoSpaceDE w:val="0"/>
      <w:autoSpaceDN w:val="0"/>
      <w:adjustRightInd w:val="0"/>
    </w:pPr>
    <w:rPr>
      <w:rFonts w:ascii="宋体" w:hAnsi="宋体" w:cs="宋体" w:eastAsiaTheme="minorEastAsia"/>
      <w:sz w:val="24"/>
      <w:szCs w:val="24"/>
      <w:lang w:val="en-US" w:eastAsia="zh-CN" w:bidi="ar-SA"/>
    </w:rPr>
  </w:style>
  <w:style w:type="paragraph" w:customStyle="1" w:styleId="41">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42">
    <w:name w:val="正文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3">
    <w:name w:val="列出段落1"/>
    <w:basedOn w:val="1"/>
    <w:qFormat/>
    <w:uiPriority w:val="99"/>
    <w:pPr>
      <w:ind w:firstLine="420" w:firstLineChars="200"/>
    </w:pPr>
    <w:rPr>
      <w:rFonts w:eastAsia="宋体" w:cs="Times New Roman"/>
      <w:szCs w:val="22"/>
    </w:rPr>
  </w:style>
  <w:style w:type="paragraph" w:customStyle="1" w:styleId="44">
    <w:name w:val="样式 首行缩进:  2 字符"/>
    <w:basedOn w:val="1"/>
    <w:qFormat/>
    <w:uiPriority w:val="0"/>
    <w:pPr>
      <w:spacing w:line="400" w:lineRule="exact"/>
      <w:ind w:firstLine="200" w:firstLineChars="200"/>
    </w:pPr>
    <w:rPr>
      <w:rFonts w:cs="宋体"/>
      <w:sz w:val="24"/>
    </w:rPr>
  </w:style>
  <w:style w:type="character" w:customStyle="1" w:styleId="45">
    <w:name w:val="font31"/>
    <w:qFormat/>
    <w:uiPriority w:val="0"/>
    <w:rPr>
      <w:rFonts w:hint="eastAsia" w:ascii="宋体" w:hAnsi="宋体" w:eastAsia="宋体" w:cs="宋体"/>
      <w:color w:val="000000"/>
      <w:sz w:val="21"/>
      <w:szCs w:val="21"/>
      <w:u w:val="none"/>
    </w:rPr>
  </w:style>
  <w:style w:type="character" w:customStyle="1" w:styleId="46">
    <w:name w:val="font111"/>
    <w:qFormat/>
    <w:uiPriority w:val="0"/>
    <w:rPr>
      <w:rFonts w:hint="default" w:ascii="Eʩ" w:hAnsi="Eʩ" w:eastAsia="Eʩ" w:cs="Eʩ"/>
      <w:color w:val="000000"/>
      <w:sz w:val="21"/>
      <w:szCs w:val="21"/>
      <w:u w:val="single"/>
    </w:rPr>
  </w:style>
  <w:style w:type="paragraph" w:customStyle="1" w:styleId="47">
    <w:name w:val="dd"/>
    <w:basedOn w:val="1"/>
    <w:qFormat/>
    <w:uiPriority w:val="0"/>
    <w:pPr>
      <w:jc w:val="left"/>
    </w:pPr>
    <w:rPr>
      <w:rFonts w:cs="Times New Roman"/>
      <w:kern w:val="0"/>
    </w:rPr>
  </w:style>
  <w:style w:type="paragraph" w:customStyle="1" w:styleId="48">
    <w:name w:val="WPSOffice手动目录 1"/>
    <w:qFormat/>
    <w:uiPriority w:val="0"/>
    <w:rPr>
      <w:rFonts w:asciiTheme="minorHAnsi" w:hAnsiTheme="minorHAnsi" w:eastAsiaTheme="minorEastAsia" w:cstheme="minorBidi"/>
      <w:lang w:val="en-US" w:eastAsia="zh-CN" w:bidi="ar-SA"/>
    </w:rPr>
  </w:style>
  <w:style w:type="paragraph" w:customStyle="1" w:styleId="49">
    <w:name w:val="列出段落4"/>
    <w:basedOn w:val="1"/>
    <w:unhideWhenUsed/>
    <w:qFormat/>
    <w:uiPriority w:val="99"/>
    <w:pPr>
      <w:ind w:firstLine="420" w:firstLineChars="200"/>
    </w:pPr>
  </w:style>
  <w:style w:type="character" w:customStyle="1" w:styleId="50">
    <w:name w:val="Body text|2 + 8.5 pt"/>
    <w:basedOn w:val="51"/>
    <w:semiHidden/>
    <w:unhideWhenUsed/>
    <w:qFormat/>
    <w:uiPriority w:val="0"/>
    <w:rPr>
      <w:color w:val="000000"/>
      <w:spacing w:val="10"/>
      <w:w w:val="100"/>
      <w:position w:val="0"/>
      <w:sz w:val="17"/>
      <w:szCs w:val="17"/>
      <w:lang w:val="zh-CN" w:eastAsia="zh-CN" w:bidi="zh-CN"/>
    </w:rPr>
  </w:style>
  <w:style w:type="character" w:customStyle="1" w:styleId="51">
    <w:name w:val="Body text|2_"/>
    <w:basedOn w:val="26"/>
    <w:link w:val="52"/>
    <w:qFormat/>
    <w:uiPriority w:val="0"/>
    <w:rPr>
      <w:rFonts w:ascii="PMingLiU" w:hAnsi="PMingLiU" w:eastAsia="PMingLiU" w:cs="PMingLiU"/>
      <w:spacing w:val="30"/>
      <w:sz w:val="30"/>
      <w:szCs w:val="30"/>
      <w:u w:val="none"/>
    </w:rPr>
  </w:style>
  <w:style w:type="paragraph" w:customStyle="1" w:styleId="52">
    <w:name w:val="Body text|22"/>
    <w:basedOn w:val="1"/>
    <w:link w:val="51"/>
    <w:qFormat/>
    <w:uiPriority w:val="0"/>
    <w:pPr>
      <w:shd w:val="clear" w:color="auto" w:fill="FFFFFF"/>
      <w:spacing w:line="623" w:lineRule="exact"/>
      <w:jc w:val="distribute"/>
    </w:pPr>
    <w:rPr>
      <w:rFonts w:ascii="PMingLiU" w:hAnsi="PMingLiU" w:eastAsia="PMingLiU" w:cs="PMingLiU"/>
      <w:spacing w:val="30"/>
      <w:sz w:val="30"/>
      <w:szCs w:val="30"/>
    </w:rPr>
  </w:style>
  <w:style w:type="paragraph" w:customStyle="1" w:styleId="53">
    <w:name w:val="Table Paragraph"/>
    <w:basedOn w:val="1"/>
    <w:qFormat/>
    <w:uiPriority w:val="1"/>
    <w:rPr>
      <w:rFonts w:ascii="新宋体" w:hAnsi="新宋体" w:eastAsia="新宋体" w:cs="新宋体"/>
      <w:szCs w:val="22"/>
      <w:lang w:val="zh-CN" w:bidi="zh-CN"/>
    </w:rPr>
  </w:style>
  <w:style w:type="paragraph" w:customStyle="1" w:styleId="54">
    <w:name w:val="p0"/>
    <w:basedOn w:val="1"/>
    <w:qFormat/>
    <w:uiPriority w:val="0"/>
    <w:pPr>
      <w:widowControl/>
    </w:pPr>
    <w:rPr>
      <w:rFonts w:ascii="Calibri" w:cs="宋体"/>
      <w:szCs w:val="21"/>
    </w:rPr>
  </w:style>
  <w:style w:type="paragraph" w:customStyle="1" w:styleId="55">
    <w:name w:val="列出段落2"/>
    <w:basedOn w:val="1"/>
    <w:qFormat/>
    <w:uiPriority w:val="34"/>
    <w:pPr>
      <w:ind w:firstLine="420" w:firstLineChars="200"/>
    </w:pPr>
    <w:rPr>
      <w:rFonts w:ascii="宋体" w:hAnsi="Times New Roman"/>
      <w:kern w:val="0"/>
      <w:sz w:val="34"/>
      <w:szCs w:val="20"/>
    </w:rPr>
  </w:style>
  <w:style w:type="paragraph" w:customStyle="1" w:styleId="56">
    <w:name w:val="正文11"/>
    <w:qFormat/>
    <w:uiPriority w:val="0"/>
    <w:pPr>
      <w:widowControl w:val="0"/>
      <w:adjustRightInd w:val="0"/>
      <w:spacing w:line="312" w:lineRule="atLeast"/>
      <w:jc w:val="both"/>
      <w:textAlignment w:val="baseline"/>
    </w:pPr>
    <w:rPr>
      <w:rFonts w:ascii="宋体" w:hAnsi="Calibri" w:eastAsiaTheme="minorEastAsia" w:cstheme="minorBidi"/>
      <w:sz w:val="34"/>
      <w:szCs w:val="22"/>
      <w:lang w:val="en-US" w:eastAsia="zh-CN" w:bidi="ar-SA"/>
    </w:rPr>
  </w:style>
  <w:style w:type="character" w:customStyle="1" w:styleId="57">
    <w:name w:val="标题 3 Char"/>
    <w:link w:val="5"/>
    <w:qFormat/>
    <w:uiPriority w:val="0"/>
    <w:rPr>
      <w:b/>
      <w:bCs/>
      <w:sz w:val="32"/>
      <w:szCs w:val="32"/>
    </w:rPr>
  </w:style>
  <w:style w:type="paragraph" w:customStyle="1" w:styleId="58">
    <w:name w:val="表格"/>
    <w:basedOn w:val="1"/>
    <w:qFormat/>
    <w:uiPriority w:val="0"/>
    <w:pPr>
      <w:spacing w:line="400" w:lineRule="exact"/>
    </w:pPr>
    <w:rPr>
      <w:sz w:val="24"/>
    </w:rPr>
  </w:style>
  <w:style w:type="paragraph" w:customStyle="1" w:styleId="59">
    <w:name w:val="列出段落3"/>
    <w:basedOn w:val="1"/>
    <w:unhideWhenUsed/>
    <w:qFormat/>
    <w:uiPriority w:val="34"/>
    <w:pPr>
      <w:ind w:firstLine="420" w:firstLineChars="200"/>
    </w:pPr>
  </w:style>
  <w:style w:type="paragraph" w:customStyle="1" w:styleId="60">
    <w:name w:val="_Style 3"/>
    <w:qFormat/>
    <w:uiPriority w:val="0"/>
    <w:pPr>
      <w:widowControl w:val="0"/>
      <w:jc w:val="both"/>
    </w:pPr>
    <w:rPr>
      <w:rFonts w:ascii="Calibri" w:hAnsi="Calibri" w:eastAsia="宋体" w:cs="黑体"/>
      <w:kern w:val="2"/>
      <w:sz w:val="21"/>
      <w:szCs w:val="22"/>
      <w:lang w:val="en-US" w:eastAsia="zh-CN" w:bidi="ar-SA"/>
    </w:rPr>
  </w:style>
  <w:style w:type="character" w:customStyle="1" w:styleId="61">
    <w:name w:val="readmail_locationtip1"/>
    <w:basedOn w:val="26"/>
    <w:qFormat/>
    <w:uiPriority w:val="0"/>
  </w:style>
  <w:style w:type="character" w:customStyle="1" w:styleId="62">
    <w:name w:val="批注框文本 Char"/>
    <w:basedOn w:val="26"/>
    <w:link w:val="15"/>
    <w:qFormat/>
    <w:uiPriority w:val="0"/>
    <w:rPr>
      <w:rFonts w:asciiTheme="minorHAnsi" w:hAnsiTheme="minorHAnsi" w:eastAsiaTheme="minorEastAsia" w:cstheme="minorBidi"/>
      <w:kern w:val="2"/>
      <w:sz w:val="18"/>
      <w:szCs w:val="18"/>
    </w:rPr>
  </w:style>
  <w:style w:type="paragraph" w:customStyle="1" w:styleId="63">
    <w:name w:val="Body text|21"/>
    <w:basedOn w:val="1"/>
    <w:qFormat/>
    <w:uiPriority w:val="0"/>
    <w:pPr>
      <w:shd w:val="clear" w:color="auto" w:fill="FFFFFF"/>
      <w:spacing w:after="1660" w:line="300" w:lineRule="exact"/>
    </w:pPr>
    <w:rPr>
      <w:rFonts w:ascii="PMingLiU" w:hAnsi="PMingLiU" w:eastAsia="PMingLiU" w:cs="PMingLiU"/>
      <w:spacing w:val="30"/>
      <w:sz w:val="30"/>
      <w:szCs w:val="30"/>
    </w:rPr>
  </w:style>
  <w:style w:type="character" w:customStyle="1" w:styleId="64">
    <w:name w:val="font61"/>
    <w:basedOn w:val="26"/>
    <w:qFormat/>
    <w:uiPriority w:val="0"/>
    <w:rPr>
      <w:rFonts w:hint="eastAsia" w:ascii="宋体" w:hAnsi="宋体" w:eastAsia="宋体" w:cs="宋体"/>
      <w:color w:val="000000"/>
      <w:sz w:val="20"/>
      <w:szCs w:val="20"/>
      <w:u w:val="none"/>
    </w:rPr>
  </w:style>
  <w:style w:type="character" w:customStyle="1" w:styleId="65">
    <w:name w:val="font21"/>
    <w:basedOn w:val="26"/>
    <w:qFormat/>
    <w:uiPriority w:val="0"/>
    <w:rPr>
      <w:rFonts w:hint="eastAsia" w:ascii="宋体" w:hAnsi="宋体" w:eastAsia="宋体" w:cs="宋体"/>
      <w:color w:val="000000"/>
      <w:sz w:val="20"/>
      <w:szCs w:val="20"/>
      <w:u w:val="none"/>
      <w:vertAlign w:val="superscript"/>
    </w:rPr>
  </w:style>
  <w:style w:type="character" w:customStyle="1" w:styleId="66">
    <w:name w:val="font11"/>
    <w:basedOn w:val="26"/>
    <w:qFormat/>
    <w:uiPriority w:val="0"/>
    <w:rPr>
      <w:rFonts w:hint="eastAsia" w:ascii="宋体" w:hAnsi="宋体" w:eastAsia="宋体" w:cs="宋体"/>
      <w:color w:val="000000"/>
      <w:sz w:val="20"/>
      <w:szCs w:val="20"/>
      <w:u w:val="none"/>
    </w:rPr>
  </w:style>
  <w:style w:type="paragraph" w:styleId="67">
    <w:name w:val="List Paragraph"/>
    <w:basedOn w:val="1"/>
    <w:qFormat/>
    <w:uiPriority w:val="34"/>
    <w:pPr>
      <w:ind w:firstLine="420" w:firstLineChars="200"/>
    </w:pPr>
  </w:style>
  <w:style w:type="paragraph" w:customStyle="1" w:styleId="68">
    <w:name w:val="12、表格内左对齐正文"/>
    <w:basedOn w:val="1"/>
    <w:qFormat/>
    <w:uiPriority w:val="0"/>
    <w:pPr>
      <w:tabs>
        <w:tab w:val="left" w:pos="0"/>
      </w:tabs>
      <w:wordWrap w:val="0"/>
      <w:topLinePunct/>
      <w:spacing w:line="360" w:lineRule="exact"/>
      <w:ind w:left="48" w:leftChars="20"/>
    </w:pPr>
    <w:rPr>
      <w:rFonts w:ascii="宋体" w:hAnsi="宋体" w:eastAsia="宋体" w:cs="Times New Roman"/>
      <w:snapToGrid w:val="0"/>
    </w:rPr>
  </w:style>
  <w:style w:type="character" w:customStyle="1" w:styleId="69">
    <w:name w:val="img"/>
    <w:basedOn w:val="26"/>
    <w:qFormat/>
    <w:uiPriority w:val="0"/>
  </w:style>
  <w:style w:type="character" w:customStyle="1" w:styleId="70">
    <w:name w:val="img1"/>
    <w:basedOn w:val="26"/>
    <w:qFormat/>
    <w:uiPriority w:val="0"/>
  </w:style>
  <w:style w:type="paragraph" w:customStyle="1" w:styleId="71">
    <w:name w:val="Blockquote"/>
    <w:basedOn w:val="1"/>
    <w:qFormat/>
    <w:uiPriority w:val="0"/>
    <w:pPr>
      <w:ind w:left="360" w:right="360"/>
    </w:pPr>
    <w:rPr>
      <w:rFonts w:ascii="Times New Roman" w:hAnsi="Times New Roman" w:eastAsia="宋体"/>
    </w:rPr>
  </w:style>
  <w:style w:type="character" w:customStyle="1" w:styleId="72">
    <w:name w:val="NormalCharacter"/>
    <w:qFormat/>
    <w:uiPriority w:val="0"/>
    <w:rPr>
      <w:rFonts w:ascii="Times New Roman" w:hAnsi="Times New Roman" w:eastAsia="宋体" w:cs="Times New Roman"/>
    </w:rPr>
  </w:style>
  <w:style w:type="paragraph" w:customStyle="1" w:styleId="73">
    <w:name w:val="标"/>
    <w:basedOn w:val="1"/>
    <w:next w:val="5"/>
    <w:qFormat/>
    <w:uiPriority w:val="0"/>
    <w:pPr>
      <w:spacing w:line="300" w:lineRule="auto"/>
      <w:ind w:firstLine="200" w:firstLineChars="200"/>
    </w:pPr>
    <w:rPr>
      <w:rFonts w:ascii="Times New Roman" w:hAnsi="Times New Roman" w:eastAsia="仿宋_GB2312" w:cs="Times New Roman"/>
      <w:sz w:val="28"/>
      <w:szCs w:val="28"/>
    </w:rPr>
  </w:style>
  <w:style w:type="paragraph" w:customStyle="1" w:styleId="74">
    <w:name w:val="CM16"/>
    <w:basedOn w:val="38"/>
    <w:next w:val="38"/>
    <w:qFormat/>
    <w:uiPriority w:val="99"/>
    <w:pPr>
      <w:spacing w:line="478" w:lineRule="atLeast"/>
    </w:pPr>
    <w:rPr>
      <w:rFonts w:hAnsi="等线" w:cs="Times New Roman"/>
      <w:color w:val="auto"/>
    </w:rPr>
  </w:style>
  <w:style w:type="paragraph" w:customStyle="1" w:styleId="75">
    <w:name w:val="CM52"/>
    <w:basedOn w:val="38"/>
    <w:next w:val="38"/>
    <w:qFormat/>
    <w:uiPriority w:val="99"/>
    <w:pPr>
      <w:spacing w:line="480" w:lineRule="atLeast"/>
    </w:pPr>
    <w:rPr>
      <w:rFonts w:hAnsi="等线" w:cs="Times New Roman"/>
      <w:color w:val="auto"/>
    </w:rPr>
  </w:style>
  <w:style w:type="character" w:customStyle="1" w:styleId="76">
    <w:name w:val="font41"/>
    <w:qFormat/>
    <w:uiPriority w:val="0"/>
    <w:rPr>
      <w:rFonts w:hint="eastAsia" w:ascii="宋体" w:hAnsi="宋体" w:eastAsia="宋体" w:cs="宋体"/>
      <w:color w:val="000000"/>
      <w:sz w:val="18"/>
      <w:szCs w:val="18"/>
      <w:u w:val="none"/>
    </w:rPr>
  </w:style>
  <w:style w:type="paragraph" w:customStyle="1" w:styleId="77">
    <w:name w:val="GW-正文"/>
    <w:basedOn w:val="1"/>
    <w:qFormat/>
    <w:uiPriority w:val="0"/>
    <w:pPr>
      <w:spacing w:line="360" w:lineRule="auto"/>
      <w:ind w:firstLine="200" w:firstLineChars="200"/>
    </w:pPr>
    <w:rPr>
      <w:rFonts w:eastAsia="仿宋_GB2312"/>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5.png"/><Relationship Id="rId23" Type="http://schemas.openxmlformats.org/officeDocument/2006/relationships/image" Target="media/image4.jpeg"/><Relationship Id="rId22" Type="http://schemas.openxmlformats.org/officeDocument/2006/relationships/image" Target="media/image3.pn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83</Pages>
  <Words>34009</Words>
  <Characters>35625</Characters>
  <Lines>260</Lines>
  <Paragraphs>73</Paragraphs>
  <TotalTime>1</TotalTime>
  <ScaleCrop>false</ScaleCrop>
  <LinksUpToDate>false</LinksUpToDate>
  <CharactersWithSpaces>38338</CharactersWithSpaces>
  <Application>WPS Office_11.1.0.10395_F1E327BC-269C-435d-A152-05C5408002CA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2018-03-26T03:41:00Z</dcterms:created>
  <dc:creator>Administrator</dc:creator>
  <cp:lastModifiedBy>好梦总被尿憋醒</cp:lastModifiedBy>
  <cp:lastPrinted>2019-11-13T09:11:00Z</cp:lastPrinted>
  <dcterms:modified xsi:type="dcterms:W3CDTF">2022-03-02T02:55:29Z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2052-11.1.0.10395</vt:lpwstr>
  </property>
  <property fmtid="{D5CDD505-2E9C-101B-9397-08002B2CF9AE}" pid="3" name="ICV">
    <vt:lpwstr>ED859A940DC5419AAACCCB6829E2AF96</vt:lpwstr>
  </property>
</Properties>
</file>