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2AB788">
      <w:pPr>
        <w:adjustRightInd w:val="0"/>
        <w:snapToGrid w:val="0"/>
        <w:jc w:val="center"/>
        <w:rPr>
          <w:rFonts w:hint="eastAsia" w:ascii="宋体" w:hAnsi="宋体"/>
          <w:bCs/>
          <w:color w:val="auto"/>
          <w:szCs w:val="32"/>
        </w:rPr>
      </w:pPr>
      <w:r>
        <w:rPr>
          <w:rFonts w:hint="eastAsia"/>
          <w:b/>
          <w:color w:val="auto"/>
          <w:sz w:val="44"/>
        </w:rPr>
        <w:drawing>
          <wp:anchor distT="0" distB="0" distL="114300" distR="114300" simplePos="0" relativeHeight="251659264" behindDoc="1" locked="0" layoutInCell="1" allowOverlap="1">
            <wp:simplePos x="0" y="0"/>
            <wp:positionH relativeFrom="column">
              <wp:posOffset>4242435</wp:posOffset>
            </wp:positionH>
            <wp:positionV relativeFrom="paragraph">
              <wp:posOffset>31115</wp:posOffset>
            </wp:positionV>
            <wp:extent cx="1628775" cy="600075"/>
            <wp:effectExtent l="0" t="0" r="1905" b="9525"/>
            <wp:wrapTight wrapText="bothSides">
              <wp:wrapPolygon>
                <wp:start x="-126" y="0"/>
                <wp:lineTo x="-126" y="21257"/>
                <wp:lineTo x="21600" y="21257"/>
                <wp:lineTo x="21600" y="0"/>
                <wp:lineTo x="-126" y="0"/>
              </wp:wrapPolygon>
            </wp:wrapTight>
            <wp:docPr id="5" name="图片 8"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descr="无标题"/>
                    <pic:cNvPicPr>
                      <a:picLocks noChangeAspect="1"/>
                    </pic:cNvPicPr>
                  </pic:nvPicPr>
                  <pic:blipFill>
                    <a:blip r:embed="rId7"/>
                    <a:stretch>
                      <a:fillRect/>
                    </a:stretch>
                  </pic:blipFill>
                  <pic:spPr>
                    <a:xfrm>
                      <a:off x="0" y="0"/>
                      <a:ext cx="1628775" cy="600075"/>
                    </a:xfrm>
                    <a:prstGeom prst="rect">
                      <a:avLst/>
                    </a:prstGeom>
                    <a:noFill/>
                    <a:ln>
                      <a:noFill/>
                    </a:ln>
                  </pic:spPr>
                </pic:pic>
              </a:graphicData>
            </a:graphic>
          </wp:anchor>
        </w:drawing>
      </w:r>
      <w:r>
        <w:rPr>
          <w:rFonts w:hint="eastAsia" w:ascii="宋体" w:hAnsi="宋体"/>
          <w:b/>
          <w:color w:val="auto"/>
          <w:sz w:val="32"/>
          <w:szCs w:val="32"/>
        </w:rPr>
        <w:t xml:space="preserve">                                           </w:t>
      </w:r>
    </w:p>
    <w:p w14:paraId="30B47ACF">
      <w:pPr>
        <w:ind w:right="-281"/>
        <w:jc w:val="right"/>
        <w:rPr>
          <w:rFonts w:ascii="Bookman Old Style" w:hAnsi="Bookman Old Style"/>
          <w:b/>
          <w:color w:val="auto"/>
          <w:sz w:val="28"/>
        </w:rPr>
      </w:pPr>
    </w:p>
    <w:p w14:paraId="70301480">
      <w:pPr>
        <w:spacing w:after="240" w:afterLines="100" w:line="500" w:lineRule="exact"/>
        <w:jc w:val="center"/>
        <w:rPr>
          <w:b/>
          <w:color w:val="auto"/>
          <w:sz w:val="44"/>
          <w:szCs w:val="44"/>
        </w:rPr>
      </w:pPr>
    </w:p>
    <w:p w14:paraId="067FC877">
      <w:pPr>
        <w:spacing w:after="240" w:afterLines="100" w:line="500" w:lineRule="exact"/>
        <w:jc w:val="center"/>
        <w:rPr>
          <w:b/>
          <w:color w:val="auto"/>
          <w:sz w:val="52"/>
          <w:szCs w:val="52"/>
        </w:rPr>
      </w:pPr>
    </w:p>
    <w:p w14:paraId="3C7CD195">
      <w:pPr>
        <w:spacing w:after="240" w:afterLines="100"/>
        <w:jc w:val="center"/>
        <w:rPr>
          <w:b/>
          <w:color w:val="auto"/>
          <w:sz w:val="52"/>
          <w:szCs w:val="52"/>
        </w:rPr>
      </w:pPr>
      <w:r>
        <w:rPr>
          <w:rFonts w:hint="eastAsia"/>
          <w:b/>
          <w:color w:val="auto"/>
          <w:sz w:val="52"/>
          <w:szCs w:val="52"/>
        </w:rPr>
        <w:t>中国科学院赣江创新研究院</w:t>
      </w:r>
    </w:p>
    <w:p w14:paraId="4294B22A">
      <w:pPr>
        <w:spacing w:after="240" w:afterLines="100"/>
        <w:jc w:val="center"/>
        <w:rPr>
          <w:b/>
          <w:color w:val="auto"/>
          <w:sz w:val="52"/>
          <w:szCs w:val="52"/>
        </w:rPr>
      </w:pPr>
      <w:r>
        <w:rPr>
          <w:rFonts w:hint="eastAsia"/>
          <w:b/>
          <w:color w:val="auto"/>
          <w:sz w:val="52"/>
          <w:szCs w:val="52"/>
        </w:rPr>
        <w:t>单晶X射线衍射仪采购项目</w:t>
      </w:r>
    </w:p>
    <w:p w14:paraId="4EBFF6D8">
      <w:pPr>
        <w:spacing w:line="360" w:lineRule="auto"/>
        <w:jc w:val="center"/>
        <w:rPr>
          <w:b/>
          <w:color w:val="auto"/>
          <w:sz w:val="44"/>
        </w:rPr>
      </w:pPr>
    </w:p>
    <w:p w14:paraId="08FC90B2">
      <w:pPr>
        <w:spacing w:line="360" w:lineRule="auto"/>
        <w:rPr>
          <w:b/>
          <w:color w:val="auto"/>
          <w:sz w:val="44"/>
        </w:rPr>
      </w:pPr>
    </w:p>
    <w:p w14:paraId="434C5CC7">
      <w:pPr>
        <w:spacing w:line="360" w:lineRule="auto"/>
        <w:jc w:val="center"/>
        <w:rPr>
          <w:rFonts w:hint="eastAsia" w:ascii="宋体" w:hAnsi="宋体"/>
          <w:b/>
          <w:color w:val="auto"/>
          <w:szCs w:val="21"/>
        </w:rPr>
      </w:pPr>
      <w:r>
        <w:rPr>
          <w:rFonts w:hint="eastAsia" w:ascii="宋体" w:hAnsi="宋体"/>
          <w:b/>
          <w:color w:val="auto"/>
          <w:sz w:val="72"/>
          <w:szCs w:val="52"/>
        </w:rPr>
        <w:t>招</w:t>
      </w:r>
      <w:r>
        <w:rPr>
          <w:rFonts w:ascii="宋体" w:hAnsi="宋体"/>
          <w:b/>
          <w:color w:val="auto"/>
          <w:sz w:val="72"/>
          <w:szCs w:val="52"/>
        </w:rPr>
        <w:t xml:space="preserve">  </w:t>
      </w:r>
      <w:r>
        <w:rPr>
          <w:rFonts w:hint="eastAsia" w:ascii="宋体" w:hAnsi="宋体"/>
          <w:b/>
          <w:color w:val="auto"/>
          <w:sz w:val="72"/>
          <w:szCs w:val="52"/>
        </w:rPr>
        <w:t>标</w:t>
      </w:r>
      <w:r>
        <w:rPr>
          <w:rFonts w:ascii="宋体" w:hAnsi="宋体"/>
          <w:b/>
          <w:color w:val="auto"/>
          <w:sz w:val="72"/>
          <w:szCs w:val="52"/>
        </w:rPr>
        <w:t xml:space="preserve">  </w:t>
      </w:r>
      <w:r>
        <w:rPr>
          <w:rFonts w:hint="eastAsia" w:ascii="宋体" w:hAnsi="宋体"/>
          <w:b/>
          <w:color w:val="auto"/>
          <w:sz w:val="72"/>
          <w:szCs w:val="52"/>
        </w:rPr>
        <w:t>文</w:t>
      </w:r>
      <w:r>
        <w:rPr>
          <w:rFonts w:ascii="宋体" w:hAnsi="宋体"/>
          <w:b/>
          <w:color w:val="auto"/>
          <w:sz w:val="72"/>
          <w:szCs w:val="52"/>
        </w:rPr>
        <w:t xml:space="preserve">  </w:t>
      </w:r>
      <w:r>
        <w:rPr>
          <w:rFonts w:hint="eastAsia" w:ascii="宋体" w:hAnsi="宋体"/>
          <w:b/>
          <w:color w:val="auto"/>
          <w:sz w:val="72"/>
          <w:szCs w:val="52"/>
        </w:rPr>
        <w:t>件</w:t>
      </w:r>
    </w:p>
    <w:p w14:paraId="722D37FB">
      <w:pPr>
        <w:spacing w:line="360" w:lineRule="auto"/>
        <w:jc w:val="center"/>
        <w:rPr>
          <w:rFonts w:hint="eastAsia" w:ascii="宋体" w:hAnsi="宋体"/>
          <w:b/>
          <w:color w:val="auto"/>
          <w:sz w:val="32"/>
          <w:szCs w:val="32"/>
        </w:rPr>
      </w:pPr>
    </w:p>
    <w:p w14:paraId="0C2948E7">
      <w:pPr>
        <w:spacing w:line="360" w:lineRule="auto"/>
        <w:jc w:val="center"/>
        <w:rPr>
          <w:rFonts w:hint="eastAsia" w:ascii="宋体" w:hAnsi="宋体"/>
          <w:b/>
          <w:color w:val="auto"/>
          <w:sz w:val="30"/>
          <w:szCs w:val="30"/>
        </w:rPr>
      </w:pPr>
    </w:p>
    <w:p w14:paraId="30E5EF08">
      <w:pPr>
        <w:spacing w:line="360" w:lineRule="auto"/>
        <w:ind w:firstLine="2168" w:firstLineChars="600"/>
        <w:rPr>
          <w:b/>
          <w:color w:val="auto"/>
          <w:sz w:val="32"/>
          <w:u w:val="single"/>
        </w:rPr>
      </w:pPr>
      <w:r>
        <w:rPr>
          <w:rFonts w:hint="eastAsia" w:ascii="宋体" w:hAnsi="宋体"/>
          <w:b/>
          <w:color w:val="auto"/>
          <w:sz w:val="36"/>
          <w:szCs w:val="36"/>
        </w:rPr>
        <w:t>招标编号：</w:t>
      </w:r>
      <w:r>
        <w:rPr>
          <w:rFonts w:hint="eastAsia" w:ascii="宋体" w:hAnsi="宋体"/>
          <w:b/>
          <w:color w:val="auto"/>
          <w:sz w:val="36"/>
          <w:szCs w:val="36"/>
          <w:u w:val="single"/>
        </w:rPr>
        <w:t>OITC-G250363581</w:t>
      </w:r>
    </w:p>
    <w:p w14:paraId="7A05D7E5">
      <w:pPr>
        <w:spacing w:line="360" w:lineRule="auto"/>
        <w:jc w:val="center"/>
        <w:rPr>
          <w:b/>
          <w:color w:val="auto"/>
          <w:sz w:val="32"/>
        </w:rPr>
      </w:pPr>
    </w:p>
    <w:p w14:paraId="61CD0771">
      <w:pPr>
        <w:spacing w:line="360" w:lineRule="auto"/>
        <w:jc w:val="center"/>
        <w:rPr>
          <w:b/>
          <w:color w:val="auto"/>
          <w:sz w:val="32"/>
        </w:rPr>
      </w:pPr>
    </w:p>
    <w:p w14:paraId="78F98E8E">
      <w:pPr>
        <w:adjustRightInd w:val="0"/>
        <w:snapToGrid w:val="0"/>
        <w:spacing w:before="120"/>
        <w:ind w:firstLine="1204" w:firstLineChars="300"/>
        <w:rPr>
          <w:rFonts w:hint="eastAsia" w:ascii="宋体" w:hAnsi="宋体"/>
          <w:b/>
          <w:bCs/>
          <w:snapToGrid w:val="0"/>
          <w:color w:val="auto"/>
          <w:spacing w:val="20"/>
          <w:sz w:val="36"/>
          <w:szCs w:val="36"/>
          <w:u w:val="single"/>
        </w:rPr>
      </w:pPr>
      <w:r>
        <w:rPr>
          <w:rFonts w:hint="eastAsia" w:ascii="宋体" w:hAnsi="宋体"/>
          <w:b/>
          <w:bCs/>
          <w:snapToGrid w:val="0"/>
          <w:color w:val="auto"/>
          <w:spacing w:val="20"/>
          <w:sz w:val="36"/>
          <w:szCs w:val="36"/>
        </w:rPr>
        <w:t>采购人：</w:t>
      </w:r>
      <w:r>
        <w:rPr>
          <w:rFonts w:hint="eastAsia" w:ascii="宋体" w:hAnsi="宋体"/>
          <w:b/>
          <w:bCs/>
          <w:snapToGrid w:val="0"/>
          <w:color w:val="auto"/>
          <w:spacing w:val="20"/>
          <w:sz w:val="36"/>
          <w:szCs w:val="36"/>
          <w:u w:val="single"/>
        </w:rPr>
        <w:t>中国科学院赣江创新研究院</w:t>
      </w:r>
    </w:p>
    <w:p w14:paraId="4FC1C228">
      <w:pPr>
        <w:adjustRightInd w:val="0"/>
        <w:snapToGrid w:val="0"/>
        <w:spacing w:before="120"/>
        <w:ind w:firstLine="1204" w:firstLineChars="300"/>
        <w:rPr>
          <w:rFonts w:hint="eastAsia" w:ascii="宋体" w:hAnsi="宋体"/>
          <w:b/>
          <w:bCs/>
          <w:snapToGrid w:val="0"/>
          <w:color w:val="auto"/>
          <w:spacing w:val="20"/>
          <w:sz w:val="36"/>
          <w:szCs w:val="36"/>
        </w:rPr>
      </w:pPr>
      <w:r>
        <w:rPr>
          <w:rFonts w:hint="eastAsia" w:ascii="宋体" w:hAnsi="宋体"/>
          <w:b/>
          <w:bCs/>
          <w:snapToGrid w:val="0"/>
          <w:color w:val="auto"/>
          <w:spacing w:val="20"/>
          <w:sz w:val="36"/>
          <w:szCs w:val="36"/>
        </w:rPr>
        <w:t>采购代理机构：东方国际招标有限责任公司</w:t>
      </w:r>
    </w:p>
    <w:p w14:paraId="231700EC">
      <w:pPr>
        <w:adjustRightInd w:val="0"/>
        <w:snapToGrid w:val="0"/>
        <w:jc w:val="center"/>
        <w:rPr>
          <w:rFonts w:hint="eastAsia" w:ascii="宋体" w:hAnsi="宋体"/>
          <w:b/>
          <w:snapToGrid w:val="0"/>
          <w:color w:val="auto"/>
          <w:sz w:val="36"/>
          <w:szCs w:val="36"/>
        </w:rPr>
      </w:pPr>
    </w:p>
    <w:p w14:paraId="26BCCA45">
      <w:pPr>
        <w:adjustRightInd w:val="0"/>
        <w:snapToGrid w:val="0"/>
        <w:jc w:val="center"/>
        <w:rPr>
          <w:rFonts w:hint="eastAsia" w:ascii="宋体" w:hAnsi="宋体"/>
          <w:b/>
          <w:color w:val="auto"/>
          <w:sz w:val="32"/>
          <w:szCs w:val="32"/>
        </w:rPr>
      </w:pPr>
      <w:r>
        <w:rPr>
          <w:rFonts w:hint="eastAsia" w:ascii="宋体" w:hAnsi="宋体"/>
          <w:b/>
          <w:snapToGrid w:val="0"/>
          <w:color w:val="auto"/>
          <w:sz w:val="36"/>
          <w:szCs w:val="36"/>
        </w:rPr>
        <w:t>2025年11月</w:t>
      </w:r>
    </w:p>
    <w:p w14:paraId="11B4B66B">
      <w:pPr>
        <w:adjustRightInd w:val="0"/>
        <w:snapToGrid w:val="0"/>
        <w:spacing w:after="156" w:afterLines="50" w:line="360" w:lineRule="auto"/>
        <w:jc w:val="center"/>
        <w:outlineLvl w:val="0"/>
        <w:rPr>
          <w:rFonts w:ascii="黑体" w:eastAsia="黑体"/>
          <w:b/>
          <w:color w:val="auto"/>
          <w:kern w:val="44"/>
          <w:sz w:val="48"/>
          <w:szCs w:val="20"/>
        </w:rPr>
      </w:pPr>
      <w:r>
        <w:rPr>
          <w:color w:val="auto"/>
        </w:rPr>
        <w:br w:type="page"/>
      </w:r>
      <w:bookmarkStart w:id="2" w:name="_GoBack"/>
      <w:bookmarkEnd w:id="2"/>
      <w:bookmarkStart w:id="0" w:name="_Toc129880039"/>
      <w:bookmarkStart w:id="1" w:name="_Toc512937852"/>
      <w:r>
        <w:rPr>
          <w:rFonts w:hint="eastAsia" w:ascii="宋体" w:hAnsi="宋体"/>
          <w:b/>
          <w:color w:val="auto"/>
          <w:sz w:val="30"/>
          <w:szCs w:val="30"/>
        </w:rPr>
        <w:t>第八部分 采购需求</w:t>
      </w:r>
      <w:bookmarkEnd w:id="0"/>
    </w:p>
    <w:bookmarkEnd w:id="1"/>
    <w:p w14:paraId="0612B788">
      <w:pPr>
        <w:adjustRightInd w:val="0"/>
        <w:snapToGrid w:val="0"/>
        <w:spacing w:before="156" w:beforeLines="50" w:after="156" w:afterLines="50" w:line="360" w:lineRule="auto"/>
        <w:jc w:val="center"/>
        <w:rPr>
          <w:rFonts w:hint="eastAsia" w:ascii="宋体" w:hAnsi="宋体"/>
          <w:b/>
          <w:color w:val="auto"/>
          <w:sz w:val="24"/>
        </w:rPr>
      </w:pPr>
      <w:r>
        <w:rPr>
          <w:rFonts w:hint="eastAsia" w:ascii="宋体" w:hAnsi="宋体"/>
          <w:b/>
          <w:color w:val="auto"/>
          <w:sz w:val="24"/>
        </w:rPr>
        <w:t>货物需求一览表</w:t>
      </w:r>
    </w:p>
    <w:p w14:paraId="0204189E">
      <w:pPr>
        <w:adjustRightInd w:val="0"/>
        <w:snapToGrid w:val="0"/>
        <w:jc w:val="center"/>
        <w:rPr>
          <w:rFonts w:hint="eastAsia" w:ascii="宋体" w:hAnsi="宋体"/>
          <w:b/>
          <w:color w:val="auto"/>
          <w:sz w:val="30"/>
          <w:szCs w:val="30"/>
        </w:rPr>
      </w:pPr>
    </w:p>
    <w:tbl>
      <w:tblPr>
        <w:tblStyle w:val="38"/>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0C2D4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vAlign w:val="center"/>
          </w:tcPr>
          <w:p w14:paraId="01526188">
            <w:pPr>
              <w:jc w:val="center"/>
              <w:rPr>
                <w:rFonts w:ascii="宋体" w:hAnsi="Bookman Old Style"/>
                <w:color w:val="auto"/>
                <w:sz w:val="24"/>
              </w:rPr>
            </w:pPr>
            <w:r>
              <w:rPr>
                <w:rFonts w:hint="eastAsia" w:ascii="宋体" w:hAnsi="Bookman Old Style"/>
                <w:color w:val="auto"/>
                <w:sz w:val="24"/>
              </w:rPr>
              <w:t>包号</w:t>
            </w:r>
          </w:p>
        </w:tc>
        <w:tc>
          <w:tcPr>
            <w:tcW w:w="2357" w:type="dxa"/>
            <w:vAlign w:val="center"/>
          </w:tcPr>
          <w:p w14:paraId="24F91AB5">
            <w:pPr>
              <w:jc w:val="center"/>
              <w:rPr>
                <w:rFonts w:ascii="宋体" w:hAnsi="Bookman Old Style"/>
                <w:color w:val="auto"/>
                <w:sz w:val="24"/>
              </w:rPr>
            </w:pPr>
            <w:r>
              <w:rPr>
                <w:rFonts w:hint="eastAsia" w:ascii="宋体" w:hAnsi="Bookman Old Style"/>
                <w:color w:val="auto"/>
                <w:sz w:val="24"/>
              </w:rPr>
              <w:t>货物名称</w:t>
            </w:r>
          </w:p>
        </w:tc>
        <w:tc>
          <w:tcPr>
            <w:tcW w:w="1329" w:type="dxa"/>
            <w:vAlign w:val="center"/>
          </w:tcPr>
          <w:p w14:paraId="21B5420B">
            <w:pPr>
              <w:jc w:val="center"/>
              <w:rPr>
                <w:rFonts w:ascii="宋体" w:hAnsi="Bookman Old Style"/>
                <w:color w:val="auto"/>
                <w:sz w:val="24"/>
              </w:rPr>
            </w:pPr>
            <w:r>
              <w:rPr>
                <w:rFonts w:hint="eastAsia" w:ascii="宋体" w:hAnsi="Bookman Old Style"/>
                <w:color w:val="auto"/>
                <w:sz w:val="24"/>
              </w:rPr>
              <w:t>数量</w:t>
            </w:r>
          </w:p>
        </w:tc>
        <w:tc>
          <w:tcPr>
            <w:tcW w:w="2470" w:type="dxa"/>
            <w:vAlign w:val="center"/>
          </w:tcPr>
          <w:p w14:paraId="2204344B">
            <w:pPr>
              <w:jc w:val="center"/>
              <w:rPr>
                <w:rFonts w:ascii="宋体" w:hAnsi="Bookman Old Style"/>
                <w:color w:val="auto"/>
                <w:sz w:val="24"/>
              </w:rPr>
            </w:pPr>
            <w:r>
              <w:rPr>
                <w:rFonts w:hint="eastAsia" w:ascii="宋体" w:hAnsi="Bookman Old Style"/>
                <w:color w:val="auto"/>
                <w:sz w:val="24"/>
              </w:rPr>
              <w:t>是否接受进口</w:t>
            </w:r>
          </w:p>
        </w:tc>
      </w:tr>
      <w:tr w14:paraId="66E7C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vAlign w:val="center"/>
          </w:tcPr>
          <w:p w14:paraId="697E1A42">
            <w:pPr>
              <w:jc w:val="center"/>
              <w:rPr>
                <w:rFonts w:ascii="宋体"/>
                <w:color w:val="auto"/>
                <w:sz w:val="24"/>
              </w:rPr>
            </w:pPr>
            <w:r>
              <w:rPr>
                <w:rFonts w:hint="eastAsia" w:ascii="宋体"/>
                <w:color w:val="auto"/>
                <w:sz w:val="24"/>
              </w:rPr>
              <w:t>1</w:t>
            </w:r>
          </w:p>
        </w:tc>
        <w:tc>
          <w:tcPr>
            <w:tcW w:w="2357" w:type="dxa"/>
            <w:vAlign w:val="center"/>
          </w:tcPr>
          <w:p w14:paraId="5B219EF1">
            <w:pPr>
              <w:jc w:val="center"/>
              <w:rPr>
                <w:rFonts w:ascii="Bookman Old Style" w:hAnsi="Bookman Old Style"/>
                <w:color w:val="auto"/>
                <w:sz w:val="24"/>
              </w:rPr>
            </w:pPr>
            <w:r>
              <w:rPr>
                <w:rFonts w:hint="eastAsia" w:ascii="Bookman Old Style" w:hAnsi="Bookman Old Style"/>
                <w:color w:val="auto"/>
                <w:sz w:val="24"/>
              </w:rPr>
              <w:t>X射线单晶衍射仪</w:t>
            </w:r>
          </w:p>
        </w:tc>
        <w:tc>
          <w:tcPr>
            <w:tcW w:w="1329" w:type="dxa"/>
            <w:vAlign w:val="center"/>
          </w:tcPr>
          <w:p w14:paraId="4F9D821F">
            <w:pPr>
              <w:jc w:val="center"/>
              <w:rPr>
                <w:rFonts w:ascii="宋体" w:hAnsi="Bookman Old Style"/>
                <w:color w:val="auto"/>
                <w:sz w:val="24"/>
              </w:rPr>
            </w:pPr>
            <w:r>
              <w:rPr>
                <w:rFonts w:hint="eastAsia" w:ascii="宋体" w:hAnsi="Bookman Old Style"/>
                <w:color w:val="auto"/>
                <w:sz w:val="24"/>
              </w:rPr>
              <w:t>1套</w:t>
            </w:r>
          </w:p>
        </w:tc>
        <w:tc>
          <w:tcPr>
            <w:tcW w:w="2470" w:type="dxa"/>
            <w:vAlign w:val="center"/>
          </w:tcPr>
          <w:p w14:paraId="78C1508F">
            <w:pPr>
              <w:jc w:val="center"/>
              <w:rPr>
                <w:rFonts w:ascii="宋体" w:hAnsi="Bookman Old Style"/>
                <w:color w:val="auto"/>
                <w:sz w:val="24"/>
              </w:rPr>
            </w:pPr>
            <w:r>
              <w:rPr>
                <w:rFonts w:hint="eastAsia" w:ascii="宋体" w:hAnsi="Bookman Old Style"/>
                <w:color w:val="auto"/>
                <w:sz w:val="24"/>
              </w:rPr>
              <w:t>是</w:t>
            </w:r>
          </w:p>
        </w:tc>
      </w:tr>
    </w:tbl>
    <w:p w14:paraId="69113D06">
      <w:pPr>
        <w:adjustRightInd w:val="0"/>
        <w:snapToGrid w:val="0"/>
        <w:jc w:val="center"/>
        <w:rPr>
          <w:rFonts w:hint="eastAsia" w:ascii="宋体" w:hAnsi="宋体"/>
          <w:b/>
          <w:color w:val="auto"/>
          <w:sz w:val="30"/>
          <w:szCs w:val="30"/>
        </w:rPr>
      </w:pPr>
    </w:p>
    <w:p w14:paraId="20D11ECA">
      <w:pPr>
        <w:adjustRightInd w:val="0"/>
        <w:snapToGrid w:val="0"/>
        <w:jc w:val="center"/>
        <w:rPr>
          <w:rFonts w:hint="eastAsia" w:ascii="宋体" w:hAnsi="宋体"/>
          <w:b/>
          <w:color w:val="auto"/>
          <w:sz w:val="30"/>
          <w:szCs w:val="30"/>
        </w:rPr>
      </w:pPr>
    </w:p>
    <w:p w14:paraId="650D1AE8">
      <w:pPr>
        <w:rPr>
          <w:rFonts w:ascii="Bookman Old Style" w:hAnsi="Bookman Old Style"/>
          <w:color w:val="auto"/>
          <w:sz w:val="24"/>
        </w:rPr>
      </w:pPr>
      <w:r>
        <w:rPr>
          <w:rFonts w:hint="eastAsia"/>
          <w:color w:val="auto"/>
          <w:sz w:val="24"/>
        </w:rPr>
        <w:t>注：投标人须对上述投标内容中完整的一包进行投标，</w:t>
      </w:r>
      <w:r>
        <w:rPr>
          <w:rFonts w:hint="eastAsia" w:ascii="Bookman Old Style" w:hAnsi="Bookman Old Style"/>
          <w:color w:val="auto"/>
          <w:sz w:val="24"/>
        </w:rPr>
        <w:t>不完整的投标将视为非响应性投标予以拒绝。</w:t>
      </w:r>
    </w:p>
    <w:p w14:paraId="0FEBF2A4">
      <w:pPr>
        <w:adjustRightInd w:val="0"/>
        <w:snapToGrid w:val="0"/>
        <w:rPr>
          <w:rFonts w:hint="eastAsia" w:ascii="宋体" w:hAnsi="宋体"/>
          <w:color w:val="auto"/>
          <w:szCs w:val="21"/>
        </w:rPr>
      </w:pPr>
    </w:p>
    <w:p w14:paraId="373B5DF0">
      <w:pPr>
        <w:adjustRightInd w:val="0"/>
        <w:snapToGrid w:val="0"/>
        <w:rPr>
          <w:rFonts w:hint="eastAsia" w:ascii="宋体" w:hAnsi="宋体"/>
          <w:color w:val="auto"/>
          <w:szCs w:val="21"/>
        </w:rPr>
      </w:pPr>
    </w:p>
    <w:p w14:paraId="45DA8791">
      <w:pPr>
        <w:adjustRightInd w:val="0"/>
        <w:snapToGrid w:val="0"/>
        <w:rPr>
          <w:rFonts w:hint="eastAsia" w:ascii="宋体" w:hAnsi="宋体"/>
          <w:color w:val="auto"/>
          <w:szCs w:val="21"/>
        </w:rPr>
      </w:pPr>
    </w:p>
    <w:p w14:paraId="5AE0A473">
      <w:pPr>
        <w:adjustRightInd w:val="0"/>
        <w:snapToGrid w:val="0"/>
        <w:spacing w:line="360" w:lineRule="auto"/>
        <w:rPr>
          <w:rFonts w:hint="eastAsia" w:ascii="宋体" w:hAnsi="宋体"/>
          <w:b/>
          <w:color w:val="auto"/>
          <w:sz w:val="28"/>
          <w:szCs w:val="28"/>
        </w:rPr>
      </w:pPr>
      <w:r>
        <w:rPr>
          <w:rFonts w:ascii="宋体" w:hAnsi="宋体"/>
          <w:b/>
          <w:color w:val="auto"/>
          <w:sz w:val="30"/>
          <w:szCs w:val="30"/>
        </w:rPr>
        <w:br w:type="page"/>
      </w:r>
      <w:r>
        <w:rPr>
          <w:rFonts w:hint="eastAsia" w:ascii="宋体" w:hAnsi="宋体"/>
          <w:b/>
          <w:color w:val="auto"/>
          <w:sz w:val="28"/>
          <w:szCs w:val="28"/>
        </w:rPr>
        <w:t>一、总则</w:t>
      </w:r>
    </w:p>
    <w:p w14:paraId="79D60AEF">
      <w:pPr>
        <w:adjustRightInd w:val="0"/>
        <w:snapToGrid w:val="0"/>
        <w:spacing w:line="360" w:lineRule="auto"/>
        <w:rPr>
          <w:rFonts w:hint="eastAsia" w:ascii="宋体" w:hAnsi="宋体"/>
          <w:b/>
          <w:color w:val="auto"/>
          <w:sz w:val="28"/>
          <w:szCs w:val="28"/>
        </w:rPr>
      </w:pPr>
      <w:r>
        <w:rPr>
          <w:rFonts w:ascii="宋体" w:hAnsi="宋体"/>
          <w:b/>
          <w:color w:val="auto"/>
          <w:sz w:val="28"/>
          <w:szCs w:val="28"/>
        </w:rPr>
        <w:t>1</w:t>
      </w:r>
      <w:r>
        <w:rPr>
          <w:rFonts w:hint="eastAsia" w:ascii="宋体" w:hAnsi="宋体"/>
          <w:b/>
          <w:color w:val="auto"/>
          <w:sz w:val="28"/>
          <w:szCs w:val="28"/>
        </w:rPr>
        <w:t>、投标要求</w:t>
      </w:r>
    </w:p>
    <w:p w14:paraId="697B7A95">
      <w:pPr>
        <w:spacing w:line="360" w:lineRule="auto"/>
        <w:ind w:left="554" w:hanging="554" w:hangingChars="231"/>
        <w:rPr>
          <w:rFonts w:hint="eastAsia" w:ascii="宋体" w:hAnsi="宋体"/>
          <w:color w:val="auto"/>
          <w:sz w:val="24"/>
        </w:rPr>
      </w:pPr>
      <w:r>
        <w:rPr>
          <w:rFonts w:ascii="宋体" w:hAnsi="宋体"/>
          <w:color w:val="auto"/>
          <w:sz w:val="24"/>
        </w:rPr>
        <w:t xml:space="preserve">1.1 </w:t>
      </w:r>
      <w:r>
        <w:rPr>
          <w:rFonts w:hint="eastAsia" w:ascii="宋体" w:hAnsi="宋体"/>
          <w:color w:val="auto"/>
          <w:sz w:val="24"/>
        </w:rPr>
        <w:t xml:space="preserve"> 投标人在准备投标书时，务必在所提供的商品的技术规格文件中，标明型号、商标名称、目录号。</w:t>
      </w:r>
    </w:p>
    <w:p w14:paraId="3FA0F211">
      <w:pPr>
        <w:spacing w:line="360" w:lineRule="auto"/>
        <w:ind w:left="554" w:hanging="554" w:hangingChars="231"/>
        <w:rPr>
          <w:rFonts w:hint="eastAsia" w:ascii="宋体" w:hAnsi="宋体"/>
          <w:color w:val="auto"/>
          <w:sz w:val="24"/>
        </w:rPr>
      </w:pPr>
      <w:r>
        <w:rPr>
          <w:rFonts w:hint="eastAsia" w:ascii="宋体" w:hAnsi="宋体"/>
          <w:color w:val="auto"/>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58E8AA26">
      <w:pPr>
        <w:spacing w:line="360" w:lineRule="auto"/>
        <w:ind w:left="554" w:hanging="554" w:hangingChars="231"/>
        <w:rPr>
          <w:rFonts w:ascii="宋体"/>
          <w:color w:val="auto"/>
          <w:sz w:val="24"/>
        </w:rPr>
      </w:pPr>
      <w:r>
        <w:rPr>
          <w:rFonts w:hint="eastAsia" w:ascii="宋体" w:hAnsi="宋体"/>
          <w:color w:val="auto"/>
          <w:sz w:val="24"/>
        </w:rPr>
        <w:t xml:space="preserve">1.3  </w:t>
      </w:r>
      <w:r>
        <w:rPr>
          <w:rFonts w:hint="eastAsia"/>
          <w:color w:val="auto"/>
          <w:sz w:val="24"/>
        </w:rPr>
        <w:t>投标人提供的</w:t>
      </w:r>
      <w:r>
        <w:rPr>
          <w:rFonts w:hint="eastAsia" w:ascii="宋体"/>
          <w:color w:val="auto"/>
          <w:sz w:val="24"/>
        </w:rPr>
        <w:t>产品</w:t>
      </w:r>
      <w:r>
        <w:rPr>
          <w:rFonts w:hint="eastAsia"/>
          <w:color w:val="auto"/>
          <w:sz w:val="24"/>
        </w:rPr>
        <w:t>样本，必须是“原件”而非复印件，</w:t>
      </w:r>
      <w:r>
        <w:rPr>
          <w:rFonts w:hint="eastAsia" w:ascii="宋体"/>
          <w:color w:val="auto"/>
          <w:sz w:val="24"/>
        </w:rPr>
        <w:t>图表、简图、电路图以及印刷电路板图等都应</w:t>
      </w:r>
      <w:r>
        <w:rPr>
          <w:rFonts w:hint="eastAsia"/>
          <w:color w:val="auto"/>
          <w:sz w:val="24"/>
        </w:rPr>
        <w:t>清晰易读。买方有权</w:t>
      </w:r>
      <w:r>
        <w:rPr>
          <w:rFonts w:hint="eastAsia" w:ascii="宋体"/>
          <w:color w:val="auto"/>
          <w:sz w:val="24"/>
        </w:rPr>
        <w:t>不付任何附加费用</w:t>
      </w:r>
      <w:r>
        <w:rPr>
          <w:rFonts w:hint="eastAsia"/>
          <w:color w:val="auto"/>
          <w:sz w:val="24"/>
        </w:rPr>
        <w:t>复制这些资料</w:t>
      </w:r>
      <w:r>
        <w:rPr>
          <w:rFonts w:hint="eastAsia" w:ascii="宋体"/>
          <w:color w:val="auto"/>
          <w:sz w:val="24"/>
        </w:rPr>
        <w:t>以供参考。</w:t>
      </w:r>
    </w:p>
    <w:p w14:paraId="7924CE2A">
      <w:pPr>
        <w:spacing w:line="360" w:lineRule="auto"/>
        <w:ind w:left="554" w:hanging="554" w:hangingChars="231"/>
        <w:rPr>
          <w:rFonts w:ascii="宋体"/>
          <w:color w:val="auto"/>
          <w:sz w:val="24"/>
        </w:rPr>
      </w:pPr>
      <w:r>
        <w:rPr>
          <w:rFonts w:hint="eastAsia" w:ascii="宋体"/>
          <w:color w:val="auto"/>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58FEF342">
      <w:pPr>
        <w:adjustRightInd w:val="0"/>
        <w:snapToGrid w:val="0"/>
        <w:spacing w:line="360" w:lineRule="auto"/>
        <w:rPr>
          <w:rFonts w:hint="eastAsia" w:ascii="宋体" w:hAnsi="宋体"/>
          <w:b/>
          <w:color w:val="auto"/>
          <w:sz w:val="28"/>
          <w:szCs w:val="28"/>
        </w:rPr>
      </w:pPr>
      <w:r>
        <w:rPr>
          <w:rFonts w:hint="eastAsia" w:ascii="宋体" w:hAnsi="宋体"/>
          <w:b/>
          <w:color w:val="auto"/>
          <w:sz w:val="28"/>
          <w:szCs w:val="28"/>
        </w:rPr>
        <w:t>2、评标标准</w:t>
      </w:r>
    </w:p>
    <w:p w14:paraId="12AF1F06">
      <w:pPr>
        <w:spacing w:line="360" w:lineRule="auto"/>
        <w:ind w:left="554" w:hanging="554" w:hangingChars="231"/>
        <w:rPr>
          <w:rFonts w:ascii="宋体"/>
          <w:color w:val="auto"/>
          <w:sz w:val="24"/>
        </w:rPr>
      </w:pPr>
      <w:r>
        <w:rPr>
          <w:rFonts w:ascii="宋体" w:hAnsi="宋体"/>
          <w:color w:val="auto"/>
          <w:sz w:val="24"/>
        </w:rPr>
        <w:t>2.</w:t>
      </w:r>
      <w:r>
        <w:rPr>
          <w:rFonts w:hint="eastAsia" w:ascii="宋体" w:hAnsi="宋体"/>
          <w:color w:val="auto"/>
          <w:sz w:val="24"/>
        </w:rPr>
        <w:t xml:space="preserve">1  </w:t>
      </w:r>
      <w:r>
        <w:rPr>
          <w:rFonts w:hint="eastAsia"/>
          <w:color w:val="auto"/>
          <w:sz w:val="24"/>
        </w:rPr>
        <w:t>除招标文件中指定的附件和专用工具外，</w:t>
      </w:r>
      <w:r>
        <w:rPr>
          <w:rFonts w:hint="eastAsia" w:ascii="宋体"/>
          <w:color w:val="auto"/>
          <w:sz w:val="24"/>
        </w:rPr>
        <w:t>投标人应提供仪器设备的正常运行和常规保养所需的全套标准附件、专用工具</w:t>
      </w:r>
      <w:r>
        <w:rPr>
          <w:rFonts w:hint="eastAsia"/>
          <w:color w:val="auto"/>
          <w:sz w:val="24"/>
        </w:rPr>
        <w:t>和消耗品</w:t>
      </w:r>
      <w:r>
        <w:rPr>
          <w:rFonts w:hint="eastAsia" w:ascii="宋体"/>
          <w:color w:val="auto"/>
          <w:sz w:val="24"/>
        </w:rPr>
        <w:t>。投标人在投标书中需列出这些附件和工具的数量和单价的清单，这些附件和工具的报价的总值需计入投标价中。</w:t>
      </w:r>
    </w:p>
    <w:p w14:paraId="510E5DFF">
      <w:pPr>
        <w:spacing w:line="360" w:lineRule="auto"/>
        <w:ind w:left="554" w:hanging="554" w:hangingChars="231"/>
        <w:rPr>
          <w:color w:val="auto"/>
          <w:sz w:val="24"/>
        </w:rPr>
      </w:pPr>
      <w:r>
        <w:rPr>
          <w:rFonts w:hint="eastAsia" w:ascii="宋体" w:hAnsi="宋体"/>
          <w:color w:val="auto"/>
          <w:sz w:val="24"/>
        </w:rPr>
        <w:t xml:space="preserve">2.2  </w:t>
      </w:r>
      <w:r>
        <w:rPr>
          <w:rFonts w:hint="eastAsia"/>
          <w:color w:val="auto"/>
          <w:sz w:val="24"/>
        </w:rPr>
        <w:t>对于标书</w:t>
      </w:r>
      <w:r>
        <w:rPr>
          <w:rFonts w:hint="eastAsia" w:ascii="宋体"/>
          <w:color w:val="auto"/>
          <w:sz w:val="24"/>
        </w:rPr>
        <w:t>技术规范中已列</w:t>
      </w:r>
      <w:r>
        <w:rPr>
          <w:rFonts w:hint="eastAsia"/>
          <w:color w:val="auto"/>
          <w:sz w:val="24"/>
        </w:rPr>
        <w:t>出的作为查询选件的附件、零配件、专用工具和消耗品，投标书中</w:t>
      </w:r>
      <w:r>
        <w:rPr>
          <w:rFonts w:hint="eastAsia" w:ascii="宋体"/>
          <w:color w:val="auto"/>
          <w:sz w:val="24"/>
        </w:rPr>
        <w:t>应列明其数量、单价、总价供买方参考。投标人也可推荐买方没有要求的附件或专用工具作为选件，并列明其数量、单价、总价供买方参考。选件价格不计入评标价中。</w:t>
      </w:r>
    </w:p>
    <w:p w14:paraId="4504A719">
      <w:pPr>
        <w:spacing w:line="360" w:lineRule="auto"/>
        <w:ind w:left="554" w:hanging="554" w:hangingChars="231"/>
        <w:rPr>
          <w:rFonts w:hint="eastAsia" w:ascii="宋体" w:hAnsi="宋体"/>
          <w:color w:val="auto"/>
          <w:sz w:val="24"/>
        </w:rPr>
      </w:pPr>
      <w:r>
        <w:rPr>
          <w:rFonts w:hint="eastAsia" w:ascii="宋体" w:hAnsi="宋体"/>
          <w:color w:val="auto"/>
          <w:sz w:val="24"/>
        </w:rPr>
        <w:t>2.3  为便于用户进行接收仪器的准备工作，卖方应在合同生效后</w:t>
      </w:r>
      <w:r>
        <w:rPr>
          <w:rFonts w:hint="eastAsia" w:ascii="宋体" w:hAnsi="宋体"/>
          <w:b/>
          <w:color w:val="auto"/>
          <w:sz w:val="24"/>
        </w:rPr>
        <w:t>60</w:t>
      </w:r>
      <w:r>
        <w:rPr>
          <w:rFonts w:hint="eastAsia" w:ascii="宋体" w:hAnsi="宋体"/>
          <w:color w:val="auto"/>
          <w:sz w:val="24"/>
        </w:rPr>
        <w:t>天内向用户提供一套完整的使用说明书、操作手册、维修及安装说明等文件。另一套完整上述资料应在交货时随货包装提供给用户，这些费用应计入投标价中。</w:t>
      </w:r>
    </w:p>
    <w:p w14:paraId="50509994">
      <w:pPr>
        <w:spacing w:line="360" w:lineRule="auto"/>
        <w:ind w:left="554" w:hanging="554" w:hangingChars="231"/>
        <w:rPr>
          <w:rFonts w:hint="eastAsia" w:ascii="宋体" w:hAnsi="宋体"/>
          <w:color w:val="auto"/>
          <w:sz w:val="24"/>
        </w:rPr>
      </w:pPr>
      <w:r>
        <w:rPr>
          <w:rFonts w:hint="eastAsia" w:ascii="宋体" w:hAnsi="宋体"/>
          <w:color w:val="auto"/>
          <w:sz w:val="24"/>
        </w:rPr>
        <w:t>2</w:t>
      </w:r>
      <w:r>
        <w:rPr>
          <w:rFonts w:ascii="宋体" w:hAnsi="宋体"/>
          <w:color w:val="auto"/>
          <w:sz w:val="24"/>
        </w:rPr>
        <w:t>.</w:t>
      </w:r>
      <w:r>
        <w:rPr>
          <w:rFonts w:hint="eastAsia" w:ascii="宋体" w:hAnsi="宋体"/>
          <w:color w:val="auto"/>
          <w:sz w:val="24"/>
        </w:rPr>
        <w:t>4</w:t>
      </w:r>
      <w:r>
        <w:rPr>
          <w:rFonts w:ascii="宋体" w:hAnsi="宋体"/>
          <w:color w:val="auto"/>
          <w:sz w:val="24"/>
        </w:rPr>
        <w:t xml:space="preserve"> </w:t>
      </w:r>
      <w:r>
        <w:rPr>
          <w:rFonts w:hint="eastAsia" w:ascii="宋体" w:hAnsi="宋体"/>
          <w:color w:val="auto"/>
          <w:sz w:val="24"/>
        </w:rPr>
        <w:t xml:space="preserve"> 关于设备的安装调试，如果有必要的安装准备条件，卖方应在合同生效后一个月内向买方提出详细的要求或计划。安装调试的费用应计入投标价中，并应单独列出，供评标使用。</w:t>
      </w:r>
    </w:p>
    <w:p w14:paraId="4BE0867D">
      <w:pPr>
        <w:spacing w:line="360" w:lineRule="auto"/>
        <w:ind w:left="554" w:hanging="554" w:hangingChars="231"/>
        <w:rPr>
          <w:rFonts w:hint="eastAsia" w:ascii="宋体" w:hAnsi="宋体"/>
          <w:color w:val="auto"/>
          <w:sz w:val="24"/>
        </w:rPr>
      </w:pPr>
      <w:r>
        <w:rPr>
          <w:rFonts w:ascii="宋体" w:hAnsi="宋体"/>
          <w:color w:val="auto"/>
          <w:sz w:val="24"/>
        </w:rPr>
        <w:t>2.</w:t>
      </w:r>
      <w:r>
        <w:rPr>
          <w:rFonts w:hint="eastAsia" w:ascii="宋体" w:hAnsi="宋体"/>
          <w:color w:val="auto"/>
          <w:sz w:val="24"/>
        </w:rPr>
        <w:t>5  制造厂家提供的培训指的是涉及货物的基本原理、操作使用和保养维修等有关内容的培训。培训教员的培训费、旅费、食宿费等费用和培训场地费及培训资料费均应由卖方支付。</w:t>
      </w:r>
    </w:p>
    <w:p w14:paraId="396E2FE7">
      <w:pPr>
        <w:adjustRightInd w:val="0"/>
        <w:snapToGrid w:val="0"/>
        <w:spacing w:line="360" w:lineRule="auto"/>
        <w:rPr>
          <w:rFonts w:hint="eastAsia" w:ascii="宋体" w:hAnsi="宋体"/>
          <w:b/>
          <w:color w:val="auto"/>
          <w:sz w:val="28"/>
          <w:szCs w:val="28"/>
        </w:rPr>
      </w:pPr>
      <w:r>
        <w:rPr>
          <w:rFonts w:hint="eastAsia" w:ascii="宋体" w:hAnsi="宋体"/>
          <w:b/>
          <w:color w:val="auto"/>
          <w:sz w:val="28"/>
          <w:szCs w:val="28"/>
        </w:rPr>
        <w:t>3、工作条件</w:t>
      </w:r>
    </w:p>
    <w:p w14:paraId="051793E4">
      <w:pPr>
        <w:spacing w:after="312" w:afterLines="100" w:line="360" w:lineRule="auto"/>
        <w:rPr>
          <w:rFonts w:hint="eastAsia" w:ascii="宋体" w:hAnsi="宋体"/>
          <w:color w:val="auto"/>
          <w:sz w:val="24"/>
        </w:rPr>
      </w:pPr>
      <w:r>
        <w:rPr>
          <w:rFonts w:hint="eastAsia" w:ascii="宋体" w:hAnsi="宋体"/>
          <w:color w:val="auto"/>
          <w:sz w:val="24"/>
        </w:rPr>
        <w:t>除非在技术规格中另有说明，所有仪器、设备和系统都应符合下列要求：</w:t>
      </w:r>
      <w:r>
        <w:rPr>
          <w:rFonts w:ascii="宋体" w:hAnsi="宋体"/>
          <w:color w:val="auto"/>
          <w:sz w:val="24"/>
        </w:rPr>
        <w:t xml:space="preserve"> </w:t>
      </w:r>
    </w:p>
    <w:p w14:paraId="11060870">
      <w:pPr>
        <w:spacing w:line="360" w:lineRule="auto"/>
        <w:ind w:left="554" w:hanging="554" w:hangingChars="231"/>
        <w:rPr>
          <w:rFonts w:hint="eastAsia" w:ascii="宋体" w:hAnsi="宋体"/>
          <w:color w:val="auto"/>
          <w:sz w:val="24"/>
        </w:rPr>
      </w:pPr>
      <w:r>
        <w:rPr>
          <w:rFonts w:hint="eastAsia" w:ascii="宋体" w:hAnsi="宋体"/>
          <w:color w:val="auto"/>
          <w:sz w:val="24"/>
        </w:rPr>
        <w:t>3.1  适于在气温为摄氏</w:t>
      </w:r>
      <w:r>
        <w:rPr>
          <w:rFonts w:ascii="宋体" w:hAnsi="宋体"/>
          <w:b/>
          <w:color w:val="auto"/>
          <w:sz w:val="24"/>
        </w:rPr>
        <w:t>-40</w:t>
      </w:r>
      <w:r>
        <w:rPr>
          <w:rFonts w:hint="eastAsia" w:ascii="宋体" w:hAnsi="宋体"/>
          <w:b/>
          <w:color w:val="auto"/>
          <w:sz w:val="24"/>
        </w:rPr>
        <w:t>℃～＋</w:t>
      </w:r>
      <w:r>
        <w:rPr>
          <w:rFonts w:ascii="宋体" w:hAnsi="宋体"/>
          <w:b/>
          <w:color w:val="auto"/>
          <w:sz w:val="24"/>
        </w:rPr>
        <w:t>50</w:t>
      </w:r>
      <w:r>
        <w:rPr>
          <w:rFonts w:hint="eastAsia" w:ascii="宋体" w:hAnsi="宋体"/>
          <w:b/>
          <w:color w:val="auto"/>
          <w:sz w:val="24"/>
        </w:rPr>
        <w:t>℃</w:t>
      </w:r>
      <w:r>
        <w:rPr>
          <w:rFonts w:hint="eastAsia" w:ascii="宋体" w:hAnsi="宋体"/>
          <w:color w:val="auto"/>
          <w:sz w:val="24"/>
        </w:rPr>
        <w:t>和相对湿度为</w:t>
      </w:r>
      <w:r>
        <w:rPr>
          <w:rFonts w:ascii="宋体" w:hAnsi="宋体"/>
          <w:b/>
          <w:color w:val="auto"/>
          <w:sz w:val="24"/>
        </w:rPr>
        <w:t>90</w:t>
      </w:r>
      <w:r>
        <w:rPr>
          <w:rFonts w:hint="eastAsia" w:ascii="宋体" w:hAnsi="宋体"/>
          <w:b/>
          <w:color w:val="auto"/>
          <w:sz w:val="24"/>
        </w:rPr>
        <w:t>％</w:t>
      </w:r>
      <w:r>
        <w:rPr>
          <w:rFonts w:hint="eastAsia" w:ascii="宋体" w:hAnsi="宋体"/>
          <w:color w:val="auto"/>
          <w:sz w:val="24"/>
        </w:rPr>
        <w:t>的环境条件下运输和贮存。</w:t>
      </w:r>
    </w:p>
    <w:p w14:paraId="40BE4BF1">
      <w:pPr>
        <w:spacing w:line="360" w:lineRule="auto"/>
        <w:ind w:left="554" w:hanging="554" w:hangingChars="231"/>
        <w:rPr>
          <w:rFonts w:hint="eastAsia" w:ascii="宋体" w:hAnsi="宋体"/>
          <w:color w:val="auto"/>
          <w:sz w:val="24"/>
        </w:rPr>
      </w:pPr>
      <w:r>
        <w:rPr>
          <w:rFonts w:hint="eastAsia" w:ascii="宋体" w:hAnsi="宋体"/>
          <w:color w:val="auto"/>
          <w:sz w:val="24"/>
        </w:rPr>
        <w:t>3.2  适于在电源</w:t>
      </w:r>
      <w:r>
        <w:rPr>
          <w:rFonts w:ascii="宋体" w:hAnsi="宋体"/>
          <w:b/>
          <w:color w:val="auto"/>
          <w:sz w:val="24"/>
        </w:rPr>
        <w:t>220V</w:t>
      </w:r>
      <w:r>
        <w:rPr>
          <w:rFonts w:hint="eastAsia" w:ascii="宋体" w:hAnsi="宋体"/>
          <w:b/>
          <w:color w:val="auto"/>
          <w:sz w:val="24"/>
        </w:rPr>
        <w:t>（</w:t>
      </w:r>
      <w:r>
        <w:rPr>
          <w:rFonts w:ascii="宋体" w:hAnsi="宋体"/>
          <w:b/>
          <w:color w:val="auto"/>
          <w:sz w:val="24"/>
        </w:rPr>
        <w:sym w:font="Symbol" w:char="F0B1"/>
      </w:r>
      <w:r>
        <w:rPr>
          <w:rFonts w:ascii="宋体" w:hAnsi="宋体"/>
          <w:b/>
          <w:color w:val="auto"/>
          <w:sz w:val="24"/>
        </w:rPr>
        <w:t>10</w:t>
      </w:r>
      <w:r>
        <w:rPr>
          <w:rFonts w:hint="eastAsia" w:ascii="宋体" w:hAnsi="宋体"/>
          <w:b/>
          <w:color w:val="auto"/>
          <w:sz w:val="24"/>
        </w:rPr>
        <w:t>％）</w:t>
      </w:r>
      <w:r>
        <w:rPr>
          <w:rFonts w:ascii="宋体" w:hAnsi="宋体"/>
          <w:b/>
          <w:color w:val="auto"/>
          <w:sz w:val="24"/>
        </w:rPr>
        <w:t>/50Hz</w:t>
      </w:r>
      <w:r>
        <w:rPr>
          <w:rFonts w:hint="eastAsia" w:ascii="宋体" w:hAnsi="宋体"/>
          <w:color w:val="auto"/>
          <w:sz w:val="24"/>
        </w:rPr>
        <w:t>、气温摄氏</w:t>
      </w:r>
      <w:r>
        <w:rPr>
          <w:rFonts w:hint="eastAsia" w:ascii="宋体" w:hAnsi="宋体"/>
          <w:b/>
          <w:color w:val="auto"/>
          <w:sz w:val="24"/>
        </w:rPr>
        <w:t>+1</w:t>
      </w:r>
      <w:r>
        <w:rPr>
          <w:rFonts w:ascii="宋体" w:hAnsi="宋体"/>
          <w:b/>
          <w:color w:val="auto"/>
          <w:sz w:val="24"/>
        </w:rPr>
        <w:t>5</w:t>
      </w:r>
      <w:r>
        <w:rPr>
          <w:rFonts w:hint="eastAsia" w:ascii="宋体" w:hAnsi="宋体"/>
          <w:b/>
          <w:color w:val="auto"/>
          <w:sz w:val="24"/>
        </w:rPr>
        <w:t>℃～＋3</w:t>
      </w:r>
      <w:r>
        <w:rPr>
          <w:rFonts w:ascii="宋体" w:hAnsi="宋体"/>
          <w:b/>
          <w:color w:val="auto"/>
          <w:sz w:val="24"/>
        </w:rPr>
        <w:t>0</w:t>
      </w:r>
      <w:r>
        <w:rPr>
          <w:rFonts w:hint="eastAsia" w:ascii="宋体" w:hAnsi="宋体"/>
          <w:b/>
          <w:color w:val="auto"/>
          <w:sz w:val="24"/>
        </w:rPr>
        <w:t>℃</w:t>
      </w:r>
      <w:r>
        <w:rPr>
          <w:rFonts w:hint="eastAsia" w:ascii="宋体" w:hAnsi="宋体"/>
          <w:color w:val="auto"/>
          <w:sz w:val="24"/>
        </w:rPr>
        <w:t>和相对湿度小于</w:t>
      </w:r>
      <w:r>
        <w:rPr>
          <w:rFonts w:ascii="宋体" w:hAnsi="宋体"/>
          <w:b/>
          <w:color w:val="auto"/>
          <w:sz w:val="24"/>
        </w:rPr>
        <w:t>8</w:t>
      </w:r>
      <w:r>
        <w:rPr>
          <w:rFonts w:hint="eastAsia" w:ascii="宋体" w:hAnsi="宋体"/>
          <w:b/>
          <w:color w:val="auto"/>
          <w:sz w:val="24"/>
        </w:rPr>
        <w:t>0％</w:t>
      </w:r>
      <w:r>
        <w:rPr>
          <w:rFonts w:hint="eastAsia" w:ascii="宋体" w:hAnsi="宋体"/>
          <w:color w:val="auto"/>
          <w:sz w:val="24"/>
        </w:rPr>
        <w:t>的环境条件下运行。</w:t>
      </w:r>
      <w:r>
        <w:rPr>
          <w:rFonts w:hint="eastAsia" w:ascii="宋体" w:hAnsi="宋体"/>
          <w:b/>
          <w:color w:val="auto"/>
          <w:sz w:val="24"/>
        </w:rPr>
        <w:t>能够连续正常工作。</w:t>
      </w:r>
    </w:p>
    <w:p w14:paraId="1B0F20C9">
      <w:pPr>
        <w:spacing w:line="360" w:lineRule="auto"/>
        <w:ind w:left="554" w:hanging="554" w:hangingChars="231"/>
        <w:rPr>
          <w:rFonts w:hint="eastAsia" w:ascii="宋体" w:hAnsi="宋体"/>
          <w:color w:val="auto"/>
          <w:sz w:val="24"/>
        </w:rPr>
      </w:pPr>
      <w:r>
        <w:rPr>
          <w:rFonts w:hint="eastAsia" w:ascii="宋体" w:hAnsi="宋体"/>
          <w:color w:val="auto"/>
          <w:sz w:val="24"/>
        </w:rPr>
        <w:t>3.3  配置符合中国有关标准要求的插头，如果没有这样的插头，则需</w:t>
      </w:r>
      <w:r>
        <w:rPr>
          <w:rFonts w:hint="eastAsia" w:ascii="宋体"/>
          <w:color w:val="auto"/>
          <w:sz w:val="24"/>
        </w:rPr>
        <w:t>提供适当的转</w:t>
      </w:r>
      <w:r>
        <w:rPr>
          <w:rFonts w:hint="eastAsia" w:ascii="宋体" w:hAnsi="宋体"/>
          <w:color w:val="auto"/>
          <w:sz w:val="24"/>
        </w:rPr>
        <w:t>换插座。</w:t>
      </w:r>
    </w:p>
    <w:p w14:paraId="0FAA05DA">
      <w:pPr>
        <w:spacing w:line="360" w:lineRule="auto"/>
        <w:ind w:left="554" w:hanging="554" w:hangingChars="231"/>
        <w:rPr>
          <w:rFonts w:hint="eastAsia" w:ascii="宋体" w:hAnsi="宋体"/>
          <w:color w:val="auto"/>
          <w:sz w:val="24"/>
        </w:rPr>
      </w:pPr>
      <w:r>
        <w:rPr>
          <w:rFonts w:hint="eastAsia" w:ascii="宋体" w:hAnsi="宋体"/>
          <w:color w:val="auto"/>
          <w:sz w:val="24"/>
        </w:rPr>
        <w:t>3.4  如产品达不到上述要求，投标人应注明其偏差。如仪器设备需要特殊工作条件（如水、电源、磁场强度、温度、湿度、动强度等）投标人应在投标书中加以说明。</w:t>
      </w:r>
    </w:p>
    <w:p w14:paraId="39DD4124">
      <w:pPr>
        <w:rPr>
          <w:rFonts w:eastAsia="黑体"/>
          <w:b/>
          <w:bCs/>
          <w:color w:val="auto"/>
          <w:kern w:val="44"/>
          <w:sz w:val="24"/>
        </w:rPr>
      </w:pPr>
    </w:p>
    <w:p w14:paraId="3351F82C">
      <w:pPr>
        <w:adjustRightInd w:val="0"/>
        <w:snapToGrid w:val="0"/>
        <w:spacing w:line="360" w:lineRule="auto"/>
        <w:rPr>
          <w:rFonts w:hint="eastAsia" w:ascii="宋体" w:hAnsi="宋体"/>
          <w:b/>
          <w:color w:val="auto"/>
          <w:sz w:val="28"/>
          <w:szCs w:val="28"/>
        </w:rPr>
      </w:pPr>
      <w:r>
        <w:rPr>
          <w:rFonts w:hint="eastAsia" w:ascii="宋体" w:hAnsi="宋体"/>
          <w:b/>
          <w:color w:val="auto"/>
          <w:sz w:val="28"/>
          <w:szCs w:val="28"/>
        </w:rPr>
        <w:t>4、验收标准</w:t>
      </w:r>
    </w:p>
    <w:p w14:paraId="4FF89442">
      <w:pPr>
        <w:spacing w:after="312" w:afterLines="100" w:line="360" w:lineRule="auto"/>
        <w:rPr>
          <w:rFonts w:hint="eastAsia" w:ascii="宋体" w:hAnsi="宋体"/>
          <w:color w:val="auto"/>
          <w:sz w:val="24"/>
        </w:rPr>
      </w:pPr>
      <w:r>
        <w:rPr>
          <w:rFonts w:hint="eastAsia" w:ascii="宋体" w:hAnsi="宋体"/>
          <w:color w:val="auto"/>
          <w:sz w:val="24"/>
        </w:rPr>
        <w:t>除非另有说明，所有仪器、设备和系统按下列要求进行验收：</w:t>
      </w:r>
      <w:r>
        <w:rPr>
          <w:rFonts w:ascii="宋体" w:hAnsi="宋体"/>
          <w:color w:val="auto"/>
          <w:sz w:val="24"/>
        </w:rPr>
        <w:t xml:space="preserve"> </w:t>
      </w:r>
    </w:p>
    <w:p w14:paraId="55F7F16A">
      <w:pPr>
        <w:spacing w:line="360" w:lineRule="auto"/>
        <w:ind w:left="554" w:hanging="554" w:hangingChars="231"/>
        <w:rPr>
          <w:rFonts w:hint="eastAsia" w:ascii="宋体" w:hAnsi="宋体"/>
          <w:color w:val="auto"/>
          <w:sz w:val="24"/>
        </w:rPr>
      </w:pPr>
      <w:r>
        <w:rPr>
          <w:rFonts w:hint="eastAsia" w:ascii="宋体" w:hAnsi="宋体"/>
          <w:color w:val="auto"/>
          <w:sz w:val="24"/>
        </w:rPr>
        <w:t>4.1  仪器设备运抵安装现场后，买方将与卖方共同开箱验收</w:t>
      </w:r>
      <w:r>
        <w:rPr>
          <w:rFonts w:ascii="宋体" w:hAnsi="宋体"/>
          <w:color w:val="auto"/>
          <w:sz w:val="24"/>
        </w:rPr>
        <w:t xml:space="preserve">, </w:t>
      </w:r>
      <w:r>
        <w:rPr>
          <w:rFonts w:hint="eastAsia" w:ascii="宋体" w:hAnsi="宋体"/>
          <w:color w:val="auto"/>
          <w:sz w:val="24"/>
        </w:rPr>
        <w:t>如卖方届时不派人来</w:t>
      </w:r>
      <w:r>
        <w:rPr>
          <w:rFonts w:ascii="宋体" w:hAnsi="宋体"/>
          <w:color w:val="auto"/>
          <w:sz w:val="24"/>
        </w:rPr>
        <w:t xml:space="preserve">, </w:t>
      </w:r>
      <w:r>
        <w:rPr>
          <w:rFonts w:hint="eastAsia" w:ascii="宋体" w:hAnsi="宋体"/>
          <w:color w:val="auto"/>
          <w:sz w:val="24"/>
        </w:rPr>
        <w:t>则验收结果应以买方的验收报告为最终验收结果。验收时发现短缺、破损</w:t>
      </w:r>
      <w:r>
        <w:rPr>
          <w:rFonts w:ascii="宋体" w:hAnsi="宋体"/>
          <w:color w:val="auto"/>
          <w:sz w:val="24"/>
        </w:rPr>
        <w:t xml:space="preserve">, </w:t>
      </w:r>
      <w:r>
        <w:rPr>
          <w:rFonts w:hint="eastAsia" w:ascii="宋体" w:hAnsi="宋体"/>
          <w:color w:val="auto"/>
          <w:sz w:val="24"/>
        </w:rPr>
        <w:t>买方有权要求卖方负责更换。</w:t>
      </w:r>
    </w:p>
    <w:p w14:paraId="47809CB9">
      <w:pPr>
        <w:spacing w:line="360" w:lineRule="auto"/>
        <w:ind w:left="554" w:hanging="554" w:hangingChars="231"/>
        <w:rPr>
          <w:rFonts w:hint="eastAsia" w:ascii="宋体" w:hAnsi="宋体"/>
          <w:color w:val="auto"/>
          <w:sz w:val="24"/>
        </w:rPr>
      </w:pPr>
      <w:r>
        <w:rPr>
          <w:rFonts w:hint="eastAsia" w:ascii="宋体" w:hAnsi="宋体"/>
          <w:color w:val="auto"/>
          <w:sz w:val="24"/>
        </w:rPr>
        <w:t xml:space="preserve">4.2  </w:t>
      </w:r>
      <w:r>
        <w:rPr>
          <w:rFonts w:hint="eastAsia"/>
          <w:color w:val="auto"/>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2AD7676E">
      <w:pPr>
        <w:spacing w:line="360" w:lineRule="auto"/>
        <w:ind w:left="554" w:hanging="554" w:hangingChars="231"/>
        <w:rPr>
          <w:rFonts w:hint="eastAsia" w:ascii="宋体" w:hAnsi="宋体"/>
          <w:color w:val="auto"/>
          <w:sz w:val="24"/>
        </w:rPr>
      </w:pPr>
      <w:r>
        <w:rPr>
          <w:rFonts w:hint="eastAsia" w:ascii="宋体" w:hAnsi="宋体"/>
          <w:color w:val="auto"/>
          <w:sz w:val="24"/>
        </w:rPr>
        <w:t xml:space="preserve">4.3  </w:t>
      </w:r>
      <w:r>
        <w:rPr>
          <w:rFonts w:ascii="宋体" w:hAnsi="宋体"/>
          <w:color w:val="auto"/>
          <w:sz w:val="24"/>
        </w:rPr>
        <w:t>验收由采购人、中标人及相关人员依国家有关标准、合同及有关附件要求进行，验收完毕由采购人及中标人在验收报告上签名。</w:t>
      </w:r>
    </w:p>
    <w:p w14:paraId="4DF2EBB1">
      <w:pPr>
        <w:pStyle w:val="21"/>
        <w:spacing w:line="360" w:lineRule="auto"/>
        <w:ind w:left="410" w:hanging="410" w:hangingChars="170"/>
        <w:rPr>
          <w:rFonts w:hint="eastAsia" w:hAnsi="宋体"/>
          <w:b/>
          <w:color w:val="auto"/>
          <w:sz w:val="24"/>
          <w:szCs w:val="24"/>
        </w:rPr>
      </w:pPr>
    </w:p>
    <w:p w14:paraId="04A30830">
      <w:pPr>
        <w:adjustRightInd w:val="0"/>
        <w:snapToGrid w:val="0"/>
        <w:spacing w:line="360" w:lineRule="auto"/>
        <w:rPr>
          <w:rFonts w:hint="eastAsia" w:hAnsi="宋体"/>
          <w:b/>
          <w:color w:val="auto"/>
          <w:sz w:val="24"/>
        </w:rPr>
      </w:pPr>
      <w:r>
        <w:rPr>
          <w:rFonts w:hint="eastAsia"/>
          <w:b/>
          <w:bCs/>
          <w:color w:val="auto"/>
          <w:sz w:val="24"/>
        </w:rPr>
        <w:t>5、本采购需求书中标注“</w:t>
      </w:r>
      <w:r>
        <w:rPr>
          <w:rFonts w:hint="eastAsia" w:ascii="宋体" w:hAnsi="宋体" w:cs="宋体"/>
          <w:b/>
          <w:bCs/>
          <w:color w:val="auto"/>
          <w:sz w:val="24"/>
        </w:rPr>
        <w:t>*</w:t>
      </w:r>
      <w:r>
        <w:rPr>
          <w:rFonts w:hint="eastAsia"/>
          <w:b/>
          <w:bCs/>
          <w:color w:val="auto"/>
          <w:sz w:val="24"/>
        </w:rPr>
        <w:t>”号技术条款的为实质性要求，不满足其投标将视为无效投标被拒绝。</w:t>
      </w:r>
    </w:p>
    <w:p w14:paraId="264BE7C7">
      <w:pPr>
        <w:adjustRightInd w:val="0"/>
        <w:snapToGrid w:val="0"/>
        <w:spacing w:line="360" w:lineRule="auto"/>
        <w:rPr>
          <w:rFonts w:hint="eastAsia" w:ascii="宋体" w:hAnsi="宋体"/>
          <w:b/>
          <w:color w:val="auto"/>
          <w:sz w:val="24"/>
        </w:rPr>
      </w:pPr>
    </w:p>
    <w:p w14:paraId="7C8F9358">
      <w:pPr>
        <w:adjustRightInd w:val="0"/>
        <w:snapToGrid w:val="0"/>
        <w:spacing w:line="360" w:lineRule="auto"/>
        <w:rPr>
          <w:rFonts w:hint="eastAsia" w:ascii="宋体" w:hAnsi="宋体"/>
          <w:b/>
          <w:color w:val="auto"/>
          <w:sz w:val="24"/>
        </w:rPr>
      </w:pPr>
      <w:r>
        <w:rPr>
          <w:rFonts w:hint="eastAsia" w:ascii="宋体" w:hAnsi="宋体"/>
          <w:b/>
          <w:color w:val="auto"/>
          <w:sz w:val="24"/>
        </w:rPr>
        <w:t>6、如在具体规格要求中有本总则不一致之处，以具体规格中的要求为准。</w:t>
      </w:r>
    </w:p>
    <w:p w14:paraId="25FF4732">
      <w:pPr>
        <w:adjustRightInd w:val="0"/>
        <w:snapToGrid w:val="0"/>
        <w:spacing w:line="360" w:lineRule="auto"/>
        <w:rPr>
          <w:rFonts w:hint="eastAsia" w:ascii="宋体" w:hAnsi="宋体"/>
          <w:b/>
          <w:color w:val="auto"/>
          <w:sz w:val="28"/>
          <w:szCs w:val="28"/>
        </w:rPr>
      </w:pPr>
      <w:r>
        <w:rPr>
          <w:rFonts w:ascii="宋体" w:hAnsi="宋体"/>
          <w:b/>
          <w:color w:val="auto"/>
          <w:sz w:val="28"/>
        </w:rPr>
        <w:br w:type="page"/>
      </w:r>
      <w:r>
        <w:rPr>
          <w:rFonts w:hint="eastAsia" w:ascii="宋体" w:hAnsi="宋体"/>
          <w:b/>
          <w:color w:val="auto"/>
          <w:sz w:val="28"/>
          <w:szCs w:val="28"/>
        </w:rPr>
        <w:t>二、具体规格要求</w:t>
      </w:r>
    </w:p>
    <w:p w14:paraId="2F782687">
      <w:pPr>
        <w:jc w:val="center"/>
        <w:rPr>
          <w:b/>
          <w:color w:val="auto"/>
          <w:sz w:val="24"/>
        </w:rPr>
      </w:pPr>
      <w:r>
        <w:rPr>
          <w:rFonts w:hint="eastAsia"/>
          <w:b/>
          <w:color w:val="auto"/>
          <w:sz w:val="24"/>
        </w:rPr>
        <w:t>X射线单晶衍射仪</w:t>
      </w:r>
    </w:p>
    <w:p w14:paraId="08E29054">
      <w:pPr>
        <w:rPr>
          <w:b/>
          <w:color w:val="auto"/>
          <w:sz w:val="24"/>
        </w:rPr>
      </w:pPr>
    </w:p>
    <w:p w14:paraId="31E80AFE">
      <w:pPr>
        <w:rPr>
          <w:b/>
          <w:color w:val="auto"/>
          <w:sz w:val="24"/>
        </w:rPr>
      </w:pPr>
    </w:p>
    <w:p w14:paraId="0098E30F">
      <w:pPr>
        <w:numPr>
          <w:ilvl w:val="0"/>
          <w:numId w:val="1"/>
        </w:numPr>
        <w:rPr>
          <w:color w:val="auto"/>
          <w:sz w:val="24"/>
        </w:rPr>
      </w:pPr>
      <w:r>
        <w:rPr>
          <w:rFonts w:hint="eastAsia"/>
          <w:b/>
          <w:color w:val="auto"/>
          <w:sz w:val="24"/>
        </w:rPr>
        <w:t>技术要求：</w:t>
      </w:r>
    </w:p>
    <w:p w14:paraId="21139931">
      <w:pPr>
        <w:numPr>
          <w:ilvl w:val="0"/>
          <w:numId w:val="2"/>
        </w:numPr>
        <w:spacing w:line="360" w:lineRule="auto"/>
        <w:rPr>
          <w:b/>
          <w:color w:val="auto"/>
          <w:sz w:val="24"/>
        </w:rPr>
      </w:pPr>
      <w:r>
        <w:rPr>
          <w:rFonts w:hint="eastAsia"/>
          <w:b/>
          <w:color w:val="auto"/>
          <w:sz w:val="24"/>
        </w:rPr>
        <w:t>项目概述：</w:t>
      </w:r>
    </w:p>
    <w:p w14:paraId="47B0981E">
      <w:pPr>
        <w:spacing w:line="360" w:lineRule="auto"/>
        <w:ind w:firstLine="480" w:firstLineChars="200"/>
        <w:rPr>
          <w:bCs/>
          <w:color w:val="auto"/>
          <w:sz w:val="24"/>
        </w:rPr>
      </w:pPr>
      <w:r>
        <w:rPr>
          <w:bCs/>
          <w:color w:val="auto"/>
          <w:sz w:val="24"/>
        </w:rPr>
        <w:t>X 射线衍射晶体结构测定是人们认识物质微观结构的最重要的途径和权威方法。通过测定晶体结构，可以获得有关键长、键角、扭角、天然小分子的绝对构型和构象等等大量微观信息并研究其规律，从而进一步阐明物质的性质和结构-功能关系，为化学、药学、生命科学等学科的发展提供基础。这其中单晶结构分析应用范围十分广泛，凡是可获得单晶体的样品均可用于分析。单晶结构分析是有机合成、不对称化学反应、配合物研究、矿物结构以及各种新材料结构与性能关系中不可或缺的最直接、最有效、最权威的方法之一。设备主要用于测定各种无机物、有机物的晶体结构，进而获得样品的晶胞参数、键长、键角、构象、氢键、分子间堆积作用等信息。</w:t>
      </w:r>
    </w:p>
    <w:p w14:paraId="715F9C1F">
      <w:pPr>
        <w:spacing w:line="360" w:lineRule="auto"/>
        <w:rPr>
          <w:color w:val="auto"/>
          <w:sz w:val="24"/>
        </w:rPr>
      </w:pPr>
    </w:p>
    <w:p w14:paraId="1FAF32D9">
      <w:pPr>
        <w:numPr>
          <w:ilvl w:val="0"/>
          <w:numId w:val="2"/>
        </w:numPr>
        <w:spacing w:line="360" w:lineRule="auto"/>
        <w:rPr>
          <w:b/>
          <w:color w:val="auto"/>
          <w:sz w:val="24"/>
        </w:rPr>
      </w:pPr>
      <w:r>
        <w:rPr>
          <w:rFonts w:hint="eastAsia"/>
          <w:b/>
          <w:color w:val="auto"/>
          <w:sz w:val="24"/>
        </w:rPr>
        <w:t>技术规格：</w:t>
      </w:r>
    </w:p>
    <w:p w14:paraId="1993212D">
      <w:pPr>
        <w:spacing w:line="360" w:lineRule="auto"/>
        <w:rPr>
          <w:bCs/>
          <w:color w:val="auto"/>
          <w:sz w:val="24"/>
        </w:rPr>
      </w:pPr>
      <w:r>
        <w:rPr>
          <w:rFonts w:hint="eastAsia"/>
          <w:bCs/>
          <w:color w:val="auto"/>
          <w:sz w:val="24"/>
        </w:rPr>
        <w:t>2.1 工作条件</w:t>
      </w:r>
    </w:p>
    <w:p w14:paraId="1833D38E">
      <w:pPr>
        <w:spacing w:line="360" w:lineRule="auto"/>
        <w:ind w:firstLine="480" w:firstLineChars="200"/>
        <w:rPr>
          <w:bCs/>
          <w:color w:val="auto"/>
          <w:sz w:val="24"/>
        </w:rPr>
      </w:pPr>
      <w:r>
        <w:rPr>
          <w:rFonts w:hint="eastAsia"/>
          <w:bCs/>
          <w:color w:val="auto"/>
          <w:sz w:val="24"/>
        </w:rPr>
        <w:t>2.1.1 工作电压：AC 220V(±15%)，50Hz，单相。</w:t>
      </w:r>
    </w:p>
    <w:p w14:paraId="339AF9CE">
      <w:pPr>
        <w:spacing w:line="360" w:lineRule="auto"/>
        <w:ind w:firstLine="480" w:firstLineChars="200"/>
        <w:rPr>
          <w:bCs/>
          <w:color w:val="auto"/>
          <w:sz w:val="24"/>
        </w:rPr>
      </w:pPr>
      <w:r>
        <w:rPr>
          <w:rFonts w:hint="eastAsia"/>
          <w:bCs/>
          <w:color w:val="auto"/>
          <w:sz w:val="24"/>
        </w:rPr>
        <w:t>2.1.2 环境温度：18～28℃。</w:t>
      </w:r>
    </w:p>
    <w:p w14:paraId="2C680B77">
      <w:pPr>
        <w:spacing w:line="360" w:lineRule="auto"/>
        <w:ind w:firstLine="480" w:firstLineChars="200"/>
        <w:rPr>
          <w:bCs/>
          <w:color w:val="auto"/>
          <w:sz w:val="24"/>
        </w:rPr>
      </w:pPr>
      <w:r>
        <w:rPr>
          <w:rFonts w:hint="eastAsia"/>
          <w:bCs/>
          <w:color w:val="auto"/>
          <w:sz w:val="24"/>
        </w:rPr>
        <w:t>2.1.3 相对湿度：20%~ 80%。</w:t>
      </w:r>
    </w:p>
    <w:p w14:paraId="159F2021">
      <w:pPr>
        <w:spacing w:line="360" w:lineRule="auto"/>
        <w:ind w:firstLine="480" w:firstLineChars="200"/>
        <w:rPr>
          <w:bCs/>
          <w:color w:val="auto"/>
          <w:sz w:val="24"/>
        </w:rPr>
      </w:pPr>
      <w:r>
        <w:rPr>
          <w:rFonts w:hint="eastAsia"/>
          <w:bCs/>
          <w:color w:val="auto"/>
          <w:sz w:val="24"/>
        </w:rPr>
        <w:t>2.1.4 仪器运行的持久性：可连续运行。</w:t>
      </w:r>
    </w:p>
    <w:p w14:paraId="0D90F9FF">
      <w:pPr>
        <w:spacing w:line="360" w:lineRule="auto"/>
        <w:rPr>
          <w:bCs/>
          <w:color w:val="auto"/>
          <w:sz w:val="24"/>
        </w:rPr>
      </w:pPr>
      <w:r>
        <w:rPr>
          <w:rFonts w:hint="eastAsia"/>
          <w:bCs/>
          <w:color w:val="auto"/>
          <w:sz w:val="24"/>
        </w:rPr>
        <w:t>2.2 X射线发生器及光路部分</w:t>
      </w:r>
    </w:p>
    <w:p w14:paraId="67C4E02D">
      <w:pPr>
        <w:spacing w:line="360" w:lineRule="auto"/>
        <w:rPr>
          <w:bCs/>
          <w:color w:val="auto"/>
          <w:sz w:val="24"/>
        </w:rPr>
      </w:pPr>
      <w:r>
        <w:rPr>
          <w:rFonts w:hint="eastAsia"/>
          <w:bCs/>
          <w:color w:val="auto"/>
          <w:sz w:val="24"/>
        </w:rPr>
        <w:t>2.2.1 Cu光源部分</w:t>
      </w:r>
    </w:p>
    <w:p w14:paraId="66C75913">
      <w:pPr>
        <w:spacing w:line="360" w:lineRule="auto"/>
        <w:ind w:firstLine="480" w:firstLineChars="200"/>
        <w:rPr>
          <w:bCs/>
          <w:color w:val="auto"/>
          <w:sz w:val="24"/>
        </w:rPr>
      </w:pPr>
      <w:r>
        <w:rPr>
          <w:rFonts w:hint="eastAsia" w:ascii="宋体" w:hAnsi="宋体" w:cs="宋体"/>
          <w:bCs/>
          <w:color w:val="auto"/>
          <w:sz w:val="24"/>
        </w:rPr>
        <w:t>*</w:t>
      </w:r>
      <w:r>
        <w:rPr>
          <w:rFonts w:hint="eastAsia"/>
          <w:bCs/>
          <w:color w:val="auto"/>
          <w:sz w:val="24"/>
        </w:rPr>
        <w:t>2.2.1.1 功率≥50W。</w:t>
      </w:r>
    </w:p>
    <w:p w14:paraId="6C369ACF">
      <w:pPr>
        <w:spacing w:line="360" w:lineRule="auto"/>
        <w:ind w:firstLine="480" w:firstLineChars="200"/>
        <w:rPr>
          <w:bCs/>
          <w:color w:val="auto"/>
          <w:sz w:val="24"/>
        </w:rPr>
      </w:pPr>
      <w:r>
        <w:rPr>
          <w:rFonts w:hint="eastAsia"/>
          <w:bCs/>
          <w:color w:val="auto"/>
          <w:sz w:val="24"/>
        </w:rPr>
        <w:t>2.2.1.2冷却方式：风冷。</w:t>
      </w:r>
    </w:p>
    <w:p w14:paraId="4ED175F9">
      <w:pPr>
        <w:spacing w:line="360" w:lineRule="auto"/>
        <w:ind w:firstLine="480" w:firstLineChars="200"/>
        <w:rPr>
          <w:bCs/>
          <w:color w:val="auto"/>
          <w:sz w:val="24"/>
        </w:rPr>
      </w:pPr>
      <w:r>
        <w:rPr>
          <w:rFonts w:hint="eastAsia"/>
          <w:bCs/>
          <w:color w:val="auto"/>
          <w:sz w:val="24"/>
        </w:rPr>
        <w:t>2.2.1.3 Cu光源类型：微焦斑X射线Cu光源 。</w:t>
      </w:r>
    </w:p>
    <w:p w14:paraId="70F0AE74">
      <w:pPr>
        <w:spacing w:line="360" w:lineRule="auto"/>
        <w:rPr>
          <w:bCs/>
          <w:color w:val="auto"/>
          <w:sz w:val="24"/>
        </w:rPr>
      </w:pPr>
      <w:r>
        <w:rPr>
          <w:rFonts w:hint="eastAsia"/>
          <w:bCs/>
          <w:color w:val="auto"/>
          <w:sz w:val="24"/>
        </w:rPr>
        <w:t>2.2.2 Mo光源部分</w:t>
      </w:r>
    </w:p>
    <w:p w14:paraId="38D1D7AC">
      <w:pPr>
        <w:spacing w:line="360" w:lineRule="auto"/>
        <w:ind w:firstLine="480" w:firstLineChars="200"/>
        <w:rPr>
          <w:bCs/>
          <w:color w:val="auto"/>
          <w:sz w:val="24"/>
        </w:rPr>
      </w:pPr>
      <w:r>
        <w:rPr>
          <w:rFonts w:hint="eastAsia" w:ascii="宋体" w:hAnsi="宋体" w:cs="宋体"/>
          <w:bCs/>
          <w:color w:val="auto"/>
          <w:sz w:val="24"/>
        </w:rPr>
        <w:t>*</w:t>
      </w:r>
      <w:r>
        <w:rPr>
          <w:rFonts w:hint="eastAsia"/>
          <w:bCs/>
          <w:color w:val="auto"/>
          <w:sz w:val="24"/>
        </w:rPr>
        <w:t>2.2.2.1功率≥80W。</w:t>
      </w:r>
    </w:p>
    <w:p w14:paraId="47C35916">
      <w:pPr>
        <w:spacing w:line="360" w:lineRule="auto"/>
        <w:ind w:firstLine="480" w:firstLineChars="200"/>
        <w:rPr>
          <w:bCs/>
          <w:color w:val="auto"/>
          <w:sz w:val="24"/>
        </w:rPr>
      </w:pPr>
      <w:r>
        <w:rPr>
          <w:rFonts w:hint="eastAsia"/>
          <w:bCs/>
          <w:color w:val="auto"/>
          <w:sz w:val="24"/>
        </w:rPr>
        <w:t>2.2.2.2冷却方式：风冷。</w:t>
      </w:r>
    </w:p>
    <w:p w14:paraId="0429FDA6">
      <w:pPr>
        <w:spacing w:line="360" w:lineRule="auto"/>
        <w:ind w:firstLine="480" w:firstLineChars="200"/>
        <w:rPr>
          <w:bCs/>
          <w:color w:val="auto"/>
          <w:sz w:val="24"/>
        </w:rPr>
      </w:pPr>
      <w:r>
        <w:rPr>
          <w:rFonts w:hint="eastAsia"/>
          <w:bCs/>
          <w:color w:val="auto"/>
          <w:sz w:val="24"/>
        </w:rPr>
        <w:t xml:space="preserve">2.2.2.3 Mo光源类型：微焦斑X射线Mo光源。 </w:t>
      </w:r>
    </w:p>
    <w:p w14:paraId="138A18D6">
      <w:pPr>
        <w:spacing w:line="360" w:lineRule="auto"/>
        <w:ind w:firstLine="480" w:firstLineChars="200"/>
        <w:rPr>
          <w:bCs/>
          <w:color w:val="auto"/>
          <w:sz w:val="24"/>
        </w:rPr>
      </w:pPr>
      <w:r>
        <w:rPr>
          <w:rFonts w:hint="eastAsia"/>
          <w:bCs/>
          <w:color w:val="auto"/>
          <w:sz w:val="24"/>
        </w:rPr>
        <w:t>2.2.2.4 Mo光源和Cu光源软件自动切换，都配备多层膜光学镜。</w:t>
      </w:r>
    </w:p>
    <w:p w14:paraId="3E99F009">
      <w:pPr>
        <w:spacing w:line="360" w:lineRule="auto"/>
        <w:ind w:firstLine="480" w:firstLineChars="200"/>
        <w:rPr>
          <w:bCs/>
          <w:color w:val="auto"/>
          <w:sz w:val="24"/>
        </w:rPr>
      </w:pPr>
      <w:r>
        <w:rPr>
          <w:rFonts w:hint="eastAsia" w:ascii="宋体" w:hAnsi="宋体" w:cs="宋体"/>
          <w:bCs/>
          <w:color w:val="auto"/>
          <w:sz w:val="24"/>
        </w:rPr>
        <w:t>*</w:t>
      </w:r>
      <w:r>
        <w:rPr>
          <w:rFonts w:hint="eastAsia"/>
          <w:bCs/>
          <w:color w:val="auto"/>
          <w:sz w:val="24"/>
        </w:rPr>
        <w:t>2.2.2.5 Mo靶和Cu靶必须具有独立发生器，互不影响。</w:t>
      </w:r>
    </w:p>
    <w:p w14:paraId="078A2C45">
      <w:pPr>
        <w:spacing w:line="360" w:lineRule="auto"/>
        <w:ind w:firstLine="480" w:firstLineChars="200"/>
        <w:rPr>
          <w:bCs/>
          <w:color w:val="auto"/>
          <w:sz w:val="24"/>
        </w:rPr>
      </w:pPr>
      <w:r>
        <w:rPr>
          <w:rFonts w:hint="eastAsia"/>
          <w:bCs/>
          <w:color w:val="auto"/>
          <w:sz w:val="24"/>
        </w:rPr>
        <w:t>#2.2.2.6 有安全保护机构，X射线防护符合ISO 9001国际标准。</w:t>
      </w:r>
    </w:p>
    <w:p w14:paraId="5217B4E1">
      <w:pPr>
        <w:spacing w:line="360" w:lineRule="auto"/>
        <w:rPr>
          <w:bCs/>
          <w:color w:val="auto"/>
          <w:sz w:val="24"/>
        </w:rPr>
      </w:pPr>
      <w:r>
        <w:rPr>
          <w:rFonts w:hint="eastAsia"/>
          <w:bCs/>
          <w:color w:val="auto"/>
          <w:sz w:val="24"/>
        </w:rPr>
        <w:t>2.2.3 测角仪部分</w:t>
      </w:r>
    </w:p>
    <w:p w14:paraId="51E35723">
      <w:pPr>
        <w:spacing w:line="360" w:lineRule="auto"/>
        <w:ind w:firstLine="480" w:firstLineChars="200"/>
        <w:rPr>
          <w:bCs/>
          <w:color w:val="auto"/>
          <w:sz w:val="24"/>
        </w:rPr>
      </w:pPr>
      <w:r>
        <w:rPr>
          <w:rFonts w:hint="eastAsia"/>
          <w:bCs/>
          <w:color w:val="auto"/>
          <w:sz w:val="24"/>
        </w:rPr>
        <w:t>2.2.3.1 测角仪采用光学编码器方式。</w:t>
      </w:r>
    </w:p>
    <w:p w14:paraId="2F89077C">
      <w:pPr>
        <w:spacing w:line="360" w:lineRule="auto"/>
        <w:ind w:firstLine="480" w:firstLineChars="200"/>
        <w:rPr>
          <w:bCs/>
          <w:color w:val="auto"/>
          <w:sz w:val="24"/>
        </w:rPr>
      </w:pPr>
      <w:r>
        <w:rPr>
          <w:rFonts w:hint="eastAsia"/>
          <w:bCs/>
          <w:color w:val="auto"/>
          <w:sz w:val="24"/>
        </w:rPr>
        <w:t>2.2.3.2 φ轴：360°旋转，重复精度≤0.001°。</w:t>
      </w:r>
    </w:p>
    <w:p w14:paraId="059E37BD">
      <w:pPr>
        <w:spacing w:line="360" w:lineRule="auto"/>
        <w:ind w:firstLine="480" w:firstLineChars="200"/>
        <w:rPr>
          <w:bCs/>
          <w:color w:val="auto"/>
          <w:sz w:val="24"/>
        </w:rPr>
      </w:pPr>
      <w:r>
        <w:rPr>
          <w:rFonts w:hint="eastAsia"/>
          <w:bCs/>
          <w:color w:val="auto"/>
          <w:sz w:val="24"/>
        </w:rPr>
        <w:t>2.2.3.3 ω轴：-270°～270°旋转，重复精度≤0.0002°。</w:t>
      </w:r>
    </w:p>
    <w:p w14:paraId="4B68F1FB">
      <w:pPr>
        <w:spacing w:line="360" w:lineRule="auto"/>
        <w:ind w:firstLine="480" w:firstLineChars="200"/>
        <w:rPr>
          <w:bCs/>
          <w:color w:val="auto"/>
          <w:sz w:val="24"/>
        </w:rPr>
      </w:pPr>
      <w:r>
        <w:rPr>
          <w:rFonts w:hint="eastAsia"/>
          <w:bCs/>
          <w:color w:val="auto"/>
          <w:sz w:val="24"/>
        </w:rPr>
        <w:t>2.2.3.4 Kappa：-175°～175°旋转，重复精度≤0.001°。</w:t>
      </w:r>
    </w:p>
    <w:p w14:paraId="0B50924D">
      <w:pPr>
        <w:spacing w:line="360" w:lineRule="auto"/>
        <w:ind w:firstLine="480" w:firstLineChars="200"/>
        <w:rPr>
          <w:bCs/>
          <w:color w:val="auto"/>
          <w:sz w:val="24"/>
        </w:rPr>
      </w:pPr>
      <w:r>
        <w:rPr>
          <w:rFonts w:hint="eastAsia"/>
          <w:bCs/>
          <w:color w:val="auto"/>
          <w:sz w:val="24"/>
        </w:rPr>
        <w:t>#2.2.3.5 球差保证：对心以后，任何移动，球差不超过7微米。</w:t>
      </w:r>
    </w:p>
    <w:p w14:paraId="3E8CC067">
      <w:pPr>
        <w:spacing w:line="360" w:lineRule="auto"/>
        <w:rPr>
          <w:bCs/>
          <w:color w:val="auto"/>
          <w:sz w:val="24"/>
        </w:rPr>
      </w:pPr>
      <w:r>
        <w:rPr>
          <w:rFonts w:hint="eastAsia"/>
          <w:bCs/>
          <w:color w:val="auto"/>
          <w:sz w:val="24"/>
        </w:rPr>
        <w:t>2.3 探测器</w:t>
      </w:r>
      <w:r>
        <w:rPr>
          <w:rFonts w:hint="eastAsia"/>
          <w:bCs/>
          <w:color w:val="auto"/>
          <w:sz w:val="24"/>
        </w:rPr>
        <w:tab/>
      </w:r>
    </w:p>
    <w:p w14:paraId="2C28D794">
      <w:pPr>
        <w:spacing w:line="360" w:lineRule="auto"/>
        <w:ind w:firstLine="480" w:firstLineChars="200"/>
        <w:rPr>
          <w:bCs/>
          <w:color w:val="auto"/>
          <w:sz w:val="24"/>
        </w:rPr>
      </w:pPr>
      <w:r>
        <w:rPr>
          <w:rFonts w:hint="eastAsia"/>
          <w:bCs/>
          <w:color w:val="auto"/>
          <w:sz w:val="24"/>
        </w:rPr>
        <w:t>2.3.1探测器类型：CMOS-CPAD单晶面探仪。</w:t>
      </w:r>
    </w:p>
    <w:p w14:paraId="10351E7B">
      <w:pPr>
        <w:spacing w:line="360" w:lineRule="auto"/>
        <w:ind w:firstLine="480" w:firstLineChars="200"/>
        <w:rPr>
          <w:bCs/>
          <w:color w:val="auto"/>
          <w:sz w:val="24"/>
        </w:rPr>
      </w:pPr>
      <w:r>
        <w:rPr>
          <w:rFonts w:hint="eastAsia" w:ascii="宋体" w:hAnsi="宋体" w:cs="宋体"/>
          <w:bCs/>
          <w:color w:val="auto"/>
          <w:sz w:val="24"/>
        </w:rPr>
        <w:t>*</w:t>
      </w:r>
      <w:r>
        <w:rPr>
          <w:rFonts w:hint="eastAsia"/>
          <w:bCs/>
          <w:color w:val="auto"/>
          <w:sz w:val="24"/>
        </w:rPr>
        <w:t>2.3.2探测器窗口尺寸：≥140×100 mm²，与芯片等大1:1耦合。</w:t>
      </w:r>
    </w:p>
    <w:p w14:paraId="644003A3">
      <w:pPr>
        <w:spacing w:line="360" w:lineRule="auto"/>
        <w:ind w:firstLine="480" w:firstLineChars="200"/>
        <w:rPr>
          <w:bCs/>
          <w:color w:val="auto"/>
          <w:sz w:val="24"/>
        </w:rPr>
      </w:pPr>
      <w:r>
        <w:rPr>
          <w:rFonts w:hint="eastAsia"/>
          <w:bCs/>
          <w:color w:val="auto"/>
          <w:sz w:val="24"/>
        </w:rPr>
        <w:t>2.3.3 探测器可移动距离范围：35～240 mm 。</w:t>
      </w:r>
    </w:p>
    <w:p w14:paraId="4848430A">
      <w:pPr>
        <w:spacing w:line="360" w:lineRule="auto"/>
        <w:ind w:firstLine="480" w:firstLineChars="200"/>
        <w:rPr>
          <w:bCs/>
          <w:color w:val="auto"/>
          <w:sz w:val="24"/>
        </w:rPr>
      </w:pPr>
      <w:r>
        <w:rPr>
          <w:rFonts w:hint="eastAsia" w:ascii="宋体" w:hAnsi="宋体" w:cs="宋体"/>
          <w:bCs/>
          <w:color w:val="auto"/>
          <w:sz w:val="24"/>
        </w:rPr>
        <w:t>*</w:t>
      </w:r>
      <w:r>
        <w:rPr>
          <w:rFonts w:hint="eastAsia"/>
          <w:bCs/>
          <w:color w:val="auto"/>
          <w:sz w:val="24"/>
        </w:rPr>
        <w:t>2.3.4无光纤传导, 无盲区。</w:t>
      </w:r>
    </w:p>
    <w:p w14:paraId="330FA20C">
      <w:pPr>
        <w:spacing w:line="360" w:lineRule="auto"/>
        <w:ind w:firstLine="480" w:firstLineChars="200"/>
        <w:rPr>
          <w:bCs/>
          <w:color w:val="auto"/>
          <w:sz w:val="24"/>
        </w:rPr>
      </w:pPr>
      <w:r>
        <w:rPr>
          <w:rFonts w:hint="eastAsia"/>
          <w:bCs/>
          <w:color w:val="auto"/>
          <w:sz w:val="24"/>
        </w:rPr>
        <w:t>2.3.5单光子检测效率：0.99。</w:t>
      </w:r>
    </w:p>
    <w:p w14:paraId="20DBF04A">
      <w:pPr>
        <w:spacing w:line="360" w:lineRule="auto"/>
        <w:ind w:firstLine="480" w:firstLineChars="200"/>
        <w:rPr>
          <w:bCs/>
          <w:color w:val="auto"/>
          <w:sz w:val="24"/>
        </w:rPr>
      </w:pPr>
      <w:r>
        <w:rPr>
          <w:rFonts w:hint="eastAsia" w:ascii="宋体" w:hAnsi="宋体" w:cs="宋体"/>
          <w:bCs/>
          <w:color w:val="auto"/>
          <w:sz w:val="24"/>
        </w:rPr>
        <w:t>*</w:t>
      </w:r>
      <w:r>
        <w:rPr>
          <w:rFonts w:hint="eastAsia"/>
          <w:bCs/>
          <w:color w:val="auto"/>
          <w:sz w:val="24"/>
        </w:rPr>
        <w:t>2.3.6制冷方式：风冷。</w:t>
      </w:r>
    </w:p>
    <w:p w14:paraId="3BEAA54E">
      <w:pPr>
        <w:spacing w:line="360" w:lineRule="auto"/>
        <w:ind w:firstLine="480" w:firstLineChars="200"/>
        <w:rPr>
          <w:bCs/>
          <w:color w:val="auto"/>
          <w:sz w:val="24"/>
        </w:rPr>
      </w:pPr>
      <w:r>
        <w:rPr>
          <w:rFonts w:hint="eastAsia"/>
          <w:bCs/>
          <w:color w:val="auto"/>
          <w:sz w:val="24"/>
        </w:rPr>
        <w:t>2.3.7 Shutterless技术，无读出时间，帧与帧之间无停顿。</w:t>
      </w:r>
    </w:p>
    <w:p w14:paraId="33275BCD">
      <w:pPr>
        <w:spacing w:line="360" w:lineRule="auto"/>
        <w:ind w:firstLine="480" w:firstLineChars="200"/>
        <w:rPr>
          <w:bCs/>
          <w:color w:val="auto"/>
          <w:sz w:val="24"/>
        </w:rPr>
      </w:pPr>
      <w:r>
        <w:rPr>
          <w:rFonts w:hint="eastAsia"/>
          <w:bCs/>
          <w:color w:val="auto"/>
          <w:sz w:val="24"/>
        </w:rPr>
        <w:t>2.3.8具有光子计数和电荷积分混合计数模式。</w:t>
      </w:r>
    </w:p>
    <w:p w14:paraId="39182A4A">
      <w:pPr>
        <w:spacing w:line="360" w:lineRule="auto"/>
        <w:rPr>
          <w:bCs/>
          <w:color w:val="auto"/>
          <w:sz w:val="24"/>
        </w:rPr>
      </w:pPr>
      <w:r>
        <w:rPr>
          <w:rFonts w:hint="eastAsia"/>
          <w:bCs/>
          <w:color w:val="auto"/>
          <w:sz w:val="24"/>
        </w:rPr>
        <w:t>2.4 应用软件</w:t>
      </w:r>
    </w:p>
    <w:p w14:paraId="687D7E9A">
      <w:pPr>
        <w:spacing w:line="360" w:lineRule="auto"/>
        <w:ind w:firstLine="480" w:firstLineChars="200"/>
        <w:rPr>
          <w:bCs/>
          <w:color w:val="auto"/>
          <w:sz w:val="24"/>
        </w:rPr>
      </w:pPr>
      <w:r>
        <w:rPr>
          <w:rFonts w:hint="eastAsia"/>
          <w:bCs/>
          <w:color w:val="auto"/>
          <w:sz w:val="24"/>
        </w:rPr>
        <w:t>2.4.1 主机控制、维护基本软件。</w:t>
      </w:r>
    </w:p>
    <w:p w14:paraId="55BCB5E6">
      <w:pPr>
        <w:spacing w:line="360" w:lineRule="auto"/>
        <w:ind w:firstLine="480" w:firstLineChars="200"/>
        <w:rPr>
          <w:bCs/>
          <w:color w:val="auto"/>
          <w:sz w:val="24"/>
        </w:rPr>
      </w:pPr>
      <w:r>
        <w:rPr>
          <w:rFonts w:hint="eastAsia"/>
          <w:bCs/>
          <w:color w:val="auto"/>
          <w:sz w:val="24"/>
        </w:rPr>
        <w:t>2.4.2 使用图形用户界面的单晶帧数据获取和成像软件。</w:t>
      </w:r>
    </w:p>
    <w:p w14:paraId="14A67236">
      <w:pPr>
        <w:spacing w:line="360" w:lineRule="auto"/>
        <w:ind w:firstLine="480" w:firstLineChars="200"/>
        <w:rPr>
          <w:bCs/>
          <w:color w:val="auto"/>
          <w:sz w:val="24"/>
        </w:rPr>
      </w:pPr>
      <w:r>
        <w:rPr>
          <w:rFonts w:hint="eastAsia"/>
          <w:bCs/>
          <w:color w:val="auto"/>
          <w:sz w:val="24"/>
        </w:rPr>
        <w:t>2.4.3 面探测器数据收集整体方案最优化组织软件。</w:t>
      </w:r>
    </w:p>
    <w:p w14:paraId="5F0C7133">
      <w:pPr>
        <w:spacing w:line="360" w:lineRule="auto"/>
        <w:ind w:firstLine="480" w:firstLineChars="200"/>
        <w:rPr>
          <w:bCs/>
          <w:color w:val="auto"/>
          <w:sz w:val="24"/>
        </w:rPr>
      </w:pPr>
      <w:r>
        <w:rPr>
          <w:rFonts w:hint="eastAsia"/>
          <w:bCs/>
          <w:color w:val="auto"/>
          <w:sz w:val="24"/>
        </w:rPr>
        <w:t>2.4.4 正版的商业版晶体结构最新分析软件包，具备晶体结构解析及精修所需要的所有功能。</w:t>
      </w:r>
    </w:p>
    <w:p w14:paraId="08D1B6AE">
      <w:pPr>
        <w:spacing w:line="360" w:lineRule="auto"/>
        <w:rPr>
          <w:bCs/>
          <w:color w:val="auto"/>
          <w:sz w:val="24"/>
        </w:rPr>
      </w:pPr>
      <w:r>
        <w:rPr>
          <w:rFonts w:hint="eastAsia"/>
          <w:bCs/>
          <w:color w:val="auto"/>
          <w:sz w:val="24"/>
        </w:rPr>
        <w:t>2.5 低温系统</w:t>
      </w:r>
    </w:p>
    <w:p w14:paraId="330BAA8A">
      <w:pPr>
        <w:spacing w:line="360" w:lineRule="auto"/>
        <w:ind w:firstLine="480" w:firstLineChars="200"/>
        <w:rPr>
          <w:bCs/>
          <w:color w:val="auto"/>
          <w:sz w:val="24"/>
        </w:rPr>
      </w:pPr>
      <w:r>
        <w:rPr>
          <w:rFonts w:hint="eastAsia"/>
          <w:bCs/>
          <w:color w:val="auto"/>
          <w:sz w:val="24"/>
        </w:rPr>
        <w:t>2.5.1 提供液氮低温系统。</w:t>
      </w:r>
    </w:p>
    <w:p w14:paraId="1038C40F">
      <w:pPr>
        <w:spacing w:line="360" w:lineRule="auto"/>
        <w:ind w:firstLine="480" w:firstLineChars="200"/>
        <w:rPr>
          <w:bCs/>
          <w:color w:val="auto"/>
          <w:sz w:val="24"/>
        </w:rPr>
      </w:pPr>
      <w:r>
        <w:rPr>
          <w:rFonts w:hint="eastAsia"/>
          <w:bCs/>
          <w:color w:val="auto"/>
          <w:sz w:val="24"/>
        </w:rPr>
        <w:t>2.5.2 控温范围：80K～500K。</w:t>
      </w:r>
    </w:p>
    <w:p w14:paraId="3D53028D">
      <w:pPr>
        <w:spacing w:line="360" w:lineRule="auto"/>
        <w:ind w:firstLine="480" w:firstLineChars="200"/>
        <w:rPr>
          <w:color w:val="auto"/>
          <w:kern w:val="0"/>
        </w:rPr>
      </w:pPr>
      <w:r>
        <w:rPr>
          <w:rFonts w:hint="eastAsia"/>
          <w:bCs/>
          <w:color w:val="auto"/>
          <w:sz w:val="24"/>
        </w:rPr>
        <w:t>2.5.3 控温精度：0.1K。</w:t>
      </w:r>
    </w:p>
    <w:p w14:paraId="5C3C99B4">
      <w:pPr>
        <w:spacing w:line="360" w:lineRule="auto"/>
        <w:ind w:firstLine="480"/>
        <w:rPr>
          <w:color w:val="auto"/>
          <w:sz w:val="24"/>
        </w:rPr>
      </w:pPr>
    </w:p>
    <w:p w14:paraId="2106F87F">
      <w:pPr>
        <w:numPr>
          <w:ilvl w:val="0"/>
          <w:numId w:val="2"/>
        </w:numPr>
        <w:spacing w:line="360" w:lineRule="auto"/>
        <w:rPr>
          <w:b/>
          <w:color w:val="auto"/>
          <w:sz w:val="24"/>
        </w:rPr>
      </w:pPr>
      <w:r>
        <w:rPr>
          <w:rFonts w:hint="eastAsia"/>
          <w:b/>
          <w:color w:val="auto"/>
          <w:sz w:val="24"/>
        </w:rPr>
        <w:t>产品配置要求</w:t>
      </w:r>
    </w:p>
    <w:p w14:paraId="67EDF8D3">
      <w:pPr>
        <w:numPr>
          <w:ilvl w:val="1"/>
          <w:numId w:val="3"/>
        </w:numPr>
        <w:spacing w:line="360" w:lineRule="auto"/>
        <w:rPr>
          <w:color w:val="auto"/>
          <w:sz w:val="24"/>
        </w:rPr>
      </w:pPr>
      <w:r>
        <w:rPr>
          <w:rFonts w:hint="eastAsia"/>
          <w:color w:val="auto"/>
          <w:sz w:val="24"/>
        </w:rPr>
        <w:t xml:space="preserve"> 产品主体部分说明: 包含并不限于以下：</w:t>
      </w:r>
    </w:p>
    <w:p w14:paraId="1B5B1E6A">
      <w:pPr>
        <w:numPr>
          <w:ilvl w:val="0"/>
          <w:numId w:val="4"/>
        </w:numPr>
        <w:spacing w:line="360" w:lineRule="auto"/>
        <w:rPr>
          <w:color w:val="auto"/>
          <w:sz w:val="24"/>
        </w:rPr>
      </w:pPr>
      <w:r>
        <w:rPr>
          <w:rFonts w:hint="eastAsia"/>
          <w:color w:val="auto"/>
          <w:sz w:val="24"/>
        </w:rPr>
        <w:t>单晶衍射仪主机机柜 1台</w:t>
      </w:r>
    </w:p>
    <w:p w14:paraId="5DAE5D9E">
      <w:pPr>
        <w:numPr>
          <w:ilvl w:val="0"/>
          <w:numId w:val="4"/>
        </w:numPr>
        <w:spacing w:line="360" w:lineRule="auto"/>
        <w:rPr>
          <w:color w:val="auto"/>
          <w:sz w:val="24"/>
        </w:rPr>
      </w:pPr>
      <w:r>
        <w:rPr>
          <w:rFonts w:hint="eastAsia"/>
          <w:color w:val="auto"/>
          <w:sz w:val="24"/>
        </w:rPr>
        <w:t>高压发生器 2台</w:t>
      </w:r>
    </w:p>
    <w:p w14:paraId="20E81362">
      <w:pPr>
        <w:numPr>
          <w:ilvl w:val="0"/>
          <w:numId w:val="4"/>
        </w:numPr>
        <w:spacing w:line="360" w:lineRule="auto"/>
        <w:rPr>
          <w:color w:val="auto"/>
          <w:sz w:val="24"/>
        </w:rPr>
      </w:pPr>
      <w:r>
        <w:rPr>
          <w:rFonts w:hint="eastAsia"/>
          <w:color w:val="auto"/>
          <w:sz w:val="24"/>
        </w:rPr>
        <w:t>Cu靶光管 1支</w:t>
      </w:r>
    </w:p>
    <w:p w14:paraId="09B8EEFA">
      <w:pPr>
        <w:numPr>
          <w:ilvl w:val="0"/>
          <w:numId w:val="4"/>
        </w:numPr>
        <w:spacing w:line="360" w:lineRule="auto"/>
        <w:rPr>
          <w:color w:val="auto"/>
          <w:sz w:val="24"/>
        </w:rPr>
      </w:pPr>
      <w:r>
        <w:rPr>
          <w:rFonts w:hint="eastAsia"/>
          <w:color w:val="auto"/>
          <w:sz w:val="24"/>
        </w:rPr>
        <w:t>Mo靶光管 1支</w:t>
      </w:r>
    </w:p>
    <w:p w14:paraId="0C0341DC">
      <w:pPr>
        <w:numPr>
          <w:ilvl w:val="0"/>
          <w:numId w:val="4"/>
        </w:numPr>
        <w:spacing w:line="360" w:lineRule="auto"/>
        <w:rPr>
          <w:color w:val="auto"/>
          <w:sz w:val="24"/>
        </w:rPr>
      </w:pPr>
      <w:r>
        <w:rPr>
          <w:rFonts w:hint="eastAsia"/>
          <w:color w:val="auto"/>
          <w:sz w:val="24"/>
        </w:rPr>
        <w:t>Kappa 测角仪 1台</w:t>
      </w:r>
    </w:p>
    <w:p w14:paraId="3FC05DD1">
      <w:pPr>
        <w:numPr>
          <w:ilvl w:val="0"/>
          <w:numId w:val="4"/>
        </w:numPr>
        <w:spacing w:line="360" w:lineRule="auto"/>
        <w:rPr>
          <w:color w:val="auto"/>
          <w:sz w:val="24"/>
        </w:rPr>
      </w:pPr>
      <w:r>
        <w:rPr>
          <w:rFonts w:hint="eastAsia"/>
          <w:color w:val="auto"/>
          <w:sz w:val="24"/>
        </w:rPr>
        <w:t>二维探测器 1台</w:t>
      </w:r>
    </w:p>
    <w:p w14:paraId="3183620D">
      <w:pPr>
        <w:numPr>
          <w:ilvl w:val="0"/>
          <w:numId w:val="4"/>
        </w:numPr>
        <w:spacing w:line="360" w:lineRule="auto"/>
        <w:rPr>
          <w:color w:val="auto"/>
          <w:sz w:val="24"/>
        </w:rPr>
      </w:pPr>
      <w:r>
        <w:rPr>
          <w:rFonts w:hint="eastAsia"/>
          <w:color w:val="auto"/>
          <w:sz w:val="24"/>
        </w:rPr>
        <w:t>液氮低温系统 1套</w:t>
      </w:r>
    </w:p>
    <w:p w14:paraId="44D22F8E">
      <w:pPr>
        <w:numPr>
          <w:ilvl w:val="0"/>
          <w:numId w:val="4"/>
        </w:numPr>
        <w:spacing w:line="360" w:lineRule="auto"/>
        <w:rPr>
          <w:color w:val="auto"/>
          <w:sz w:val="24"/>
        </w:rPr>
      </w:pPr>
      <w:r>
        <w:rPr>
          <w:rFonts w:hint="eastAsia"/>
          <w:color w:val="auto"/>
          <w:sz w:val="24"/>
        </w:rPr>
        <w:t>控制系统与分析软件系统 1套</w:t>
      </w:r>
    </w:p>
    <w:p w14:paraId="534C15E1">
      <w:pPr>
        <w:spacing w:line="360" w:lineRule="auto"/>
        <w:ind w:left="523" w:hanging="523" w:hangingChars="218"/>
        <w:rPr>
          <w:rFonts w:ascii="宋体"/>
          <w:color w:val="auto"/>
          <w:sz w:val="24"/>
        </w:rPr>
      </w:pPr>
      <w:r>
        <w:rPr>
          <w:rFonts w:hint="eastAsia"/>
          <w:color w:val="auto"/>
          <w:sz w:val="24"/>
        </w:rPr>
        <w:t>4.2 其它保证仪器设备的正常运行和常规保养所需的附件、专用工具和消耗品。</w:t>
      </w:r>
    </w:p>
    <w:p w14:paraId="54F04FD2">
      <w:pPr>
        <w:spacing w:line="360" w:lineRule="auto"/>
        <w:rPr>
          <w:color w:val="auto"/>
          <w:sz w:val="24"/>
        </w:rPr>
      </w:pPr>
    </w:p>
    <w:p w14:paraId="691043FE">
      <w:pPr>
        <w:spacing w:line="360" w:lineRule="auto"/>
        <w:rPr>
          <w:b/>
          <w:color w:val="auto"/>
          <w:sz w:val="24"/>
        </w:rPr>
      </w:pPr>
      <w:r>
        <w:rPr>
          <w:rFonts w:hint="eastAsia"/>
          <w:b/>
          <w:color w:val="auto"/>
          <w:sz w:val="24"/>
        </w:rPr>
        <w:t>（二）质保及售后服务：</w:t>
      </w:r>
    </w:p>
    <w:p w14:paraId="34DBBB99">
      <w:pPr>
        <w:spacing w:line="360" w:lineRule="auto"/>
        <w:rPr>
          <w:color w:val="auto"/>
          <w:sz w:val="24"/>
        </w:rPr>
      </w:pPr>
      <w:r>
        <w:rPr>
          <w:rFonts w:hint="eastAsia"/>
          <w:color w:val="auto"/>
          <w:sz w:val="24"/>
        </w:rPr>
        <w:t>1 设备安装调试</w:t>
      </w:r>
    </w:p>
    <w:p w14:paraId="02793C63">
      <w:pPr>
        <w:spacing w:line="360" w:lineRule="auto"/>
        <w:rPr>
          <w:color w:val="auto"/>
        </w:rPr>
      </w:pPr>
      <w:r>
        <w:rPr>
          <w:rFonts w:hint="eastAsia"/>
          <w:color w:val="auto"/>
          <w:sz w:val="24"/>
        </w:rPr>
        <w:t>仪器到货前，中标人需提供详细的场地要求条件。仪器到货后，由招标人与中标人约定安装时间，不超过仪器到货后二周内。设备安装调试一周内完成。安装完成后由中标人与中标人约定应用培训，不超过安装后二周内。</w:t>
      </w:r>
    </w:p>
    <w:p w14:paraId="2783CF79">
      <w:pPr>
        <w:spacing w:line="360" w:lineRule="auto"/>
        <w:rPr>
          <w:color w:val="auto"/>
          <w:sz w:val="24"/>
        </w:rPr>
      </w:pPr>
      <w:r>
        <w:rPr>
          <w:rFonts w:hint="eastAsia"/>
          <w:color w:val="auto"/>
          <w:sz w:val="24"/>
        </w:rPr>
        <w:t>2  技术培训</w:t>
      </w:r>
    </w:p>
    <w:p w14:paraId="5E7EAECC">
      <w:pPr>
        <w:spacing w:line="360" w:lineRule="auto"/>
        <w:rPr>
          <w:color w:val="auto"/>
          <w:sz w:val="24"/>
        </w:rPr>
      </w:pPr>
      <w:r>
        <w:rPr>
          <w:rFonts w:hint="eastAsia"/>
          <w:color w:val="auto"/>
          <w:sz w:val="24"/>
        </w:rPr>
        <w:t xml:space="preserve">投标人负责对招标人相关人员的培训内容包含如下: </w:t>
      </w:r>
    </w:p>
    <w:p w14:paraId="390B1E7A">
      <w:pPr>
        <w:spacing w:line="360" w:lineRule="auto"/>
        <w:rPr>
          <w:color w:val="auto"/>
          <w:sz w:val="24"/>
        </w:rPr>
      </w:pPr>
      <w:r>
        <w:rPr>
          <w:rFonts w:hint="eastAsia"/>
          <w:color w:val="auto"/>
          <w:sz w:val="24"/>
        </w:rPr>
        <w:t>提供现场应用培训，内容包含并不限于以下内容</w:t>
      </w:r>
    </w:p>
    <w:p w14:paraId="752EC9CF">
      <w:pPr>
        <w:spacing w:line="360" w:lineRule="auto"/>
        <w:ind w:firstLine="480" w:firstLineChars="200"/>
        <w:rPr>
          <w:color w:val="auto"/>
          <w:sz w:val="24"/>
        </w:rPr>
      </w:pPr>
      <w:r>
        <w:rPr>
          <w:rFonts w:hint="eastAsia"/>
          <w:color w:val="auto"/>
          <w:sz w:val="24"/>
        </w:rPr>
        <w:t>1）设备的基本原理、组成和功能培训</w:t>
      </w:r>
    </w:p>
    <w:p w14:paraId="1D2734A2">
      <w:pPr>
        <w:spacing w:line="360" w:lineRule="auto"/>
        <w:ind w:firstLine="480" w:firstLineChars="200"/>
        <w:rPr>
          <w:color w:val="auto"/>
          <w:sz w:val="24"/>
        </w:rPr>
      </w:pPr>
      <w:r>
        <w:rPr>
          <w:rFonts w:hint="eastAsia"/>
          <w:color w:val="auto"/>
          <w:sz w:val="24"/>
        </w:rPr>
        <w:t>2）操作工人的设备使用培训</w:t>
      </w:r>
    </w:p>
    <w:p w14:paraId="533206F1">
      <w:pPr>
        <w:spacing w:line="360" w:lineRule="auto"/>
        <w:ind w:firstLine="480" w:firstLineChars="200"/>
        <w:rPr>
          <w:color w:val="auto"/>
          <w:sz w:val="24"/>
        </w:rPr>
      </w:pPr>
      <w:r>
        <w:rPr>
          <w:rFonts w:hint="eastAsia"/>
          <w:color w:val="auto"/>
          <w:sz w:val="24"/>
        </w:rPr>
        <w:t>3）设备保养和维修培训</w:t>
      </w:r>
    </w:p>
    <w:p w14:paraId="60159771">
      <w:pPr>
        <w:spacing w:line="360" w:lineRule="auto"/>
        <w:ind w:firstLine="480" w:firstLineChars="200"/>
        <w:rPr>
          <w:color w:val="auto"/>
          <w:sz w:val="24"/>
        </w:rPr>
      </w:pPr>
      <w:r>
        <w:rPr>
          <w:rFonts w:hint="eastAsia"/>
          <w:color w:val="auto"/>
          <w:sz w:val="24"/>
        </w:rPr>
        <w:t>4）提供3人以上培训，指导招标人相关人员能够熟练使用投标产品</w:t>
      </w:r>
    </w:p>
    <w:p w14:paraId="34ADDF6E">
      <w:pPr>
        <w:spacing w:line="360" w:lineRule="auto"/>
        <w:rPr>
          <w:color w:val="auto"/>
          <w:sz w:val="24"/>
        </w:rPr>
      </w:pPr>
      <w:r>
        <w:rPr>
          <w:rFonts w:hint="eastAsia"/>
          <w:color w:val="auto"/>
          <w:sz w:val="24"/>
        </w:rPr>
        <w:t>3 质保期：1年，从验收合格之日起，整机质保1年，光管与探测器质保三年，保修期内，对设备本身的问题，除人为因素及不可抗力损坏外，全部免费维修。</w:t>
      </w:r>
    </w:p>
    <w:p w14:paraId="48FAD39A">
      <w:pPr>
        <w:spacing w:line="360" w:lineRule="auto"/>
        <w:rPr>
          <w:color w:val="auto"/>
          <w:sz w:val="24"/>
        </w:rPr>
      </w:pPr>
      <w:r>
        <w:rPr>
          <w:rFonts w:hint="eastAsia"/>
          <w:color w:val="auto"/>
          <w:sz w:val="24"/>
        </w:rPr>
        <w:t>4 维修响应时间：接到招标人服务请求后，投标人将在4小时内作出响应，3个工作日内到达。</w:t>
      </w:r>
    </w:p>
    <w:p w14:paraId="00AE7180">
      <w:pPr>
        <w:spacing w:line="360" w:lineRule="auto"/>
        <w:rPr>
          <w:b/>
          <w:color w:val="auto"/>
          <w:sz w:val="24"/>
        </w:rPr>
      </w:pPr>
    </w:p>
    <w:p w14:paraId="2A55B3FB">
      <w:pPr>
        <w:spacing w:line="360" w:lineRule="auto"/>
        <w:rPr>
          <w:b/>
          <w:color w:val="auto"/>
          <w:sz w:val="24"/>
        </w:rPr>
      </w:pPr>
      <w:r>
        <w:rPr>
          <w:rFonts w:hint="eastAsia"/>
          <w:b/>
          <w:color w:val="auto"/>
          <w:sz w:val="24"/>
        </w:rPr>
        <w:t>（三） 订货数量：</w:t>
      </w:r>
    </w:p>
    <w:p w14:paraId="34EA513C">
      <w:pPr>
        <w:spacing w:line="360" w:lineRule="auto"/>
        <w:ind w:firstLine="480" w:firstLineChars="200"/>
        <w:rPr>
          <w:color w:val="auto"/>
          <w:sz w:val="24"/>
        </w:rPr>
      </w:pPr>
      <w:r>
        <w:rPr>
          <w:rFonts w:hint="eastAsia"/>
          <w:color w:val="auto"/>
          <w:sz w:val="24"/>
        </w:rPr>
        <w:t>1套。</w:t>
      </w:r>
    </w:p>
    <w:p w14:paraId="253819C7">
      <w:pPr>
        <w:spacing w:line="360" w:lineRule="auto"/>
        <w:rPr>
          <w:color w:val="auto"/>
          <w:sz w:val="24"/>
        </w:rPr>
      </w:pPr>
    </w:p>
    <w:p w14:paraId="338B7BCA">
      <w:pPr>
        <w:spacing w:line="360" w:lineRule="auto"/>
        <w:rPr>
          <w:b/>
          <w:color w:val="auto"/>
          <w:sz w:val="24"/>
        </w:rPr>
      </w:pPr>
      <w:r>
        <w:rPr>
          <w:rFonts w:hint="eastAsia"/>
          <w:b/>
          <w:color w:val="auto"/>
          <w:sz w:val="24"/>
        </w:rPr>
        <w:t>（四）交货日期和交货地点（项目现场）：</w:t>
      </w:r>
    </w:p>
    <w:p w14:paraId="69F7258B">
      <w:pPr>
        <w:spacing w:line="360" w:lineRule="auto"/>
        <w:ind w:firstLine="480" w:firstLineChars="200"/>
        <w:rPr>
          <w:color w:val="auto"/>
          <w:sz w:val="24"/>
        </w:rPr>
      </w:pPr>
      <w:r>
        <w:rPr>
          <w:rFonts w:hint="eastAsia"/>
          <w:color w:val="auto"/>
          <w:sz w:val="24"/>
        </w:rPr>
        <w:t>交付时间：自合同签订之日起6个月内交付到货并验收合格。</w:t>
      </w:r>
    </w:p>
    <w:p w14:paraId="4187496E">
      <w:pPr>
        <w:spacing w:line="360" w:lineRule="auto"/>
        <w:ind w:firstLine="480" w:firstLineChars="200"/>
        <w:rPr>
          <w:color w:val="auto"/>
          <w:sz w:val="24"/>
        </w:rPr>
      </w:pPr>
      <w:r>
        <w:rPr>
          <w:rFonts w:hint="eastAsia"/>
          <w:color w:val="auto"/>
          <w:sz w:val="24"/>
        </w:rPr>
        <w:t>交付地点：江西赣州，中国科学院赣江创新研究院用户现场</w:t>
      </w:r>
    </w:p>
    <w:p w14:paraId="4347CBEF">
      <w:pPr>
        <w:spacing w:line="360" w:lineRule="auto"/>
        <w:rPr>
          <w:color w:val="auto"/>
          <w:sz w:val="24"/>
        </w:rPr>
      </w:pPr>
    </w:p>
    <w:p w14:paraId="0B1EEBE4">
      <w:pPr>
        <w:spacing w:line="360" w:lineRule="auto"/>
        <w:rPr>
          <w:color w:val="auto"/>
          <w:sz w:val="24"/>
        </w:rPr>
      </w:pPr>
      <w:r>
        <w:rPr>
          <w:rFonts w:hint="eastAsia"/>
          <w:b/>
          <w:bCs/>
          <w:color w:val="auto"/>
          <w:sz w:val="24"/>
        </w:rPr>
        <w:t>（五）付款方式：</w:t>
      </w:r>
      <w:r>
        <w:rPr>
          <w:rFonts w:hint="eastAsia"/>
          <w:color w:val="auto"/>
          <w:sz w:val="24"/>
        </w:rPr>
        <w:t xml:space="preserve">                                         </w:t>
      </w:r>
    </w:p>
    <w:p w14:paraId="0F35BAAA">
      <w:pPr>
        <w:spacing w:line="360" w:lineRule="auto"/>
        <w:ind w:firstLine="480" w:firstLineChars="200"/>
        <w:rPr>
          <w:color w:val="auto"/>
          <w:sz w:val="24"/>
        </w:rPr>
      </w:pPr>
      <w:r>
        <w:rPr>
          <w:rFonts w:hint="eastAsia"/>
          <w:color w:val="auto"/>
          <w:sz w:val="24"/>
        </w:rPr>
        <w:t>国产设备：合同签订后，乙方向甲方</w:t>
      </w:r>
      <w:r>
        <w:rPr>
          <w:color w:val="auto"/>
          <w:sz w:val="24"/>
        </w:rPr>
        <w:t>支付合同金额的</w:t>
      </w:r>
      <w:r>
        <w:rPr>
          <w:rFonts w:hint="eastAsia"/>
          <w:color w:val="auto"/>
          <w:sz w:val="24"/>
        </w:rPr>
        <w:t>10%</w:t>
      </w:r>
      <w:r>
        <w:rPr>
          <w:color w:val="auto"/>
          <w:sz w:val="24"/>
        </w:rPr>
        <w:t>作为履约保证金</w:t>
      </w:r>
      <w:r>
        <w:rPr>
          <w:rFonts w:hint="eastAsia"/>
          <w:color w:val="auto"/>
          <w:sz w:val="24"/>
        </w:rPr>
        <w:t>，</w:t>
      </w:r>
      <w:r>
        <w:rPr>
          <w:color w:val="auto"/>
          <w:sz w:val="24"/>
        </w:rPr>
        <w:t>履约保证金到款后</w:t>
      </w:r>
      <w:r>
        <w:rPr>
          <w:rFonts w:hint="eastAsia"/>
          <w:color w:val="auto"/>
          <w:sz w:val="24"/>
        </w:rPr>
        <w:t>,甲方向乙方支付合同总额的80%作为定金，乙方向甲方交付货物（包括有关技术资料）并经甲方验收合格且乙方向甲方提供正规合法发票后两周内，甲方向乙方支付剩余货款。履约保证金验收合格后凭用户签字的验收单无息返还。</w:t>
      </w:r>
    </w:p>
    <w:p w14:paraId="35E905C6">
      <w:pPr>
        <w:spacing w:line="360" w:lineRule="auto"/>
        <w:ind w:firstLine="480" w:firstLineChars="200"/>
        <w:rPr>
          <w:color w:val="auto"/>
          <w:sz w:val="24"/>
        </w:rPr>
      </w:pPr>
      <w:r>
        <w:rPr>
          <w:rFonts w:hint="eastAsia"/>
          <w:color w:val="auto"/>
          <w:sz w:val="24"/>
        </w:rPr>
        <w:t>进口设备：采用100%不可撤销信用证方式付款，即90%货款凭发货单据支付，10%货款凭用户单位签字盖章的验收报告支付。</w:t>
      </w:r>
    </w:p>
    <w:p w14:paraId="7020F7FB">
      <w:pPr>
        <w:spacing w:line="360" w:lineRule="auto"/>
        <w:rPr>
          <w:color w:val="auto"/>
          <w:sz w:val="24"/>
        </w:rPr>
      </w:pPr>
    </w:p>
    <w:p w14:paraId="23F4382B">
      <w:pPr>
        <w:adjustRightInd w:val="0"/>
        <w:snapToGrid w:val="0"/>
        <w:spacing w:after="156" w:afterLines="50" w:line="360" w:lineRule="auto"/>
        <w:jc w:val="center"/>
        <w:outlineLvl w:val="0"/>
        <w:rPr>
          <w:rFonts w:ascii="黑体" w:eastAsia="黑体"/>
          <w:b/>
          <w:color w:val="auto"/>
          <w:kern w:val="44"/>
          <w:sz w:val="48"/>
          <w:szCs w:val="20"/>
        </w:rPr>
      </w:pPr>
    </w:p>
    <w:p w14:paraId="65E6F6EE">
      <w:pPr>
        <w:widowControl/>
        <w:spacing w:line="360" w:lineRule="atLeast"/>
        <w:rPr>
          <w:rFonts w:hint="eastAsia" w:ascii="宋体" w:hAnsi="宋体"/>
          <w:b/>
          <w:color w:val="auto"/>
          <w:sz w:val="30"/>
          <w:szCs w:val="30"/>
        </w:rPr>
      </w:pPr>
    </w:p>
    <w:sectPr>
      <w:headerReference r:id="rId3" w:type="first"/>
      <w:footerReference r:id="rId5" w:type="first"/>
      <w:footerReference r:id="rId4"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FZShuSong-Z01">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DejaVuSans-Bold">
    <w:altName w:val="Segoe Print"/>
    <w:panose1 w:val="00000000000000000000"/>
    <w:charset w:val="00"/>
    <w:family w:val="auto"/>
    <w:pitch w:val="default"/>
    <w:sig w:usb0="00000000" w:usb1="00000000" w:usb2="00000000" w:usb3="00000000" w:csb0="00040001" w:csb1="00000000"/>
  </w:font>
  <w:font w:name="TimesNewRomanPSMT">
    <w:altName w:val="Times New Roman"/>
    <w:panose1 w:val="00000000000000000000"/>
    <w:charset w:val="00"/>
    <w:family w:val="swiss"/>
    <w:pitch w:val="default"/>
    <w:sig w:usb0="00000000" w:usb1="00000000" w:usb2="00000000" w:usb3="00000000" w:csb0="00000001" w:csb1="00000000"/>
  </w:font>
  <w:font w:name="DejaVuSans">
    <w:altName w:val="Segoe Print"/>
    <w:panose1 w:val="00000000000000000000"/>
    <w:charset w:val="00"/>
    <w:family w:val="auto"/>
    <w:pitch w:val="default"/>
    <w:sig w:usb0="00000000" w:usb1="00000000" w:usb2="00000000" w:usb3="00000000" w:csb0="00040001" w:csb1="00000000"/>
  </w:font>
  <w:font w:name="inherit">
    <w:altName w:val="Times New Roman"/>
    <w:panose1 w:val="00000000000000000000"/>
    <w:charset w:val="00"/>
    <w:family w:val="roman"/>
    <w:pitch w:val="default"/>
    <w:sig w:usb0="00000000" w:usb1="00000000" w:usb2="00000000" w:usb3="00000000" w:csb0="00040001" w:csb1="00000000"/>
  </w:font>
  <w:font w:name="time of new roman">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5F949">
    <w:pPr>
      <w:pStyle w:val="26"/>
      <w:jc w:val="center"/>
    </w:pPr>
    <w:r>
      <w:fldChar w:fldCharType="begin"/>
    </w:r>
    <w:r>
      <w:instrText xml:space="preserve">PAGE   \* MERGEFORMAT</w:instrText>
    </w:r>
    <w:r>
      <w:fldChar w:fldCharType="separate"/>
    </w:r>
    <w:r>
      <w:rPr>
        <w:lang w:val="zh-CN"/>
      </w:rPr>
      <w:t>86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83BAD">
    <w:pPr>
      <w:pStyle w:val="26"/>
      <w:jc w:val="center"/>
    </w:pPr>
    <w:r>
      <w:fldChar w:fldCharType="begin"/>
    </w:r>
    <w:r>
      <w:instrText xml:space="preserve">PAGE   \* MERGEFORMAT</w:instrText>
    </w:r>
    <w:r>
      <w:fldChar w:fldCharType="separate"/>
    </w:r>
    <w:r>
      <w:rPr>
        <w:lang w:val="zh-CN"/>
      </w:rPr>
      <w:t>62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EF33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9FA557"/>
    <w:multiLevelType w:val="singleLevel"/>
    <w:tmpl w:val="AE9FA557"/>
    <w:lvl w:ilvl="0" w:tentative="0">
      <w:start w:val="1"/>
      <w:numFmt w:val="bullet"/>
      <w:lvlText w:val=""/>
      <w:lvlJc w:val="left"/>
      <w:pPr>
        <w:ind w:left="420" w:hanging="420"/>
      </w:pPr>
      <w:rPr>
        <w:rFonts w:hint="default" w:ascii="Wingdings" w:hAnsi="Wingdings"/>
      </w:rPr>
    </w:lvl>
  </w:abstractNum>
  <w:abstractNum w:abstractNumId="1">
    <w:nsid w:val="D785B104"/>
    <w:multiLevelType w:val="singleLevel"/>
    <w:tmpl w:val="D785B104"/>
    <w:lvl w:ilvl="0" w:tentative="0">
      <w:start w:val="1"/>
      <w:numFmt w:val="chineseCounting"/>
      <w:suff w:val="nothing"/>
      <w:lvlText w:val="（%1）"/>
      <w:lvlJc w:val="left"/>
      <w:rPr>
        <w:rFonts w:hint="eastAsia"/>
      </w:rPr>
    </w:lvl>
  </w:abstractNum>
  <w:abstractNum w:abstractNumId="2">
    <w:nsid w:val="340F57DF"/>
    <w:multiLevelType w:val="multilevel"/>
    <w:tmpl w:val="340F57DF"/>
    <w:lvl w:ilvl="0" w:tentative="0">
      <w:start w:val="4"/>
      <w:numFmt w:val="decimal"/>
      <w:lvlText w:val="%1"/>
      <w:lvlJc w:val="left"/>
      <w:pPr>
        <w:tabs>
          <w:tab w:val="left" w:pos="360"/>
        </w:tabs>
        <w:ind w:left="360" w:hanging="360"/>
      </w:pPr>
      <w:rPr>
        <w:rFonts w:hint="eastAsia"/>
      </w:rPr>
    </w:lvl>
    <w:lvl w:ilvl="1" w:tentative="0">
      <w:start w:val="1"/>
      <w:numFmt w:val="decimal"/>
      <w:lvlText w:val="%1.%2"/>
      <w:lvlJc w:val="left"/>
      <w:pPr>
        <w:tabs>
          <w:tab w:val="left" w:pos="360"/>
        </w:tabs>
        <w:ind w:left="360" w:hanging="360"/>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720"/>
        </w:tabs>
        <w:ind w:left="720" w:hanging="720"/>
      </w:pPr>
      <w:rPr>
        <w:rFonts w:hint="eastAsia"/>
      </w:rPr>
    </w:lvl>
    <w:lvl w:ilvl="4" w:tentative="0">
      <w:start w:val="1"/>
      <w:numFmt w:val="decimal"/>
      <w:lvlText w:val="%1.%2.%3.%4.%5"/>
      <w:lvlJc w:val="left"/>
      <w:pPr>
        <w:tabs>
          <w:tab w:val="left" w:pos="1080"/>
        </w:tabs>
        <w:ind w:left="1080" w:hanging="1080"/>
      </w:pPr>
      <w:rPr>
        <w:rFonts w:hint="eastAsia"/>
      </w:rPr>
    </w:lvl>
    <w:lvl w:ilvl="5" w:tentative="0">
      <w:start w:val="1"/>
      <w:numFmt w:val="decimal"/>
      <w:lvlText w:val="%1.%2.%3.%4.%5.%6"/>
      <w:lvlJc w:val="left"/>
      <w:pPr>
        <w:tabs>
          <w:tab w:val="left" w:pos="1080"/>
        </w:tabs>
        <w:ind w:left="1080" w:hanging="1080"/>
      </w:pPr>
      <w:rPr>
        <w:rFonts w:hint="eastAsia"/>
      </w:rPr>
    </w:lvl>
    <w:lvl w:ilvl="6" w:tentative="0">
      <w:start w:val="1"/>
      <w:numFmt w:val="decimal"/>
      <w:lvlText w:val="%1.%2.%3.%4.%5.%6.%7"/>
      <w:lvlJc w:val="left"/>
      <w:pPr>
        <w:tabs>
          <w:tab w:val="left" w:pos="1440"/>
        </w:tabs>
        <w:ind w:left="1440" w:hanging="1440"/>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800"/>
        </w:tabs>
        <w:ind w:left="1800" w:hanging="1800"/>
      </w:pPr>
      <w:rPr>
        <w:rFonts w:hint="eastAsia"/>
      </w:rPr>
    </w:lvl>
  </w:abstractNum>
  <w:abstractNum w:abstractNumId="3">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Q2ODBlYzc0NjRkMTZiZDAzOTQwZmVlNGQ5MmQwMDMifQ=="/>
  </w:docVars>
  <w:rsids>
    <w:rsidRoot w:val="00FA3835"/>
    <w:rsid w:val="000050A2"/>
    <w:rsid w:val="00027C8D"/>
    <w:rsid w:val="00040005"/>
    <w:rsid w:val="000543E7"/>
    <w:rsid w:val="0006010D"/>
    <w:rsid w:val="000668DC"/>
    <w:rsid w:val="00081ADD"/>
    <w:rsid w:val="000969BB"/>
    <w:rsid w:val="000973D2"/>
    <w:rsid w:val="000B12EC"/>
    <w:rsid w:val="000B636A"/>
    <w:rsid w:val="000C1F98"/>
    <w:rsid w:val="000C325D"/>
    <w:rsid w:val="000C505C"/>
    <w:rsid w:val="000D1A3C"/>
    <w:rsid w:val="000E0B0C"/>
    <w:rsid w:val="000E17D4"/>
    <w:rsid w:val="000E4DA9"/>
    <w:rsid w:val="000F0512"/>
    <w:rsid w:val="000F4571"/>
    <w:rsid w:val="0010119A"/>
    <w:rsid w:val="00103352"/>
    <w:rsid w:val="00105333"/>
    <w:rsid w:val="00107AF4"/>
    <w:rsid w:val="001140D0"/>
    <w:rsid w:val="001235CA"/>
    <w:rsid w:val="00137D93"/>
    <w:rsid w:val="001437EA"/>
    <w:rsid w:val="001444BD"/>
    <w:rsid w:val="00144505"/>
    <w:rsid w:val="00144DDA"/>
    <w:rsid w:val="0014761F"/>
    <w:rsid w:val="00153F11"/>
    <w:rsid w:val="00154F47"/>
    <w:rsid w:val="00155A34"/>
    <w:rsid w:val="00164E27"/>
    <w:rsid w:val="001921CA"/>
    <w:rsid w:val="00194900"/>
    <w:rsid w:val="001A0E56"/>
    <w:rsid w:val="001A6E63"/>
    <w:rsid w:val="001B195C"/>
    <w:rsid w:val="001B62CC"/>
    <w:rsid w:val="001B66E1"/>
    <w:rsid w:val="001B6E57"/>
    <w:rsid w:val="001C2D2C"/>
    <w:rsid w:val="001D7301"/>
    <w:rsid w:val="001E1467"/>
    <w:rsid w:val="001E152C"/>
    <w:rsid w:val="001E3480"/>
    <w:rsid w:val="001F18B7"/>
    <w:rsid w:val="001F1D2B"/>
    <w:rsid w:val="001F5FAD"/>
    <w:rsid w:val="001F79B6"/>
    <w:rsid w:val="002024C7"/>
    <w:rsid w:val="00206639"/>
    <w:rsid w:val="0021259E"/>
    <w:rsid w:val="00213C28"/>
    <w:rsid w:val="00224FE7"/>
    <w:rsid w:val="00233C8A"/>
    <w:rsid w:val="00240E7B"/>
    <w:rsid w:val="00247ED0"/>
    <w:rsid w:val="00251DB7"/>
    <w:rsid w:val="002672D1"/>
    <w:rsid w:val="00275598"/>
    <w:rsid w:val="002761A3"/>
    <w:rsid w:val="0028124D"/>
    <w:rsid w:val="00282A80"/>
    <w:rsid w:val="00282F14"/>
    <w:rsid w:val="00292E0B"/>
    <w:rsid w:val="002B44BD"/>
    <w:rsid w:val="002B6E7A"/>
    <w:rsid w:val="002B7380"/>
    <w:rsid w:val="002C47B5"/>
    <w:rsid w:val="002D5C47"/>
    <w:rsid w:val="002E03AA"/>
    <w:rsid w:val="002E6A76"/>
    <w:rsid w:val="002F1704"/>
    <w:rsid w:val="002F6DE0"/>
    <w:rsid w:val="002F6FCA"/>
    <w:rsid w:val="002F7EF8"/>
    <w:rsid w:val="00301191"/>
    <w:rsid w:val="00322611"/>
    <w:rsid w:val="003248D5"/>
    <w:rsid w:val="00326D72"/>
    <w:rsid w:val="0033189B"/>
    <w:rsid w:val="003442AE"/>
    <w:rsid w:val="0034443A"/>
    <w:rsid w:val="003474B8"/>
    <w:rsid w:val="00353E66"/>
    <w:rsid w:val="00357C16"/>
    <w:rsid w:val="003637C6"/>
    <w:rsid w:val="003732CC"/>
    <w:rsid w:val="00373B63"/>
    <w:rsid w:val="00374F9A"/>
    <w:rsid w:val="0037697C"/>
    <w:rsid w:val="00382C0C"/>
    <w:rsid w:val="00397F24"/>
    <w:rsid w:val="003A298A"/>
    <w:rsid w:val="003B4F45"/>
    <w:rsid w:val="003B6193"/>
    <w:rsid w:val="003C172D"/>
    <w:rsid w:val="003C7092"/>
    <w:rsid w:val="003C785A"/>
    <w:rsid w:val="003D2B81"/>
    <w:rsid w:val="003F5F7A"/>
    <w:rsid w:val="004043A2"/>
    <w:rsid w:val="00404EA5"/>
    <w:rsid w:val="00415144"/>
    <w:rsid w:val="00420D92"/>
    <w:rsid w:val="0042297A"/>
    <w:rsid w:val="004362C7"/>
    <w:rsid w:val="0044106E"/>
    <w:rsid w:val="00446E68"/>
    <w:rsid w:val="00447503"/>
    <w:rsid w:val="00457522"/>
    <w:rsid w:val="0046038A"/>
    <w:rsid w:val="00471176"/>
    <w:rsid w:val="00484FF8"/>
    <w:rsid w:val="004A0EB1"/>
    <w:rsid w:val="004A3B49"/>
    <w:rsid w:val="004A5C14"/>
    <w:rsid w:val="004B3476"/>
    <w:rsid w:val="004B36B8"/>
    <w:rsid w:val="004C387C"/>
    <w:rsid w:val="004D0AB9"/>
    <w:rsid w:val="004E042A"/>
    <w:rsid w:val="004E4504"/>
    <w:rsid w:val="004F0FDE"/>
    <w:rsid w:val="004F3E07"/>
    <w:rsid w:val="00504FD3"/>
    <w:rsid w:val="00512882"/>
    <w:rsid w:val="005143FF"/>
    <w:rsid w:val="00516FEB"/>
    <w:rsid w:val="005244F5"/>
    <w:rsid w:val="00524665"/>
    <w:rsid w:val="00543C0A"/>
    <w:rsid w:val="0054699B"/>
    <w:rsid w:val="005515EB"/>
    <w:rsid w:val="0055226E"/>
    <w:rsid w:val="00552E7C"/>
    <w:rsid w:val="005601D0"/>
    <w:rsid w:val="005613B2"/>
    <w:rsid w:val="0056304A"/>
    <w:rsid w:val="0057066D"/>
    <w:rsid w:val="00572671"/>
    <w:rsid w:val="00591688"/>
    <w:rsid w:val="005916DF"/>
    <w:rsid w:val="00595627"/>
    <w:rsid w:val="00595D3F"/>
    <w:rsid w:val="00595EAC"/>
    <w:rsid w:val="005A2F5B"/>
    <w:rsid w:val="005A52D6"/>
    <w:rsid w:val="005C574A"/>
    <w:rsid w:val="005C613E"/>
    <w:rsid w:val="005D09A0"/>
    <w:rsid w:val="005D479D"/>
    <w:rsid w:val="005E416B"/>
    <w:rsid w:val="005E7A21"/>
    <w:rsid w:val="005F24B2"/>
    <w:rsid w:val="0060103A"/>
    <w:rsid w:val="00602911"/>
    <w:rsid w:val="00602A7A"/>
    <w:rsid w:val="0060509A"/>
    <w:rsid w:val="006125F5"/>
    <w:rsid w:val="00612A9B"/>
    <w:rsid w:val="00614D00"/>
    <w:rsid w:val="006225E2"/>
    <w:rsid w:val="0062676A"/>
    <w:rsid w:val="00640DB1"/>
    <w:rsid w:val="006416E9"/>
    <w:rsid w:val="0064545D"/>
    <w:rsid w:val="00646C82"/>
    <w:rsid w:val="00647CD5"/>
    <w:rsid w:val="006548A6"/>
    <w:rsid w:val="00655478"/>
    <w:rsid w:val="00664D7F"/>
    <w:rsid w:val="00673641"/>
    <w:rsid w:val="006858B6"/>
    <w:rsid w:val="0069730F"/>
    <w:rsid w:val="006A377B"/>
    <w:rsid w:val="006B0930"/>
    <w:rsid w:val="006C4384"/>
    <w:rsid w:val="006C5135"/>
    <w:rsid w:val="006C546E"/>
    <w:rsid w:val="006D29F2"/>
    <w:rsid w:val="006E2DE0"/>
    <w:rsid w:val="006E5A8E"/>
    <w:rsid w:val="0070081C"/>
    <w:rsid w:val="00706275"/>
    <w:rsid w:val="0071653B"/>
    <w:rsid w:val="00721985"/>
    <w:rsid w:val="00724C84"/>
    <w:rsid w:val="007252A8"/>
    <w:rsid w:val="00725C0A"/>
    <w:rsid w:val="0073119D"/>
    <w:rsid w:val="0073199C"/>
    <w:rsid w:val="007376B0"/>
    <w:rsid w:val="00740508"/>
    <w:rsid w:val="00743776"/>
    <w:rsid w:val="00751428"/>
    <w:rsid w:val="0075674B"/>
    <w:rsid w:val="00761F2B"/>
    <w:rsid w:val="00763B74"/>
    <w:rsid w:val="007731D0"/>
    <w:rsid w:val="00775B16"/>
    <w:rsid w:val="00785A0A"/>
    <w:rsid w:val="00787CED"/>
    <w:rsid w:val="007967F8"/>
    <w:rsid w:val="007A3772"/>
    <w:rsid w:val="007C2696"/>
    <w:rsid w:val="007C4C31"/>
    <w:rsid w:val="007C5EA5"/>
    <w:rsid w:val="007D381E"/>
    <w:rsid w:val="007D3EE2"/>
    <w:rsid w:val="007E03CA"/>
    <w:rsid w:val="007E6193"/>
    <w:rsid w:val="007F2F97"/>
    <w:rsid w:val="007F387D"/>
    <w:rsid w:val="007F7152"/>
    <w:rsid w:val="008203E6"/>
    <w:rsid w:val="00822633"/>
    <w:rsid w:val="00830107"/>
    <w:rsid w:val="00831B02"/>
    <w:rsid w:val="00833174"/>
    <w:rsid w:val="00846609"/>
    <w:rsid w:val="00852958"/>
    <w:rsid w:val="0085467F"/>
    <w:rsid w:val="00864F77"/>
    <w:rsid w:val="008661F8"/>
    <w:rsid w:val="008712FA"/>
    <w:rsid w:val="00876AA9"/>
    <w:rsid w:val="00876EFF"/>
    <w:rsid w:val="00882892"/>
    <w:rsid w:val="00883AB2"/>
    <w:rsid w:val="008861B2"/>
    <w:rsid w:val="00887A5A"/>
    <w:rsid w:val="00896377"/>
    <w:rsid w:val="008A09F5"/>
    <w:rsid w:val="008A4B18"/>
    <w:rsid w:val="008A738C"/>
    <w:rsid w:val="008B2645"/>
    <w:rsid w:val="008C36D3"/>
    <w:rsid w:val="008D0675"/>
    <w:rsid w:val="008D1425"/>
    <w:rsid w:val="008D3BC8"/>
    <w:rsid w:val="008D6F23"/>
    <w:rsid w:val="008E5EB5"/>
    <w:rsid w:val="008F04C7"/>
    <w:rsid w:val="008F21A5"/>
    <w:rsid w:val="008F2440"/>
    <w:rsid w:val="00914619"/>
    <w:rsid w:val="009202C8"/>
    <w:rsid w:val="009246BA"/>
    <w:rsid w:val="00930CDE"/>
    <w:rsid w:val="00935AA1"/>
    <w:rsid w:val="009451DC"/>
    <w:rsid w:val="009467F2"/>
    <w:rsid w:val="0095655E"/>
    <w:rsid w:val="009718ED"/>
    <w:rsid w:val="0097297B"/>
    <w:rsid w:val="0098154C"/>
    <w:rsid w:val="0098549E"/>
    <w:rsid w:val="009857EF"/>
    <w:rsid w:val="009941D8"/>
    <w:rsid w:val="009A2C18"/>
    <w:rsid w:val="009C0A0B"/>
    <w:rsid w:val="009C14BD"/>
    <w:rsid w:val="009D1AF8"/>
    <w:rsid w:val="009D32B1"/>
    <w:rsid w:val="009E1C84"/>
    <w:rsid w:val="009E32D4"/>
    <w:rsid w:val="009E4080"/>
    <w:rsid w:val="009E4DCB"/>
    <w:rsid w:val="009E580F"/>
    <w:rsid w:val="009F5A6A"/>
    <w:rsid w:val="00A01B3A"/>
    <w:rsid w:val="00A0205F"/>
    <w:rsid w:val="00A04E9D"/>
    <w:rsid w:val="00A06893"/>
    <w:rsid w:val="00A21886"/>
    <w:rsid w:val="00A25682"/>
    <w:rsid w:val="00A2638C"/>
    <w:rsid w:val="00A27417"/>
    <w:rsid w:val="00A27AFD"/>
    <w:rsid w:val="00A354A8"/>
    <w:rsid w:val="00A4031E"/>
    <w:rsid w:val="00A44A2B"/>
    <w:rsid w:val="00A46F60"/>
    <w:rsid w:val="00A53234"/>
    <w:rsid w:val="00A57F47"/>
    <w:rsid w:val="00AA7A0D"/>
    <w:rsid w:val="00AB113B"/>
    <w:rsid w:val="00AD2FD2"/>
    <w:rsid w:val="00AD41E6"/>
    <w:rsid w:val="00AD4ECF"/>
    <w:rsid w:val="00AD70C8"/>
    <w:rsid w:val="00AF6067"/>
    <w:rsid w:val="00B04039"/>
    <w:rsid w:val="00B07AAD"/>
    <w:rsid w:val="00B15273"/>
    <w:rsid w:val="00B16887"/>
    <w:rsid w:val="00B1746F"/>
    <w:rsid w:val="00B27A2B"/>
    <w:rsid w:val="00B31F00"/>
    <w:rsid w:val="00B351A2"/>
    <w:rsid w:val="00B41959"/>
    <w:rsid w:val="00B42C18"/>
    <w:rsid w:val="00B43CF7"/>
    <w:rsid w:val="00B44327"/>
    <w:rsid w:val="00B53944"/>
    <w:rsid w:val="00B61FDD"/>
    <w:rsid w:val="00B758E7"/>
    <w:rsid w:val="00B75B80"/>
    <w:rsid w:val="00B81149"/>
    <w:rsid w:val="00B8672D"/>
    <w:rsid w:val="00B94FB1"/>
    <w:rsid w:val="00BC7FBC"/>
    <w:rsid w:val="00BD11D6"/>
    <w:rsid w:val="00BD2A3B"/>
    <w:rsid w:val="00BD646D"/>
    <w:rsid w:val="00BD6A33"/>
    <w:rsid w:val="00BD7ED0"/>
    <w:rsid w:val="00BE5E06"/>
    <w:rsid w:val="00BE643E"/>
    <w:rsid w:val="00BE7CED"/>
    <w:rsid w:val="00BF59BF"/>
    <w:rsid w:val="00C056B5"/>
    <w:rsid w:val="00C10630"/>
    <w:rsid w:val="00C12939"/>
    <w:rsid w:val="00C14E3B"/>
    <w:rsid w:val="00C23BA4"/>
    <w:rsid w:val="00C241B2"/>
    <w:rsid w:val="00C34485"/>
    <w:rsid w:val="00C40AB3"/>
    <w:rsid w:val="00C43805"/>
    <w:rsid w:val="00C43E24"/>
    <w:rsid w:val="00C45235"/>
    <w:rsid w:val="00C60EF2"/>
    <w:rsid w:val="00C615B2"/>
    <w:rsid w:val="00C702F0"/>
    <w:rsid w:val="00C74553"/>
    <w:rsid w:val="00C8112C"/>
    <w:rsid w:val="00C87EF4"/>
    <w:rsid w:val="00CA623E"/>
    <w:rsid w:val="00CA630F"/>
    <w:rsid w:val="00CB4EB2"/>
    <w:rsid w:val="00CB7A41"/>
    <w:rsid w:val="00CC7A0B"/>
    <w:rsid w:val="00CD0A52"/>
    <w:rsid w:val="00CD0EEF"/>
    <w:rsid w:val="00CD64CD"/>
    <w:rsid w:val="00CE2041"/>
    <w:rsid w:val="00CE3059"/>
    <w:rsid w:val="00CE4960"/>
    <w:rsid w:val="00CE56FA"/>
    <w:rsid w:val="00CF0912"/>
    <w:rsid w:val="00D0060C"/>
    <w:rsid w:val="00D027B8"/>
    <w:rsid w:val="00D04134"/>
    <w:rsid w:val="00D0571C"/>
    <w:rsid w:val="00D0679B"/>
    <w:rsid w:val="00D11879"/>
    <w:rsid w:val="00D12547"/>
    <w:rsid w:val="00D22D44"/>
    <w:rsid w:val="00D378BA"/>
    <w:rsid w:val="00D40668"/>
    <w:rsid w:val="00D6263A"/>
    <w:rsid w:val="00D778D7"/>
    <w:rsid w:val="00D83934"/>
    <w:rsid w:val="00D861C3"/>
    <w:rsid w:val="00D91A0C"/>
    <w:rsid w:val="00D9239C"/>
    <w:rsid w:val="00D95955"/>
    <w:rsid w:val="00D979AB"/>
    <w:rsid w:val="00DA590C"/>
    <w:rsid w:val="00DA703D"/>
    <w:rsid w:val="00DB54CF"/>
    <w:rsid w:val="00DC1546"/>
    <w:rsid w:val="00DD2172"/>
    <w:rsid w:val="00DD4A09"/>
    <w:rsid w:val="00DD4C25"/>
    <w:rsid w:val="00DD6A1F"/>
    <w:rsid w:val="00DE4C00"/>
    <w:rsid w:val="00DE5C67"/>
    <w:rsid w:val="00DF2449"/>
    <w:rsid w:val="00DF7ACF"/>
    <w:rsid w:val="00E004CA"/>
    <w:rsid w:val="00E03391"/>
    <w:rsid w:val="00E0373B"/>
    <w:rsid w:val="00E07308"/>
    <w:rsid w:val="00E14474"/>
    <w:rsid w:val="00E179B5"/>
    <w:rsid w:val="00E26286"/>
    <w:rsid w:val="00E30AC2"/>
    <w:rsid w:val="00E33D84"/>
    <w:rsid w:val="00E34813"/>
    <w:rsid w:val="00E356D2"/>
    <w:rsid w:val="00E401B3"/>
    <w:rsid w:val="00E458DA"/>
    <w:rsid w:val="00E5687E"/>
    <w:rsid w:val="00E639CC"/>
    <w:rsid w:val="00E63D5B"/>
    <w:rsid w:val="00E671AD"/>
    <w:rsid w:val="00E83E40"/>
    <w:rsid w:val="00E857B8"/>
    <w:rsid w:val="00E907E5"/>
    <w:rsid w:val="00E943B8"/>
    <w:rsid w:val="00EA11F7"/>
    <w:rsid w:val="00EA20B9"/>
    <w:rsid w:val="00EA4549"/>
    <w:rsid w:val="00ED0B37"/>
    <w:rsid w:val="00ED22DF"/>
    <w:rsid w:val="00ED4C66"/>
    <w:rsid w:val="00ED6781"/>
    <w:rsid w:val="00EE4BD8"/>
    <w:rsid w:val="00EF5BA0"/>
    <w:rsid w:val="00F13600"/>
    <w:rsid w:val="00F15FC0"/>
    <w:rsid w:val="00F17042"/>
    <w:rsid w:val="00F175D1"/>
    <w:rsid w:val="00F21DA9"/>
    <w:rsid w:val="00F22A75"/>
    <w:rsid w:val="00F30C1E"/>
    <w:rsid w:val="00F3185D"/>
    <w:rsid w:val="00F35217"/>
    <w:rsid w:val="00F35C50"/>
    <w:rsid w:val="00F42D68"/>
    <w:rsid w:val="00F436FE"/>
    <w:rsid w:val="00F500D2"/>
    <w:rsid w:val="00F51A9D"/>
    <w:rsid w:val="00F57792"/>
    <w:rsid w:val="00F60048"/>
    <w:rsid w:val="00F6185A"/>
    <w:rsid w:val="00F73FE2"/>
    <w:rsid w:val="00F74944"/>
    <w:rsid w:val="00F8497C"/>
    <w:rsid w:val="00F91E41"/>
    <w:rsid w:val="00FA238D"/>
    <w:rsid w:val="00FA3835"/>
    <w:rsid w:val="00FA6816"/>
    <w:rsid w:val="00FB5D79"/>
    <w:rsid w:val="00FE3D91"/>
    <w:rsid w:val="00FE55D2"/>
    <w:rsid w:val="00FF5179"/>
    <w:rsid w:val="00FF728E"/>
    <w:rsid w:val="020B291A"/>
    <w:rsid w:val="02AB4DD0"/>
    <w:rsid w:val="03547F3F"/>
    <w:rsid w:val="053E2C54"/>
    <w:rsid w:val="059E166A"/>
    <w:rsid w:val="06F02823"/>
    <w:rsid w:val="0762073E"/>
    <w:rsid w:val="07CA7294"/>
    <w:rsid w:val="09120680"/>
    <w:rsid w:val="09A45050"/>
    <w:rsid w:val="09FA1199"/>
    <w:rsid w:val="0A5B05D9"/>
    <w:rsid w:val="0AE0030A"/>
    <w:rsid w:val="0D6B0DE4"/>
    <w:rsid w:val="0D8A6F81"/>
    <w:rsid w:val="0E39045D"/>
    <w:rsid w:val="0E936CC2"/>
    <w:rsid w:val="0EE967FA"/>
    <w:rsid w:val="0F4075C9"/>
    <w:rsid w:val="0F4672D5"/>
    <w:rsid w:val="0F4E40DD"/>
    <w:rsid w:val="0F6F4465"/>
    <w:rsid w:val="10E279BE"/>
    <w:rsid w:val="114210F7"/>
    <w:rsid w:val="122E6778"/>
    <w:rsid w:val="124949E7"/>
    <w:rsid w:val="145F6743"/>
    <w:rsid w:val="15D708BB"/>
    <w:rsid w:val="15F52619"/>
    <w:rsid w:val="17174344"/>
    <w:rsid w:val="17CB6513"/>
    <w:rsid w:val="17CF1F0B"/>
    <w:rsid w:val="17E30CEE"/>
    <w:rsid w:val="185D6BC0"/>
    <w:rsid w:val="18F934D7"/>
    <w:rsid w:val="19AE7309"/>
    <w:rsid w:val="1A18361C"/>
    <w:rsid w:val="1A902BB0"/>
    <w:rsid w:val="1ACD6988"/>
    <w:rsid w:val="1B9E3D36"/>
    <w:rsid w:val="1BBA3A2F"/>
    <w:rsid w:val="1C5212F4"/>
    <w:rsid w:val="1C686EB5"/>
    <w:rsid w:val="1C8F2A04"/>
    <w:rsid w:val="1C9126A7"/>
    <w:rsid w:val="1D2D7D33"/>
    <w:rsid w:val="1D8B6157"/>
    <w:rsid w:val="1DAC27D3"/>
    <w:rsid w:val="20365C75"/>
    <w:rsid w:val="20863AF3"/>
    <w:rsid w:val="20FD3BD3"/>
    <w:rsid w:val="218B2C39"/>
    <w:rsid w:val="22597BF6"/>
    <w:rsid w:val="227819CB"/>
    <w:rsid w:val="23256975"/>
    <w:rsid w:val="23423424"/>
    <w:rsid w:val="240C4724"/>
    <w:rsid w:val="243F7370"/>
    <w:rsid w:val="25F21FF6"/>
    <w:rsid w:val="26053E04"/>
    <w:rsid w:val="26DD3CEE"/>
    <w:rsid w:val="27F05BD9"/>
    <w:rsid w:val="28101164"/>
    <w:rsid w:val="29060CF9"/>
    <w:rsid w:val="2A8E004C"/>
    <w:rsid w:val="2B6A1BE2"/>
    <w:rsid w:val="2CB90995"/>
    <w:rsid w:val="2D5179CF"/>
    <w:rsid w:val="2DD413AD"/>
    <w:rsid w:val="2ED5581D"/>
    <w:rsid w:val="2F25260C"/>
    <w:rsid w:val="308A097E"/>
    <w:rsid w:val="319039E6"/>
    <w:rsid w:val="32085AE3"/>
    <w:rsid w:val="327F0D3B"/>
    <w:rsid w:val="331167E6"/>
    <w:rsid w:val="331A4758"/>
    <w:rsid w:val="3369385E"/>
    <w:rsid w:val="33CA23C6"/>
    <w:rsid w:val="35174105"/>
    <w:rsid w:val="35C0542C"/>
    <w:rsid w:val="363642B5"/>
    <w:rsid w:val="36BB516D"/>
    <w:rsid w:val="372B2789"/>
    <w:rsid w:val="384F06F9"/>
    <w:rsid w:val="386C5CD5"/>
    <w:rsid w:val="395026E3"/>
    <w:rsid w:val="39A43A9C"/>
    <w:rsid w:val="3AE72E6B"/>
    <w:rsid w:val="3AFF33E8"/>
    <w:rsid w:val="3C1616C0"/>
    <w:rsid w:val="3C2D3B80"/>
    <w:rsid w:val="3CEB0376"/>
    <w:rsid w:val="3D476359"/>
    <w:rsid w:val="3D9A658C"/>
    <w:rsid w:val="3DE10046"/>
    <w:rsid w:val="3DEE1D80"/>
    <w:rsid w:val="3DF338D5"/>
    <w:rsid w:val="3EA378DA"/>
    <w:rsid w:val="3EF73899"/>
    <w:rsid w:val="3F651E10"/>
    <w:rsid w:val="426C16E4"/>
    <w:rsid w:val="43D85920"/>
    <w:rsid w:val="442F62DC"/>
    <w:rsid w:val="443B5FD6"/>
    <w:rsid w:val="459220B9"/>
    <w:rsid w:val="46DB7A17"/>
    <w:rsid w:val="48333FF5"/>
    <w:rsid w:val="485E6BC5"/>
    <w:rsid w:val="49FA5FEB"/>
    <w:rsid w:val="4A3E0C6F"/>
    <w:rsid w:val="4B914BF5"/>
    <w:rsid w:val="4C7D3400"/>
    <w:rsid w:val="4CB230FF"/>
    <w:rsid w:val="4D413CB4"/>
    <w:rsid w:val="4EE564B0"/>
    <w:rsid w:val="4F54664B"/>
    <w:rsid w:val="4F8D414D"/>
    <w:rsid w:val="4FFC159D"/>
    <w:rsid w:val="51CD3614"/>
    <w:rsid w:val="522400A9"/>
    <w:rsid w:val="5285323E"/>
    <w:rsid w:val="531539E5"/>
    <w:rsid w:val="539514D4"/>
    <w:rsid w:val="53D55AFF"/>
    <w:rsid w:val="53FC6986"/>
    <w:rsid w:val="54A60BE9"/>
    <w:rsid w:val="55664C9E"/>
    <w:rsid w:val="559A7000"/>
    <w:rsid w:val="5628185A"/>
    <w:rsid w:val="562B3395"/>
    <w:rsid w:val="56770AFB"/>
    <w:rsid w:val="573C6F55"/>
    <w:rsid w:val="57D63A28"/>
    <w:rsid w:val="57F95C42"/>
    <w:rsid w:val="581B6CF3"/>
    <w:rsid w:val="58527420"/>
    <w:rsid w:val="585F0652"/>
    <w:rsid w:val="591A5625"/>
    <w:rsid w:val="5980136F"/>
    <w:rsid w:val="59DD58A1"/>
    <w:rsid w:val="5AE900E2"/>
    <w:rsid w:val="5C7F1F93"/>
    <w:rsid w:val="5D89084C"/>
    <w:rsid w:val="5E72647F"/>
    <w:rsid w:val="5E834DD9"/>
    <w:rsid w:val="5ED74E21"/>
    <w:rsid w:val="5F236DE7"/>
    <w:rsid w:val="5F985DB5"/>
    <w:rsid w:val="602867A0"/>
    <w:rsid w:val="608E3660"/>
    <w:rsid w:val="617B7B59"/>
    <w:rsid w:val="620B4DE2"/>
    <w:rsid w:val="621505DC"/>
    <w:rsid w:val="625D22A8"/>
    <w:rsid w:val="63025693"/>
    <w:rsid w:val="648D7D30"/>
    <w:rsid w:val="65000DB1"/>
    <w:rsid w:val="657340D8"/>
    <w:rsid w:val="65C0401D"/>
    <w:rsid w:val="66104799"/>
    <w:rsid w:val="662648F8"/>
    <w:rsid w:val="665F1537"/>
    <w:rsid w:val="678637AF"/>
    <w:rsid w:val="67D85B6C"/>
    <w:rsid w:val="68ED6A71"/>
    <w:rsid w:val="69244664"/>
    <w:rsid w:val="69317B0A"/>
    <w:rsid w:val="69F67FAD"/>
    <w:rsid w:val="6AEC527D"/>
    <w:rsid w:val="6C042FCD"/>
    <w:rsid w:val="6C67192F"/>
    <w:rsid w:val="6CE60189"/>
    <w:rsid w:val="6D7B5A76"/>
    <w:rsid w:val="6E04301E"/>
    <w:rsid w:val="6F135C55"/>
    <w:rsid w:val="6F215C44"/>
    <w:rsid w:val="6F5A2F04"/>
    <w:rsid w:val="732820F7"/>
    <w:rsid w:val="734D446A"/>
    <w:rsid w:val="740972B4"/>
    <w:rsid w:val="747A6D7B"/>
    <w:rsid w:val="74C80B12"/>
    <w:rsid w:val="77FE4FE3"/>
    <w:rsid w:val="78C830A0"/>
    <w:rsid w:val="78D36201"/>
    <w:rsid w:val="792F1A3C"/>
    <w:rsid w:val="79B5177D"/>
    <w:rsid w:val="79CD520C"/>
    <w:rsid w:val="7A463EB9"/>
    <w:rsid w:val="7A8377B3"/>
    <w:rsid w:val="7D9D4043"/>
    <w:rsid w:val="7E7E42FA"/>
    <w:rsid w:val="7E9D0BC6"/>
    <w:rsid w:val="7F8942DD"/>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6"/>
    <w:qFormat/>
    <w:uiPriority w:val="0"/>
    <w:pPr>
      <w:keepNext/>
      <w:keepLines/>
      <w:spacing w:before="260" w:after="260" w:line="416" w:lineRule="auto"/>
      <w:outlineLvl w:val="2"/>
    </w:pPr>
    <w:rPr>
      <w:b/>
      <w:bCs/>
      <w:sz w:val="32"/>
      <w:szCs w:val="32"/>
    </w:rPr>
  </w:style>
  <w:style w:type="paragraph" w:styleId="7">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4"/>
    <w:qFormat/>
    <w:uiPriority w:val="0"/>
    <w:pPr>
      <w:keepNext/>
      <w:keepLines/>
      <w:spacing w:before="280" w:after="290" w:line="376" w:lineRule="auto"/>
      <w:outlineLvl w:val="4"/>
    </w:pPr>
    <w:rPr>
      <w:b/>
      <w:sz w:val="28"/>
      <w:szCs w:val="20"/>
    </w:rPr>
  </w:style>
  <w:style w:type="paragraph" w:styleId="9">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10">
    <w:name w:val="heading 7"/>
    <w:basedOn w:val="1"/>
    <w:next w:val="4"/>
    <w:qFormat/>
    <w:uiPriority w:val="0"/>
    <w:pPr>
      <w:keepNext/>
      <w:keepLines/>
      <w:spacing w:before="240" w:after="64" w:line="320" w:lineRule="auto"/>
      <w:outlineLvl w:val="6"/>
    </w:pPr>
    <w:rPr>
      <w:b/>
      <w:sz w:val="24"/>
      <w:szCs w:val="20"/>
    </w:rPr>
  </w:style>
  <w:style w:type="paragraph" w:styleId="11">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2">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customStyle="1" w:styleId="6">
    <w:name w:val="样式 标题 3 + 右侧:  0.49 字符"/>
    <w:basedOn w:val="5"/>
    <w:qFormat/>
    <w:uiPriority w:val="99"/>
    <w:pPr>
      <w:tabs>
        <w:tab w:val="left" w:pos="720"/>
      </w:tabs>
      <w:ind w:right="137" w:firstLine="138" w:firstLineChars="49"/>
    </w:pPr>
  </w:style>
  <w:style w:type="paragraph" w:styleId="13">
    <w:name w:val="toc 7"/>
    <w:basedOn w:val="1"/>
    <w:next w:val="1"/>
    <w:qFormat/>
    <w:uiPriority w:val="0"/>
    <w:pPr>
      <w:ind w:left="2520" w:leftChars="1200"/>
    </w:pPr>
    <w:rPr>
      <w:rFonts w:ascii="Cambria" w:hAnsi="Cambria"/>
      <w:szCs w:val="21"/>
    </w:rPr>
  </w:style>
  <w:style w:type="paragraph" w:styleId="14">
    <w:name w:val="Document Map"/>
    <w:basedOn w:val="1"/>
    <w:semiHidden/>
    <w:qFormat/>
    <w:uiPriority w:val="0"/>
    <w:pPr>
      <w:shd w:val="clear" w:color="auto" w:fill="000080"/>
    </w:pPr>
  </w:style>
  <w:style w:type="paragraph" w:styleId="15">
    <w:name w:val="annotation text"/>
    <w:basedOn w:val="1"/>
    <w:link w:val="47"/>
    <w:qFormat/>
    <w:uiPriority w:val="99"/>
    <w:pPr>
      <w:jc w:val="left"/>
    </w:pPr>
    <w:rPr>
      <w:rFonts w:ascii="Cambria" w:hAnsi="Cambria"/>
      <w:szCs w:val="21"/>
    </w:rPr>
  </w:style>
  <w:style w:type="paragraph" w:styleId="16">
    <w:name w:val="Body Text 3"/>
    <w:basedOn w:val="1"/>
    <w:qFormat/>
    <w:uiPriority w:val="0"/>
    <w:pPr>
      <w:widowControl/>
      <w:ind w:right="720"/>
      <w:jc w:val="left"/>
    </w:pPr>
    <w:rPr>
      <w:kern w:val="0"/>
      <w:sz w:val="20"/>
      <w:szCs w:val="20"/>
      <w:lang w:eastAsia="en-US"/>
    </w:rPr>
  </w:style>
  <w:style w:type="paragraph" w:styleId="17">
    <w:name w:val="Body Text"/>
    <w:basedOn w:val="1"/>
    <w:qFormat/>
    <w:uiPriority w:val="0"/>
    <w:pPr>
      <w:tabs>
        <w:tab w:val="left" w:pos="567"/>
      </w:tabs>
      <w:spacing w:before="120" w:line="22" w:lineRule="atLeast"/>
    </w:pPr>
    <w:rPr>
      <w:rFonts w:ascii="宋体" w:hAnsi="宋体"/>
      <w:sz w:val="24"/>
    </w:rPr>
  </w:style>
  <w:style w:type="paragraph" w:styleId="18">
    <w:name w:val="Body Text Indent"/>
    <w:basedOn w:val="1"/>
    <w:qFormat/>
    <w:uiPriority w:val="0"/>
    <w:pPr>
      <w:spacing w:after="120"/>
      <w:ind w:left="420" w:leftChars="200"/>
    </w:pPr>
  </w:style>
  <w:style w:type="paragraph" w:styleId="19">
    <w:name w:val="toc 5"/>
    <w:basedOn w:val="1"/>
    <w:next w:val="1"/>
    <w:qFormat/>
    <w:uiPriority w:val="0"/>
    <w:pPr>
      <w:ind w:left="1680" w:leftChars="800"/>
    </w:pPr>
    <w:rPr>
      <w:rFonts w:ascii="Cambria" w:hAnsi="Cambria"/>
      <w:szCs w:val="21"/>
    </w:rPr>
  </w:style>
  <w:style w:type="paragraph" w:styleId="20">
    <w:name w:val="toc 3"/>
    <w:basedOn w:val="1"/>
    <w:next w:val="1"/>
    <w:qFormat/>
    <w:uiPriority w:val="0"/>
    <w:pPr>
      <w:ind w:left="840" w:leftChars="400"/>
    </w:pPr>
    <w:rPr>
      <w:rFonts w:ascii="Cambria" w:hAnsi="Cambria"/>
      <w:szCs w:val="21"/>
    </w:rPr>
  </w:style>
  <w:style w:type="paragraph" w:styleId="21">
    <w:name w:val="Plain Text"/>
    <w:basedOn w:val="1"/>
    <w:link w:val="48"/>
    <w:qFormat/>
    <w:uiPriority w:val="99"/>
    <w:rPr>
      <w:rFonts w:ascii="宋体" w:hAnsi="Courier New"/>
      <w:szCs w:val="20"/>
    </w:rPr>
  </w:style>
  <w:style w:type="paragraph" w:styleId="22">
    <w:name w:val="toc 8"/>
    <w:basedOn w:val="1"/>
    <w:next w:val="1"/>
    <w:qFormat/>
    <w:uiPriority w:val="0"/>
    <w:pPr>
      <w:ind w:left="2940" w:leftChars="1400"/>
    </w:pPr>
    <w:rPr>
      <w:rFonts w:ascii="Cambria" w:hAnsi="Cambria"/>
      <w:szCs w:val="21"/>
    </w:rPr>
  </w:style>
  <w:style w:type="paragraph" w:styleId="23">
    <w:name w:val="Date"/>
    <w:basedOn w:val="1"/>
    <w:next w:val="1"/>
    <w:link w:val="49"/>
    <w:qFormat/>
    <w:uiPriority w:val="0"/>
    <w:rPr>
      <w:szCs w:val="20"/>
    </w:rPr>
  </w:style>
  <w:style w:type="paragraph" w:styleId="24">
    <w:name w:val="Body Text Indent 2"/>
    <w:basedOn w:val="1"/>
    <w:qFormat/>
    <w:uiPriority w:val="0"/>
    <w:pPr>
      <w:ind w:firstLine="480" w:firstLineChars="200"/>
    </w:pPr>
    <w:rPr>
      <w:rFonts w:ascii="仿宋_GB2312" w:eastAsia="仿宋_GB2312"/>
      <w:sz w:val="24"/>
    </w:rPr>
  </w:style>
  <w:style w:type="paragraph" w:styleId="25">
    <w:name w:val="Balloon Text"/>
    <w:basedOn w:val="1"/>
    <w:semiHidden/>
    <w:qFormat/>
    <w:uiPriority w:val="0"/>
    <w:rPr>
      <w:sz w:val="18"/>
      <w:szCs w:val="18"/>
    </w:rPr>
  </w:style>
  <w:style w:type="paragraph" w:styleId="26">
    <w:name w:val="footer"/>
    <w:basedOn w:val="1"/>
    <w:link w:val="50"/>
    <w:qFormat/>
    <w:uiPriority w:val="99"/>
    <w:pPr>
      <w:tabs>
        <w:tab w:val="center" w:pos="4153"/>
        <w:tab w:val="right" w:pos="8306"/>
      </w:tabs>
      <w:snapToGrid w:val="0"/>
      <w:jc w:val="left"/>
    </w:pPr>
    <w:rPr>
      <w:sz w:val="18"/>
      <w:szCs w:val="18"/>
    </w:rPr>
  </w:style>
  <w:style w:type="paragraph" w:styleId="27">
    <w:name w:val="header"/>
    <w:basedOn w:val="1"/>
    <w:link w:val="51"/>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9">
    <w:name w:val="toc 4"/>
    <w:basedOn w:val="1"/>
    <w:next w:val="1"/>
    <w:qFormat/>
    <w:uiPriority w:val="0"/>
    <w:pPr>
      <w:ind w:left="1260" w:leftChars="600"/>
    </w:pPr>
    <w:rPr>
      <w:rFonts w:ascii="Cambria" w:hAnsi="Cambria"/>
      <w:szCs w:val="21"/>
    </w:rPr>
  </w:style>
  <w:style w:type="paragraph" w:styleId="30">
    <w:name w:val="toc 6"/>
    <w:basedOn w:val="1"/>
    <w:next w:val="1"/>
    <w:qFormat/>
    <w:uiPriority w:val="0"/>
    <w:pPr>
      <w:ind w:left="2100" w:leftChars="1000"/>
    </w:pPr>
    <w:rPr>
      <w:rFonts w:ascii="Cambria" w:hAnsi="Cambria"/>
      <w:szCs w:val="21"/>
    </w:rPr>
  </w:style>
  <w:style w:type="paragraph" w:styleId="31">
    <w:name w:val="Body Text Indent 3"/>
    <w:basedOn w:val="1"/>
    <w:link w:val="52"/>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2">
    <w:name w:val="toc 2"/>
    <w:basedOn w:val="1"/>
    <w:next w:val="1"/>
    <w:qFormat/>
    <w:uiPriority w:val="0"/>
    <w:pPr>
      <w:spacing w:before="120" w:line="360" w:lineRule="auto"/>
    </w:pPr>
    <w:rPr>
      <w:rFonts w:ascii="仿宋_GB2312" w:hAnsi="宋体" w:eastAsia="仿宋_GB2312" w:cs="仿宋_GB2312"/>
      <w:b/>
      <w:bCs/>
      <w:sz w:val="24"/>
    </w:rPr>
  </w:style>
  <w:style w:type="paragraph" w:styleId="33">
    <w:name w:val="toc 9"/>
    <w:basedOn w:val="1"/>
    <w:next w:val="1"/>
    <w:qFormat/>
    <w:uiPriority w:val="0"/>
    <w:pPr>
      <w:ind w:left="3360" w:leftChars="1600"/>
    </w:pPr>
    <w:rPr>
      <w:rFonts w:ascii="Cambria" w:hAnsi="Cambria"/>
      <w:szCs w:val="21"/>
    </w:rPr>
  </w:style>
  <w:style w:type="paragraph" w:styleId="34">
    <w:name w:val="Body Text 2"/>
    <w:basedOn w:val="1"/>
    <w:qFormat/>
    <w:uiPriority w:val="0"/>
    <w:pPr>
      <w:widowControl/>
    </w:pPr>
    <w:rPr>
      <w:kern w:val="0"/>
      <w:sz w:val="20"/>
      <w:szCs w:val="20"/>
      <w:lang w:eastAsia="en-US"/>
    </w:rPr>
  </w:style>
  <w:style w:type="paragraph" w:styleId="3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6">
    <w:name w:val="index 1"/>
    <w:basedOn w:val="1"/>
    <w:next w:val="1"/>
    <w:qFormat/>
    <w:uiPriority w:val="0"/>
    <w:rPr>
      <w:rFonts w:ascii="Cambria" w:hAnsi="Cambria"/>
      <w:szCs w:val="21"/>
    </w:rPr>
  </w:style>
  <w:style w:type="paragraph" w:styleId="37">
    <w:name w:val="Title"/>
    <w:basedOn w:val="1"/>
    <w:qFormat/>
    <w:uiPriority w:val="0"/>
    <w:pPr>
      <w:jc w:val="center"/>
    </w:pPr>
    <w:rPr>
      <w:sz w:val="30"/>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22"/>
    <w:rPr>
      <w:b/>
      <w:bCs/>
    </w:rPr>
  </w:style>
  <w:style w:type="character" w:styleId="42">
    <w:name w:val="page number"/>
    <w:qFormat/>
    <w:uiPriority w:val="0"/>
  </w:style>
  <w:style w:type="character" w:styleId="43">
    <w:name w:val="FollowedHyperlink"/>
    <w:qFormat/>
    <w:uiPriority w:val="0"/>
    <w:rPr>
      <w:color w:val="800080"/>
      <w:u w:val="single"/>
    </w:rPr>
  </w:style>
  <w:style w:type="character" w:styleId="44">
    <w:name w:val="Emphasis"/>
    <w:qFormat/>
    <w:uiPriority w:val="20"/>
    <w:rPr>
      <w:i/>
      <w:iCs/>
    </w:rPr>
  </w:style>
  <w:style w:type="character" w:styleId="45">
    <w:name w:val="Hyperlink"/>
    <w:qFormat/>
    <w:uiPriority w:val="99"/>
    <w:rPr>
      <w:color w:val="0000FF"/>
      <w:u w:val="single"/>
    </w:rPr>
  </w:style>
  <w:style w:type="character" w:styleId="46">
    <w:name w:val="annotation reference"/>
    <w:basedOn w:val="40"/>
    <w:qFormat/>
    <w:uiPriority w:val="99"/>
    <w:rPr>
      <w:sz w:val="21"/>
      <w:szCs w:val="21"/>
    </w:rPr>
  </w:style>
  <w:style w:type="character" w:customStyle="1" w:styleId="47">
    <w:name w:val="批注文字 字符"/>
    <w:link w:val="15"/>
    <w:qFormat/>
    <w:uiPriority w:val="99"/>
    <w:rPr>
      <w:rFonts w:ascii="Cambria" w:hAnsi="Cambria"/>
      <w:kern w:val="2"/>
      <w:sz w:val="21"/>
      <w:szCs w:val="21"/>
    </w:rPr>
  </w:style>
  <w:style w:type="character" w:customStyle="1" w:styleId="48">
    <w:name w:val="纯文本 字符"/>
    <w:link w:val="21"/>
    <w:qFormat/>
    <w:uiPriority w:val="99"/>
    <w:rPr>
      <w:rFonts w:ascii="宋体" w:hAnsi="Courier New"/>
      <w:kern w:val="2"/>
      <w:sz w:val="21"/>
    </w:rPr>
  </w:style>
  <w:style w:type="character" w:customStyle="1" w:styleId="49">
    <w:name w:val="日期 字符"/>
    <w:link w:val="23"/>
    <w:qFormat/>
    <w:uiPriority w:val="0"/>
    <w:rPr>
      <w:rFonts w:eastAsia="宋体"/>
      <w:kern w:val="2"/>
      <w:sz w:val="21"/>
      <w:lang w:val="en-US" w:eastAsia="zh-CN" w:bidi="ar-SA"/>
    </w:rPr>
  </w:style>
  <w:style w:type="character" w:customStyle="1" w:styleId="50">
    <w:name w:val="页脚 字符"/>
    <w:link w:val="26"/>
    <w:qFormat/>
    <w:uiPriority w:val="99"/>
    <w:rPr>
      <w:kern w:val="2"/>
      <w:sz w:val="18"/>
      <w:szCs w:val="18"/>
    </w:rPr>
  </w:style>
  <w:style w:type="character" w:customStyle="1" w:styleId="51">
    <w:name w:val="页眉 字符"/>
    <w:link w:val="27"/>
    <w:qFormat/>
    <w:uiPriority w:val="0"/>
    <w:rPr>
      <w:kern w:val="2"/>
      <w:sz w:val="18"/>
      <w:szCs w:val="18"/>
    </w:rPr>
  </w:style>
  <w:style w:type="character" w:customStyle="1" w:styleId="52">
    <w:name w:val="正文文本缩进 3 字符"/>
    <w:link w:val="31"/>
    <w:qFormat/>
    <w:uiPriority w:val="0"/>
    <w:rPr>
      <w:rFonts w:ascii="宋体" w:hAnsi="Cambria" w:cs="宋体"/>
      <w:sz w:val="24"/>
      <w:szCs w:val="24"/>
    </w:rPr>
  </w:style>
  <w:style w:type="character" w:customStyle="1" w:styleId="53">
    <w:name w:val="Char"/>
    <w:qFormat/>
    <w:uiPriority w:val="0"/>
    <w:rPr>
      <w:rFonts w:ascii="宋体" w:hAnsi="Courier New" w:eastAsia="宋体"/>
      <w:kern w:val="2"/>
      <w:sz w:val="21"/>
      <w:lang w:val="en-US" w:eastAsia="zh-CN" w:bidi="ar-SA"/>
    </w:rPr>
  </w:style>
  <w:style w:type="paragraph" w:customStyle="1" w:styleId="54">
    <w:name w:val="Char1"/>
    <w:basedOn w:val="1"/>
    <w:qFormat/>
    <w:uiPriority w:val="0"/>
    <w:rPr>
      <w:rFonts w:ascii="Tahoma" w:hAnsi="Tahoma"/>
      <w:sz w:val="24"/>
      <w:szCs w:val="20"/>
    </w:rPr>
  </w:style>
  <w:style w:type="paragraph" w:customStyle="1" w:styleId="55">
    <w:name w:val="彩色列表 - 强调文字颜色 11"/>
    <w:basedOn w:val="1"/>
    <w:qFormat/>
    <w:uiPriority w:val="34"/>
    <w:pPr>
      <w:ind w:firstLine="420" w:firstLineChars="200"/>
    </w:pPr>
    <w:rPr>
      <w:rFonts w:ascii="Calibri" w:hAnsi="Calibri"/>
      <w:szCs w:val="22"/>
    </w:rPr>
  </w:style>
  <w:style w:type="paragraph" w:customStyle="1" w:styleId="56">
    <w:name w:val="正文文本 21"/>
    <w:basedOn w:val="1"/>
    <w:qFormat/>
    <w:uiPriority w:val="0"/>
    <w:pPr>
      <w:adjustRightInd w:val="0"/>
      <w:spacing w:before="120" w:line="360" w:lineRule="auto"/>
      <w:ind w:firstLine="480"/>
      <w:textAlignment w:val="baseline"/>
    </w:pPr>
    <w:rPr>
      <w:sz w:val="24"/>
      <w:szCs w:val="20"/>
    </w:rPr>
  </w:style>
  <w:style w:type="paragraph" w:customStyle="1" w:styleId="57">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58">
    <w:name w:val="正文文本缩进 21"/>
    <w:basedOn w:val="1"/>
    <w:qFormat/>
    <w:uiPriority w:val="0"/>
    <w:pPr>
      <w:adjustRightInd w:val="0"/>
      <w:spacing w:before="120"/>
      <w:ind w:firstLine="420"/>
      <w:textAlignment w:val="baseline"/>
    </w:pPr>
    <w:rPr>
      <w:sz w:val="24"/>
      <w:szCs w:val="20"/>
    </w:rPr>
  </w:style>
  <w:style w:type="character" w:customStyle="1" w:styleId="59">
    <w:name w:val="Char2"/>
    <w:qFormat/>
    <w:uiPriority w:val="0"/>
    <w:rPr>
      <w:rFonts w:ascii="宋体" w:hAnsi="Courier New" w:eastAsia="宋体" w:cs="宋体"/>
      <w:kern w:val="2"/>
      <w:sz w:val="21"/>
      <w:szCs w:val="21"/>
      <w:lang w:val="en-US" w:eastAsia="zh-CN"/>
    </w:rPr>
  </w:style>
  <w:style w:type="paragraph" w:customStyle="1" w:styleId="60">
    <w:name w:val="标题1"/>
    <w:basedOn w:val="37"/>
    <w:qFormat/>
    <w:uiPriority w:val="0"/>
    <w:pPr>
      <w:spacing w:before="240" w:after="240"/>
      <w:outlineLvl w:val="0"/>
    </w:pPr>
    <w:rPr>
      <w:rFonts w:ascii="Arial" w:hAnsi="Arial" w:cs="Arial"/>
      <w:b/>
      <w:bCs/>
      <w:spacing w:val="2"/>
      <w:sz w:val="44"/>
      <w:szCs w:val="44"/>
    </w:rPr>
  </w:style>
  <w:style w:type="paragraph" w:customStyle="1" w:styleId="61">
    <w:name w:val="附录标题3"/>
    <w:basedOn w:val="1"/>
    <w:next w:val="4"/>
    <w:qFormat/>
    <w:uiPriority w:val="0"/>
    <w:pPr>
      <w:tabs>
        <w:tab w:val="left" w:pos="1080"/>
        <w:tab w:val="left" w:pos="2880"/>
      </w:tabs>
      <w:ind w:left="2880" w:hanging="720"/>
      <w:outlineLvl w:val="0"/>
    </w:pPr>
    <w:rPr>
      <w:rFonts w:ascii="Arial" w:hAnsi="Arial" w:cs="Arial"/>
      <w:sz w:val="24"/>
    </w:rPr>
  </w:style>
  <w:style w:type="paragraph" w:customStyle="1" w:styleId="62">
    <w:name w:val="样式"/>
    <w:basedOn w:val="1"/>
    <w:next w:val="21"/>
    <w:qFormat/>
    <w:uiPriority w:val="0"/>
    <w:rPr>
      <w:rFonts w:ascii="宋体" w:hAnsi="Courier New" w:cs="宋体"/>
      <w:szCs w:val="21"/>
    </w:rPr>
  </w:style>
  <w:style w:type="paragraph" w:customStyle="1" w:styleId="63">
    <w:name w:val="Char11"/>
    <w:basedOn w:val="1"/>
    <w:qFormat/>
    <w:uiPriority w:val="0"/>
    <w:rPr>
      <w:rFonts w:ascii="Tahoma" w:hAnsi="Tahoma"/>
      <w:sz w:val="24"/>
      <w:szCs w:val="20"/>
    </w:rPr>
  </w:style>
  <w:style w:type="paragraph" w:customStyle="1" w:styleId="64">
    <w:name w:val="Char Char Char Char"/>
    <w:basedOn w:val="1"/>
    <w:qFormat/>
    <w:uiPriority w:val="0"/>
    <w:pPr>
      <w:spacing w:after="160" w:line="240" w:lineRule="exact"/>
    </w:pPr>
    <w:rPr>
      <w:rFonts w:ascii="Cambria" w:hAnsi="Cambria"/>
      <w:szCs w:val="21"/>
    </w:rPr>
  </w:style>
  <w:style w:type="paragraph" w:customStyle="1" w:styleId="65">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6">
    <w:name w:val="List Paragraph"/>
    <w:basedOn w:val="1"/>
    <w:qFormat/>
    <w:uiPriority w:val="34"/>
    <w:pPr>
      <w:ind w:left="205" w:right="169" w:firstLine="655"/>
    </w:pPr>
    <w:rPr>
      <w:rFonts w:ascii="Cambria" w:hAnsi="Cambria"/>
      <w:szCs w:val="21"/>
    </w:rPr>
  </w:style>
  <w:style w:type="table" w:customStyle="1" w:styleId="67">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6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69">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character" w:customStyle="1" w:styleId="70">
    <w:name w:val="font21"/>
    <w:qFormat/>
    <w:uiPriority w:val="0"/>
    <w:rPr>
      <w:rFonts w:hint="eastAsia" w:ascii="宋体" w:hAnsi="宋体" w:eastAsia="宋体" w:cs="宋体"/>
      <w:color w:val="000000"/>
      <w:sz w:val="24"/>
      <w:szCs w:val="24"/>
      <w:u w:val="none"/>
    </w:rPr>
  </w:style>
  <w:style w:type="character" w:customStyle="1" w:styleId="71">
    <w:name w:val="font31"/>
    <w:qFormat/>
    <w:uiPriority w:val="0"/>
    <w:rPr>
      <w:rFonts w:hint="default" w:ascii="Times New Roman" w:hAnsi="Times New Roman" w:cs="Times New Roman"/>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8</Pages>
  <Words>1651</Words>
  <Characters>1917</Characters>
  <Lines>1476</Lines>
  <Paragraphs>1428</Paragraphs>
  <TotalTime>5</TotalTime>
  <ScaleCrop>false</ScaleCrop>
  <LinksUpToDate>false</LinksUpToDate>
  <CharactersWithSpaces>2010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2025-11-25T12:17:00Z</dcterms:created>
  <dc:creator>caowuning</dc:creator>
  <cp:lastModifiedBy>WPS_1696988631</cp:lastModifiedBy>
  <cp:lastPrinted>2009-04-21T09:03:00Z</cp:lastPrinted>
  <dcterms:modified xsi:type="dcterms:W3CDTF">2025-11-28T10:14:25Z</dcterms:modified>
  <dc:title>北 京 市 政 府 采 购</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B4B6AC32F40E4937A9F0D903BD45B8A5_13</vt:lpwstr>
  </property>
  <property fmtid="{D5CDD505-2E9C-101B-9397-08002B2CF9AE}" pid="4" name="KSOTemplateDocerSaveRecord">
    <vt:lpwstr>eyJoZGlkIjoiNDRkMDI2NDgyMDM1MjdhNDJhODI2ZWZiMTFjMWM3N2EiLCJ1c2VySWQiOiIxNTQ4NTkyMzgwIn0=</vt:lpwstr>
  </property>
</Properties>
</file>