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C7852">
      <w:pPr>
        <w:pStyle w:val="21"/>
        <w:ind w:left="0" w:leftChars="0" w:firstLine="0" w:firstLineChars="0"/>
        <w:jc w:val="center"/>
        <w:rPr>
          <w:rFonts w:hint="eastAsia"/>
          <w:color w:val="auto"/>
          <w:sz w:val="48"/>
          <w:szCs w:val="48"/>
          <w:highlight w:val="none"/>
          <w:lang w:val="en-US" w:eastAsia="zh-CN"/>
        </w:rPr>
      </w:pPr>
      <w:r>
        <w:rPr>
          <w:rFonts w:hint="eastAsia" w:ascii="宋体" w:hAnsi="宋体" w:cs="Times New Roman"/>
          <w:b/>
          <w:color w:val="auto"/>
          <w:spacing w:val="20"/>
          <w:kern w:val="2"/>
          <w:sz w:val="48"/>
          <w:szCs w:val="48"/>
          <w:highlight w:val="none"/>
          <w:lang w:val="en-US" w:eastAsia="zh-CN" w:bidi="ar-SA"/>
        </w:rPr>
        <w:t>梁河县中心敬老院消防安全标准化提升工程</w:t>
      </w:r>
    </w:p>
    <w:p w14:paraId="48CFFBD6">
      <w:pPr>
        <w:pStyle w:val="22"/>
        <w:rPr>
          <w:color w:val="auto"/>
          <w:highlight w:val="none"/>
        </w:rPr>
      </w:pPr>
    </w:p>
    <w:p w14:paraId="57BBE0B0"/>
    <w:p w14:paraId="53FDB822">
      <w:pPr>
        <w:rPr>
          <w:color w:val="auto"/>
        </w:rPr>
      </w:pPr>
    </w:p>
    <w:p w14:paraId="20D9D8A5">
      <w:pPr>
        <w:rPr>
          <w:color w:val="auto"/>
          <w:highlight w:val="none"/>
        </w:rPr>
      </w:pPr>
    </w:p>
    <w:p w14:paraId="35D38573">
      <w:pPr>
        <w:pStyle w:val="22"/>
        <w:rPr>
          <w:rFonts w:ascii="宋体" w:hAnsi="宋体" w:eastAsia="宋体" w:cs="宋体"/>
          <w:color w:val="auto"/>
          <w:sz w:val="28"/>
          <w:szCs w:val="28"/>
          <w:highlight w:val="none"/>
        </w:rPr>
      </w:pPr>
    </w:p>
    <w:p w14:paraId="4C43283C">
      <w:pPr>
        <w:pStyle w:val="20"/>
        <w:rPr>
          <w:rFonts w:ascii="宋体" w:hAnsi="宋体" w:eastAsia="宋体" w:cs="宋体"/>
          <w:color w:val="auto"/>
          <w:sz w:val="28"/>
          <w:szCs w:val="28"/>
          <w:highlight w:val="none"/>
        </w:rPr>
      </w:pPr>
    </w:p>
    <w:p w14:paraId="28FEE2A8">
      <w:pPr>
        <w:rPr>
          <w:rFonts w:ascii="宋体" w:hAnsi="宋体" w:eastAsia="宋体" w:cs="宋体"/>
          <w:color w:val="auto"/>
          <w:sz w:val="28"/>
          <w:szCs w:val="28"/>
          <w:highlight w:val="none"/>
        </w:rPr>
      </w:pPr>
    </w:p>
    <w:p w14:paraId="4133725E">
      <w:pPr>
        <w:pStyle w:val="2"/>
      </w:pPr>
    </w:p>
    <w:p w14:paraId="3ECE2BE0">
      <w:pPr>
        <w:rPr>
          <w:color w:val="auto"/>
          <w:highlight w:val="none"/>
        </w:rPr>
      </w:pPr>
    </w:p>
    <w:p w14:paraId="52BC8FC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eastAsia="宋体" w:cs="宋体"/>
          <w:color w:val="auto"/>
          <w:sz w:val="52"/>
          <w:szCs w:val="52"/>
          <w:highlight w:val="none"/>
        </w:rPr>
      </w:pPr>
      <w:r>
        <w:rPr>
          <w:rFonts w:hint="eastAsia" w:ascii="宋体" w:hAnsi="宋体"/>
          <w:b/>
          <w:color w:val="auto"/>
          <w:spacing w:val="20"/>
          <w:sz w:val="52"/>
          <w:szCs w:val="52"/>
          <w:highlight w:val="none"/>
        </w:rPr>
        <w:t>竞争性磋商文件</w:t>
      </w:r>
    </w:p>
    <w:p w14:paraId="1B6E08B0">
      <w:pPr>
        <w:pStyle w:val="21"/>
        <w:keepNext w:val="0"/>
        <w:keepLines w:val="0"/>
        <w:pageBreakBefore w:val="0"/>
        <w:widowControl w:val="0"/>
        <w:kinsoku/>
        <w:wordWrap/>
        <w:overflowPunct/>
        <w:topLinePunct w:val="0"/>
        <w:autoSpaceDE/>
        <w:autoSpaceDN/>
        <w:bidi w:val="0"/>
        <w:adjustRightInd/>
        <w:snapToGrid/>
        <w:spacing w:before="157" w:beforeLines="50"/>
        <w:ind w:left="0" w:leftChars="0" w:firstLine="0" w:firstLineChars="0"/>
        <w:jc w:val="center"/>
        <w:textAlignment w:val="auto"/>
        <w:rPr>
          <w:rFonts w:hint="eastAsia" w:ascii="宋体" w:hAnsi="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招标编号：</w:t>
      </w:r>
      <w:r>
        <w:rPr>
          <w:rFonts w:hint="eastAsia" w:ascii="宋体" w:hAnsi="宋体" w:cs="宋体"/>
          <w:b/>
          <w:bCs/>
          <w:color w:val="auto"/>
          <w:sz w:val="28"/>
          <w:szCs w:val="28"/>
          <w:highlight w:val="none"/>
          <w:lang w:eastAsia="zh-CN"/>
        </w:rPr>
        <w:t>DHJHZB2026-</w:t>
      </w:r>
      <w:r>
        <w:rPr>
          <w:rFonts w:hint="eastAsia" w:ascii="宋体" w:hAnsi="宋体" w:cs="宋体"/>
          <w:b/>
          <w:bCs/>
          <w:color w:val="auto"/>
          <w:sz w:val="28"/>
          <w:szCs w:val="28"/>
          <w:highlight w:val="none"/>
          <w:lang w:val="en-US" w:eastAsia="zh-CN"/>
        </w:rPr>
        <w:t>8-7</w:t>
      </w:r>
    </w:p>
    <w:p w14:paraId="71C99A0B">
      <w:pPr>
        <w:pStyle w:val="22"/>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项目编号：DHZC2026-C2-00756-DHJH-0007</w:t>
      </w:r>
    </w:p>
    <w:p w14:paraId="56F0A634">
      <w:pPr>
        <w:pStyle w:val="22"/>
        <w:jc w:val="center"/>
        <w:rPr>
          <w:rFonts w:hint="default"/>
          <w:lang w:val="en-US" w:eastAsia="zh-CN"/>
        </w:rPr>
      </w:pPr>
    </w:p>
    <w:p w14:paraId="7ACAD6D1">
      <w:pPr>
        <w:snapToGrid w:val="0"/>
        <w:spacing w:line="360" w:lineRule="auto"/>
        <w:ind w:right="560"/>
        <w:rPr>
          <w:b/>
          <w:color w:val="auto"/>
          <w:sz w:val="28"/>
          <w:szCs w:val="28"/>
          <w:highlight w:val="none"/>
        </w:rPr>
      </w:pPr>
      <w:r>
        <w:rPr>
          <w:rFonts w:hint="eastAsia" w:ascii="宋体" w:hAnsi="宋体" w:cs="宋体-18030"/>
          <w:color w:val="auto"/>
          <w:sz w:val="28"/>
          <w:szCs w:val="28"/>
          <w:highlight w:val="none"/>
        </w:rPr>
        <w:t xml:space="preserve">  </w:t>
      </w:r>
    </w:p>
    <w:p w14:paraId="6B65FE46">
      <w:pPr>
        <w:pStyle w:val="38"/>
        <w:ind w:left="0" w:leftChars="0" w:firstLine="0" w:firstLineChars="0"/>
        <w:rPr>
          <w:color w:val="auto"/>
          <w:highlight w:val="none"/>
        </w:rPr>
      </w:pPr>
    </w:p>
    <w:p w14:paraId="1453C480">
      <w:pPr>
        <w:pStyle w:val="38"/>
        <w:ind w:left="0" w:leftChars="0" w:firstLine="0" w:firstLineChars="0"/>
        <w:rPr>
          <w:color w:val="auto"/>
          <w:highlight w:val="none"/>
        </w:rPr>
      </w:pPr>
    </w:p>
    <w:p w14:paraId="30D342B2">
      <w:pPr>
        <w:pStyle w:val="21"/>
        <w:keepNext w:val="0"/>
        <w:keepLines w:val="0"/>
        <w:pageBreakBefore w:val="0"/>
        <w:widowControl w:val="0"/>
        <w:kinsoku/>
        <w:wordWrap/>
        <w:overflowPunct/>
        <w:topLinePunct w:val="0"/>
        <w:autoSpaceDE/>
        <w:autoSpaceDN/>
        <w:bidi w:val="0"/>
        <w:adjustRightInd/>
        <w:snapToGrid/>
        <w:spacing w:before="625" w:beforeLines="200" w:after="0" w:line="600" w:lineRule="exact"/>
        <w:ind w:firstLine="1205" w:firstLineChars="400"/>
        <w:textAlignment w:val="auto"/>
        <w:rPr>
          <w:rFonts w:hint="default"/>
          <w:b/>
          <w:color w:val="auto"/>
          <w:sz w:val="30"/>
          <w:szCs w:val="30"/>
          <w:highlight w:val="none"/>
          <w:lang w:val="en-US"/>
        </w:rPr>
      </w:pPr>
      <w:bookmarkStart w:id="0" w:name="_Toc8107_WPSOffice_Type1"/>
      <w:r>
        <w:rPr>
          <w:rFonts w:hint="eastAsia" w:ascii="宋体" w:hAnsi="宋体" w:eastAsia="宋体" w:cs="宋体"/>
          <w:b/>
          <w:color w:val="auto"/>
          <w:sz w:val="30"/>
          <w:szCs w:val="30"/>
          <w:highlight w:val="none"/>
        </w:rPr>
        <w:t>采</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购</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人：</w:t>
      </w:r>
      <w:r>
        <w:rPr>
          <w:rFonts w:hint="eastAsia" w:ascii="宋体" w:hAnsi="宋体" w:eastAsia="宋体" w:cs="宋体"/>
          <w:b/>
          <w:bCs/>
          <w:sz w:val="30"/>
          <w:szCs w:val="30"/>
        </w:rPr>
        <w:t>梁河县</w:t>
      </w:r>
      <w:r>
        <w:rPr>
          <w:rFonts w:hint="eastAsia" w:ascii="宋体" w:hAnsi="宋体" w:eastAsia="宋体" w:cs="宋体"/>
          <w:b/>
          <w:bCs/>
          <w:sz w:val="30"/>
          <w:szCs w:val="30"/>
          <w:lang w:eastAsia="zh-CN"/>
        </w:rPr>
        <w:t>民政</w:t>
      </w:r>
      <w:r>
        <w:rPr>
          <w:rFonts w:hint="eastAsia" w:ascii="宋体" w:hAnsi="宋体" w:eastAsia="宋体" w:cs="宋体"/>
          <w:b/>
          <w:bCs/>
          <w:sz w:val="30"/>
          <w:szCs w:val="30"/>
        </w:rPr>
        <w:t>局</w:t>
      </w:r>
      <w:r>
        <w:rPr>
          <w:rFonts w:hint="eastAsia" w:ascii="宋体" w:hAnsi="宋体" w:eastAsia="宋体" w:cs="宋体"/>
          <w:b/>
          <w:color w:val="auto"/>
          <w:sz w:val="30"/>
          <w:szCs w:val="30"/>
          <w:highlight w:val="none"/>
          <w:lang w:val="en-US" w:eastAsia="zh-CN"/>
        </w:rPr>
        <w:t xml:space="preserve">  </w:t>
      </w:r>
      <w:r>
        <w:rPr>
          <w:rFonts w:hint="default"/>
          <w:b/>
          <w:color w:val="auto"/>
          <w:sz w:val="30"/>
          <w:szCs w:val="30"/>
          <w:highlight w:val="none"/>
          <w:lang w:val="en-US" w:eastAsia="zh-CN"/>
        </w:rPr>
        <w:t xml:space="preserve">   </w:t>
      </w:r>
      <w:r>
        <w:rPr>
          <w:rFonts w:hint="eastAsia"/>
          <w:b/>
          <w:color w:val="auto"/>
          <w:sz w:val="30"/>
          <w:szCs w:val="30"/>
          <w:highlight w:val="none"/>
          <w:lang w:val="en-US" w:eastAsia="zh-CN"/>
        </w:rPr>
        <w:t xml:space="preserve"> </w:t>
      </w:r>
      <w:r>
        <w:rPr>
          <w:rFonts w:hint="default"/>
          <w:b/>
          <w:color w:val="auto"/>
          <w:sz w:val="30"/>
          <w:szCs w:val="30"/>
          <w:highlight w:val="none"/>
          <w:lang w:val="en-US" w:eastAsia="zh-CN"/>
        </w:rPr>
        <w:t xml:space="preserve">  </w:t>
      </w:r>
    </w:p>
    <w:p w14:paraId="52838A8F">
      <w:pPr>
        <w:pStyle w:val="21"/>
        <w:keepNext w:val="0"/>
        <w:keepLines w:val="0"/>
        <w:pageBreakBefore w:val="0"/>
        <w:widowControl w:val="0"/>
        <w:kinsoku/>
        <w:wordWrap/>
        <w:overflowPunct/>
        <w:topLinePunct w:val="0"/>
        <w:autoSpaceDE/>
        <w:autoSpaceDN/>
        <w:bidi w:val="0"/>
        <w:adjustRightInd/>
        <w:snapToGrid/>
        <w:spacing w:before="625" w:beforeLines="200" w:after="0" w:line="600" w:lineRule="exact"/>
        <w:ind w:firstLine="1205" w:firstLineChars="400"/>
        <w:textAlignment w:val="auto"/>
        <w:rPr>
          <w:rFonts w:hint="eastAsia" w:hAnsi="宋体"/>
          <w:b/>
          <w:color w:val="auto"/>
          <w:sz w:val="30"/>
          <w:szCs w:val="30"/>
          <w:highlight w:val="none"/>
          <w:lang w:eastAsia="zh-CN"/>
        </w:rPr>
      </w:pPr>
      <w:r>
        <w:rPr>
          <w:rFonts w:hint="eastAsia" w:hAnsi="宋体"/>
          <w:b/>
          <w:color w:val="auto"/>
          <w:sz w:val="30"/>
          <w:szCs w:val="30"/>
          <w:highlight w:val="none"/>
          <w:lang w:eastAsia="zh-CN"/>
        </w:rPr>
        <w:t>采购代理机构</w:t>
      </w:r>
      <w:r>
        <w:rPr>
          <w:rFonts w:hint="eastAsia"/>
          <w:b/>
          <w:color w:val="auto"/>
          <w:sz w:val="30"/>
          <w:szCs w:val="30"/>
          <w:highlight w:val="none"/>
        </w:rPr>
        <w:t>：</w:t>
      </w:r>
      <w:r>
        <w:rPr>
          <w:rFonts w:hint="eastAsia" w:hAnsi="宋体"/>
          <w:b/>
          <w:color w:val="auto"/>
          <w:sz w:val="30"/>
          <w:szCs w:val="30"/>
          <w:highlight w:val="none"/>
          <w:lang w:eastAsia="zh-CN"/>
        </w:rPr>
        <w:t>德宏锦浩招标咨询有限公司</w:t>
      </w:r>
    </w:p>
    <w:p w14:paraId="679E9C45">
      <w:pPr>
        <w:pStyle w:val="21"/>
        <w:keepNext w:val="0"/>
        <w:keepLines w:val="0"/>
        <w:pageBreakBefore w:val="0"/>
        <w:widowControl w:val="0"/>
        <w:kinsoku/>
        <w:wordWrap/>
        <w:overflowPunct/>
        <w:topLinePunct w:val="0"/>
        <w:autoSpaceDE/>
        <w:autoSpaceDN/>
        <w:bidi w:val="0"/>
        <w:adjustRightInd/>
        <w:snapToGrid/>
        <w:spacing w:before="625" w:beforeLines="200" w:after="0" w:line="600" w:lineRule="exact"/>
        <w:ind w:firstLine="1205" w:firstLineChars="400"/>
        <w:textAlignment w:val="auto"/>
        <w:rPr>
          <w:rFonts w:ascii="宋体" w:hAnsi="宋体" w:cs="宋体"/>
          <w:b/>
          <w:bCs/>
          <w:color w:val="auto"/>
          <w:sz w:val="30"/>
          <w:szCs w:val="30"/>
          <w:highlight w:val="none"/>
        </w:rPr>
      </w:pPr>
      <w:r>
        <w:rPr>
          <w:rFonts w:hint="eastAsia" w:hAnsi="宋体"/>
          <w:b/>
          <w:color w:val="auto"/>
          <w:sz w:val="30"/>
          <w:szCs w:val="30"/>
          <w:highlight w:val="none"/>
        </w:rPr>
        <w:t xml:space="preserve">日    </w:t>
      </w:r>
      <w:r>
        <w:rPr>
          <w:rFonts w:hint="eastAsia" w:hAnsi="宋体"/>
          <w:b/>
          <w:color w:val="auto"/>
          <w:sz w:val="30"/>
          <w:szCs w:val="30"/>
          <w:highlight w:val="none"/>
          <w:lang w:val="en-US" w:eastAsia="zh-CN"/>
        </w:rPr>
        <w:t xml:space="preserve">    </w:t>
      </w:r>
      <w:r>
        <w:rPr>
          <w:rFonts w:hint="eastAsia" w:hAnsi="宋体"/>
          <w:b/>
          <w:color w:val="auto"/>
          <w:sz w:val="30"/>
          <w:szCs w:val="30"/>
          <w:highlight w:val="none"/>
        </w:rPr>
        <w:t>期：</w:t>
      </w:r>
      <w:r>
        <w:rPr>
          <w:rFonts w:hint="eastAsia" w:hAnsi="宋体"/>
          <w:b/>
          <w:color w:val="auto"/>
          <w:sz w:val="30"/>
          <w:szCs w:val="30"/>
          <w:highlight w:val="none"/>
          <w:lang w:val="en-US" w:eastAsia="zh-CN"/>
        </w:rPr>
        <w:t>2026年08月</w:t>
      </w:r>
    </w:p>
    <w:p w14:paraId="7DA12E69">
      <w:pPr>
        <w:pStyle w:val="20"/>
        <w:ind w:left="0" w:leftChars="0" w:firstLine="0" w:firstLineChars="0"/>
        <w:rPr>
          <w:rFonts w:hint="eastAsia"/>
          <w:color w:val="auto"/>
          <w:highlight w:val="none"/>
        </w:rPr>
        <w:sectPr>
          <w:headerReference r:id="rId3" w:type="default"/>
          <w:footerReference r:id="rId4" w:type="default"/>
          <w:pgSz w:w="11906" w:h="16838"/>
          <w:pgMar w:top="1440" w:right="1080" w:bottom="1440" w:left="1080" w:header="851" w:footer="992" w:gutter="0"/>
          <w:pgNumType w:start="1"/>
          <w:cols w:space="720" w:num="1"/>
          <w:titlePg/>
          <w:docGrid w:type="lines" w:linePitch="312" w:charSpace="0"/>
        </w:sectPr>
      </w:pPr>
    </w:p>
    <w:p w14:paraId="2B7D6658">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ascii="宋体" w:hAnsi="宋体" w:cs="宋体"/>
          <w:b/>
          <w:bCs/>
          <w:color w:val="auto"/>
          <w:sz w:val="44"/>
          <w:szCs w:val="44"/>
          <w:highlight w:val="none"/>
        </w:rPr>
      </w:pPr>
      <w:r>
        <w:rPr>
          <w:rFonts w:hint="eastAsia" w:ascii="宋体" w:hAnsi="宋体" w:cs="宋体"/>
          <w:b/>
          <w:bCs/>
          <w:color w:val="auto"/>
          <w:sz w:val="44"/>
          <w:szCs w:val="44"/>
          <w:highlight w:val="none"/>
        </w:rPr>
        <w:t>目   录</w:t>
      </w:r>
    </w:p>
    <w:bookmarkEnd w:id="0"/>
    <w:p w14:paraId="17F4060D">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fldChar w:fldCharType="begin"/>
      </w:r>
      <w:r>
        <w:rPr>
          <w:rFonts w:hint="eastAsia" w:asciiTheme="minorEastAsia" w:hAnsiTheme="minorEastAsia" w:eastAsiaTheme="minorEastAsia" w:cstheme="minorEastAsia"/>
          <w:b/>
          <w:bCs/>
          <w:color w:val="auto"/>
          <w:sz w:val="24"/>
          <w:szCs w:val="24"/>
          <w:highlight w:val="none"/>
        </w:rPr>
        <w:instrText xml:space="preserve"> HYPERLINK \l _Toc11939 </w:instrText>
      </w:r>
      <w:r>
        <w:rPr>
          <w:rFonts w:hint="eastAsia" w:asciiTheme="minorEastAsia" w:hAnsiTheme="minorEastAsia" w:eastAsiaTheme="minorEastAsia" w:cstheme="minorEastAsia"/>
          <w:b/>
          <w:bCs/>
          <w:color w:val="auto"/>
          <w:sz w:val="24"/>
          <w:szCs w:val="24"/>
          <w:highlight w:val="none"/>
        </w:rPr>
        <w:fldChar w:fldCharType="separate"/>
      </w:r>
      <w:r>
        <w:rPr>
          <w:rFonts w:hint="eastAsia" w:asciiTheme="minorEastAsia" w:hAnsiTheme="minorEastAsia" w:eastAsiaTheme="minorEastAsia" w:cstheme="minorEastAsia"/>
          <w:b/>
          <w:bCs/>
          <w:color w:val="auto"/>
          <w:sz w:val="24"/>
          <w:szCs w:val="24"/>
          <w:highlight w:val="none"/>
        </w:rPr>
        <w:t>第一章 竞争性磋商公告</w:t>
      </w:r>
      <w:r>
        <w:rPr>
          <w:rFonts w:hint="eastAsia" w:asciiTheme="minorEastAsia" w:hAnsiTheme="minorEastAsia" w:eastAsiaTheme="minorEastAsia" w:cstheme="minorEastAsia"/>
          <w:b/>
          <w:bCs/>
          <w:color w:val="auto"/>
          <w:sz w:val="24"/>
          <w:szCs w:val="24"/>
          <w:highlight w:val="none"/>
        </w:rPr>
        <w:fldChar w:fldCharType="end"/>
      </w:r>
      <w:r>
        <w:rPr>
          <w:rFonts w:hint="eastAsia" w:asciiTheme="minorEastAsia" w:hAnsiTheme="minorEastAsia" w:eastAsiaTheme="minorEastAsia" w:cstheme="minorEastAsia"/>
          <w:b/>
          <w:bCs/>
          <w:color w:val="auto"/>
          <w:sz w:val="24"/>
          <w:szCs w:val="24"/>
          <w:highlight w:val="none"/>
          <w:lang w:val="en-US" w:eastAsia="zh-CN"/>
        </w:rPr>
        <w:t>.....................................................1</w:t>
      </w:r>
    </w:p>
    <w:p w14:paraId="7680D845">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第二章 供应商须知.........................................................6</w:t>
      </w:r>
    </w:p>
    <w:p w14:paraId="1B698EE0">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第三章 采购需求..........................................................24</w:t>
      </w:r>
    </w:p>
    <w:p w14:paraId="7BBF5B7A">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第四章 评审办法..........................................................25</w:t>
      </w:r>
    </w:p>
    <w:p w14:paraId="4AE1677C">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第五章 合同条款及格式....................................................35</w:t>
      </w:r>
      <w:bookmarkStart w:id="805" w:name="_GoBack"/>
      <w:bookmarkEnd w:id="805"/>
    </w:p>
    <w:p w14:paraId="6573DC5D">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第六章 竞争性磋商响应文件格式............................................61</w:t>
      </w:r>
    </w:p>
    <w:p w14:paraId="573059FE">
      <w:pPr>
        <w:outlineLvl w:val="0"/>
        <w:rPr>
          <w:rFonts w:ascii="宋体" w:hAnsi="宋体" w:cs="宋体"/>
          <w:color w:val="auto"/>
          <w:sz w:val="48"/>
          <w:szCs w:val="56"/>
          <w:highlight w:val="none"/>
        </w:rPr>
      </w:pPr>
    </w:p>
    <w:p w14:paraId="0E9430B0">
      <w:pPr>
        <w:rPr>
          <w:rFonts w:ascii="宋体" w:hAnsi="宋体" w:cs="宋体"/>
          <w:color w:val="auto"/>
          <w:sz w:val="48"/>
          <w:szCs w:val="56"/>
          <w:highlight w:val="none"/>
        </w:rPr>
      </w:pPr>
    </w:p>
    <w:p w14:paraId="3A8B4D63">
      <w:pPr>
        <w:rPr>
          <w:rFonts w:ascii="宋体" w:hAnsi="宋体" w:cs="宋体"/>
          <w:color w:val="auto"/>
          <w:sz w:val="28"/>
          <w:szCs w:val="36"/>
          <w:highlight w:val="none"/>
        </w:rPr>
      </w:pPr>
    </w:p>
    <w:p w14:paraId="2013F55D">
      <w:pPr>
        <w:rPr>
          <w:rFonts w:ascii="宋体" w:hAnsi="宋体" w:cs="宋体"/>
          <w:color w:val="auto"/>
          <w:sz w:val="28"/>
          <w:szCs w:val="36"/>
          <w:highlight w:val="none"/>
        </w:rPr>
      </w:pPr>
    </w:p>
    <w:p w14:paraId="214EA10F">
      <w:pPr>
        <w:rPr>
          <w:rFonts w:ascii="宋体" w:hAnsi="宋体" w:cs="宋体"/>
          <w:color w:val="auto"/>
          <w:sz w:val="28"/>
          <w:szCs w:val="36"/>
          <w:highlight w:val="none"/>
        </w:rPr>
      </w:pPr>
    </w:p>
    <w:p w14:paraId="32C2C95D">
      <w:pPr>
        <w:rPr>
          <w:rFonts w:ascii="宋体" w:hAnsi="宋体" w:cs="宋体"/>
          <w:color w:val="auto"/>
          <w:sz w:val="28"/>
          <w:szCs w:val="36"/>
          <w:highlight w:val="none"/>
        </w:rPr>
      </w:pPr>
    </w:p>
    <w:p w14:paraId="3306F47A">
      <w:pPr>
        <w:rPr>
          <w:rFonts w:ascii="宋体" w:hAnsi="宋体" w:cs="宋体"/>
          <w:color w:val="auto"/>
          <w:sz w:val="28"/>
          <w:szCs w:val="36"/>
          <w:highlight w:val="none"/>
        </w:rPr>
      </w:pPr>
    </w:p>
    <w:p w14:paraId="7E9F19BE">
      <w:pPr>
        <w:rPr>
          <w:rFonts w:ascii="宋体" w:hAnsi="宋体" w:cs="宋体"/>
          <w:color w:val="auto"/>
          <w:sz w:val="28"/>
          <w:szCs w:val="36"/>
          <w:highlight w:val="none"/>
        </w:rPr>
      </w:pPr>
    </w:p>
    <w:p w14:paraId="0D0C17E2">
      <w:pPr>
        <w:rPr>
          <w:rFonts w:ascii="宋体" w:hAnsi="宋体" w:cs="宋体"/>
          <w:color w:val="auto"/>
          <w:sz w:val="28"/>
          <w:szCs w:val="36"/>
          <w:highlight w:val="none"/>
        </w:rPr>
      </w:pPr>
    </w:p>
    <w:p w14:paraId="436A82C6">
      <w:pPr>
        <w:pStyle w:val="21"/>
        <w:rPr>
          <w:rFonts w:ascii="宋体" w:hAnsi="宋体" w:cs="宋体"/>
          <w:color w:val="auto"/>
          <w:sz w:val="28"/>
          <w:szCs w:val="36"/>
          <w:highlight w:val="none"/>
        </w:rPr>
      </w:pPr>
    </w:p>
    <w:p w14:paraId="3FC911E9">
      <w:pPr>
        <w:rPr>
          <w:color w:val="auto"/>
          <w:highlight w:val="none"/>
        </w:rPr>
      </w:pPr>
    </w:p>
    <w:p w14:paraId="753CB1BE">
      <w:pPr>
        <w:pStyle w:val="34"/>
        <w:rPr>
          <w:rFonts w:ascii="宋体" w:hAnsi="宋体" w:cs="宋体"/>
          <w:b/>
          <w:bCs/>
          <w:color w:val="auto"/>
          <w:sz w:val="32"/>
          <w:szCs w:val="40"/>
          <w:highlight w:val="none"/>
        </w:rPr>
        <w:sectPr>
          <w:footerReference r:id="rId6" w:type="first"/>
          <w:footerReference r:id="rId5" w:type="default"/>
          <w:pgSz w:w="11906" w:h="16838"/>
          <w:pgMar w:top="1440" w:right="1080" w:bottom="1440" w:left="1080" w:header="851" w:footer="992" w:gutter="0"/>
          <w:pgNumType w:fmt="decimal" w:start="1"/>
          <w:cols w:space="720" w:num="1"/>
          <w:titlePg/>
          <w:docGrid w:type="lines" w:linePitch="312" w:charSpace="0"/>
        </w:sectPr>
      </w:pPr>
      <w:bookmarkStart w:id="1" w:name="_Toc3891_WPSOffice_Level1"/>
    </w:p>
    <w:bookmarkEnd w:id="1"/>
    <w:p w14:paraId="63CDD010">
      <w:pPr>
        <w:pStyle w:val="3"/>
        <w:keepNext/>
        <w:keepLines/>
        <w:pageBreakBefore w:val="0"/>
        <w:widowControl w:val="0"/>
        <w:tabs>
          <w:tab w:val="left" w:pos="0"/>
        </w:tabs>
        <w:kinsoku/>
        <w:wordWrap/>
        <w:overflowPunct/>
        <w:topLinePunct w:val="0"/>
        <w:autoSpaceDE w:val="0"/>
        <w:autoSpaceDN w:val="0"/>
        <w:bidi w:val="0"/>
        <w:adjustRightInd w:val="0"/>
        <w:snapToGrid/>
        <w:spacing w:before="0" w:after="157" w:afterLines="50" w:line="240" w:lineRule="auto"/>
        <w:jc w:val="center"/>
        <w:textAlignment w:val="auto"/>
        <w:rPr>
          <w:rFonts w:ascii="宋体" w:hAnsi="宋体" w:eastAsia="宋体"/>
          <w:color w:val="auto"/>
          <w:sz w:val="28"/>
          <w:szCs w:val="28"/>
          <w:highlight w:val="none"/>
        </w:rPr>
      </w:pPr>
      <w:r>
        <w:rPr>
          <w:rFonts w:hint="eastAsia" w:ascii="宋体" w:hAnsi="宋体" w:eastAsia="宋体"/>
          <w:color w:val="auto"/>
          <w:highlight w:val="none"/>
        </w:rPr>
        <w:t>第一章</w:t>
      </w:r>
      <w:bookmarkStart w:id="2" w:name="_Toc35393797"/>
      <w:bookmarkStart w:id="3" w:name="_Toc28359011"/>
      <w:r>
        <w:rPr>
          <w:rFonts w:hint="eastAsia" w:ascii="宋体" w:hAnsi="宋体"/>
          <w:color w:val="auto"/>
          <w:highlight w:val="none"/>
          <w:lang w:val="en-US" w:eastAsia="zh-CN"/>
        </w:rPr>
        <w:t xml:space="preserve"> </w:t>
      </w:r>
      <w:r>
        <w:rPr>
          <w:rFonts w:hint="eastAsia" w:ascii="宋体" w:hAnsi="宋体" w:eastAsia="宋体"/>
          <w:color w:val="auto"/>
          <w:highlight w:val="none"/>
        </w:rPr>
        <w:t>竞争性磋商公告</w:t>
      </w:r>
      <w:bookmarkEnd w:id="2"/>
      <w:bookmarkEnd w:id="3"/>
    </w:p>
    <w:p w14:paraId="1F122415">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hAnsi="宋体" w:eastAsia="宋体" w:cs="宋体"/>
          <w:color w:val="auto"/>
          <w:sz w:val="21"/>
          <w:szCs w:val="21"/>
          <w:highlight w:val="none"/>
        </w:rPr>
      </w:pPr>
      <w:bookmarkStart w:id="4" w:name="_Toc28359013"/>
      <w:bookmarkStart w:id="5" w:name="_Toc35393799"/>
      <w:bookmarkStart w:id="6" w:name="_Toc35393630"/>
      <w:bookmarkStart w:id="7" w:name="_Toc28359090"/>
      <w:r>
        <w:rPr>
          <w:rFonts w:hint="eastAsia" w:ascii="宋体" w:hAnsi="宋体" w:cs="宋体"/>
          <w:color w:val="auto"/>
          <w:sz w:val="21"/>
          <w:szCs w:val="21"/>
          <w:highlight w:val="none"/>
          <w:u w:val="single"/>
          <w:lang w:val="en-US" w:eastAsia="zh-CN"/>
        </w:rPr>
        <w:t>梁河县中心敬老院消防安全标准化提升工程</w:t>
      </w:r>
      <w:r>
        <w:rPr>
          <w:rFonts w:hint="eastAsia" w:ascii="宋体" w:hAnsi="宋体" w:eastAsia="宋体" w:cs="宋体"/>
          <w:color w:val="auto"/>
          <w:sz w:val="21"/>
          <w:szCs w:val="21"/>
          <w:highlight w:val="none"/>
        </w:rPr>
        <w:t>的潜在供应商应在</w:t>
      </w:r>
      <w:r>
        <w:rPr>
          <w:rFonts w:hint="eastAsia" w:ascii="宋体" w:hAnsi="宋体" w:eastAsia="宋体" w:cs="宋体"/>
          <w:color w:val="auto"/>
          <w:sz w:val="21"/>
          <w:szCs w:val="21"/>
          <w:highlight w:val="none"/>
          <w:u w:val="single"/>
        </w:rPr>
        <w:t>政府采购云平台（https://www.zcygov.cn/）</w:t>
      </w:r>
      <w:r>
        <w:rPr>
          <w:rFonts w:hint="eastAsia" w:ascii="宋体" w:hAnsi="宋体" w:eastAsia="宋体" w:cs="宋体"/>
          <w:color w:val="auto"/>
          <w:sz w:val="21"/>
          <w:szCs w:val="21"/>
          <w:highlight w:val="none"/>
        </w:rPr>
        <w:t>获取采购文件，并于</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bCs/>
          <w:color w:val="auto"/>
          <w:sz w:val="21"/>
          <w:szCs w:val="21"/>
          <w:highlight w:val="none"/>
          <w:u w:val="single"/>
        </w:rPr>
        <w:t>年</w:t>
      </w:r>
      <w:r>
        <w:rPr>
          <w:rFonts w:hint="eastAsia" w:ascii="宋体" w:hAnsi="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月</w:t>
      </w:r>
      <w:r>
        <w:rPr>
          <w:rFonts w:hint="eastAsia" w:ascii="宋体" w:hAnsi="宋体" w:cs="宋体"/>
          <w:bCs/>
          <w:color w:val="auto"/>
          <w:sz w:val="21"/>
          <w:szCs w:val="21"/>
          <w:highlight w:val="none"/>
          <w:u w:val="single"/>
          <w:lang w:val="en-US" w:eastAsia="zh-CN"/>
        </w:rPr>
        <w:t>9</w:t>
      </w:r>
      <w:r>
        <w:rPr>
          <w:rFonts w:hint="eastAsia" w:ascii="宋体" w:hAnsi="宋体" w:eastAsia="宋体" w:cs="宋体"/>
          <w:bCs/>
          <w:color w:val="auto"/>
          <w:sz w:val="21"/>
          <w:szCs w:val="21"/>
          <w:highlight w:val="none"/>
          <w:u w:val="single"/>
        </w:rPr>
        <w:t>日</w:t>
      </w:r>
      <w:r>
        <w:rPr>
          <w:rFonts w:hint="eastAsia" w:ascii="宋体" w:hAnsi="宋体" w:cs="宋体"/>
          <w:bCs/>
          <w:color w:val="auto"/>
          <w:sz w:val="21"/>
          <w:szCs w:val="21"/>
          <w:highlight w:val="none"/>
          <w:u w:val="single"/>
          <w:lang w:val="en-US" w:eastAsia="zh-CN"/>
        </w:rPr>
        <w:t>15</w:t>
      </w:r>
      <w:r>
        <w:rPr>
          <w:rFonts w:hint="eastAsia" w:ascii="宋体" w:hAnsi="宋体" w:eastAsia="宋体" w:cs="宋体"/>
          <w:bCs/>
          <w:color w:val="auto"/>
          <w:sz w:val="21"/>
          <w:szCs w:val="21"/>
          <w:highlight w:val="none"/>
          <w:u w:val="single"/>
        </w:rPr>
        <w:t>点00分</w:t>
      </w:r>
      <w:r>
        <w:rPr>
          <w:rFonts w:hint="eastAsia" w:ascii="宋体" w:hAnsi="宋体" w:eastAsia="宋体" w:cs="宋体"/>
          <w:bCs/>
          <w:color w:val="auto"/>
          <w:sz w:val="21"/>
          <w:szCs w:val="21"/>
          <w:highlight w:val="none"/>
        </w:rPr>
        <w:t>（北京时间）前提交响应文件</w:t>
      </w:r>
      <w:r>
        <w:rPr>
          <w:rFonts w:hint="eastAsia" w:ascii="宋体" w:hAnsi="宋体" w:eastAsia="宋体" w:cs="宋体"/>
          <w:color w:val="auto"/>
          <w:sz w:val="21"/>
          <w:szCs w:val="21"/>
          <w:highlight w:val="none"/>
        </w:rPr>
        <w:t>。</w:t>
      </w:r>
    </w:p>
    <w:p w14:paraId="3A06E864">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招标编号：</w:t>
      </w:r>
      <w:r>
        <w:rPr>
          <w:rFonts w:hint="eastAsia" w:ascii="宋体" w:hAnsi="宋体" w:cs="宋体"/>
          <w:color w:val="auto"/>
          <w:sz w:val="21"/>
          <w:szCs w:val="21"/>
          <w:highlight w:val="none"/>
          <w:lang w:eastAsia="zh-CN"/>
        </w:rPr>
        <w:t>DHJHZB2026-</w:t>
      </w:r>
      <w:r>
        <w:rPr>
          <w:rFonts w:hint="eastAsia" w:ascii="宋体" w:hAnsi="宋体" w:cs="宋体"/>
          <w:color w:val="auto"/>
          <w:sz w:val="21"/>
          <w:szCs w:val="21"/>
          <w:highlight w:val="none"/>
          <w:lang w:val="en-US" w:eastAsia="zh-CN"/>
        </w:rPr>
        <w:t>8-7</w:t>
      </w:r>
      <w:r>
        <w:rPr>
          <w:rFonts w:hint="eastAsia" w:ascii="宋体" w:hAnsi="宋体" w:cs="宋体"/>
          <w:color w:val="auto"/>
          <w:sz w:val="21"/>
          <w:szCs w:val="21"/>
          <w:highlight w:val="none"/>
          <w:lang w:eastAsia="zh-CN"/>
        </w:rPr>
        <w:t>；</w:t>
      </w:r>
    </w:p>
    <w:p w14:paraId="5A69B20B">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梁河县中心敬老院消防安全标准化提升工程</w:t>
      </w:r>
      <w:r>
        <w:rPr>
          <w:rFonts w:hint="eastAsia" w:ascii="宋体" w:hAnsi="宋体" w:eastAsia="宋体" w:cs="宋体"/>
          <w:color w:val="auto"/>
          <w:sz w:val="21"/>
          <w:szCs w:val="21"/>
          <w:highlight w:val="none"/>
          <w:lang w:eastAsia="zh-CN"/>
        </w:rPr>
        <w:t>；</w:t>
      </w:r>
    </w:p>
    <w:p w14:paraId="2B495EA0">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采购方式：□竞争性谈判 ☑竞争性磋商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询价</w:t>
      </w:r>
      <w:r>
        <w:rPr>
          <w:rFonts w:hint="eastAsia" w:ascii="宋体" w:hAnsi="宋体" w:eastAsia="宋体" w:cs="宋体"/>
          <w:color w:val="auto"/>
          <w:sz w:val="21"/>
          <w:szCs w:val="21"/>
          <w:highlight w:val="none"/>
          <w:lang w:eastAsia="zh-CN"/>
        </w:rPr>
        <w:t>；</w:t>
      </w:r>
    </w:p>
    <w:p w14:paraId="06DD6210">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900000.00元</w:t>
      </w:r>
      <w:r>
        <w:rPr>
          <w:rFonts w:hint="eastAsia" w:ascii="宋体" w:hAnsi="宋体" w:eastAsia="宋体" w:cs="宋体"/>
          <w:color w:val="auto"/>
          <w:sz w:val="21"/>
          <w:szCs w:val="21"/>
          <w:highlight w:val="none"/>
          <w:lang w:eastAsia="zh-CN"/>
        </w:rPr>
        <w:t>；</w:t>
      </w:r>
    </w:p>
    <w:p w14:paraId="19A56580">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最高限价：899687.73元（即招标控制价）</w:t>
      </w:r>
      <w:r>
        <w:rPr>
          <w:rFonts w:hint="eastAsia" w:ascii="宋体" w:hAnsi="宋体" w:eastAsia="宋体" w:cs="宋体"/>
          <w:color w:val="auto"/>
          <w:sz w:val="21"/>
          <w:szCs w:val="21"/>
          <w:highlight w:val="none"/>
        </w:rPr>
        <w:t>；</w:t>
      </w:r>
    </w:p>
    <w:p w14:paraId="1A78A635">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val="en-US" w:eastAsia="zh-CN"/>
        </w:rPr>
        <w:t>（一）主体建筑消防系统改造：对一号宿舍楼（建筑面积745.59平方米）、二号宿舍楼（建筑面积1163.99平方米）开展全域消防系统升级，更换、优化原有老旧喷淋系统、火灾自动报警系统系统、应急照明系统。（二）新建18立方米成品消防水箱1座，配套安装专用稳压泵组，完善消防供水管网铺设。（三）配套建设全套火灾自动报警系统1套，消防控制室1间。（四）新增专用发电机1台，新建独立储油间1间、配电室1间。（五）室外消防栓、消防水池及消防水塔补水。（六）附属设施及综合整改：（1）全域更换、增补手提式磷酸铵盐干粉灭火器，按照规范合理布置，适配火灾初期扑救需求；（2）开展全院电气线路专项改造，规整线路敷设、更换老化线路、消除电气火灾安全隐患；（3）完善应急照明系统、语音疏散引导设施，优化老年人应急疏散条件；（4）配套完成所有附属收尾工程，实现全院消防系统一体化、标准化、常态化运行</w:t>
      </w:r>
      <w:r>
        <w:rPr>
          <w:rFonts w:hint="eastAsia" w:ascii="宋体" w:hAnsi="宋体" w:cs="宋体"/>
          <w:color w:val="auto"/>
          <w:sz w:val="21"/>
          <w:szCs w:val="21"/>
          <w:highlight w:val="none"/>
          <w:lang w:val="en-US" w:eastAsia="zh-CN"/>
        </w:rPr>
        <w:t>（具体详见工程量清单）。</w:t>
      </w:r>
    </w:p>
    <w:p w14:paraId="652FF2E5">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质量标准：</w:t>
      </w:r>
      <w:r>
        <w:rPr>
          <w:rFonts w:hint="eastAsia" w:ascii="宋体" w:hAnsi="宋体" w:cs="宋体"/>
          <w:color w:val="auto"/>
          <w:sz w:val="21"/>
          <w:szCs w:val="21"/>
          <w:highlight w:val="none"/>
          <w:lang w:val="en-US" w:eastAsia="zh-CN"/>
        </w:rPr>
        <w:t>符合国家施工质量验收标准，一次性验收合格</w:t>
      </w:r>
      <w:r>
        <w:rPr>
          <w:rFonts w:hint="default" w:ascii="宋体" w:hAnsi="宋体" w:cs="宋体"/>
          <w:color w:val="auto"/>
          <w:sz w:val="21"/>
          <w:szCs w:val="21"/>
          <w:highlight w:val="none"/>
          <w:lang w:val="en-US" w:eastAsia="zh-CN"/>
        </w:rPr>
        <w:t>；</w:t>
      </w:r>
    </w:p>
    <w:p w14:paraId="36CD1A73">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工期</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90日历天；</w:t>
      </w:r>
    </w:p>
    <w:p w14:paraId="64ADA6E9">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本项目（</w:t>
      </w:r>
      <w:r>
        <w:rPr>
          <w:rFonts w:hint="eastAsia" w:ascii="宋体" w:hAnsi="宋体" w:cs="宋体"/>
          <w:color w:val="auto"/>
          <w:sz w:val="21"/>
          <w:szCs w:val="21"/>
          <w:highlight w:val="none"/>
          <w:lang w:val="en-US" w:eastAsia="zh-CN"/>
        </w:rPr>
        <w:t>否</w:t>
      </w:r>
      <w:r>
        <w:rPr>
          <w:rFonts w:hint="eastAsia" w:ascii="宋体" w:hAnsi="宋体" w:cs="宋体"/>
          <w:color w:val="auto"/>
          <w:sz w:val="21"/>
          <w:szCs w:val="21"/>
          <w:highlight w:val="none"/>
          <w:lang w:eastAsia="zh-CN"/>
        </w:rPr>
        <w:t>）接受联合体。</w:t>
      </w:r>
    </w:p>
    <w:p w14:paraId="0BD9AFAE">
      <w:pPr>
        <w:pStyle w:val="4"/>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二、申请人的资格要求：</w:t>
      </w:r>
      <w:bookmarkEnd w:id="4"/>
      <w:bookmarkEnd w:id="5"/>
      <w:bookmarkEnd w:id="6"/>
      <w:bookmarkEnd w:id="7"/>
    </w:p>
    <w:p w14:paraId="16E6A23B">
      <w:pPr>
        <w:keepNext w:val="0"/>
        <w:keepLines w:val="0"/>
        <w:pageBreakBefore w:val="0"/>
        <w:kinsoku/>
        <w:wordWrap/>
        <w:topLinePunct w:val="0"/>
        <w:bidi w:val="0"/>
        <w:snapToGrid/>
        <w:spacing w:line="480" w:lineRule="exact"/>
        <w:ind w:firstLine="420" w:firstLineChars="200"/>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bookmarkStart w:id="8" w:name="_Toc35393800"/>
      <w:bookmarkStart w:id="9" w:name="_Toc28359091"/>
      <w:bookmarkStart w:id="10" w:name="_Toc28359014"/>
      <w:bookmarkStart w:id="11" w:name="_Toc35393631"/>
      <w:r>
        <w:rPr>
          <w:rFonts w:hint="eastAsia" w:ascii="宋体" w:hAnsi="宋体" w:cs="宋体"/>
          <w:bCs/>
          <w:color w:val="auto"/>
          <w:kern w:val="0"/>
          <w:sz w:val="21"/>
          <w:szCs w:val="21"/>
          <w:highlight w:val="none"/>
          <w:lang w:eastAsia="zh-CN"/>
        </w:rPr>
        <w:t>：</w:t>
      </w:r>
    </w:p>
    <w:p w14:paraId="09542451">
      <w:pPr>
        <w:pStyle w:val="21"/>
        <w:pageBreakBefore w:val="0"/>
        <w:kinsoku/>
        <w:wordWrap/>
        <w:overflowPunct/>
        <w:topLinePunct w:val="0"/>
        <w:autoSpaceDN/>
        <w:bidi w:val="0"/>
        <w:adjustRightInd w:val="0"/>
        <w:snapToGrid/>
        <w:spacing w:after="0" w:line="500" w:lineRule="exact"/>
        <w:ind w:left="0" w:leftChars="0"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具有独立承担民事责任的能力</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提供自然人有效身份证明或法人或者其他组织有效的营业执照等证明文件</w:t>
      </w:r>
      <w:r>
        <w:rPr>
          <w:rFonts w:hint="eastAsia" w:ascii="宋体" w:hAnsi="宋体" w:cs="宋体"/>
          <w:color w:val="auto"/>
          <w:sz w:val="21"/>
          <w:szCs w:val="21"/>
          <w:highlight w:val="none"/>
        </w:rPr>
        <w:t>。</w:t>
      </w:r>
    </w:p>
    <w:p w14:paraId="025DDAE7">
      <w:pPr>
        <w:pStyle w:val="21"/>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具有良好的商业信誉和健全的财务会计制度。供应商须提供财务状况报告，内容可为以下三者之一：</w:t>
      </w:r>
    </w:p>
    <w:p w14:paraId="777EED7C">
      <w:pPr>
        <w:pStyle w:val="21"/>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①</w:t>
      </w:r>
      <w:r>
        <w:rPr>
          <w:rFonts w:hint="eastAsia" w:ascii="宋体" w:hAnsi="宋体" w:cs="宋体"/>
          <w:color w:val="auto"/>
          <w:sz w:val="21"/>
          <w:szCs w:val="21"/>
          <w:highlight w:val="none"/>
          <w:lang w:eastAsia="zh-CN"/>
        </w:rPr>
        <w:t>提供2024年至今任意一年财务状况报告（至少包含审计报告、资产负债表、利润表、现金流量表），成立未满1年或成立至今未产生经营活动的供应商提供自成立至今的财务报表或财务情况说明；</w:t>
      </w:r>
    </w:p>
    <w:p w14:paraId="64F2D83C">
      <w:pPr>
        <w:pStyle w:val="21"/>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②提供自响应文件提交截止时间前六个月内基本开户银行出具的资信证明；</w:t>
      </w:r>
    </w:p>
    <w:p w14:paraId="7BE145D5">
      <w:pPr>
        <w:pStyle w:val="21"/>
        <w:keepNext w:val="0"/>
        <w:keepLines w:val="0"/>
        <w:pageBreakBefore w:val="0"/>
        <w:widowControl w:val="0"/>
        <w:kinsoku/>
        <w:wordWrap/>
        <w:overflowPunct/>
        <w:topLinePunct w:val="0"/>
        <w:autoSpaceDN/>
        <w:bidi w:val="0"/>
        <w:adjustRightInd/>
        <w:snapToGrid/>
        <w:spacing w:after="0" w:line="460" w:lineRule="exact"/>
        <w:ind w:left="0" w:leftChars="0" w:firstLine="482"/>
        <w:textAlignment w:val="auto"/>
        <w:outlineLvl w:val="3"/>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③提供专业担保机构出具的投标担保函。</w:t>
      </w:r>
    </w:p>
    <w:p w14:paraId="4ECCED80">
      <w:pPr>
        <w:pStyle w:val="21"/>
        <w:pageBreakBefore w:val="0"/>
        <w:kinsoku/>
        <w:wordWrap/>
        <w:overflowPunct/>
        <w:topLinePunct w:val="0"/>
        <w:autoSpaceDN/>
        <w:bidi w:val="0"/>
        <w:adjustRightInd w:val="0"/>
        <w:snapToGrid/>
        <w:spacing w:after="0" w:line="500" w:lineRule="exact"/>
        <w:ind w:left="0" w:leftChars="0" w:firstLine="420" w:firstLineChars="200"/>
        <w:textAlignment w:val="auto"/>
        <w:rPr>
          <w:rFonts w:hint="eastAsia" w:ascii="宋体" w:hAnsi="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（3）</w:t>
      </w:r>
      <w:r>
        <w:rPr>
          <w:rFonts w:hint="eastAsia" w:ascii="宋体" w:hAnsi="宋体" w:cs="宋体"/>
          <w:color w:val="auto"/>
          <w:kern w:val="2"/>
          <w:sz w:val="21"/>
          <w:szCs w:val="21"/>
          <w:highlight w:val="none"/>
          <w:lang w:bidi="ar"/>
        </w:rPr>
        <w:t>具有履行合同所必需的设备和专业技术能力。提供具备履行合同所必需的设备和专业技术能力的证明材料</w:t>
      </w:r>
      <w:r>
        <w:rPr>
          <w:rFonts w:hint="eastAsia" w:ascii="宋体" w:hAnsi="宋体" w:cs="宋体"/>
          <w:color w:val="auto"/>
          <w:kern w:val="2"/>
          <w:sz w:val="21"/>
          <w:szCs w:val="21"/>
          <w:highlight w:val="none"/>
          <w:lang w:eastAsia="zh-CN" w:bidi="ar"/>
        </w:rPr>
        <w:t>或承诺书</w:t>
      </w:r>
      <w:r>
        <w:rPr>
          <w:rFonts w:hint="eastAsia" w:ascii="宋体" w:hAnsi="宋体" w:cs="宋体"/>
          <w:color w:val="auto"/>
          <w:kern w:val="2"/>
          <w:sz w:val="21"/>
          <w:szCs w:val="21"/>
          <w:highlight w:val="none"/>
          <w:lang w:bidi="ar"/>
        </w:rPr>
        <w:t>。</w:t>
      </w:r>
    </w:p>
    <w:p w14:paraId="4997E5F7">
      <w:pPr>
        <w:pStyle w:val="21"/>
        <w:pageBreakBefore w:val="0"/>
        <w:kinsoku/>
        <w:wordWrap/>
        <w:overflowPunct/>
        <w:topLinePunct w:val="0"/>
        <w:autoSpaceDN/>
        <w:bidi w:val="0"/>
        <w:adjustRightInd w:val="0"/>
        <w:snapToGrid/>
        <w:spacing w:after="0" w:line="500" w:lineRule="exact"/>
        <w:ind w:left="0" w:leftChars="0" w:firstLine="420" w:firstLineChars="200"/>
        <w:textAlignment w:val="auto"/>
        <w:rPr>
          <w:rFonts w:hint="eastAsia"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
        </w:rPr>
        <w:t>（4）</w:t>
      </w:r>
      <w:r>
        <w:rPr>
          <w:rFonts w:hint="eastAsia" w:ascii="宋体" w:hAnsi="宋体" w:cs="宋体"/>
          <w:color w:val="auto"/>
          <w:kern w:val="2"/>
          <w:sz w:val="21"/>
          <w:szCs w:val="21"/>
          <w:highlight w:val="none"/>
          <w:lang w:bidi="ar"/>
        </w:rPr>
        <w:t>有依法缴纳税收和社会保障资金的良好记录。</w:t>
      </w:r>
      <w:r>
        <w:rPr>
          <w:rFonts w:hint="eastAsia" w:ascii="宋体" w:hAnsi="宋体" w:cs="宋体"/>
          <w:color w:val="auto"/>
          <w:kern w:val="2"/>
          <w:sz w:val="21"/>
          <w:szCs w:val="21"/>
          <w:highlight w:val="none"/>
          <w:lang w:val="en-US" w:eastAsia="zh-CN" w:bidi="ar"/>
        </w:rPr>
        <w:t>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r>
        <w:rPr>
          <w:rFonts w:hint="eastAsia" w:cs="宋体"/>
          <w:color w:val="auto"/>
          <w:sz w:val="21"/>
          <w:szCs w:val="21"/>
          <w:highlight w:val="none"/>
          <w:lang w:val="en-US" w:eastAsia="zh-CN"/>
        </w:rPr>
        <w:t>。</w:t>
      </w:r>
    </w:p>
    <w:p w14:paraId="5F1CFFFA">
      <w:pPr>
        <w:spacing w:line="360" w:lineRule="auto"/>
        <w:ind w:firstLine="420" w:firstLineChars="200"/>
        <w:jc w:val="both"/>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参加政府采购活动前三年内，在经营活动中没有重大违法记录。提供参加</w:t>
      </w:r>
      <w:r>
        <w:rPr>
          <w:rFonts w:hint="eastAsia" w:ascii="宋体" w:hAnsi="宋体" w:cs="宋体"/>
          <w:color w:val="auto"/>
          <w:sz w:val="21"/>
          <w:szCs w:val="21"/>
          <w:highlight w:val="none"/>
          <w:lang w:val="en-US" w:eastAsia="zh-CN"/>
        </w:rPr>
        <w:t>本次</w:t>
      </w:r>
      <w:r>
        <w:rPr>
          <w:rFonts w:hint="eastAsia" w:ascii="宋体" w:hAnsi="宋体" w:cs="宋体"/>
          <w:color w:val="auto"/>
          <w:sz w:val="21"/>
          <w:szCs w:val="21"/>
          <w:highlight w:val="none"/>
        </w:rPr>
        <w:t>政府采购活动前三年内在经营活动中没有重大违法记录的书面声明。</w:t>
      </w:r>
    </w:p>
    <w:p w14:paraId="122F5A35">
      <w:pPr>
        <w:spacing w:line="360" w:lineRule="auto"/>
        <w:ind w:firstLine="465"/>
        <w:outlineLvl w:val="4"/>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法律、行政法规规定的其他条件。</w:t>
      </w:r>
    </w:p>
    <w:p w14:paraId="1B55719D">
      <w:pPr>
        <w:spacing w:line="360" w:lineRule="auto"/>
        <w:ind w:firstLine="674" w:firstLineChars="321"/>
        <w:rPr>
          <w:rFonts w:hint="eastAsia" w:ascii="宋体" w:hAnsi="宋体" w:cs="宋体"/>
          <w:color w:val="auto"/>
          <w:sz w:val="21"/>
          <w:szCs w:val="21"/>
          <w:highlight w:val="none"/>
        </w:rPr>
      </w:pPr>
      <w:r>
        <w:rPr>
          <w:rFonts w:hint="default" w:ascii="宋体" w:hAnsi="宋体" w:cs="宋体"/>
          <w:color w:val="auto"/>
          <w:kern w:val="2"/>
          <w:sz w:val="21"/>
          <w:szCs w:val="21"/>
          <w:highlight w:val="none"/>
          <w:lang w:bidi="ar"/>
        </w:rPr>
        <w:t>①</w:t>
      </w:r>
      <w:r>
        <w:rPr>
          <w:rFonts w:hint="eastAsia" w:ascii="宋体" w:hAnsi="宋体" w:cs="宋体"/>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57AA269D">
      <w:pPr>
        <w:keepNext w:val="0"/>
        <w:keepLines w:val="0"/>
        <w:pageBreakBefore w:val="0"/>
        <w:kinsoku/>
        <w:wordWrap/>
        <w:overflowPunct/>
        <w:topLinePunct w:val="0"/>
        <w:autoSpaceDN/>
        <w:bidi w:val="0"/>
        <w:snapToGrid/>
        <w:spacing w:line="460" w:lineRule="exact"/>
        <w:ind w:firstLine="630" w:firstLineChars="300"/>
        <w:textAlignment w:val="auto"/>
        <w:outlineLvl w:val="9"/>
        <w:rPr>
          <w:rFonts w:hint="eastAsia" w:ascii="宋体" w:hAnsi="宋体" w:cs="宋体"/>
          <w:b/>
          <w:bCs/>
          <w:color w:val="auto"/>
          <w:sz w:val="21"/>
          <w:szCs w:val="21"/>
          <w:highlight w:val="none"/>
          <w:lang w:val="en-US" w:eastAsia="zh-CN"/>
        </w:rPr>
      </w:pPr>
      <w:r>
        <w:rPr>
          <w:rFonts w:hint="default" w:ascii="宋体" w:hAnsi="宋体" w:cs="宋体"/>
          <w:color w:val="auto"/>
          <w:kern w:val="2"/>
          <w:sz w:val="21"/>
          <w:szCs w:val="21"/>
          <w:highlight w:val="none"/>
          <w:lang w:bidi="ar"/>
        </w:rPr>
        <w:t>②</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color w:val="auto"/>
          <w:spacing w:val="0"/>
          <w:kern w:val="2"/>
          <w:sz w:val="21"/>
          <w:szCs w:val="21"/>
          <w:highlight w:val="none"/>
          <w:lang w:val="en-US" w:eastAsia="zh-CN" w:bidi="ar-SA"/>
        </w:rPr>
        <w:t>在“中国执行信息公开网”</w:t>
      </w:r>
      <w:r>
        <w:rPr>
          <w:rFonts w:hint="eastAsia" w:ascii="宋体" w:hAnsi="宋体" w:cs="宋体"/>
          <w:color w:val="auto"/>
          <w:spacing w:val="0"/>
          <w:kern w:val="2"/>
          <w:sz w:val="21"/>
          <w:szCs w:val="21"/>
          <w:highlight w:val="none"/>
          <w:lang w:val="en-US" w:eastAsia="zh-CN" w:bidi="ar-SA"/>
        </w:rPr>
        <w:t>未被列</w:t>
      </w:r>
      <w:r>
        <w:rPr>
          <w:rFonts w:hint="eastAsia" w:ascii="宋体" w:hAnsi="宋体" w:eastAsia="宋体" w:cs="宋体"/>
          <w:color w:val="auto"/>
          <w:spacing w:val="0"/>
          <w:kern w:val="2"/>
          <w:sz w:val="21"/>
          <w:szCs w:val="21"/>
          <w:highlight w:val="none"/>
          <w:lang w:val="en-US" w:eastAsia="zh-CN" w:bidi="ar-SA"/>
        </w:rPr>
        <w:t>入失信被执行人名单；</w:t>
      </w:r>
      <w:r>
        <w:rPr>
          <w:rFonts w:hint="eastAsia" w:ascii="宋体" w:hAnsi="宋体" w:cs="宋体"/>
          <w:b w:val="0"/>
          <w:bCs w:val="0"/>
          <w:color w:val="auto"/>
          <w:sz w:val="21"/>
          <w:szCs w:val="21"/>
          <w:highlight w:val="none"/>
          <w:lang w:val="en-US" w:eastAsia="zh-CN"/>
        </w:rPr>
        <w:t>供应商在</w:t>
      </w:r>
      <w:r>
        <w:rPr>
          <w:rFonts w:hint="eastAsia" w:ascii="宋体" w:hAnsi="宋体" w:eastAsia="宋体" w:cs="宋体"/>
          <w:color w:val="auto"/>
          <w:spacing w:val="0"/>
          <w:kern w:val="2"/>
          <w:sz w:val="21"/>
          <w:szCs w:val="21"/>
          <w:highlight w:val="none"/>
          <w:lang w:val="en-US" w:eastAsia="zh-CN" w:bidi="ar-SA"/>
        </w:rPr>
        <w:t>“信用中国”未被列入重大税收违法失信主体、</w:t>
      </w:r>
      <w:r>
        <w:rPr>
          <w:rFonts w:hint="eastAsia" w:ascii="宋体" w:hAnsi="宋体" w:cs="宋体"/>
          <w:b w:val="0"/>
          <w:bCs w:val="0"/>
          <w:color w:val="auto"/>
          <w:sz w:val="21"/>
          <w:szCs w:val="21"/>
          <w:highlight w:val="none"/>
          <w:lang w:val="en-US" w:eastAsia="zh-CN"/>
        </w:rPr>
        <w:t>在</w:t>
      </w:r>
      <w:r>
        <w:rPr>
          <w:rFonts w:hint="eastAsia" w:ascii="宋体" w:hAnsi="宋体" w:eastAsia="宋体" w:cs="宋体"/>
          <w:color w:val="auto"/>
          <w:spacing w:val="0"/>
          <w:kern w:val="2"/>
          <w:sz w:val="21"/>
          <w:szCs w:val="21"/>
          <w:highlight w:val="none"/>
          <w:lang w:val="en-US" w:eastAsia="zh-CN" w:bidi="ar-SA"/>
        </w:rPr>
        <w:t>“中国政府采购网”中未被列入：</w:t>
      </w:r>
      <w:r>
        <w:rPr>
          <w:rFonts w:hint="eastAsia" w:ascii="宋体" w:hAnsi="宋体" w:cs="宋体"/>
          <w:color w:val="auto"/>
          <w:spacing w:val="0"/>
          <w:kern w:val="2"/>
          <w:sz w:val="21"/>
          <w:szCs w:val="21"/>
          <w:highlight w:val="none"/>
          <w:lang w:val="en-US" w:eastAsia="zh-CN" w:bidi="ar-SA"/>
        </w:rPr>
        <w:t>政府采购严重违法失信行为记录名单</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（注：以上网站均由采购人或采购代理机构在评审时查询，若供应商有不良信誉，视为不满足资格要求，响应文件无效。）</w:t>
      </w:r>
    </w:p>
    <w:p w14:paraId="207B729D">
      <w:pPr>
        <w:pStyle w:val="21"/>
        <w:keepNext w:val="0"/>
        <w:keepLines w:val="0"/>
        <w:pageBreakBefore w:val="0"/>
        <w:kinsoku/>
        <w:wordWrap/>
        <w:topLinePunct w:val="0"/>
        <w:bidi w:val="0"/>
        <w:snapToGrid/>
        <w:spacing w:after="0" w:line="48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753EC44D">
      <w:pPr>
        <w:pStyle w:val="21"/>
        <w:keepNext w:val="0"/>
        <w:keepLines w:val="0"/>
        <w:pageBreakBefore w:val="0"/>
        <w:kinsoku/>
        <w:wordWrap/>
        <w:topLinePunct w:val="0"/>
        <w:bidi w:val="0"/>
        <w:snapToGrid/>
        <w:spacing w:after="0" w:line="48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（1）根据《政府采购促进中小企业发展管理办法》（财库〔2020〕46号）文件规定，本项目非专门面向中小微企业采购，监狱企业、残疾人福利性单位视同小型、微型企业，小微企业价格扣除优惠比例:3%；</w:t>
      </w:r>
    </w:p>
    <w:p w14:paraId="4A49924D">
      <w:pPr>
        <w:pStyle w:val="21"/>
        <w:keepNext w:val="0"/>
        <w:keepLines w:val="0"/>
        <w:pageBreakBefore w:val="0"/>
        <w:kinsoku/>
        <w:wordWrap/>
        <w:topLinePunct w:val="0"/>
        <w:bidi w:val="0"/>
        <w:snapToGrid/>
        <w:spacing w:after="0" w:line="48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根据《关于印发中小企业划型标准规定的通知》（工信部联企业〔2011〕300号）文件规定的划分标准，本项目对应的中小企业划分标准所属行业为：建筑业。</w:t>
      </w:r>
    </w:p>
    <w:p w14:paraId="225F4B69">
      <w:pPr>
        <w:pStyle w:val="38"/>
        <w:keepNext w:val="0"/>
        <w:keepLines w:val="0"/>
        <w:pageBreakBefore w:val="0"/>
        <w:kinsoku/>
        <w:wordWrap/>
        <w:topLinePunct w:val="0"/>
        <w:bidi w:val="0"/>
        <w:snapToGrid/>
        <w:spacing w:after="0" w:line="480" w:lineRule="exact"/>
        <w:ind w:left="0" w:leftChars="0" w:firstLine="420" w:firstLineChars="20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7B3DDA15">
      <w:pPr>
        <w:pStyle w:val="21"/>
        <w:keepNext w:val="0"/>
        <w:keepLines w:val="0"/>
        <w:pageBreakBefore w:val="0"/>
        <w:kinsoku/>
        <w:wordWrap/>
        <w:topLinePunct w:val="0"/>
        <w:bidi w:val="0"/>
        <w:snapToGrid/>
        <w:spacing w:after="0" w:line="48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企业资质：具备建筑工程施工总承包叁级（含叁级）以上资质，</w:t>
      </w:r>
      <w:r>
        <w:rPr>
          <w:rFonts w:hint="eastAsia" w:ascii="宋体" w:hAnsi="宋体" w:eastAsia="宋体" w:cs="宋体"/>
          <w:color w:val="auto"/>
          <w:sz w:val="21"/>
          <w:szCs w:val="21"/>
          <w:highlight w:val="none"/>
          <w:lang w:eastAsia="zh-CN"/>
        </w:rPr>
        <w:t>同时具备有效的安全生产许可证</w:t>
      </w:r>
      <w:r>
        <w:rPr>
          <w:rFonts w:hint="eastAsia" w:ascii="宋体" w:hAnsi="宋体" w:cs="宋体"/>
          <w:color w:val="auto"/>
          <w:sz w:val="21"/>
          <w:szCs w:val="21"/>
          <w:highlight w:val="none"/>
          <w:lang w:val="en-US" w:eastAsia="zh-CN"/>
        </w:rPr>
        <w:t>；</w:t>
      </w:r>
    </w:p>
    <w:p w14:paraId="5A92E633">
      <w:pPr>
        <w:spacing w:line="460" w:lineRule="exact"/>
        <w:ind w:firstLine="420" w:firstLineChars="200"/>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拟派项目经理资格：</w:t>
      </w:r>
      <w:r>
        <w:rPr>
          <w:rFonts w:hint="eastAsia" w:ascii="宋体" w:hAnsi="宋体" w:eastAsia="宋体" w:cs="宋体"/>
          <w:color w:val="auto"/>
          <w:sz w:val="21"/>
          <w:szCs w:val="21"/>
          <w:highlight w:val="none"/>
        </w:rPr>
        <w:t>项目负责人具有建设行政主管部门颁发的二级及以上注册建造师</w:t>
      </w:r>
      <w:r>
        <w:rPr>
          <w:rFonts w:hint="eastAsia" w:ascii="宋体" w:hAnsi="宋体" w:eastAsia="宋体" w:cs="宋体"/>
          <w:color w:val="auto"/>
          <w:sz w:val="21"/>
          <w:szCs w:val="21"/>
          <w:highlight w:val="none"/>
          <w:lang w:eastAsia="zh-CN"/>
        </w:rPr>
        <w:t>（建筑工程专业）</w:t>
      </w:r>
      <w:r>
        <w:rPr>
          <w:rFonts w:hint="eastAsia" w:ascii="宋体" w:hAnsi="宋体" w:eastAsia="宋体" w:cs="宋体"/>
          <w:color w:val="auto"/>
          <w:sz w:val="21"/>
          <w:szCs w:val="21"/>
          <w:highlight w:val="none"/>
        </w:rPr>
        <w:t>证书，具备有效的安全生产考核合格证书；项目经理必须为本单位在职人员</w:t>
      </w:r>
      <w:r>
        <w:rPr>
          <w:rFonts w:hint="eastAsia" w:ascii="宋体" w:hAnsi="宋体" w:eastAsia="宋体" w:cs="宋体"/>
          <w:color w:val="auto"/>
          <w:sz w:val="24"/>
          <w:highlight w:val="none"/>
        </w:rPr>
        <w:t>。</w:t>
      </w:r>
    </w:p>
    <w:p w14:paraId="1BEB2E45">
      <w:pPr>
        <w:pStyle w:val="4"/>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三、获取采购文件</w:t>
      </w:r>
      <w:bookmarkEnd w:id="8"/>
      <w:bookmarkEnd w:id="9"/>
      <w:bookmarkEnd w:id="10"/>
      <w:bookmarkEnd w:id="11"/>
    </w:p>
    <w:p w14:paraId="7180E77F">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Cs/>
          <w:color w:val="auto"/>
          <w:kern w:val="0"/>
          <w:sz w:val="21"/>
          <w:szCs w:val="21"/>
          <w:highlight w:val="none"/>
          <w:lang w:eastAsia="zh-CN"/>
        </w:rPr>
      </w:pPr>
      <w:r>
        <w:rPr>
          <w:rFonts w:hint="eastAsia" w:ascii="宋体" w:hAnsi="宋体" w:cs="宋体"/>
          <w:bCs/>
          <w:color w:val="auto"/>
          <w:kern w:val="0"/>
          <w:sz w:val="21"/>
          <w:szCs w:val="21"/>
          <w:highlight w:val="none"/>
          <w:lang w:val="en-US" w:eastAsia="zh-CN"/>
        </w:rPr>
        <w:t>1.</w:t>
      </w:r>
      <w:r>
        <w:rPr>
          <w:rFonts w:hint="eastAsia" w:ascii="宋体" w:hAnsi="宋体" w:eastAsia="宋体" w:cs="宋体"/>
          <w:bCs/>
          <w:color w:val="auto"/>
          <w:kern w:val="0"/>
          <w:sz w:val="21"/>
          <w:szCs w:val="21"/>
          <w:highlight w:val="none"/>
        </w:rPr>
        <w:t>时间：</w:t>
      </w:r>
      <w:r>
        <w:rPr>
          <w:rFonts w:hint="eastAsia" w:ascii="宋体" w:hAnsi="宋体" w:cs="宋体"/>
          <w:color w:val="auto"/>
          <w:sz w:val="21"/>
          <w:szCs w:val="21"/>
          <w:highlight w:val="none"/>
          <w:lang w:eastAsia="zh-CN"/>
        </w:rPr>
        <w:t>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27</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eastAsia="zh-CN"/>
        </w:rPr>
        <w:t>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日，</w:t>
      </w:r>
      <w:r>
        <w:rPr>
          <w:rFonts w:hint="eastAsia" w:ascii="宋体" w:hAnsi="宋体" w:cs="宋体"/>
          <w:color w:val="auto"/>
          <w:sz w:val="21"/>
          <w:szCs w:val="21"/>
          <w:highlight w:val="none"/>
          <w:lang w:eastAsia="zh-CN"/>
        </w:rPr>
        <w:t>每天上午</w:t>
      </w:r>
      <w:r>
        <w:rPr>
          <w:rFonts w:hint="eastAsia" w:ascii="宋体" w:hAnsi="宋体" w:cs="宋体"/>
          <w:color w:val="auto"/>
          <w:sz w:val="21"/>
          <w:szCs w:val="21"/>
          <w:highlight w:val="none"/>
          <w:lang w:val="en-US" w:eastAsia="zh-CN"/>
        </w:rPr>
        <w:t>06:00至12:00，下午12:00至23:59（北京时间，法定节假日除外）</w:t>
      </w:r>
      <w:r>
        <w:rPr>
          <w:rFonts w:hint="eastAsia" w:ascii="宋体" w:hAnsi="宋体" w:eastAsia="宋体" w:cs="宋体"/>
          <w:bCs/>
          <w:color w:val="auto"/>
          <w:kern w:val="0"/>
          <w:sz w:val="21"/>
          <w:szCs w:val="21"/>
          <w:highlight w:val="none"/>
          <w:lang w:eastAsia="zh-CN"/>
        </w:rPr>
        <w:t>；</w:t>
      </w:r>
    </w:p>
    <w:p w14:paraId="6C2886E3">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color w:val="auto"/>
          <w:kern w:val="0"/>
          <w:sz w:val="21"/>
          <w:szCs w:val="21"/>
          <w:highlight w:val="none"/>
          <w:lang w:eastAsia="zh-CN"/>
        </w:rPr>
      </w:pPr>
      <w:r>
        <w:rPr>
          <w:rFonts w:hint="eastAsia" w:ascii="宋体" w:hAnsi="宋体" w:cs="宋体"/>
          <w:b w:val="0"/>
          <w:bCs/>
          <w:color w:val="auto"/>
          <w:kern w:val="0"/>
          <w:sz w:val="21"/>
          <w:szCs w:val="21"/>
          <w:highlight w:val="none"/>
          <w:lang w:val="en-US" w:eastAsia="zh-CN"/>
        </w:rPr>
        <w:t>2.</w:t>
      </w:r>
      <w:r>
        <w:rPr>
          <w:rFonts w:hint="eastAsia" w:ascii="宋体" w:hAnsi="宋体" w:eastAsia="宋体" w:cs="宋体"/>
          <w:b w:val="0"/>
          <w:bCs/>
          <w:color w:val="auto"/>
          <w:kern w:val="0"/>
          <w:sz w:val="21"/>
          <w:szCs w:val="21"/>
          <w:highlight w:val="none"/>
        </w:rPr>
        <w:t>地点：</w:t>
      </w:r>
      <w:r>
        <w:rPr>
          <w:rFonts w:hint="eastAsia" w:ascii="宋体" w:hAnsi="宋体" w:eastAsia="宋体" w:cs="宋体"/>
          <w:b w:val="0"/>
          <w:bCs/>
          <w:color w:val="auto"/>
          <w:kern w:val="0"/>
          <w:sz w:val="21"/>
          <w:szCs w:val="21"/>
          <w:highlight w:val="none"/>
          <w:lang w:val="en-US" w:eastAsia="zh-CN"/>
        </w:rPr>
        <w:t>政府采购云平台</w:t>
      </w:r>
      <w:r>
        <w:rPr>
          <w:rFonts w:hint="eastAsia" w:ascii="宋体" w:hAnsi="宋体" w:eastAsia="宋体" w:cs="宋体"/>
          <w:b w:val="0"/>
          <w:bCs/>
          <w:color w:val="auto"/>
          <w:kern w:val="0"/>
          <w:sz w:val="21"/>
          <w:szCs w:val="21"/>
          <w:highlight w:val="none"/>
          <w:lang w:eastAsia="zh-CN"/>
        </w:rPr>
        <w:t>（https://www.zcygov.cn/）</w:t>
      </w:r>
      <w:r>
        <w:rPr>
          <w:rFonts w:hint="eastAsia" w:ascii="宋体" w:hAnsi="宋体" w:eastAsia="宋体" w:cs="宋体"/>
          <w:b w:val="0"/>
          <w:bCs/>
          <w:color w:val="auto"/>
          <w:kern w:val="0"/>
          <w:sz w:val="21"/>
          <w:szCs w:val="21"/>
          <w:highlight w:val="none"/>
          <w:lang w:val="en-US" w:eastAsia="zh-CN"/>
        </w:rPr>
        <w:t>，操作路径：登录“政采云”平台-项目采购-获取采购文件-找到本项目-点击“申请获取采购文件”及其他采购资料</w:t>
      </w:r>
      <w:r>
        <w:rPr>
          <w:rFonts w:hint="eastAsia" w:ascii="宋体" w:hAnsi="宋体" w:eastAsia="宋体" w:cs="宋体"/>
          <w:b w:val="0"/>
          <w:bCs/>
          <w:color w:val="auto"/>
          <w:kern w:val="0"/>
          <w:sz w:val="21"/>
          <w:szCs w:val="21"/>
          <w:highlight w:val="none"/>
          <w:lang w:eastAsia="zh-CN"/>
        </w:rPr>
        <w:t>；</w:t>
      </w:r>
    </w:p>
    <w:p w14:paraId="7BD200D5">
      <w:pPr>
        <w:keepNext w:val="0"/>
        <w:keepLines w:val="0"/>
        <w:pageBreakBefore w:val="0"/>
        <w:widowControl w:val="0"/>
        <w:kinsoku/>
        <w:wordWrap w:val="0"/>
        <w:overflowPunct/>
        <w:topLinePunct w:val="0"/>
        <w:autoSpaceDE/>
        <w:autoSpaceDN/>
        <w:bidi w:val="0"/>
        <w:adjustRightInd/>
        <w:snapToGrid/>
        <w:spacing w:line="48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lang w:eastAsia="zh-CN"/>
        </w:rPr>
        <w:t>方式：网上获取</w:t>
      </w:r>
    </w:p>
    <w:p w14:paraId="150B6E6D">
      <w:pPr>
        <w:keepNext w:val="0"/>
        <w:keepLines w:val="0"/>
        <w:pageBreakBefore w:val="0"/>
        <w:widowControl w:val="0"/>
        <w:kinsoku/>
        <w:wordWrap w:val="0"/>
        <w:overflowPunct/>
        <w:topLinePunct w:val="0"/>
        <w:autoSpaceDE/>
        <w:autoSpaceDN/>
        <w:bidi w:val="0"/>
        <w:adjustRightInd/>
        <w:snapToGrid/>
        <w:spacing w:line="480" w:lineRule="exact"/>
        <w:ind w:firstLine="420" w:firstLineChars="200"/>
        <w:jc w:val="left"/>
        <w:textAlignment w:val="auto"/>
        <w:rPr>
          <w:rFonts w:hint="eastAsia" w:ascii="宋体" w:hAnsi="宋体" w:cs="宋体"/>
          <w:b/>
          <w:bCs w:val="0"/>
          <w:color w:val="auto"/>
          <w:sz w:val="21"/>
          <w:szCs w:val="21"/>
          <w:highlight w:val="none"/>
          <w:lang w:val="en-US" w:eastAsia="zh-CN"/>
        </w:rPr>
      </w:pPr>
      <w:r>
        <w:rPr>
          <w:rFonts w:hint="eastAsia" w:ascii="宋体" w:hAnsi="宋体" w:cs="宋体"/>
          <w:bCs/>
          <w:color w:val="auto"/>
          <w:sz w:val="21"/>
          <w:szCs w:val="21"/>
          <w:highlight w:val="none"/>
          <w:lang w:val="en-US" w:eastAsia="zh-CN"/>
        </w:rPr>
        <w:t>（1）凡有意参加投标者，须在政采云平台办理数字证书（CA），并在政采云绑定数字证书（CA）后线上获取采购文件及其它采购资料。若供应商未办理数字证书（CA）的，可选择办理云南壹证通CA。CA申领链接：http://yzt.ynsmartcert.cn/cms/ca0035.html，</w:t>
      </w:r>
      <w:r>
        <w:rPr>
          <w:rFonts w:hint="eastAsia" w:ascii="宋体" w:hAnsi="宋体" w:cs="宋体"/>
          <w:bCs/>
          <w:color w:val="auto"/>
          <w:sz w:val="21"/>
          <w:szCs w:val="21"/>
          <w:highlight w:val="none"/>
          <w:lang w:val="en-US" w:eastAsia="zh-CN"/>
        </w:rPr>
        <w:fldChar w:fldCharType="begin"/>
      </w:r>
      <w:r>
        <w:rPr>
          <w:rFonts w:hint="eastAsia" w:ascii="宋体" w:hAnsi="宋体" w:cs="宋体"/>
          <w:bCs/>
          <w:color w:val="auto"/>
          <w:sz w:val="21"/>
          <w:szCs w:val="21"/>
          <w:highlight w:val="none"/>
          <w:lang w:val="en-US" w:eastAsia="zh-CN"/>
        </w:rPr>
        <w:instrText xml:space="preserve"> HYPERLINK "http://yzt.ynsmartcert.cn/cms/yztbnxj16.html" </w:instrText>
      </w:r>
      <w:r>
        <w:rPr>
          <w:rFonts w:hint="eastAsia" w:ascii="宋体" w:hAnsi="宋体" w:cs="宋体"/>
          <w:bCs/>
          <w:color w:val="auto"/>
          <w:sz w:val="21"/>
          <w:szCs w:val="21"/>
          <w:highlight w:val="none"/>
          <w:lang w:val="en-US" w:eastAsia="zh-CN"/>
        </w:rPr>
        <w:fldChar w:fldCharType="separate"/>
      </w:r>
      <w:r>
        <w:rPr>
          <w:rFonts w:hint="eastAsia" w:ascii="宋体" w:hAnsi="宋体" w:cs="宋体"/>
          <w:bCs/>
          <w:color w:val="auto"/>
          <w:sz w:val="21"/>
          <w:szCs w:val="21"/>
          <w:highlight w:val="none"/>
          <w:lang w:val="en-US" w:eastAsia="zh-CN"/>
        </w:rPr>
        <w:fldChar w:fldCharType="end"/>
      </w:r>
      <w:r>
        <w:rPr>
          <w:rFonts w:hint="eastAsia" w:ascii="宋体" w:hAnsi="宋体" w:cs="宋体"/>
          <w:bCs/>
          <w:color w:val="auto"/>
          <w:sz w:val="21"/>
          <w:szCs w:val="21"/>
          <w:highlight w:val="none"/>
          <w:lang w:val="en-US" w:eastAsia="zh-CN"/>
        </w:rPr>
        <w:t>云南壹证通CA可支持线上、线下两种办理方式，并提供7*24小时全天候客户服务支持，客服热线400-004-0628（紧急CA办理电话：19988166369）。政府采购云平台支持多家CA服务商，供应商可自行选择办理，如有问题可拨打政采云客户服务热线95763进行咨询。</w:t>
      </w:r>
      <w:r>
        <w:rPr>
          <w:rFonts w:hint="eastAsia" w:ascii="宋体" w:hAnsi="宋体" w:cs="宋体"/>
          <w:b/>
          <w:bCs w:val="0"/>
          <w:color w:val="auto"/>
          <w:sz w:val="21"/>
          <w:szCs w:val="21"/>
          <w:highlight w:val="none"/>
          <w:lang w:val="en-US" w:eastAsia="zh-CN"/>
        </w:rPr>
        <w:t>（注：投标人如之前已办理过云南CA数字证书的，直接在政采云平台绑定即可，无需重复办理（2022年1月1日前办理的云南CA数字证书需到云南CA办理处进行升级），云南省外供应商在政采云平台办理的其他CA可直接使用，无需重复办理。）</w:t>
      </w:r>
    </w:p>
    <w:p w14:paraId="1E518819">
      <w:pPr>
        <w:keepNext w:val="0"/>
        <w:keepLines w:val="0"/>
        <w:pageBreakBefore w:val="0"/>
        <w:widowControl w:val="0"/>
        <w:kinsoku/>
        <w:wordWrap w:val="0"/>
        <w:overflowPunct/>
        <w:topLinePunct w:val="0"/>
        <w:autoSpaceDE/>
        <w:autoSpaceDN/>
        <w:bidi w:val="0"/>
        <w:adjustRightInd/>
        <w:snapToGrid/>
        <w:spacing w:line="480" w:lineRule="exact"/>
        <w:ind w:firstLine="420" w:firstLineChars="200"/>
        <w:jc w:val="left"/>
        <w:textAlignment w:val="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数字证书（CA）申领完成之后进入政府采购云平台，企业账号与数字证书（CA）进行绑定，凭企业数字证书（CA）进行项目报名及免费下载招标文件（操作路径：登录政采云平台-我的工作台-项目采购-获取采购文件-找到本项目-点击“申请获取采购文件”），电子投标文件制作需要基于“政府采购云平台”（https://www.zcygov.cn/）获取的采购文件编制。                </w:t>
      </w:r>
    </w:p>
    <w:p w14:paraId="275F3F87">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lang w:eastAsia="zh-CN"/>
        </w:rPr>
        <w:t>文件售价：</w:t>
      </w:r>
      <w:r>
        <w:rPr>
          <w:rFonts w:hint="eastAsia" w:ascii="宋体" w:hAnsi="宋体" w:cs="宋体"/>
          <w:bCs/>
          <w:color w:val="auto"/>
          <w:sz w:val="21"/>
          <w:szCs w:val="21"/>
          <w:highlight w:val="none"/>
          <w:lang w:val="en-US" w:eastAsia="zh-CN"/>
        </w:rPr>
        <w:t>0.00元</w:t>
      </w:r>
      <w:r>
        <w:rPr>
          <w:rFonts w:hint="eastAsia" w:ascii="宋体" w:hAnsi="宋体" w:cs="宋体"/>
          <w:bCs/>
          <w:color w:val="auto"/>
          <w:sz w:val="21"/>
          <w:szCs w:val="21"/>
          <w:highlight w:val="none"/>
          <w:lang w:eastAsia="zh-CN"/>
        </w:rPr>
        <w:t>。</w:t>
      </w:r>
    </w:p>
    <w:p w14:paraId="376E4603">
      <w:pPr>
        <w:pStyle w:val="4"/>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12" w:name="_Toc35393632"/>
      <w:bookmarkStart w:id="13" w:name="_Toc28359015"/>
      <w:bookmarkStart w:id="14" w:name="_Toc35393801"/>
      <w:bookmarkStart w:id="15" w:name="_Toc28359092"/>
      <w:r>
        <w:rPr>
          <w:rFonts w:hint="eastAsia" w:ascii="宋体" w:hAnsi="宋体" w:eastAsia="宋体" w:cs="宋体"/>
          <w:bCs w:val="0"/>
          <w:color w:val="auto"/>
          <w:sz w:val="21"/>
          <w:szCs w:val="21"/>
          <w:highlight w:val="none"/>
        </w:rPr>
        <w:t>四、响应文件提交</w:t>
      </w:r>
      <w:bookmarkEnd w:id="12"/>
      <w:bookmarkEnd w:id="13"/>
      <w:bookmarkEnd w:id="14"/>
      <w:bookmarkEnd w:id="15"/>
    </w:p>
    <w:p w14:paraId="7BDC001A">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截止时间：</w:t>
      </w:r>
      <w:r>
        <w:rPr>
          <w:rFonts w:hint="eastAsia" w:ascii="宋体" w:hAnsi="宋体" w:cs="宋体"/>
          <w:bCs/>
          <w:color w:val="auto"/>
          <w:sz w:val="21"/>
          <w:szCs w:val="21"/>
          <w:highlight w:val="none"/>
          <w:lang w:val="en-US" w:eastAsia="zh-CN"/>
        </w:rPr>
        <w:t>2</w:t>
      </w:r>
      <w:r>
        <w:rPr>
          <w:rFonts w:hint="eastAsia" w:ascii="宋体" w:hAnsi="宋体" w:cs="宋体"/>
          <w:color w:val="auto"/>
          <w:kern w:val="0"/>
          <w:sz w:val="21"/>
          <w:szCs w:val="21"/>
          <w:highlight w:val="none"/>
          <w:u w:val="none"/>
          <w:lang w:val="en-US" w:eastAsia="zh-CN"/>
        </w:rPr>
        <w:t>026年9月9日15点00分</w:t>
      </w:r>
      <w:r>
        <w:rPr>
          <w:rFonts w:hint="eastAsia" w:ascii="宋体" w:hAnsi="宋体" w:eastAsia="宋体" w:cs="宋体"/>
          <w:bCs/>
          <w:color w:val="auto"/>
          <w:sz w:val="21"/>
          <w:szCs w:val="21"/>
          <w:highlight w:val="none"/>
          <w:lang w:val="en-US" w:eastAsia="zh-CN"/>
        </w:rPr>
        <w:t>；</w:t>
      </w:r>
    </w:p>
    <w:p w14:paraId="20EF8D5A">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点：政府采购云平台（https://www.zcygov.cn/），供应商登录政采云投标客户端，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r>
        <w:rPr>
          <w:rFonts w:hint="eastAsia" w:ascii="宋体" w:hAnsi="宋体" w:eastAsia="宋体" w:cs="宋体"/>
          <w:b/>
          <w:bCs w:val="0"/>
          <w:color w:val="auto"/>
          <w:sz w:val="21"/>
          <w:szCs w:val="21"/>
          <w:highlight w:val="none"/>
          <w:lang w:val="en-US" w:eastAsia="zh-CN"/>
        </w:rPr>
        <w:t>请于开标当日在系统上等待代理机构通知最后报价。</w:t>
      </w:r>
    </w:p>
    <w:p w14:paraId="69E8618F">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如遇平台相关问题，请及时联系政府采购云平台客服进行咨询，咨询电话：95763。</w:t>
      </w:r>
    </w:p>
    <w:p w14:paraId="10731C00">
      <w:pPr>
        <w:keepNext w:val="0"/>
        <w:keepLines w:val="0"/>
        <w:pageBreakBefore w:val="0"/>
        <w:widowControl w:val="0"/>
        <w:kinsoku/>
        <w:wordWrap w:val="0"/>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操作指南：https://edu.zcygov.cn/luban/yunnan-dzjy-gys?utm=luban.luban-PC-</w:t>
      </w:r>
      <w:r>
        <w:rPr>
          <w:rFonts w:hint="eastAsia" w:ascii="宋体" w:hAnsi="宋体" w:eastAsia="宋体" w:cs="宋体"/>
          <w:bCs/>
          <w:color w:val="auto"/>
          <w:sz w:val="21"/>
          <w:szCs w:val="21"/>
          <w:highlight w:val="none"/>
          <w:lang w:val="en-US" w:eastAsia="zh-CN"/>
        </w:rPr>
        <mc:AlternateContent>
          <mc:Choice Requires="wps">
            <w:drawing>
              <wp:anchor distT="0" distB="0" distL="114300" distR="114300" simplePos="0" relativeHeight="251659264"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59264;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UxdF/m8FAABV&#10;CAAADgAAAAAAAAABACAAAAAnAQAAZHJzL2Uyb0RvYy54bWxQSwUGAAAAAAYABgBZAQAACAkAAAAA&#10;">
                <v:fill on="t" focussize="0,0"/>
                <v:stroke color="#000000" joinstyle="miter"/>
                <v:imagedata o:title=""/>
                <o:lock v:ext="edit" aspectratio="f"/>
              </v:rect>
            </w:pict>
          </mc:Fallback>
        </mc:AlternateContent>
      </w:r>
      <w:r>
        <w:rPr>
          <w:rFonts w:hint="eastAsia" w:ascii="宋体" w:hAnsi="宋体" w:eastAsia="宋体" w:cs="宋体"/>
          <w:bCs/>
          <w:color w:val="auto"/>
          <w:sz w:val="21"/>
          <w:szCs w:val="21"/>
          <w:highlight w:val="none"/>
          <w:lang w:val="en-US" w:eastAsia="zh-CN"/>
        </w:rPr>
        <w:t>1514.161-market-menubar-pc.20.d37010404f7811edb5ec8fd9c5fe1d40。</w:t>
      </w:r>
    </w:p>
    <w:p w14:paraId="76AFE0C9">
      <w:pPr>
        <w:pStyle w:val="4"/>
        <w:keepNext/>
        <w:keepLines/>
        <w:pageBreakBefore w:val="0"/>
        <w:widowControl w:val="0"/>
        <w:kinsoku/>
        <w:wordWrap/>
        <w:overflowPunct/>
        <w:topLinePunct w:val="0"/>
        <w:autoSpaceDE/>
        <w:autoSpaceDN/>
        <w:bidi w:val="0"/>
        <w:adjustRightInd/>
        <w:snapToGrid/>
        <w:spacing w:after="0" w:line="460" w:lineRule="exact"/>
        <w:jc w:val="left"/>
        <w:textAlignment w:val="auto"/>
        <w:rPr>
          <w:rFonts w:hint="eastAsia" w:ascii="宋体" w:hAnsi="宋体" w:eastAsia="宋体" w:cs="宋体"/>
          <w:bCs w:val="0"/>
          <w:color w:val="auto"/>
          <w:sz w:val="21"/>
          <w:szCs w:val="21"/>
          <w:highlight w:val="none"/>
        </w:rPr>
      </w:pPr>
      <w:bookmarkStart w:id="16" w:name="_Toc35393802"/>
      <w:bookmarkStart w:id="17" w:name="_Toc28359093"/>
      <w:bookmarkStart w:id="18" w:name="_Toc28359016"/>
      <w:bookmarkStart w:id="19" w:name="_Toc35393633"/>
      <w:r>
        <w:rPr>
          <w:rFonts w:hint="eastAsia" w:ascii="宋体" w:hAnsi="宋体" w:eastAsia="宋体" w:cs="宋体"/>
          <w:bCs w:val="0"/>
          <w:color w:val="auto"/>
          <w:sz w:val="21"/>
          <w:szCs w:val="21"/>
          <w:highlight w:val="none"/>
        </w:rPr>
        <w:t>五、开启</w:t>
      </w:r>
      <w:bookmarkEnd w:id="16"/>
      <w:bookmarkEnd w:id="17"/>
      <w:bookmarkEnd w:id="18"/>
      <w:bookmarkEnd w:id="19"/>
    </w:p>
    <w:p w14:paraId="745A2591">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时间</w:t>
      </w:r>
      <w:r>
        <w:rPr>
          <w:rFonts w:hint="eastAsia" w:ascii="宋体" w:hAnsi="宋体" w:cs="宋体"/>
          <w:bCs/>
          <w:color w:val="auto"/>
          <w:kern w:val="0"/>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color w:val="auto"/>
          <w:kern w:val="0"/>
          <w:sz w:val="21"/>
          <w:szCs w:val="21"/>
          <w:highlight w:val="none"/>
          <w:u w:val="none"/>
          <w:lang w:val="en-US" w:eastAsia="zh-CN"/>
        </w:rPr>
        <w:t>026年9月9日15：00分</w:t>
      </w:r>
      <w:r>
        <w:rPr>
          <w:rFonts w:hint="eastAsia" w:ascii="宋体" w:hAnsi="宋体" w:eastAsia="宋体" w:cs="宋体"/>
          <w:bCs/>
          <w:color w:val="auto"/>
          <w:kern w:val="0"/>
          <w:sz w:val="21"/>
          <w:szCs w:val="21"/>
          <w:highlight w:val="none"/>
        </w:rPr>
        <w:t>；</w:t>
      </w:r>
    </w:p>
    <w:p w14:paraId="59BD8BC1">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地点：“政采云”平台开标大厅，会议地点为</w:t>
      </w:r>
      <w:r>
        <w:rPr>
          <w:rFonts w:hint="eastAsia" w:ascii="宋体" w:hAnsi="宋体" w:cs="宋体"/>
          <w:b w:val="0"/>
          <w:bCs/>
          <w:color w:val="auto"/>
          <w:kern w:val="0"/>
          <w:sz w:val="21"/>
          <w:szCs w:val="21"/>
          <w:highlight w:val="none"/>
          <w:lang w:val="en-US" w:eastAsia="zh-CN"/>
        </w:rPr>
        <w:t>德宏锦浩招标咨询有限公司</w:t>
      </w:r>
      <w:r>
        <w:rPr>
          <w:rFonts w:hint="eastAsia" w:ascii="宋体" w:hAnsi="宋体" w:eastAsia="宋体" w:cs="宋体"/>
          <w:b w:val="0"/>
          <w:bCs/>
          <w:color w:val="auto"/>
          <w:kern w:val="0"/>
          <w:sz w:val="21"/>
          <w:szCs w:val="21"/>
          <w:highlight w:val="none"/>
          <w:lang w:val="en-US" w:eastAsia="zh-CN"/>
        </w:rPr>
        <w:t>（</w:t>
      </w:r>
      <w:r>
        <w:rPr>
          <w:rFonts w:hint="eastAsia" w:ascii="宋体" w:hAnsi="宋体" w:cs="宋体"/>
          <w:b w:val="0"/>
          <w:bCs/>
          <w:color w:val="auto"/>
          <w:kern w:val="0"/>
          <w:sz w:val="21"/>
          <w:szCs w:val="21"/>
          <w:highlight w:val="none"/>
          <w:lang w:val="en-US" w:eastAsia="zh-CN"/>
        </w:rPr>
        <w:t>云南省德宏州梁河县龙窝大道金塔温泉小镇32-10</w:t>
      </w:r>
      <w:r>
        <w:rPr>
          <w:rFonts w:hint="eastAsia" w:ascii="宋体" w:hAnsi="宋体" w:eastAsia="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rPr>
        <w:t>。</w:t>
      </w:r>
    </w:p>
    <w:p w14:paraId="3262EC29">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开启方式：网上开标</w:t>
      </w:r>
      <w:r>
        <w:rPr>
          <w:rFonts w:hint="eastAsia" w:ascii="宋体" w:hAnsi="宋体" w:cs="宋体"/>
          <w:b w:val="0"/>
          <w:bCs/>
          <w:color w:val="auto"/>
          <w:kern w:val="0"/>
          <w:sz w:val="21"/>
          <w:szCs w:val="21"/>
          <w:highlight w:val="none"/>
          <w:lang w:val="en-US" w:eastAsia="zh-CN"/>
        </w:rPr>
        <w:t>，供应商</w:t>
      </w:r>
      <w:r>
        <w:rPr>
          <w:rFonts w:hint="eastAsia" w:ascii="宋体" w:hAnsi="宋体" w:cs="宋体"/>
          <w:color w:val="auto"/>
          <w:highlight w:val="none"/>
          <w:lang w:val="en-US" w:eastAsia="zh-CN"/>
        </w:rPr>
        <w:t>必须在规定的时间内完成解密，</w:t>
      </w:r>
      <w:r>
        <w:rPr>
          <w:rFonts w:hint="eastAsia" w:ascii="宋体" w:hAnsi="宋体" w:eastAsia="宋体" w:cs="宋体"/>
          <w:b w:val="0"/>
          <w:bCs/>
          <w:color w:val="auto"/>
          <w:kern w:val="0"/>
          <w:sz w:val="21"/>
          <w:szCs w:val="21"/>
          <w:highlight w:val="none"/>
          <w:lang w:val="en-US" w:eastAsia="zh-CN"/>
        </w:rPr>
        <w:t>如因供应商自身原因导致在规定时间内无法正常解密的（如：浏览器故障、未安装相关驱动、网络故障、加密CA与解密CA不一致等），代理机构不予异常处理，视为供应商自动弃标</w:t>
      </w:r>
      <w:r>
        <w:rPr>
          <w:rFonts w:hint="eastAsia" w:ascii="宋体" w:hAnsi="宋体" w:cs="宋体"/>
          <w:b w:val="0"/>
          <w:bCs/>
          <w:color w:val="auto"/>
          <w:kern w:val="0"/>
          <w:sz w:val="21"/>
          <w:szCs w:val="21"/>
          <w:highlight w:val="none"/>
          <w:lang w:val="en-US" w:eastAsia="zh-CN"/>
        </w:rPr>
        <w:t>。</w:t>
      </w:r>
    </w:p>
    <w:p w14:paraId="46F2B9A2">
      <w:pPr>
        <w:pStyle w:val="4"/>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0" w:name="_Toc28359094"/>
      <w:bookmarkStart w:id="21" w:name="_Toc35393803"/>
      <w:bookmarkStart w:id="22" w:name="_Toc28359017"/>
      <w:bookmarkStart w:id="23" w:name="_Toc35393634"/>
      <w:r>
        <w:rPr>
          <w:rFonts w:hint="eastAsia" w:ascii="宋体" w:hAnsi="宋体" w:eastAsia="宋体" w:cs="宋体"/>
          <w:bCs w:val="0"/>
          <w:color w:val="auto"/>
          <w:sz w:val="21"/>
          <w:szCs w:val="21"/>
          <w:highlight w:val="none"/>
        </w:rPr>
        <w:t>六、公告期限</w:t>
      </w:r>
      <w:bookmarkEnd w:id="20"/>
      <w:bookmarkEnd w:id="21"/>
      <w:bookmarkEnd w:id="22"/>
      <w:bookmarkEnd w:id="23"/>
    </w:p>
    <w:p w14:paraId="1E61EB14">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自本公告发布之日起</w:t>
      </w:r>
      <w:r>
        <w:rPr>
          <w:rFonts w:hint="eastAsia" w:ascii="宋体" w:hAnsi="宋体" w:cs="宋体"/>
          <w:bCs/>
          <w:color w:val="auto"/>
          <w:kern w:val="0"/>
          <w:sz w:val="21"/>
          <w:szCs w:val="21"/>
          <w:highlight w:val="none"/>
          <w:lang w:val="en-US" w:eastAsia="zh-CN"/>
        </w:rPr>
        <w:t>3</w:t>
      </w:r>
      <w:r>
        <w:rPr>
          <w:rFonts w:hint="eastAsia" w:ascii="宋体" w:hAnsi="宋体" w:eastAsia="宋体" w:cs="宋体"/>
          <w:bCs/>
          <w:color w:val="auto"/>
          <w:kern w:val="0"/>
          <w:sz w:val="21"/>
          <w:szCs w:val="21"/>
          <w:highlight w:val="none"/>
        </w:rPr>
        <w:t>个工作日</w:t>
      </w:r>
      <w:r>
        <w:rPr>
          <w:rFonts w:hint="eastAsia" w:ascii="宋体" w:hAnsi="宋体" w:eastAsia="宋体" w:cs="宋体"/>
          <w:color w:val="auto"/>
          <w:kern w:val="0"/>
          <w:sz w:val="21"/>
          <w:szCs w:val="21"/>
          <w:highlight w:val="none"/>
        </w:rPr>
        <w:t>。</w:t>
      </w:r>
    </w:p>
    <w:p w14:paraId="1262D901">
      <w:pPr>
        <w:pStyle w:val="4"/>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4" w:name="_Toc35393804"/>
      <w:bookmarkStart w:id="25" w:name="_Toc35393635"/>
      <w:r>
        <w:rPr>
          <w:rFonts w:hint="eastAsia" w:ascii="宋体" w:hAnsi="宋体" w:eastAsia="宋体" w:cs="宋体"/>
          <w:bCs w:val="0"/>
          <w:color w:val="auto"/>
          <w:sz w:val="21"/>
          <w:szCs w:val="21"/>
          <w:highlight w:val="none"/>
        </w:rPr>
        <w:t>七、其他补充事宜</w:t>
      </w:r>
      <w:bookmarkEnd w:id="24"/>
      <w:bookmarkEnd w:id="25"/>
    </w:p>
    <w:p w14:paraId="5FC1EB16">
      <w:pPr>
        <w:keepNext w:val="0"/>
        <w:keepLines w:val="0"/>
        <w:pageBreakBefore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1.相关费用：</w:t>
      </w:r>
      <w:r>
        <w:rPr>
          <w:rFonts w:hint="eastAsia" w:ascii="宋体" w:hAnsi="宋体" w:cs="宋体"/>
          <w:b w:val="0"/>
          <w:bCs w:val="0"/>
          <w:color w:val="auto"/>
          <w:sz w:val="21"/>
          <w:szCs w:val="21"/>
          <w:highlight w:val="none"/>
          <w:lang w:eastAsia="zh-CN"/>
        </w:rPr>
        <w:t>招标代理服务费由成交供应商向采购代理机构支付，代理服务费</w:t>
      </w:r>
      <w:r>
        <w:rPr>
          <w:rFonts w:hint="eastAsia" w:ascii="宋体" w:hAnsi="宋体" w:cs="宋体"/>
          <w:b w:val="0"/>
          <w:bCs w:val="0"/>
          <w:color w:val="auto"/>
          <w:sz w:val="21"/>
          <w:szCs w:val="21"/>
          <w:highlight w:val="none"/>
          <w:lang w:val="en-US" w:eastAsia="zh-CN"/>
        </w:rPr>
        <w:t>参照</w:t>
      </w:r>
      <w:r>
        <w:rPr>
          <w:rFonts w:hint="eastAsia" w:ascii="宋体" w:hAnsi="宋体" w:cs="宋体"/>
          <w:b w:val="0"/>
          <w:bCs w:val="0"/>
          <w:color w:val="auto"/>
          <w:sz w:val="21"/>
          <w:szCs w:val="21"/>
          <w:highlight w:val="none"/>
          <w:lang w:eastAsia="zh-CN"/>
        </w:rPr>
        <w:t>《云南省建设工程及政府采购代理服务收费参考意见》（云建招协〔2026〕11号）</w:t>
      </w:r>
      <w:r>
        <w:rPr>
          <w:rFonts w:hint="eastAsia" w:ascii="宋体" w:hAnsi="宋体" w:cs="宋体"/>
          <w:b w:val="0"/>
          <w:bCs w:val="0"/>
          <w:color w:val="auto"/>
          <w:sz w:val="21"/>
          <w:szCs w:val="21"/>
          <w:highlight w:val="none"/>
          <w:lang w:val="en-US" w:eastAsia="zh-CN"/>
        </w:rPr>
        <w:t>文件计算收取</w:t>
      </w:r>
      <w:r>
        <w:rPr>
          <w:rFonts w:hint="eastAsia" w:ascii="宋体" w:hAnsi="宋体" w:eastAsia="宋体" w:cs="宋体"/>
          <w:b w:val="0"/>
          <w:bCs w:val="0"/>
          <w:color w:val="auto"/>
          <w:sz w:val="21"/>
          <w:szCs w:val="21"/>
          <w:highlight w:val="none"/>
        </w:rPr>
        <w:t>。</w:t>
      </w:r>
    </w:p>
    <w:p w14:paraId="3C5F699B">
      <w:pPr>
        <w:keepNext w:val="0"/>
        <w:keepLines w:val="0"/>
        <w:pageBreakBefore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2.保证金</w:t>
      </w:r>
    </w:p>
    <w:p w14:paraId="1F7E8B3E">
      <w:pPr>
        <w:pStyle w:val="7"/>
        <w:rPr>
          <w:rFonts w:hint="default" w:eastAsia="宋体"/>
          <w:lang w:val="en-US" w:eastAsia="zh-CN"/>
        </w:rPr>
      </w:pPr>
      <w:r>
        <w:rPr>
          <w:rFonts w:hint="eastAsia" w:ascii="宋体" w:hAnsi="宋体" w:cs="宋体"/>
          <w:b w:val="0"/>
          <w:bCs w:val="0"/>
          <w:color w:val="auto"/>
          <w:sz w:val="21"/>
          <w:szCs w:val="21"/>
          <w:highlight w:val="none"/>
          <w:lang w:val="en-US" w:eastAsia="zh-CN"/>
        </w:rPr>
        <w:t>本项目无需要提供</w:t>
      </w:r>
    </w:p>
    <w:p w14:paraId="774BDAC9">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kern w:val="0"/>
          <w:sz w:val="21"/>
          <w:szCs w:val="21"/>
          <w:highlight w:val="none"/>
        </w:rPr>
        <w:t>公告发布媒体</w:t>
      </w:r>
    </w:p>
    <w:p w14:paraId="1A90A0AD">
      <w:pPr>
        <w:keepNext w:val="0"/>
        <w:keepLines w:val="0"/>
        <w:pageBreakBefore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 w:val="21"/>
          <w:szCs w:val="21"/>
          <w:highlight w:val="none"/>
        </w:rPr>
      </w:pPr>
      <w:bookmarkStart w:id="26" w:name="_Toc28359095"/>
      <w:bookmarkStart w:id="27" w:name="_Toc28359018"/>
      <w:bookmarkStart w:id="28" w:name="_Toc35393636"/>
      <w:bookmarkStart w:id="29" w:name="_Toc35393805"/>
      <w:r>
        <w:rPr>
          <w:rFonts w:hint="eastAsia" w:ascii="宋体" w:hAnsi="宋体" w:cs="宋体"/>
          <w:color w:val="auto"/>
          <w:highlight w:val="none"/>
          <w:lang w:val="en-US" w:eastAsia="zh-CN"/>
        </w:rPr>
        <w:t>本公告在云南省政府采购网（www.yngp.com）、政府采购云平台（https://www.zcygov.cn/）上发布，我公司对其他网站或媒体转载的公告及公告内容不承担任何责任。</w:t>
      </w:r>
    </w:p>
    <w:p w14:paraId="2338FBCC">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本项目执行政府采购促进中小企业发展、支持监狱企业、促进残疾人就业、扶持不发达地区、少数民族地区和优先采购节能、环保产品等政府采购政策。</w:t>
      </w:r>
    </w:p>
    <w:p w14:paraId="6B662389">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kern w:val="0"/>
          <w:sz w:val="21"/>
          <w:szCs w:val="21"/>
          <w:highlight w:val="none"/>
        </w:rPr>
      </w:pPr>
      <w:r>
        <w:rPr>
          <w:rFonts w:hint="eastAsia" w:ascii="宋体" w:hAnsi="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.监督部门及联系电话</w:t>
      </w:r>
    </w:p>
    <w:p w14:paraId="6AFB9F88">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纪检监督电话</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0692-</w:t>
      </w:r>
      <w:r>
        <w:rPr>
          <w:rFonts w:hint="eastAsia" w:ascii="宋体" w:hAnsi="宋体" w:eastAsia="宋体" w:cs="宋体"/>
          <w:b w:val="0"/>
          <w:bCs w:val="0"/>
          <w:color w:val="auto"/>
          <w:sz w:val="21"/>
          <w:szCs w:val="21"/>
          <w:highlight w:val="none"/>
          <w:lang w:val="en-US" w:eastAsia="zh-CN"/>
        </w:rPr>
        <w:t>12388</w:t>
      </w:r>
    </w:p>
    <w:p w14:paraId="1D79D5C9">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default"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rPr>
        <w:t>行业监督部门及联系电话：</w:t>
      </w:r>
      <w:r>
        <w:rPr>
          <w:rFonts w:hint="eastAsia" w:ascii="宋体" w:hAnsi="宋体" w:cs="宋体"/>
          <w:color w:val="auto"/>
          <w:kern w:val="2"/>
          <w:sz w:val="21"/>
          <w:szCs w:val="21"/>
          <w:highlight w:val="none"/>
          <w:lang w:val="en-US" w:eastAsia="zh-CN" w:bidi="ar-SA"/>
        </w:rPr>
        <w:t>梁河县</w:t>
      </w:r>
      <w:r>
        <w:rPr>
          <w:rFonts w:hint="eastAsia" w:ascii="宋体" w:hAnsi="宋体" w:eastAsia="宋体" w:cs="宋体"/>
          <w:color w:val="auto"/>
          <w:kern w:val="2"/>
          <w:sz w:val="21"/>
          <w:szCs w:val="21"/>
          <w:highlight w:val="none"/>
          <w:lang w:val="en-US" w:eastAsia="zh-CN" w:bidi="ar-SA"/>
        </w:rPr>
        <w:t>财政局 0692-</w:t>
      </w:r>
      <w:r>
        <w:rPr>
          <w:rFonts w:hint="eastAsia" w:ascii="宋体" w:hAnsi="宋体" w:cs="宋体"/>
          <w:color w:val="auto"/>
          <w:kern w:val="2"/>
          <w:sz w:val="21"/>
          <w:szCs w:val="21"/>
          <w:highlight w:val="none"/>
          <w:lang w:val="en-US" w:eastAsia="zh-CN" w:bidi="ar-SA"/>
        </w:rPr>
        <w:t>6161183</w:t>
      </w:r>
    </w:p>
    <w:p w14:paraId="07BC1122">
      <w:pPr>
        <w:pStyle w:val="4"/>
        <w:keepNext/>
        <w:keepLines/>
        <w:pageBreakBefore w:val="0"/>
        <w:widowControl w:val="0"/>
        <w:kinsoku/>
        <w:wordWrap/>
        <w:overflowPunct/>
        <w:topLinePunct w:val="0"/>
        <w:autoSpaceDE/>
        <w:autoSpaceDN/>
        <w:bidi w:val="0"/>
        <w:adjustRightInd/>
        <w:snapToGrid/>
        <w:spacing w:after="157" w:afterLines="5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八、凡对本次采购提出询问，请按以下方式联系。</w:t>
      </w:r>
      <w:bookmarkEnd w:id="26"/>
      <w:bookmarkEnd w:id="27"/>
      <w:bookmarkEnd w:id="28"/>
      <w:bookmarkEnd w:id="29"/>
    </w:p>
    <w:p w14:paraId="713ED1B7">
      <w:pPr>
        <w:pStyle w:val="4"/>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bookmarkStart w:id="30" w:name="_Toc35393637"/>
      <w:bookmarkStart w:id="31" w:name="_Toc28359096"/>
      <w:bookmarkStart w:id="32" w:name="_Toc28359019"/>
      <w:bookmarkStart w:id="33" w:name="_Toc35393806"/>
      <w:bookmarkStart w:id="34" w:name="_Toc28359020"/>
      <w:bookmarkStart w:id="35" w:name="_Toc28359097"/>
      <w:bookmarkStart w:id="36" w:name="_Toc35393638"/>
      <w:bookmarkStart w:id="37" w:name="_Toc35393807"/>
      <w:r>
        <w:rPr>
          <w:rFonts w:hint="eastAsia" w:ascii="宋体" w:hAnsi="宋体" w:eastAsia="宋体" w:cs="宋体"/>
          <w:b w:val="0"/>
          <w:color w:val="auto"/>
          <w:sz w:val="21"/>
          <w:szCs w:val="21"/>
          <w:highlight w:val="none"/>
        </w:rPr>
        <w:t>1.采购人信息</w:t>
      </w:r>
      <w:bookmarkEnd w:id="30"/>
      <w:bookmarkEnd w:id="31"/>
      <w:bookmarkEnd w:id="32"/>
      <w:bookmarkEnd w:id="33"/>
    </w:p>
    <w:p w14:paraId="78F6CB9B">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val="en-US" w:eastAsia="zh-CN"/>
        </w:rPr>
        <w:t>梁河县民政局</w:t>
      </w:r>
    </w:p>
    <w:p w14:paraId="681E1935">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云南省德宏州梁河县南甸路195号</w:t>
      </w:r>
    </w:p>
    <w:p w14:paraId="2A6D8933">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default"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联系方式：</w:t>
      </w:r>
      <w:r>
        <w:rPr>
          <w:rFonts w:hint="eastAsia" w:ascii="宋体" w:hAnsi="宋体" w:cs="宋体"/>
          <w:b w:val="0"/>
          <w:bCs/>
          <w:color w:val="auto"/>
          <w:kern w:val="0"/>
          <w:sz w:val="21"/>
          <w:szCs w:val="21"/>
          <w:highlight w:val="none"/>
          <w:lang w:val="en-US" w:eastAsia="zh-CN" w:bidi="ar-SA"/>
        </w:rPr>
        <w:t>18788206875、18288133786</w:t>
      </w:r>
    </w:p>
    <w:p w14:paraId="209A7E3A">
      <w:pPr>
        <w:pStyle w:val="4"/>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p>
    <w:p w14:paraId="3C665258">
      <w:pPr>
        <w:pStyle w:val="4"/>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2.采购代理机构信息</w:t>
      </w:r>
    </w:p>
    <w:p w14:paraId="46B5527A">
      <w:pPr>
        <w:pageBreakBefore w:val="0"/>
        <w:widowControl w:val="0"/>
        <w:kinsoku/>
        <w:wordWrap/>
        <w:overflowPunct/>
        <w:topLinePunct w:val="0"/>
        <w:autoSpaceDE/>
        <w:autoSpaceDN/>
        <w:bidi w:val="0"/>
        <w:adjustRightInd/>
        <w:snapToGrid/>
        <w:spacing w:line="470" w:lineRule="exact"/>
        <w:ind w:firstLine="630"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eastAsia="zh-CN"/>
        </w:rPr>
        <w:t>德宏锦浩招标咨询有限公司</w:t>
      </w:r>
    </w:p>
    <w:p w14:paraId="65BBE18B">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统一社会信用代码：</w:t>
      </w:r>
      <w:r>
        <w:rPr>
          <w:rFonts w:hint="eastAsia" w:ascii="宋体" w:hAnsi="宋体" w:cs="宋体"/>
          <w:color w:val="auto"/>
          <w:sz w:val="21"/>
          <w:szCs w:val="21"/>
          <w:highlight w:val="none"/>
          <w:lang w:eastAsia="zh-CN"/>
        </w:rPr>
        <w:t>91533103MA6NBYRN1X</w:t>
      </w:r>
    </w:p>
    <w:p w14:paraId="373B521B">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云南省德宏州梁河县龙窝大道金塔温泉小镇32-10</w:t>
      </w:r>
    </w:p>
    <w:p w14:paraId="578C0115">
      <w:pPr>
        <w:pageBreakBefore w:val="0"/>
        <w:widowControl w:val="0"/>
        <w:kinsoku/>
        <w:wordWrap/>
        <w:overflowPunct/>
        <w:topLinePunct w:val="0"/>
        <w:autoSpaceDE/>
        <w:autoSpaceDN/>
        <w:bidi w:val="0"/>
        <w:adjustRightInd/>
        <w:snapToGrid/>
        <w:spacing w:line="470" w:lineRule="exact"/>
        <w:ind w:firstLine="630" w:firstLineChars="3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lang w:val="en-US" w:eastAsia="zh-CN"/>
        </w:rPr>
        <w:t>18908824977</w:t>
      </w:r>
    </w:p>
    <w:p w14:paraId="213C6738">
      <w:pPr>
        <w:pStyle w:val="4"/>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p>
    <w:p w14:paraId="4968F7F1">
      <w:pPr>
        <w:pStyle w:val="4"/>
        <w:pageBreakBefore w:val="0"/>
        <w:widowControl w:val="0"/>
        <w:kinsoku/>
        <w:wordWrap/>
        <w:overflowPunct/>
        <w:topLinePunct w:val="0"/>
        <w:autoSpaceDE/>
        <w:autoSpaceDN/>
        <w:bidi w:val="0"/>
        <w:adjustRightInd/>
        <w:snapToGrid/>
        <w:spacing w:before="0" w:after="0" w:line="47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3.项目联系方式</w:t>
      </w:r>
    </w:p>
    <w:p w14:paraId="2ECDAF49">
      <w:pPr>
        <w:pStyle w:val="11"/>
        <w:pageBreakBefore w:val="0"/>
        <w:widowControl w:val="0"/>
        <w:kinsoku/>
        <w:wordWrap/>
        <w:overflowPunct/>
        <w:topLinePunct w:val="0"/>
        <w:autoSpaceDE/>
        <w:autoSpaceDN/>
        <w:bidi w:val="0"/>
        <w:adjustRightInd/>
        <w:snapToGrid/>
        <w:spacing w:line="470" w:lineRule="exact"/>
        <w:ind w:firstLine="630"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项目联系人：</w:t>
      </w:r>
      <w:r>
        <w:rPr>
          <w:rFonts w:hint="eastAsia" w:hAnsi="宋体" w:cs="宋体"/>
          <w:color w:val="auto"/>
          <w:sz w:val="21"/>
          <w:szCs w:val="21"/>
          <w:highlight w:val="none"/>
          <w:lang w:val="en-US" w:eastAsia="zh-CN"/>
        </w:rPr>
        <w:t>孙</w:t>
      </w:r>
      <w:r>
        <w:rPr>
          <w:rFonts w:hint="eastAsia" w:hAnsi="宋体" w:cs="宋体"/>
          <w:color w:val="auto"/>
          <w:sz w:val="21"/>
          <w:szCs w:val="21"/>
          <w:highlight w:val="none"/>
          <w:lang w:eastAsia="zh-CN"/>
        </w:rPr>
        <w:t>老师、</w:t>
      </w:r>
      <w:r>
        <w:rPr>
          <w:rFonts w:hint="eastAsia" w:hAnsi="宋体" w:cs="宋体"/>
          <w:color w:val="auto"/>
          <w:sz w:val="21"/>
          <w:szCs w:val="21"/>
          <w:highlight w:val="none"/>
          <w:lang w:val="en-US" w:eastAsia="zh-CN"/>
        </w:rPr>
        <w:t>尹老师（采购人）、李工、郭工（采购代理机构）</w:t>
      </w:r>
    </w:p>
    <w:p w14:paraId="02512A7F">
      <w:pPr>
        <w:pageBreakBefore w:val="0"/>
        <w:widowControl w:val="0"/>
        <w:kinsoku/>
        <w:wordWrap/>
        <w:overflowPunct/>
        <w:topLinePunct w:val="0"/>
        <w:autoSpaceDE/>
        <w:autoSpaceDN/>
        <w:bidi w:val="0"/>
        <w:adjustRightInd/>
        <w:snapToGrid/>
        <w:spacing w:line="470" w:lineRule="exact"/>
        <w:ind w:firstLine="630" w:firstLineChars="300"/>
        <w:jc w:val="left"/>
        <w:textAlignment w:val="auto"/>
        <w:rPr>
          <w:rFonts w:hint="eastAsia" w:ascii="宋体" w:hAnsi="宋体" w:cs="宋体"/>
          <w:color w:val="auto"/>
          <w:sz w:val="21"/>
          <w:szCs w:val="21"/>
          <w:highlight w:val="none"/>
          <w:lang w:val="en-US" w:eastAsia="zh-CN"/>
        </w:rPr>
        <w:sectPr>
          <w:footerReference r:id="rId8" w:type="first"/>
          <w:footerReference r:id="rId7"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color w:val="auto"/>
          <w:sz w:val="21"/>
          <w:szCs w:val="21"/>
          <w:highlight w:val="none"/>
        </w:rPr>
        <w:t>电</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bookmarkEnd w:id="34"/>
      <w:bookmarkEnd w:id="35"/>
      <w:bookmarkEnd w:id="36"/>
      <w:bookmarkEnd w:id="37"/>
      <w:r>
        <w:rPr>
          <w:rFonts w:hint="eastAsia" w:ascii="宋体" w:hAnsi="宋体" w:cs="宋体"/>
          <w:color w:val="auto"/>
          <w:sz w:val="21"/>
          <w:szCs w:val="21"/>
          <w:highlight w:val="none"/>
          <w:lang w:eastAsia="zh-CN"/>
        </w:rPr>
        <w:t>18788206875</w:t>
      </w:r>
      <w:r>
        <w:rPr>
          <w:rFonts w:hint="eastAsia" w:ascii="宋体" w:hAnsi="宋体" w:cs="宋体"/>
          <w:color w:val="auto"/>
          <w:sz w:val="21"/>
          <w:szCs w:val="21"/>
          <w:highlight w:val="none"/>
          <w:lang w:val="en-US" w:eastAsia="zh-CN"/>
        </w:rPr>
        <w:t>(采购人）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18288133786</w:t>
      </w:r>
      <w:r>
        <w:rPr>
          <w:rFonts w:hint="eastAsia" w:hAnsi="宋体" w:cs="宋体"/>
          <w:color w:val="auto"/>
          <w:sz w:val="21"/>
          <w:szCs w:val="21"/>
          <w:highlight w:val="none"/>
          <w:lang w:val="en-US" w:eastAsia="zh-CN"/>
        </w:rPr>
        <w:t>（采购人）</w:t>
      </w:r>
      <w:r>
        <w:rPr>
          <w:rFonts w:hint="eastAsia" w:ascii="宋体" w:hAnsi="宋体" w:cs="宋体"/>
          <w:color w:val="auto"/>
          <w:sz w:val="21"/>
          <w:szCs w:val="21"/>
          <w:highlight w:val="none"/>
          <w:lang w:val="en-US" w:eastAsia="zh-CN"/>
        </w:rPr>
        <w:t>、18908824977、17606954220（采购代理机构）</w:t>
      </w:r>
    </w:p>
    <w:p w14:paraId="04EC1344">
      <w:pPr>
        <w:numPr>
          <w:ilvl w:val="0"/>
          <w:numId w:val="0"/>
        </w:numPr>
        <w:jc w:val="center"/>
        <w:outlineLvl w:val="0"/>
        <w:rPr>
          <w:rFonts w:hint="eastAsia" w:ascii="宋体" w:hAnsi="宋体" w:eastAsia="宋体" w:cs="Times New Roman"/>
          <w:b/>
          <w:color w:val="auto"/>
          <w:kern w:val="44"/>
          <w:sz w:val="44"/>
          <w:szCs w:val="24"/>
          <w:highlight w:val="none"/>
          <w:lang w:val="en-US" w:eastAsia="zh-CN" w:bidi="ar-SA"/>
        </w:rPr>
      </w:pPr>
      <w:bookmarkStart w:id="38" w:name="_Toc4129_WPSOffice_Level1"/>
      <w:r>
        <w:rPr>
          <w:rFonts w:hint="eastAsia" w:ascii="宋体" w:hAnsi="宋体" w:eastAsia="宋体" w:cs="Times New Roman"/>
          <w:b/>
          <w:color w:val="auto"/>
          <w:kern w:val="44"/>
          <w:sz w:val="44"/>
          <w:szCs w:val="24"/>
          <w:highlight w:val="none"/>
          <w:lang w:val="en-US" w:eastAsia="zh-CN" w:bidi="ar-SA"/>
        </w:rPr>
        <w:t>第二章 供应商须知</w:t>
      </w:r>
    </w:p>
    <w:p w14:paraId="3577AEB9">
      <w:pPr>
        <w:keepNext w:val="0"/>
        <w:keepLines w:val="0"/>
        <w:pageBreakBefore w:val="0"/>
        <w:widowControl w:val="0"/>
        <w:kinsoku/>
        <w:wordWrap/>
        <w:overflowPunct/>
        <w:topLinePunct w:val="0"/>
        <w:autoSpaceDE/>
        <w:autoSpaceDN/>
        <w:bidi w:val="0"/>
        <w:adjustRightInd/>
        <w:snapToGrid/>
        <w:spacing w:before="157" w:beforeLines="50"/>
        <w:jc w:val="center"/>
        <w:textAlignment w:val="auto"/>
        <w:outlineLvl w:val="0"/>
        <w:rPr>
          <w:rFonts w:hint="eastAsia" w:asciiTheme="majorEastAsia" w:hAnsiTheme="majorEastAsia" w:eastAsiaTheme="majorEastAsia" w:cstheme="majorEastAsia"/>
          <w:b/>
          <w:color w:val="auto"/>
          <w:kern w:val="44"/>
          <w:sz w:val="30"/>
          <w:szCs w:val="30"/>
          <w:highlight w:val="none"/>
        </w:rPr>
      </w:pPr>
      <w:r>
        <w:rPr>
          <w:rFonts w:hint="eastAsia" w:asciiTheme="majorEastAsia" w:hAnsiTheme="majorEastAsia" w:eastAsiaTheme="majorEastAsia" w:cstheme="majorEastAsia"/>
          <w:b/>
          <w:color w:val="auto"/>
          <w:kern w:val="44"/>
          <w:sz w:val="30"/>
          <w:szCs w:val="30"/>
          <w:highlight w:val="none"/>
        </w:rPr>
        <w:t>供应商须知前附表</w:t>
      </w:r>
      <w:bookmarkEnd w:id="38"/>
    </w:p>
    <w:tbl>
      <w:tblPr>
        <w:tblStyle w:val="23"/>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746"/>
        <w:gridCol w:w="6987"/>
      </w:tblGrid>
      <w:tr w14:paraId="652E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84" w:type="dxa"/>
            <w:vAlign w:val="center"/>
          </w:tcPr>
          <w:p w14:paraId="4045D4DA">
            <w:pPr>
              <w:jc w:val="center"/>
              <w:rPr>
                <w:rFonts w:ascii="宋体" w:hAnsi="宋体" w:cs="宋体"/>
                <w:bCs/>
                <w:color w:val="auto"/>
                <w:szCs w:val="21"/>
                <w:highlight w:val="none"/>
              </w:rPr>
            </w:pPr>
            <w:r>
              <w:rPr>
                <w:rFonts w:hint="eastAsia" w:ascii="宋体" w:hAnsi="宋体" w:cs="宋体"/>
                <w:bCs/>
                <w:color w:val="auto"/>
                <w:szCs w:val="21"/>
                <w:highlight w:val="none"/>
              </w:rPr>
              <w:t>序号</w:t>
            </w:r>
          </w:p>
        </w:tc>
        <w:tc>
          <w:tcPr>
            <w:tcW w:w="1746" w:type="dxa"/>
            <w:vAlign w:val="center"/>
          </w:tcPr>
          <w:p w14:paraId="7CD05562">
            <w:pPr>
              <w:jc w:val="center"/>
              <w:rPr>
                <w:rFonts w:ascii="宋体" w:hAnsi="宋体" w:cs="宋体"/>
                <w:bCs/>
                <w:color w:val="auto"/>
                <w:szCs w:val="21"/>
                <w:highlight w:val="none"/>
              </w:rPr>
            </w:pPr>
            <w:r>
              <w:rPr>
                <w:rFonts w:hint="eastAsia" w:ascii="宋体" w:hAnsi="宋体" w:cs="宋体"/>
                <w:bCs/>
                <w:color w:val="auto"/>
                <w:szCs w:val="21"/>
                <w:highlight w:val="none"/>
              </w:rPr>
              <w:t>条款名称</w:t>
            </w:r>
          </w:p>
        </w:tc>
        <w:tc>
          <w:tcPr>
            <w:tcW w:w="6987" w:type="dxa"/>
            <w:vAlign w:val="center"/>
          </w:tcPr>
          <w:p w14:paraId="0DF3F3AC">
            <w:pPr>
              <w:jc w:val="center"/>
              <w:rPr>
                <w:rFonts w:ascii="宋体" w:hAnsi="宋体" w:cs="宋体"/>
                <w:bCs/>
                <w:color w:val="auto"/>
                <w:szCs w:val="21"/>
                <w:highlight w:val="none"/>
              </w:rPr>
            </w:pPr>
            <w:r>
              <w:rPr>
                <w:rFonts w:hint="eastAsia" w:ascii="宋体" w:hAnsi="宋体" w:cs="宋体"/>
                <w:color w:val="auto"/>
                <w:szCs w:val="21"/>
                <w:highlight w:val="none"/>
              </w:rPr>
              <w:t>编列内容</w:t>
            </w:r>
          </w:p>
        </w:tc>
      </w:tr>
      <w:tr w14:paraId="3225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884" w:type="dxa"/>
            <w:vAlign w:val="center"/>
          </w:tcPr>
          <w:p w14:paraId="5F996680">
            <w:pPr>
              <w:autoSpaceDE w:val="0"/>
              <w:autoSpaceDN w:val="0"/>
              <w:jc w:val="center"/>
              <w:rPr>
                <w:rFonts w:hint="eastAsia" w:ascii="宋体" w:hAnsi="宋体" w:cs="宋体"/>
                <w:color w:val="auto"/>
                <w:szCs w:val="21"/>
                <w:highlight w:val="none"/>
              </w:rPr>
            </w:pPr>
            <w:r>
              <w:rPr>
                <w:rFonts w:hint="eastAsia" w:ascii="宋体" w:hAnsi="宋体" w:cs="宋体"/>
                <w:color w:val="auto"/>
                <w:szCs w:val="21"/>
                <w:highlight w:val="none"/>
              </w:rPr>
              <w:t>1.1.2</w:t>
            </w:r>
          </w:p>
        </w:tc>
        <w:tc>
          <w:tcPr>
            <w:tcW w:w="1746" w:type="dxa"/>
            <w:vAlign w:val="center"/>
          </w:tcPr>
          <w:p w14:paraId="160BD455">
            <w:pPr>
              <w:autoSpaceDE w:val="0"/>
              <w:autoSpaceDN w:val="0"/>
              <w:jc w:val="center"/>
              <w:rPr>
                <w:rFonts w:hint="eastAsia" w:ascii="宋体" w:hAnsi="宋体" w:cs="宋体"/>
                <w:color w:val="auto"/>
                <w:szCs w:val="21"/>
                <w:highlight w:val="none"/>
              </w:rPr>
            </w:pPr>
            <w:r>
              <w:rPr>
                <w:rFonts w:hint="eastAsia" w:ascii="宋体" w:hAnsi="宋体" w:cs="宋体"/>
                <w:color w:val="auto"/>
                <w:szCs w:val="21"/>
                <w:highlight w:val="none"/>
              </w:rPr>
              <w:t>采购人</w:t>
            </w:r>
          </w:p>
        </w:tc>
        <w:tc>
          <w:tcPr>
            <w:tcW w:w="6987" w:type="dxa"/>
            <w:vAlign w:val="center"/>
          </w:tcPr>
          <w:p w14:paraId="174F3D27">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名</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称：</w:t>
            </w:r>
            <w:r>
              <w:rPr>
                <w:rFonts w:hint="eastAsia" w:ascii="宋体" w:hAnsi="宋体" w:cs="宋体"/>
                <w:color w:val="auto"/>
                <w:szCs w:val="21"/>
                <w:highlight w:val="none"/>
                <w:lang w:val="en-US" w:eastAsia="zh-CN"/>
              </w:rPr>
              <w:t>梁河县民政局</w:t>
            </w:r>
          </w:p>
          <w:p w14:paraId="4BB2A829">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址：云南省德宏州梁河县南甸路195号</w:t>
            </w:r>
          </w:p>
          <w:p w14:paraId="6F8333C0">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联系人：孙老师、尹老师</w:t>
            </w:r>
          </w:p>
          <w:p w14:paraId="33EF4E49">
            <w:pPr>
              <w:keepNext w:val="0"/>
              <w:keepLines w:val="0"/>
              <w:pageBreakBefore w:val="0"/>
              <w:kinsoku/>
              <w:wordWrap/>
              <w:overflowPunct/>
              <w:topLinePunct w:val="0"/>
              <w:autoSpaceDE/>
              <w:autoSpaceDN/>
              <w:bidi w:val="0"/>
              <w:adjustRightInd/>
              <w:snapToGrid/>
              <w:spacing w:line="400" w:lineRule="exact"/>
              <w:textAlignment w:val="auto"/>
              <w:rPr>
                <w:color w:val="auto"/>
                <w:highlight w:val="none"/>
              </w:rPr>
            </w:pPr>
            <w:r>
              <w:rPr>
                <w:rFonts w:hint="eastAsia" w:ascii="宋体" w:hAnsi="宋体" w:cs="宋体"/>
                <w:color w:val="auto"/>
                <w:szCs w:val="21"/>
                <w:highlight w:val="none"/>
                <w:lang w:val="en-US" w:eastAsia="zh-CN"/>
              </w:rPr>
              <w:t>电  话：18788206875、18288133786</w:t>
            </w:r>
          </w:p>
          <w:p w14:paraId="038DF7A0">
            <w:pPr>
              <w:widowControl/>
              <w:pBdr>
                <w:top w:val="none" w:color="FFFFFF" w:sz="0" w:space="0"/>
                <w:left w:val="none" w:color="FFFFFF" w:sz="0" w:space="0"/>
                <w:bottom w:val="none" w:color="FFFFFF" w:sz="0" w:space="0"/>
                <w:right w:val="none" w:color="FFFFFF" w:sz="0" w:space="0"/>
              </w:pBdr>
              <w:spacing w:line="440" w:lineRule="exact"/>
              <w:jc w:val="left"/>
              <w:rPr>
                <w:rFonts w:hint="default" w:ascii="宋体" w:hAnsi="宋体" w:cs="宋体"/>
                <w:bCs/>
                <w:color w:val="auto"/>
                <w:szCs w:val="21"/>
                <w:highlight w:val="none"/>
                <w:lang w:val="en-US"/>
              </w:rPr>
            </w:pPr>
          </w:p>
        </w:tc>
      </w:tr>
      <w:tr w14:paraId="07C3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884" w:type="dxa"/>
            <w:vAlign w:val="center"/>
          </w:tcPr>
          <w:p w14:paraId="067AAAD0">
            <w:pPr>
              <w:jc w:val="center"/>
              <w:rPr>
                <w:rFonts w:ascii="宋体" w:hAnsi="宋体" w:cs="宋体"/>
                <w:bCs/>
                <w:color w:val="auto"/>
                <w:szCs w:val="21"/>
                <w:highlight w:val="none"/>
              </w:rPr>
            </w:pPr>
            <w:r>
              <w:rPr>
                <w:rFonts w:hint="eastAsia" w:ascii="宋体" w:hAnsi="宋体" w:cs="宋体"/>
                <w:bCs/>
                <w:color w:val="auto"/>
                <w:szCs w:val="21"/>
                <w:highlight w:val="none"/>
              </w:rPr>
              <w:t>1.1.3</w:t>
            </w:r>
          </w:p>
        </w:tc>
        <w:tc>
          <w:tcPr>
            <w:tcW w:w="1746" w:type="dxa"/>
            <w:vAlign w:val="center"/>
          </w:tcPr>
          <w:p w14:paraId="7563D911">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采购代理机构</w:t>
            </w:r>
          </w:p>
        </w:tc>
        <w:tc>
          <w:tcPr>
            <w:tcW w:w="6987" w:type="dxa"/>
            <w:vAlign w:val="center"/>
          </w:tcPr>
          <w:p w14:paraId="67D51C7E">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称：</w:t>
            </w:r>
            <w:r>
              <w:rPr>
                <w:rFonts w:hint="eastAsia" w:ascii="宋体" w:hAnsi="宋体" w:cs="宋体"/>
                <w:color w:val="auto"/>
                <w:szCs w:val="21"/>
                <w:highlight w:val="none"/>
                <w:lang w:eastAsia="zh-CN"/>
              </w:rPr>
              <w:t>德宏锦浩招标咨询有限公司</w:t>
            </w:r>
          </w:p>
          <w:p w14:paraId="249843CB">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址：</w:t>
            </w:r>
            <w:r>
              <w:rPr>
                <w:rFonts w:hint="eastAsia" w:ascii="宋体" w:hAnsi="宋体" w:cs="宋体"/>
                <w:color w:val="auto"/>
                <w:szCs w:val="21"/>
                <w:highlight w:val="none"/>
                <w:lang w:eastAsia="zh-CN"/>
              </w:rPr>
              <w:t>云南省德宏州梁河县龙窝大道金塔温泉小镇32-10</w:t>
            </w:r>
          </w:p>
          <w:p w14:paraId="27BEB120">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联系人：</w:t>
            </w:r>
            <w:r>
              <w:rPr>
                <w:rFonts w:hint="eastAsia" w:ascii="宋体" w:hAnsi="宋体" w:cs="宋体"/>
                <w:color w:val="auto"/>
                <w:szCs w:val="21"/>
                <w:highlight w:val="none"/>
                <w:lang w:eastAsia="zh-CN"/>
              </w:rPr>
              <w:t>李性晓、</w:t>
            </w:r>
            <w:r>
              <w:rPr>
                <w:rFonts w:hint="eastAsia" w:ascii="宋体" w:hAnsi="宋体" w:cs="宋体"/>
                <w:color w:val="auto"/>
                <w:szCs w:val="21"/>
                <w:highlight w:val="none"/>
                <w:lang w:val="en-US" w:eastAsia="zh-CN"/>
              </w:rPr>
              <w:t>郭彩会</w:t>
            </w:r>
          </w:p>
          <w:p w14:paraId="4BB2B6F8">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电</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话：</w:t>
            </w:r>
            <w:r>
              <w:rPr>
                <w:rFonts w:hint="eastAsia" w:ascii="宋体" w:hAnsi="宋体" w:cs="宋体"/>
                <w:color w:val="auto"/>
                <w:sz w:val="21"/>
                <w:szCs w:val="21"/>
                <w:highlight w:val="none"/>
                <w:lang w:val="en-US" w:eastAsia="zh-CN"/>
              </w:rPr>
              <w:t>18908824977、17606954220</w:t>
            </w:r>
          </w:p>
        </w:tc>
      </w:tr>
      <w:tr w14:paraId="72A9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884" w:type="dxa"/>
            <w:vAlign w:val="center"/>
          </w:tcPr>
          <w:p w14:paraId="3A9AA61A">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1.1.4</w:t>
            </w:r>
          </w:p>
        </w:tc>
        <w:tc>
          <w:tcPr>
            <w:tcW w:w="1746" w:type="dxa"/>
            <w:vAlign w:val="center"/>
          </w:tcPr>
          <w:p w14:paraId="32575CCB">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6987" w:type="dxa"/>
            <w:vAlign w:val="center"/>
          </w:tcPr>
          <w:p w14:paraId="1D3BFC4F">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梁河县中心敬老院消防安全标准化提升工程</w:t>
            </w:r>
          </w:p>
        </w:tc>
      </w:tr>
      <w:tr w14:paraId="43DA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2C69C32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1.1.5</w:t>
            </w:r>
          </w:p>
        </w:tc>
        <w:tc>
          <w:tcPr>
            <w:tcW w:w="1746" w:type="dxa"/>
            <w:vAlign w:val="center"/>
          </w:tcPr>
          <w:p w14:paraId="02DB821F">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建设地点</w:t>
            </w:r>
          </w:p>
        </w:tc>
        <w:tc>
          <w:tcPr>
            <w:tcW w:w="6987" w:type="dxa"/>
            <w:vAlign w:val="center"/>
          </w:tcPr>
          <w:p w14:paraId="6E3B515D">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梁河县中心敬老院</w:t>
            </w:r>
          </w:p>
        </w:tc>
      </w:tr>
      <w:tr w14:paraId="4F298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3417886A">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1.2.1</w:t>
            </w:r>
          </w:p>
        </w:tc>
        <w:tc>
          <w:tcPr>
            <w:tcW w:w="1746" w:type="dxa"/>
            <w:vAlign w:val="center"/>
          </w:tcPr>
          <w:p w14:paraId="66C5B34E">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资金来源</w:t>
            </w:r>
          </w:p>
        </w:tc>
        <w:tc>
          <w:tcPr>
            <w:tcW w:w="6987" w:type="dxa"/>
            <w:vAlign w:val="center"/>
          </w:tcPr>
          <w:p w14:paraId="7BEC7F8F">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上级补助资金及县级自筹资金</w:t>
            </w:r>
          </w:p>
        </w:tc>
      </w:tr>
      <w:tr w14:paraId="418A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5C516CFE">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w:t>
            </w:r>
          </w:p>
        </w:tc>
        <w:tc>
          <w:tcPr>
            <w:tcW w:w="1746" w:type="dxa"/>
            <w:vAlign w:val="center"/>
          </w:tcPr>
          <w:p w14:paraId="46877839">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出资比例</w:t>
            </w:r>
          </w:p>
        </w:tc>
        <w:tc>
          <w:tcPr>
            <w:tcW w:w="6987" w:type="dxa"/>
            <w:vAlign w:val="center"/>
          </w:tcPr>
          <w:p w14:paraId="77347855">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r>
      <w:tr w14:paraId="05EF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884" w:type="dxa"/>
            <w:vAlign w:val="center"/>
          </w:tcPr>
          <w:p w14:paraId="28022489">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w:t>
            </w:r>
          </w:p>
        </w:tc>
        <w:tc>
          <w:tcPr>
            <w:tcW w:w="1746" w:type="dxa"/>
            <w:vAlign w:val="center"/>
          </w:tcPr>
          <w:p w14:paraId="21E49910">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资金落实情况</w:t>
            </w:r>
          </w:p>
        </w:tc>
        <w:tc>
          <w:tcPr>
            <w:tcW w:w="6987" w:type="dxa"/>
            <w:vAlign w:val="center"/>
          </w:tcPr>
          <w:p w14:paraId="33794FFB">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已落实</w:t>
            </w:r>
          </w:p>
        </w:tc>
      </w:tr>
      <w:tr w14:paraId="261A0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884" w:type="dxa"/>
            <w:vAlign w:val="center"/>
          </w:tcPr>
          <w:p w14:paraId="12A76BFA">
            <w:pPr>
              <w:autoSpaceDE w:val="0"/>
              <w:autoSpaceDN w:val="0"/>
              <w:jc w:val="center"/>
              <w:rPr>
                <w:rFonts w:ascii="宋体" w:hAnsi="宋体" w:cs="宋体"/>
                <w:color w:val="auto"/>
                <w:szCs w:val="21"/>
                <w:highlight w:val="none"/>
              </w:rPr>
            </w:pPr>
            <w:r>
              <w:rPr>
                <w:rFonts w:hint="eastAsia" w:ascii="宋体" w:hAnsi="宋体" w:cs="宋体"/>
                <w:color w:val="auto"/>
                <w:szCs w:val="21"/>
                <w:highlight w:val="none"/>
              </w:rPr>
              <w:t>1.3.1</w:t>
            </w:r>
          </w:p>
        </w:tc>
        <w:tc>
          <w:tcPr>
            <w:tcW w:w="1746" w:type="dxa"/>
            <w:vAlign w:val="center"/>
          </w:tcPr>
          <w:p w14:paraId="72654C51">
            <w:pPr>
              <w:autoSpaceDE w:val="0"/>
              <w:autoSpaceDN w:val="0"/>
              <w:jc w:val="center"/>
              <w:rPr>
                <w:rFonts w:ascii="宋体" w:hAnsi="宋体" w:cs="宋体"/>
                <w:color w:val="auto"/>
                <w:szCs w:val="21"/>
                <w:highlight w:val="none"/>
              </w:rPr>
            </w:pPr>
            <w:r>
              <w:rPr>
                <w:rFonts w:hint="eastAsia" w:ascii="宋体" w:hAnsi="宋体" w:cs="宋体"/>
                <w:color w:val="auto"/>
                <w:szCs w:val="21"/>
                <w:highlight w:val="none"/>
              </w:rPr>
              <w:t>采购范围</w:t>
            </w:r>
          </w:p>
        </w:tc>
        <w:tc>
          <w:tcPr>
            <w:tcW w:w="6987" w:type="dxa"/>
            <w:vAlign w:val="center"/>
          </w:tcPr>
          <w:p w14:paraId="08215AFB">
            <w:pPr>
              <w:keepNext w:val="0"/>
              <w:keepLines w:val="0"/>
              <w:pageBreakBefore w:val="0"/>
              <w:widowControl w:val="0"/>
              <w:kinsoku/>
              <w:wordWrap/>
              <w:overflowPunct/>
              <w:topLinePunct w:val="0"/>
              <w:autoSpaceDE/>
              <w:autoSpaceDN/>
              <w:bidi w:val="0"/>
              <w:adjustRightInd/>
              <w:snapToGrid/>
              <w:spacing w:line="470" w:lineRule="exact"/>
              <w:textAlignment w:val="auto"/>
              <w:rPr>
                <w:rFonts w:hint="eastAsia" w:eastAsia="宋体"/>
                <w:color w:val="auto"/>
                <w:highlight w:val="none"/>
                <w:lang w:eastAsia="zh-CN"/>
              </w:rPr>
            </w:pPr>
            <w:r>
              <w:rPr>
                <w:rFonts w:hint="eastAsia" w:eastAsia="宋体"/>
                <w:color w:val="auto"/>
                <w:highlight w:val="none"/>
                <w:lang w:val="en-US" w:eastAsia="zh-CN"/>
              </w:rPr>
              <w:t>（一）主体建筑消防系统改造：对一号宿舍楼（建筑面积745.59平方米）、二号宿舍楼（建筑面积1163.99平方米）开展全域消防系统升级，更换、优化原有老旧喷淋系统、火灾自动报警系统系统、应急照明系统。（二）新建18立方米成品消防水箱1座，配套安装专用稳压泵组，完善消防供水管网铺设。（三）配套建设全套火灾自动报警系统1套，消防控制室1间。（四）新增专用发电机1台，新建独立储油间1间、配电室1间。（五）室外消防栓、消防水池及消防水塔补水。（六）附属设施及综合整改：（1）全域更换、增补手提式磷酸铵盐干粉灭火器，按照规范合理布置，适配火灾初期扑救需求；（2）开展全院电气线路专项改造，规整线路敷设、更换老化线路、消除电气火灾安全隐患；（3）完善应急照明系统、语音疏散引导设施，优化老年人应急疏散条件；（4）配套完成所有附属收尾工程，实现全院消防系统一体化、标准化、常态化运行（具体详见工程量清单）。</w:t>
            </w:r>
          </w:p>
        </w:tc>
      </w:tr>
      <w:tr w14:paraId="62FD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84" w:type="dxa"/>
            <w:vAlign w:val="center"/>
          </w:tcPr>
          <w:p w14:paraId="4544EC3B">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1.3.2</w:t>
            </w:r>
          </w:p>
        </w:tc>
        <w:tc>
          <w:tcPr>
            <w:tcW w:w="1746" w:type="dxa"/>
            <w:vAlign w:val="center"/>
          </w:tcPr>
          <w:p w14:paraId="3BE1A78A">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工期</w:t>
            </w:r>
          </w:p>
        </w:tc>
        <w:tc>
          <w:tcPr>
            <w:tcW w:w="6987" w:type="dxa"/>
            <w:vAlign w:val="center"/>
          </w:tcPr>
          <w:p w14:paraId="6343F3BA">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90日历天</w:t>
            </w:r>
          </w:p>
        </w:tc>
      </w:tr>
      <w:tr w14:paraId="1076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884" w:type="dxa"/>
            <w:vAlign w:val="center"/>
          </w:tcPr>
          <w:p w14:paraId="32175255">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1.3.3</w:t>
            </w:r>
          </w:p>
        </w:tc>
        <w:tc>
          <w:tcPr>
            <w:tcW w:w="1746" w:type="dxa"/>
            <w:vAlign w:val="center"/>
          </w:tcPr>
          <w:p w14:paraId="3BB0824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质量标准</w:t>
            </w:r>
          </w:p>
        </w:tc>
        <w:tc>
          <w:tcPr>
            <w:tcW w:w="6987" w:type="dxa"/>
            <w:vAlign w:val="center"/>
          </w:tcPr>
          <w:p w14:paraId="0EB8CDF5">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符合国家施工质量验收标准，一次性验收合格。</w:t>
            </w:r>
          </w:p>
        </w:tc>
      </w:tr>
      <w:tr w14:paraId="2C2C7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07F2F28C">
            <w:pPr>
              <w:autoSpaceDE w:val="0"/>
              <w:autoSpaceDN w:val="0"/>
              <w:jc w:val="center"/>
              <w:rPr>
                <w:rFonts w:ascii="宋体" w:hAnsi="宋体" w:cs="宋体"/>
                <w:bCs/>
                <w:color w:val="auto"/>
                <w:szCs w:val="21"/>
                <w:highlight w:val="none"/>
              </w:rPr>
            </w:pPr>
            <w:r>
              <w:rPr>
                <w:rFonts w:hint="eastAsia" w:ascii="宋体" w:hAnsi="宋体" w:cs="宋体"/>
                <w:bCs/>
                <w:color w:val="auto"/>
                <w:szCs w:val="21"/>
                <w:highlight w:val="none"/>
              </w:rPr>
              <w:t>1.4.1</w:t>
            </w:r>
          </w:p>
        </w:tc>
        <w:tc>
          <w:tcPr>
            <w:tcW w:w="1746" w:type="dxa"/>
            <w:vAlign w:val="center"/>
          </w:tcPr>
          <w:p w14:paraId="6568B75F">
            <w:pPr>
              <w:autoSpaceDE w:val="0"/>
              <w:autoSpaceDN w:val="0"/>
              <w:jc w:val="center"/>
              <w:rPr>
                <w:rFonts w:ascii="宋体" w:hAnsi="宋体" w:cs="宋体"/>
                <w:bCs/>
                <w:color w:val="auto"/>
                <w:szCs w:val="21"/>
                <w:highlight w:val="none"/>
              </w:rPr>
            </w:pPr>
            <w:r>
              <w:rPr>
                <w:rFonts w:hint="eastAsia" w:ascii="宋体" w:hAnsi="宋体" w:cs="宋体"/>
                <w:color w:val="auto"/>
                <w:szCs w:val="21"/>
                <w:highlight w:val="none"/>
              </w:rPr>
              <w:t>供应商资质条件、能力和信誉</w:t>
            </w:r>
          </w:p>
        </w:tc>
        <w:tc>
          <w:tcPr>
            <w:tcW w:w="6987" w:type="dxa"/>
            <w:vAlign w:val="center"/>
          </w:tcPr>
          <w:p w14:paraId="55618C79">
            <w:pPr>
              <w:keepNext w:val="0"/>
              <w:keepLines w:val="0"/>
              <w:pageBreakBefore w:val="0"/>
              <w:kinsoku/>
              <w:wordWrap/>
              <w:topLinePunct w:val="0"/>
              <w:bidi w:val="0"/>
              <w:snapToGrid/>
              <w:spacing w:line="440" w:lineRule="exact"/>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r>
              <w:rPr>
                <w:rFonts w:hint="eastAsia" w:ascii="宋体" w:hAnsi="宋体" w:cs="宋体"/>
                <w:bCs/>
                <w:color w:val="auto"/>
                <w:kern w:val="0"/>
                <w:sz w:val="21"/>
                <w:szCs w:val="21"/>
                <w:highlight w:val="none"/>
                <w:lang w:eastAsia="zh-CN"/>
              </w:rPr>
              <w:t>：</w:t>
            </w:r>
          </w:p>
          <w:p w14:paraId="235B1AFF">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（1）具有独立承担民事责任的能力。提供自然人有效身份证明或法人或者其他组织有效的营业执照等证明文件。</w:t>
            </w:r>
          </w:p>
          <w:p w14:paraId="324C9D5A">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（2）具有良好的商业信誉和健全的财务会计制度。供应商须提供财务状况报告，内容可为以下三者之一：</w:t>
            </w:r>
          </w:p>
          <w:p w14:paraId="28532C11">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①提供2024年至今任意一年经审计的财务状况报告（至少包含审计报告、资产负债表、利润表、现金流量表），成立未满1年或成立至今未产生经营活动的供应商提供自成立至今的财务报表或财务情况说明；</w:t>
            </w:r>
          </w:p>
          <w:p w14:paraId="1BB8C030">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②提供自响应文件提交截止时间前六个月内基本开户银行出具的资信证明；</w:t>
            </w:r>
          </w:p>
          <w:p w14:paraId="0A9C40F4">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③提供专业担保机构出具的投标担保函。</w:t>
            </w:r>
          </w:p>
          <w:p w14:paraId="69539C90">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（3）具有履行合同所必需的设备和专业技术能力。提供具备履行合同所必需的设备和专业技术能力的证明材料或承诺书。</w:t>
            </w:r>
          </w:p>
          <w:p w14:paraId="233DCFC7">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有依法缴纳税收和社会保障资金的良好记录。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p>
          <w:p w14:paraId="2A991921">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（5）参加政府采购活动前三年内，在经营活动中没有重大违法记录。提供参加本次政府采购活动前三年内在经营活动中没有重大违法记录的书面声明。</w:t>
            </w:r>
          </w:p>
          <w:p w14:paraId="549157C7">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（6）法律、行政法规规定的其他条件。</w:t>
            </w:r>
          </w:p>
          <w:p w14:paraId="7ED42548">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3E66CA65">
            <w:pPr>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供应商在“中国执行信息公开网”未被列入失信被执行人名单；供应商在“信用中国”未被列入重大税收违法失信主体、在“中国政府采购网”中未被列入：政府采购严重违法失信行为记录名单。（注：以上网站均由采购人或采购代理机构在评审时查询，若供应商有不良信誉，视为不满足资格要求，响应文件无效。）</w:t>
            </w:r>
          </w:p>
          <w:p w14:paraId="6F72345F">
            <w:pPr>
              <w:pStyle w:val="2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642B87CA">
            <w:pPr>
              <w:pStyle w:val="2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（1）根据《政府采购促进中小企业发展管理办法》（财库〔2020〕46号）文件规定，本项目非专门面向中小微企业采购，监狱企业、残疾人福利性单位视同小型、微型企业，小微企业价格扣除优惠比例:3%</w:t>
            </w:r>
            <w:r>
              <w:rPr>
                <w:rFonts w:hint="eastAsia" w:ascii="宋体" w:hAnsi="宋体" w:eastAsia="宋体" w:cs="宋体"/>
                <w:color w:val="auto"/>
                <w:sz w:val="21"/>
                <w:szCs w:val="21"/>
                <w:highlight w:val="none"/>
                <w:lang w:val="en-US" w:eastAsia="zh-CN"/>
              </w:rPr>
              <w:t>；</w:t>
            </w:r>
          </w:p>
          <w:p w14:paraId="39FEF425">
            <w:pPr>
              <w:pStyle w:val="21"/>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（2）根据《关于印发中小企业划型标准规定的通知》（工信部联企业〔2011〕300号）文件规定的划分标准，本项目对应的中小企业划分标准所属行业为：建筑业。</w:t>
            </w:r>
          </w:p>
          <w:p w14:paraId="06C9985F">
            <w:pPr>
              <w:pStyle w:val="38"/>
              <w:keepNext w:val="0"/>
              <w:keepLines w:val="0"/>
              <w:pageBreakBefore w:val="0"/>
              <w:kinsoku/>
              <w:wordWrap/>
              <w:topLinePunct w:val="0"/>
              <w:bidi w:val="0"/>
              <w:snapToGrid/>
              <w:spacing w:after="0" w:line="440" w:lineRule="exact"/>
              <w:ind w:left="0" w:leftChars="0" w:firstLine="0" w:firstLineChars="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55120EA0">
            <w:pPr>
              <w:pStyle w:val="21"/>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企业资质：具备建筑工程施工总承包叁级（含叁级）以上资质，</w:t>
            </w:r>
            <w:r>
              <w:rPr>
                <w:rFonts w:hint="eastAsia" w:ascii="宋体" w:hAnsi="宋体" w:eastAsia="宋体" w:cs="宋体"/>
                <w:color w:val="auto"/>
                <w:sz w:val="21"/>
                <w:szCs w:val="21"/>
                <w:highlight w:val="none"/>
                <w:lang w:val="en-US" w:eastAsia="zh-CN"/>
              </w:rPr>
              <w:t>同时具备有效的安全生产许可证</w:t>
            </w:r>
            <w:r>
              <w:rPr>
                <w:rFonts w:hint="eastAsia" w:ascii="宋体" w:hAnsi="宋体" w:cs="宋体"/>
                <w:color w:val="auto"/>
                <w:sz w:val="21"/>
                <w:szCs w:val="21"/>
                <w:highlight w:val="none"/>
                <w:lang w:val="en-US" w:eastAsia="zh-CN"/>
              </w:rPr>
              <w:t>；</w:t>
            </w:r>
          </w:p>
          <w:p w14:paraId="274ABC89">
            <w:pPr>
              <w:pStyle w:val="21"/>
              <w:keepNext w:val="0"/>
              <w:keepLines w:val="0"/>
              <w:pageBreakBefore w:val="0"/>
              <w:kinsoku/>
              <w:wordWrap/>
              <w:topLinePunct w:val="0"/>
              <w:bidi w:val="0"/>
              <w:snapToGrid/>
              <w:spacing w:after="0" w:line="470" w:lineRule="exact"/>
              <w:ind w:left="0" w:leftChars="0" w:firstLine="0" w:firstLineChars="0"/>
              <w:rPr>
                <w:rFonts w:hint="eastAsia"/>
                <w:color w:val="auto"/>
                <w:highlight w:val="none"/>
                <w:lang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拟派项目经理资格：</w:t>
            </w:r>
            <w:r>
              <w:rPr>
                <w:rFonts w:hint="eastAsia" w:ascii="宋体" w:hAnsi="宋体" w:eastAsia="宋体" w:cs="宋体"/>
                <w:color w:val="auto"/>
                <w:sz w:val="21"/>
                <w:szCs w:val="21"/>
                <w:highlight w:val="none"/>
                <w:lang w:val="en-US" w:eastAsia="zh-CN"/>
              </w:rPr>
              <w:t>项目负责人具有建设行政主管部门颁发的二级及以上注册建造师（建筑工程专业）证书，具备有效的安全生产考核合格证书；项目经理必须为本单位在职人员</w:t>
            </w:r>
            <w:r>
              <w:rPr>
                <w:rFonts w:hint="eastAsia" w:ascii="宋体" w:hAnsi="宋体" w:cs="宋体"/>
                <w:color w:val="auto"/>
                <w:sz w:val="21"/>
                <w:szCs w:val="21"/>
                <w:highlight w:val="none"/>
                <w:lang w:eastAsia="zh-CN"/>
              </w:rPr>
              <w:t>。</w:t>
            </w:r>
          </w:p>
        </w:tc>
      </w:tr>
      <w:tr w14:paraId="766C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223F5A48">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1.4.2</w:t>
            </w:r>
          </w:p>
        </w:tc>
        <w:tc>
          <w:tcPr>
            <w:tcW w:w="1746" w:type="dxa"/>
            <w:vAlign w:val="center"/>
          </w:tcPr>
          <w:p w14:paraId="5CC22D8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是否接受联合体</w:t>
            </w:r>
          </w:p>
        </w:tc>
        <w:tc>
          <w:tcPr>
            <w:tcW w:w="6987" w:type="dxa"/>
            <w:vAlign w:val="center"/>
          </w:tcPr>
          <w:p w14:paraId="3A394FFB">
            <w:pPr>
              <w:pStyle w:val="4"/>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否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是</w:t>
            </w:r>
          </w:p>
        </w:tc>
      </w:tr>
      <w:tr w14:paraId="3096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23E11051">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1.9.1</w:t>
            </w:r>
          </w:p>
        </w:tc>
        <w:tc>
          <w:tcPr>
            <w:tcW w:w="1746" w:type="dxa"/>
            <w:vAlign w:val="center"/>
          </w:tcPr>
          <w:p w14:paraId="751357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踏勘现场</w:t>
            </w:r>
          </w:p>
        </w:tc>
        <w:tc>
          <w:tcPr>
            <w:tcW w:w="6987" w:type="dxa"/>
            <w:vAlign w:val="center"/>
          </w:tcPr>
          <w:p w14:paraId="002ED9BA">
            <w:pPr>
              <w:pStyle w:val="4"/>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不组织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组织  </w:t>
            </w:r>
          </w:p>
        </w:tc>
      </w:tr>
      <w:tr w14:paraId="537F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3C8A34E5">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1.10</w:t>
            </w:r>
          </w:p>
        </w:tc>
        <w:tc>
          <w:tcPr>
            <w:tcW w:w="1746" w:type="dxa"/>
            <w:vAlign w:val="center"/>
          </w:tcPr>
          <w:p w14:paraId="6FA852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磋商预备会</w:t>
            </w:r>
          </w:p>
        </w:tc>
        <w:tc>
          <w:tcPr>
            <w:tcW w:w="6987" w:type="dxa"/>
            <w:vAlign w:val="center"/>
          </w:tcPr>
          <w:p w14:paraId="0E7BE041">
            <w:pPr>
              <w:pStyle w:val="4"/>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不召开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召开</w:t>
            </w:r>
          </w:p>
        </w:tc>
      </w:tr>
      <w:tr w14:paraId="4F7D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496F2EC">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1.10.2</w:t>
            </w:r>
          </w:p>
        </w:tc>
        <w:tc>
          <w:tcPr>
            <w:tcW w:w="1746" w:type="dxa"/>
            <w:vAlign w:val="center"/>
          </w:tcPr>
          <w:p w14:paraId="12F3D3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供应商提出问题的截止时间和方法</w:t>
            </w:r>
          </w:p>
        </w:tc>
        <w:tc>
          <w:tcPr>
            <w:tcW w:w="6987" w:type="dxa"/>
            <w:vAlign w:val="center"/>
          </w:tcPr>
          <w:p w14:paraId="073C5D26">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（1）时间：在磋商截止时间3日前；</w:t>
            </w:r>
          </w:p>
          <w:p w14:paraId="7AF743D6">
            <w:pPr>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（2）方法：</w:t>
            </w:r>
            <w:r>
              <w:rPr>
                <w:rFonts w:hint="eastAsia" w:ascii="宋体" w:hAnsi="宋体" w:cs="宋体"/>
                <w:color w:val="auto"/>
                <w:szCs w:val="21"/>
                <w:lang w:eastAsia="zh-CN"/>
              </w:rPr>
              <w:t>供应商</w:t>
            </w:r>
            <w:r>
              <w:rPr>
                <w:rFonts w:hint="eastAsia" w:ascii="宋体" w:hAnsi="宋体" w:cs="宋体"/>
                <w:color w:val="auto"/>
                <w:szCs w:val="21"/>
              </w:rPr>
              <w:t>凭企业数字证书（CA）登录“政采云”</w:t>
            </w:r>
            <w:r>
              <w:rPr>
                <w:rFonts w:hint="eastAsia" w:ascii="宋体" w:hAnsi="宋体" w:cs="宋体"/>
                <w:color w:val="auto"/>
                <w:szCs w:val="21"/>
                <w:lang w:eastAsia="zh-CN"/>
              </w:rPr>
              <w:t>平台</w:t>
            </w:r>
            <w:r>
              <w:rPr>
                <w:rFonts w:hint="eastAsia" w:ascii="宋体" w:hAnsi="宋体" w:cs="宋体"/>
                <w:color w:val="auto"/>
                <w:szCs w:val="21"/>
                <w:lang w:val="en-US" w:eastAsia="zh-CN"/>
              </w:rPr>
              <w:t>（网址：https://www.zcygov.cn/)中</w:t>
            </w:r>
            <w:r>
              <w:rPr>
                <w:rFonts w:hint="eastAsia" w:ascii="宋体" w:hAnsi="宋体" w:cs="宋体"/>
                <w:color w:val="auto"/>
                <w:szCs w:val="21"/>
                <w:lang w:eastAsia="zh-CN"/>
              </w:rPr>
              <w:t>提出</w:t>
            </w:r>
            <w:r>
              <w:rPr>
                <w:rFonts w:hint="eastAsia" w:ascii="宋体" w:hAnsi="宋体" w:eastAsia="宋体" w:cs="宋体"/>
                <w:b w:val="0"/>
                <w:bCs w:val="0"/>
                <w:color w:val="auto"/>
                <w:kern w:val="2"/>
                <w:sz w:val="21"/>
                <w:szCs w:val="21"/>
                <w:highlight w:val="none"/>
                <w:lang w:val="en-US" w:eastAsia="zh-CN"/>
              </w:rPr>
              <w:t>。</w:t>
            </w:r>
          </w:p>
        </w:tc>
      </w:tr>
      <w:tr w14:paraId="2632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1B2A3EAA">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1.10.3</w:t>
            </w:r>
          </w:p>
        </w:tc>
        <w:tc>
          <w:tcPr>
            <w:tcW w:w="1746" w:type="dxa"/>
            <w:vAlign w:val="center"/>
          </w:tcPr>
          <w:p w14:paraId="565711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采购人澄清的时间和方法</w:t>
            </w:r>
          </w:p>
        </w:tc>
        <w:tc>
          <w:tcPr>
            <w:tcW w:w="6987" w:type="dxa"/>
            <w:vAlign w:val="center"/>
          </w:tcPr>
          <w:p w14:paraId="205876B6">
            <w:pPr>
              <w:pStyle w:val="4"/>
              <w:pageBreakBefore w:val="0"/>
              <w:widowControl w:val="0"/>
              <w:kinsoku/>
              <w:wordWrap/>
              <w:overflowPunct/>
              <w:topLinePunct w:val="0"/>
              <w:autoSpaceDE/>
              <w:autoSpaceDN/>
              <w:bidi w:val="0"/>
              <w:adjustRightInd/>
              <w:snapToGrid/>
              <w:spacing w:before="0" w:after="0"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（1）时间：磋商截止时间至少5日前；</w:t>
            </w:r>
          </w:p>
          <w:p w14:paraId="25D57006">
            <w:pPr>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（2）方法：采购人通过“政采云”</w:t>
            </w:r>
            <w:r>
              <w:rPr>
                <w:rFonts w:hint="eastAsia" w:ascii="宋体" w:hAnsi="宋体" w:cs="宋体"/>
                <w:b w:val="0"/>
                <w:bCs w:val="0"/>
                <w:color w:val="auto"/>
                <w:kern w:val="2"/>
                <w:sz w:val="21"/>
                <w:szCs w:val="21"/>
                <w:highlight w:val="none"/>
                <w:lang w:val="en-US" w:eastAsia="zh-CN"/>
              </w:rPr>
              <w:t>平台</w:t>
            </w:r>
            <w:r>
              <w:rPr>
                <w:rFonts w:hint="eastAsia" w:ascii="宋体" w:hAnsi="宋体" w:eastAsia="宋体" w:cs="宋体"/>
                <w:b w:val="0"/>
                <w:bCs w:val="0"/>
                <w:color w:val="auto"/>
                <w:kern w:val="2"/>
                <w:sz w:val="21"/>
                <w:szCs w:val="21"/>
                <w:highlight w:val="none"/>
                <w:lang w:val="en-US" w:eastAsia="zh-CN"/>
              </w:rPr>
              <w:t>（网址：https://www.zcygov.cn/)发出采购文件澄清。所有获取了采购文件的潜在供应商登录“政采云”</w:t>
            </w:r>
            <w:r>
              <w:rPr>
                <w:rFonts w:hint="eastAsia" w:ascii="宋体" w:hAnsi="宋体" w:cs="宋体"/>
                <w:b w:val="0"/>
                <w:bCs w:val="0"/>
                <w:color w:val="auto"/>
                <w:kern w:val="2"/>
                <w:sz w:val="21"/>
                <w:szCs w:val="21"/>
                <w:highlight w:val="none"/>
                <w:lang w:val="en-US" w:eastAsia="zh-CN"/>
              </w:rPr>
              <w:t>平台</w:t>
            </w:r>
            <w:r>
              <w:rPr>
                <w:rFonts w:hint="eastAsia" w:ascii="宋体" w:hAnsi="宋体" w:eastAsia="宋体" w:cs="宋体"/>
                <w:b w:val="0"/>
                <w:bCs w:val="0"/>
                <w:color w:val="auto"/>
                <w:kern w:val="2"/>
                <w:sz w:val="21"/>
                <w:szCs w:val="21"/>
                <w:highlight w:val="none"/>
                <w:lang w:val="en-US" w:eastAsia="zh-CN"/>
              </w:rPr>
              <w:t>（网址：https://www.zcygov.cn/)凭企业身份认证数字证书（CA）查看澄清内容。</w:t>
            </w:r>
          </w:p>
        </w:tc>
      </w:tr>
      <w:tr w14:paraId="21B2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8397994">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1.11</w:t>
            </w:r>
          </w:p>
        </w:tc>
        <w:tc>
          <w:tcPr>
            <w:tcW w:w="1746" w:type="dxa"/>
            <w:vAlign w:val="center"/>
          </w:tcPr>
          <w:p w14:paraId="54505B4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分包</w:t>
            </w:r>
          </w:p>
        </w:tc>
        <w:tc>
          <w:tcPr>
            <w:tcW w:w="6987" w:type="dxa"/>
            <w:vAlign w:val="center"/>
          </w:tcPr>
          <w:p w14:paraId="67C8F3C6">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cs="宋体"/>
                <w:bCs/>
                <w:color w:val="auto"/>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4"/>
                <w:sz w:val="31"/>
                <w:szCs w:val="21"/>
                <w:highlight w:val="none"/>
                <w:lang w:eastAsia="zh-CN"/>
              </w:rPr>
              <w:instrText xml:space="preserve">,</w:instrText>
            </w:r>
            <w:r>
              <w:rPr>
                <w:rFonts w:hint="eastAsia" w:ascii="宋体" w:hAnsi="宋体" w:cs="宋体"/>
                <w:color w:val="auto"/>
                <w:position w:val="0"/>
                <w:sz w:val="21"/>
                <w:szCs w:val="21"/>
                <w:highlight w:val="none"/>
                <w:lang w:eastAsia="zh-CN"/>
              </w:rPr>
              <w:instrText xml:space="preserve">√</w:instrText>
            </w:r>
            <w:r>
              <w:rPr>
                <w:rFonts w:hint="eastAsia" w:ascii="宋体" w:hAnsi="宋体" w:cs="宋体"/>
                <w:color w:val="auto"/>
                <w:position w:val="0"/>
                <w:sz w:val="21"/>
                <w:szCs w:val="21"/>
                <w:highlight w:val="none"/>
              </w:rPr>
              <w:instrText xml:space="preserve">)</w:instrText>
            </w:r>
            <w:r>
              <w:rPr>
                <w:rFonts w:hint="eastAsia" w:ascii="宋体" w:hAnsi="宋体" w:cs="宋体"/>
                <w:color w:val="auto"/>
                <w:sz w:val="21"/>
                <w:szCs w:val="21"/>
                <w:highlight w:val="none"/>
              </w:rPr>
              <w:fldChar w:fldCharType="end"/>
            </w:r>
            <w:r>
              <w:rPr>
                <w:rFonts w:hint="eastAsia" w:ascii="宋体" w:hAnsi="宋体" w:cs="宋体"/>
                <w:bCs/>
                <w:color w:val="auto"/>
                <w:sz w:val="21"/>
                <w:szCs w:val="21"/>
                <w:highlight w:val="none"/>
                <w:lang w:val="en-US" w:eastAsia="zh-CN"/>
              </w:rPr>
              <w:t>不允许</w:t>
            </w:r>
            <w:r>
              <w:rPr>
                <w:rFonts w:hint="eastAsia" w:ascii="宋体" w:hAnsi="宋体" w:cs="宋体"/>
                <w:bCs/>
                <w:color w:val="auto"/>
                <w:szCs w:val="21"/>
                <w:highlight w:val="none"/>
              </w:rPr>
              <w:t xml:space="preserve"> </w:t>
            </w:r>
          </w:p>
          <w:p w14:paraId="1C4C2443">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Cs/>
                <w:color w:val="auto"/>
                <w:szCs w:val="21"/>
                <w:highlight w:val="none"/>
                <w:lang w:val="en-US" w:eastAsia="zh-CN"/>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w:instrText>
            </w:r>
            <w:r>
              <w:rPr>
                <w:rFonts w:hint="eastAsia" w:ascii="宋体" w:hAnsi="宋体" w:cs="宋体"/>
                <w:color w:val="auto"/>
                <w:sz w:val="21"/>
                <w:szCs w:val="21"/>
                <w:highlight w:val="none"/>
              </w:rPr>
              <w:fldChar w:fldCharType="end"/>
            </w:r>
            <w:r>
              <w:rPr>
                <w:rFonts w:hint="eastAsia" w:ascii="宋体" w:hAnsi="宋体" w:cs="宋体"/>
                <w:bCs/>
                <w:color w:val="auto"/>
                <w:sz w:val="21"/>
                <w:szCs w:val="21"/>
                <w:highlight w:val="none"/>
                <w:lang w:val="en-US" w:eastAsia="zh-CN"/>
              </w:rPr>
              <w:t>允许：</w:t>
            </w:r>
            <w:r>
              <w:rPr>
                <w:rFonts w:hint="eastAsia" w:ascii="宋体" w:hAnsi="宋体" w:cs="宋体"/>
                <w:color w:val="auto"/>
                <w:szCs w:val="21"/>
                <w:highlight w:val="none"/>
              </w:rPr>
              <w:t>分包内容要求：</w:t>
            </w:r>
            <w:r>
              <w:rPr>
                <w:rFonts w:hint="eastAsia" w:ascii="宋体" w:hAnsi="宋体" w:cs="宋体"/>
                <w:color w:val="auto"/>
                <w:szCs w:val="21"/>
                <w:highlight w:val="none"/>
                <w:lang w:val="en-US" w:eastAsia="zh-CN"/>
              </w:rPr>
              <w:t>/</w:t>
            </w:r>
          </w:p>
        </w:tc>
      </w:tr>
      <w:tr w14:paraId="1367B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0B075BC6">
            <w:pPr>
              <w:pStyle w:val="21"/>
              <w:spacing w:line="44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1.12</w:t>
            </w:r>
          </w:p>
        </w:tc>
        <w:tc>
          <w:tcPr>
            <w:tcW w:w="1746" w:type="dxa"/>
            <w:vAlign w:val="center"/>
          </w:tcPr>
          <w:p w14:paraId="5D109F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偏离</w:t>
            </w:r>
          </w:p>
        </w:tc>
        <w:tc>
          <w:tcPr>
            <w:tcW w:w="6987" w:type="dxa"/>
            <w:vAlign w:val="center"/>
          </w:tcPr>
          <w:p w14:paraId="071564C2">
            <w:pPr>
              <w:pStyle w:val="21"/>
              <w:spacing w:line="440" w:lineRule="exact"/>
              <w:ind w:left="0" w:leftChars="0" w:firstLine="0" w:firstLineChars="0"/>
              <w:jc w:val="both"/>
              <w:rPr>
                <w:rFonts w:ascii="宋体" w:hAnsi="宋体" w:cs="宋体"/>
                <w:bCs/>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bCs/>
                <w:color w:val="auto"/>
                <w:szCs w:val="21"/>
                <w:highlight w:val="none"/>
              </w:rPr>
              <w:t xml:space="preserve">不允许     </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bCs/>
                <w:color w:val="auto"/>
                <w:szCs w:val="21"/>
                <w:highlight w:val="none"/>
              </w:rPr>
              <w:t>允许</w:t>
            </w:r>
          </w:p>
        </w:tc>
      </w:tr>
      <w:tr w14:paraId="2147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F97FF2B">
            <w:pPr>
              <w:pStyle w:val="4"/>
              <w:jc w:val="center"/>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2.2.1</w:t>
            </w:r>
          </w:p>
        </w:tc>
        <w:tc>
          <w:tcPr>
            <w:tcW w:w="1746" w:type="dxa"/>
            <w:vAlign w:val="center"/>
          </w:tcPr>
          <w:p w14:paraId="65D1712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供应商要求澄清招标文件的截止时间</w:t>
            </w:r>
          </w:p>
        </w:tc>
        <w:tc>
          <w:tcPr>
            <w:tcW w:w="6987" w:type="dxa"/>
            <w:vAlign w:val="center"/>
          </w:tcPr>
          <w:p w14:paraId="00AB58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同1.10.2的时间要求。响应人应仔细阅读和检查磋商文件的全部内容，如发现磋商文件缺页或附件不全或工程量清单漏算少算，应及时向采购人提出，以便补齐。如有疑问，应在供应商须知前附表规定的时间前</w:t>
            </w:r>
            <w:r>
              <w:rPr>
                <w:rFonts w:hint="eastAsia" w:ascii="宋体" w:hAnsi="宋体" w:cs="宋体"/>
                <w:color w:val="auto"/>
                <w:szCs w:val="21"/>
              </w:rPr>
              <w:t>凭企业数字证书（CA）登录“政采云”</w:t>
            </w:r>
            <w:r>
              <w:rPr>
                <w:rFonts w:hint="eastAsia" w:ascii="宋体" w:hAnsi="宋体" w:cs="宋体"/>
                <w:color w:val="auto"/>
                <w:szCs w:val="21"/>
                <w:lang w:eastAsia="zh-CN"/>
              </w:rPr>
              <w:t>平台</w:t>
            </w:r>
            <w:r>
              <w:rPr>
                <w:rFonts w:hint="eastAsia" w:ascii="宋体" w:hAnsi="宋体" w:cs="宋体"/>
                <w:color w:val="auto"/>
                <w:szCs w:val="21"/>
                <w:lang w:val="en-US" w:eastAsia="zh-CN"/>
              </w:rPr>
              <w:t>（网址：https://www.zcygov.cn/)中</w:t>
            </w:r>
            <w:r>
              <w:rPr>
                <w:rFonts w:hint="eastAsia" w:ascii="宋体" w:hAnsi="宋体" w:eastAsia="宋体" w:cs="宋体"/>
                <w:b w:val="0"/>
                <w:bCs w:val="0"/>
                <w:color w:val="auto"/>
                <w:kern w:val="2"/>
                <w:sz w:val="21"/>
                <w:szCs w:val="21"/>
                <w:highlight w:val="none"/>
                <w:lang w:val="en-US" w:eastAsia="zh-CN"/>
              </w:rPr>
              <w:t>提出澄清申请，要求采购人对竞争性磋商文件予以澄清。</w:t>
            </w:r>
          </w:p>
        </w:tc>
      </w:tr>
      <w:tr w14:paraId="5741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top"/>
          </w:tcPr>
          <w:p w14:paraId="75F29168">
            <w:pPr>
              <w:pStyle w:val="21"/>
              <w:spacing w:line="4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2.2.2</w:t>
            </w:r>
          </w:p>
        </w:tc>
        <w:tc>
          <w:tcPr>
            <w:tcW w:w="1746" w:type="dxa"/>
            <w:vAlign w:val="center"/>
          </w:tcPr>
          <w:p w14:paraId="40F41C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磋商截止时间</w:t>
            </w:r>
          </w:p>
          <w:p w14:paraId="1F1D85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p>
        </w:tc>
        <w:tc>
          <w:tcPr>
            <w:tcW w:w="6987" w:type="dxa"/>
            <w:vAlign w:val="center"/>
          </w:tcPr>
          <w:p w14:paraId="2DB70502">
            <w:pPr>
              <w:pageBreakBefore w:val="0"/>
              <w:kinsoku/>
              <w:wordWrap/>
              <w:topLinePunct w:val="0"/>
              <w:bidi w:val="0"/>
              <w:snapToGrid/>
              <w:spacing w:line="420" w:lineRule="exact"/>
              <w:jc w:val="both"/>
              <w:rPr>
                <w:rFonts w:hint="eastAsia" w:ascii="宋体" w:hAnsi="宋体" w:eastAsia="宋体" w:cs="宋体"/>
                <w:b/>
                <w:bCs/>
                <w:color w:val="auto"/>
                <w:kern w:val="0"/>
                <w:sz w:val="21"/>
                <w:szCs w:val="21"/>
                <w:highlight w:val="none"/>
                <w:u w:val="none"/>
                <w:lang w:val="en-US" w:eastAsia="zh-CN"/>
              </w:rPr>
            </w:pPr>
            <w:r>
              <w:rPr>
                <w:rFonts w:hint="eastAsia" w:ascii="宋体" w:hAnsi="宋体" w:cs="宋体"/>
                <w:b/>
                <w:bCs/>
                <w:color w:val="auto"/>
                <w:kern w:val="0"/>
                <w:sz w:val="21"/>
                <w:szCs w:val="21"/>
                <w:highlight w:val="none"/>
                <w:u w:val="none"/>
                <w:lang w:val="en-US" w:eastAsia="zh-CN"/>
              </w:rPr>
              <w:t>2026年9月9日15：00分</w:t>
            </w:r>
          </w:p>
          <w:p w14:paraId="2A14F6D6">
            <w:pPr>
              <w:pStyle w:val="4"/>
              <w:jc w:val="center"/>
              <w:rPr>
                <w:rFonts w:hint="eastAsia" w:ascii="宋体" w:hAnsi="宋体" w:eastAsia="宋体" w:cs="宋体"/>
                <w:b/>
                <w:bCs/>
                <w:color w:val="auto"/>
                <w:kern w:val="2"/>
                <w:sz w:val="21"/>
                <w:szCs w:val="21"/>
                <w:highlight w:val="none"/>
                <w:lang w:val="en-US" w:eastAsia="zh-CN"/>
              </w:rPr>
            </w:pPr>
          </w:p>
        </w:tc>
      </w:tr>
      <w:tr w14:paraId="440C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0B84CF29">
            <w:pPr>
              <w:pStyle w:val="21"/>
              <w:spacing w:line="440" w:lineRule="exact"/>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2.2.3</w:t>
            </w:r>
          </w:p>
        </w:tc>
        <w:tc>
          <w:tcPr>
            <w:tcW w:w="1746" w:type="dxa"/>
            <w:vAlign w:val="center"/>
          </w:tcPr>
          <w:p w14:paraId="6C072C6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供应商确认收到招标文件澄清的时间</w:t>
            </w:r>
          </w:p>
        </w:tc>
        <w:tc>
          <w:tcPr>
            <w:tcW w:w="6987" w:type="dxa"/>
            <w:vAlign w:val="center"/>
          </w:tcPr>
          <w:p w14:paraId="5EEF42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p>
        </w:tc>
      </w:tr>
      <w:tr w14:paraId="59B0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exact"/>
          <w:jc w:val="center"/>
        </w:trPr>
        <w:tc>
          <w:tcPr>
            <w:tcW w:w="884" w:type="dxa"/>
            <w:vAlign w:val="center"/>
          </w:tcPr>
          <w:p w14:paraId="4D4B124F">
            <w:pPr>
              <w:pStyle w:val="4"/>
              <w:jc w:val="center"/>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2.3.2</w:t>
            </w:r>
          </w:p>
        </w:tc>
        <w:tc>
          <w:tcPr>
            <w:tcW w:w="1746" w:type="dxa"/>
            <w:vAlign w:val="center"/>
          </w:tcPr>
          <w:p w14:paraId="5FF1CA2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color w:val="auto"/>
                <w:highlight w:val="none"/>
              </w:rPr>
            </w:pPr>
            <w:r>
              <w:rPr>
                <w:rFonts w:hint="eastAsia" w:ascii="宋体" w:hAnsi="宋体" w:eastAsia="宋体" w:cs="宋体"/>
                <w:color w:val="auto"/>
                <w:sz w:val="21"/>
                <w:szCs w:val="21"/>
                <w:highlight w:val="none"/>
                <w:lang w:val="en-US" w:eastAsia="zh-CN"/>
              </w:rPr>
              <w:t>供应商确认收到招标文件修改的时间</w:t>
            </w:r>
          </w:p>
          <w:p w14:paraId="1BFA050F">
            <w:pPr>
              <w:pStyle w:val="21"/>
              <w:spacing w:line="440" w:lineRule="exact"/>
              <w:ind w:left="0" w:leftChars="0" w:firstLine="0" w:firstLineChars="0"/>
              <w:jc w:val="center"/>
              <w:rPr>
                <w:rFonts w:hint="eastAsia" w:ascii="宋体" w:hAnsi="宋体" w:eastAsia="宋体" w:cs="宋体"/>
                <w:color w:val="auto"/>
                <w:sz w:val="21"/>
                <w:szCs w:val="21"/>
                <w:highlight w:val="none"/>
                <w:lang w:val="en-US" w:eastAsia="zh-CN"/>
              </w:rPr>
            </w:pPr>
          </w:p>
        </w:tc>
        <w:tc>
          <w:tcPr>
            <w:tcW w:w="6987" w:type="dxa"/>
            <w:vAlign w:val="center"/>
          </w:tcPr>
          <w:p w14:paraId="25768F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cs="宋体"/>
                <w:b w:val="0"/>
                <w:bCs w:val="0"/>
                <w:color w:val="auto"/>
                <w:kern w:val="2"/>
                <w:sz w:val="21"/>
                <w:szCs w:val="21"/>
                <w:highlight w:val="none"/>
                <w:lang w:val="en-US" w:eastAsia="zh-CN"/>
              </w:rPr>
              <w:t>供应商</w:t>
            </w:r>
            <w:r>
              <w:rPr>
                <w:rFonts w:hint="eastAsia" w:ascii="宋体" w:hAnsi="宋体" w:eastAsia="宋体" w:cs="宋体"/>
                <w:b w:val="0"/>
                <w:bCs w:val="0"/>
                <w:color w:val="auto"/>
                <w:kern w:val="2"/>
                <w:sz w:val="21"/>
                <w:szCs w:val="21"/>
                <w:highlight w:val="none"/>
                <w:lang w:val="en-US" w:eastAsia="zh-CN"/>
              </w:rPr>
              <w:t>自行登录“政采云”平台（网址：https://www.zcygov.cn/)获取澄清，无须回复确认已收到该澄清。</w:t>
            </w:r>
          </w:p>
        </w:tc>
      </w:tr>
      <w:tr w14:paraId="08A0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84" w:type="dxa"/>
            <w:vAlign w:val="center"/>
          </w:tcPr>
          <w:p w14:paraId="214C6C48">
            <w:pPr>
              <w:pStyle w:val="4"/>
              <w:jc w:val="center"/>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3.1.1</w:t>
            </w:r>
          </w:p>
        </w:tc>
        <w:tc>
          <w:tcPr>
            <w:tcW w:w="1746" w:type="dxa"/>
            <w:vAlign w:val="center"/>
          </w:tcPr>
          <w:p w14:paraId="66C8DA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color w:val="auto"/>
                <w:highlight w:val="none"/>
              </w:rPr>
            </w:pPr>
            <w:r>
              <w:rPr>
                <w:rFonts w:hint="eastAsia" w:ascii="宋体" w:hAnsi="宋体" w:eastAsia="宋体" w:cs="宋体"/>
                <w:b w:val="0"/>
                <w:bCs w:val="0"/>
                <w:color w:val="auto"/>
                <w:kern w:val="2"/>
                <w:sz w:val="21"/>
                <w:szCs w:val="21"/>
                <w:highlight w:val="none"/>
                <w:lang w:val="en-US" w:eastAsia="zh-CN"/>
              </w:rPr>
              <w:t>构成磋商响应文件的其他材料</w:t>
            </w:r>
          </w:p>
          <w:p w14:paraId="0543802D">
            <w:pPr>
              <w:pStyle w:val="4"/>
              <w:jc w:val="center"/>
              <w:rPr>
                <w:rFonts w:hint="eastAsia" w:ascii="宋体" w:hAnsi="宋体" w:eastAsia="宋体" w:cs="宋体"/>
                <w:b w:val="0"/>
                <w:bCs w:val="0"/>
                <w:color w:val="auto"/>
                <w:kern w:val="2"/>
                <w:sz w:val="21"/>
                <w:szCs w:val="21"/>
                <w:highlight w:val="none"/>
                <w:lang w:val="en-US" w:eastAsia="zh-CN"/>
              </w:rPr>
            </w:pPr>
          </w:p>
        </w:tc>
        <w:tc>
          <w:tcPr>
            <w:tcW w:w="6987" w:type="dxa"/>
            <w:vAlign w:val="center"/>
          </w:tcPr>
          <w:p w14:paraId="4C69741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响应文件的澄清、补充、修改、答疑及供应商</w:t>
            </w:r>
            <w:r>
              <w:rPr>
                <w:rFonts w:hint="eastAsia" w:ascii="宋体" w:hAnsi="宋体" w:cs="宋体"/>
                <w:b w:val="0"/>
                <w:bCs w:val="0"/>
                <w:color w:val="auto"/>
                <w:kern w:val="2"/>
                <w:sz w:val="21"/>
                <w:szCs w:val="21"/>
                <w:highlight w:val="none"/>
                <w:lang w:val="zh-CN" w:eastAsia="zh-CN"/>
              </w:rPr>
              <w:t>最后</w:t>
            </w:r>
            <w:r>
              <w:rPr>
                <w:rFonts w:hint="eastAsia" w:ascii="宋体" w:hAnsi="宋体" w:eastAsia="宋体" w:cs="宋体"/>
                <w:b w:val="0"/>
                <w:bCs w:val="0"/>
                <w:color w:val="auto"/>
                <w:kern w:val="2"/>
                <w:sz w:val="21"/>
                <w:szCs w:val="21"/>
                <w:highlight w:val="none"/>
                <w:lang w:val="zh-CN" w:eastAsia="zh-CN"/>
              </w:rPr>
              <w:t>磋商报价</w:t>
            </w:r>
            <w:r>
              <w:rPr>
                <w:rFonts w:hint="eastAsia" w:ascii="宋体" w:hAnsi="宋体" w:eastAsia="宋体" w:cs="宋体"/>
                <w:b w:val="0"/>
                <w:bCs w:val="0"/>
                <w:color w:val="auto"/>
                <w:kern w:val="2"/>
                <w:sz w:val="21"/>
                <w:szCs w:val="21"/>
                <w:highlight w:val="none"/>
                <w:lang w:val="en-US" w:eastAsia="zh-CN"/>
              </w:rPr>
              <w:t>、承诺等。</w:t>
            </w:r>
          </w:p>
        </w:tc>
      </w:tr>
      <w:tr w14:paraId="6109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2" w:hRule="exact"/>
          <w:jc w:val="center"/>
        </w:trPr>
        <w:tc>
          <w:tcPr>
            <w:tcW w:w="884" w:type="dxa"/>
            <w:vAlign w:val="center"/>
          </w:tcPr>
          <w:p w14:paraId="0F773D38">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3.2</w:t>
            </w:r>
          </w:p>
        </w:tc>
        <w:tc>
          <w:tcPr>
            <w:tcW w:w="1746" w:type="dxa"/>
            <w:vAlign w:val="center"/>
          </w:tcPr>
          <w:p w14:paraId="27684D24">
            <w:pPr>
              <w:spacing w:line="360" w:lineRule="exact"/>
              <w:jc w:val="center"/>
              <w:rPr>
                <w:rFonts w:ascii="宋体" w:hAnsi="宋体" w:cs="宋体"/>
                <w:color w:val="auto"/>
                <w:szCs w:val="21"/>
                <w:highlight w:val="none"/>
              </w:rPr>
            </w:pPr>
            <w:r>
              <w:rPr>
                <w:rFonts w:hint="eastAsia" w:ascii="宋体" w:hAnsi="宋体" w:cs="宋体"/>
                <w:color w:val="auto"/>
                <w:szCs w:val="21"/>
                <w:highlight w:val="none"/>
              </w:rPr>
              <w:t>磋商报价</w:t>
            </w:r>
          </w:p>
        </w:tc>
        <w:tc>
          <w:tcPr>
            <w:tcW w:w="6987" w:type="dxa"/>
          </w:tcPr>
          <w:p w14:paraId="57448643">
            <w:pPr>
              <w:pStyle w:val="4"/>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（1）磋商报价不得超过招标控制价。</w:t>
            </w:r>
          </w:p>
          <w:p w14:paraId="4B6EFED5">
            <w:pPr>
              <w:pStyle w:val="4"/>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w:t>
            </w:r>
            <w:r>
              <w:rPr>
                <w:rFonts w:hint="eastAsia" w:ascii="宋体" w:hAnsi="宋体" w:cs="宋体"/>
                <w:b w:val="0"/>
                <w:bCs w:val="0"/>
                <w:color w:val="auto"/>
                <w:kern w:val="2"/>
                <w:sz w:val="21"/>
                <w:szCs w:val="21"/>
                <w:highlight w:val="none"/>
                <w:lang w:val="en-US" w:eastAsia="zh-CN"/>
              </w:rPr>
              <w:t>2</w:t>
            </w:r>
            <w:r>
              <w:rPr>
                <w:rFonts w:hint="eastAsia" w:ascii="宋体" w:hAnsi="宋体" w:eastAsia="宋体" w:cs="宋体"/>
                <w:b w:val="0"/>
                <w:bCs w:val="0"/>
                <w:color w:val="auto"/>
                <w:kern w:val="2"/>
                <w:sz w:val="21"/>
                <w:szCs w:val="21"/>
                <w:highlight w:val="none"/>
                <w:lang w:val="en-US" w:eastAsia="zh-CN"/>
              </w:rPr>
              <w:t>）供应商的报价必须包含工程量清单要求</w:t>
            </w:r>
            <w:r>
              <w:rPr>
                <w:rFonts w:hint="eastAsia" w:ascii="宋体" w:hAnsi="宋体" w:cs="宋体"/>
                <w:b w:val="0"/>
                <w:bCs w:val="0"/>
                <w:color w:val="auto"/>
                <w:kern w:val="2"/>
                <w:sz w:val="21"/>
                <w:szCs w:val="21"/>
                <w:highlight w:val="none"/>
                <w:lang w:val="en-US" w:eastAsia="zh-CN"/>
              </w:rPr>
              <w:t>、图纸所示范围</w:t>
            </w:r>
            <w:r>
              <w:rPr>
                <w:rFonts w:hint="eastAsia" w:ascii="宋体" w:hAnsi="宋体" w:eastAsia="宋体" w:cs="宋体"/>
                <w:b w:val="0"/>
                <w:bCs w:val="0"/>
                <w:color w:val="auto"/>
                <w:kern w:val="2"/>
                <w:sz w:val="21"/>
                <w:szCs w:val="21"/>
                <w:highlight w:val="none"/>
                <w:lang w:val="en-US" w:eastAsia="zh-CN"/>
              </w:rPr>
              <w:t>。</w:t>
            </w:r>
          </w:p>
          <w:p w14:paraId="4AEFFE0B">
            <w:pPr>
              <w:pStyle w:val="4"/>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w:t>
            </w:r>
            <w:r>
              <w:rPr>
                <w:rFonts w:hint="eastAsia" w:ascii="宋体" w:hAnsi="宋体" w:cs="宋体"/>
                <w:b w:val="0"/>
                <w:bCs w:val="0"/>
                <w:color w:val="auto"/>
                <w:kern w:val="2"/>
                <w:sz w:val="21"/>
                <w:szCs w:val="21"/>
                <w:highlight w:val="none"/>
                <w:lang w:val="en-US" w:eastAsia="zh-CN"/>
              </w:rPr>
              <w:t>3</w:t>
            </w:r>
            <w:r>
              <w:rPr>
                <w:rFonts w:hint="eastAsia" w:ascii="宋体" w:hAnsi="宋体" w:eastAsia="宋体" w:cs="宋体"/>
                <w:b w:val="0"/>
                <w:bCs w:val="0"/>
                <w:color w:val="auto"/>
                <w:kern w:val="2"/>
                <w:sz w:val="21"/>
                <w:szCs w:val="21"/>
                <w:highlight w:val="none"/>
                <w:lang w:val="en-US" w:eastAsia="zh-CN"/>
              </w:rPr>
              <w:t>）供应商应承担所有与参加磋商有关的自身的所有费用，不论采购的结果如何，采购代理机构和采购人在任何情况下均无义务和责任承担这些费用。</w:t>
            </w:r>
          </w:p>
          <w:p w14:paraId="360EFF3B">
            <w:pPr>
              <w:pageBreakBefore w:val="0"/>
              <w:widowControl w:val="0"/>
              <w:kinsoku/>
              <w:wordWrap/>
              <w:overflowPunct/>
              <w:topLinePunct w:val="0"/>
              <w:autoSpaceDE/>
              <w:autoSpaceDN/>
              <w:bidi w:val="0"/>
              <w:adjustRightInd/>
              <w:snapToGrid/>
              <w:spacing w:line="440" w:lineRule="exact"/>
              <w:textAlignment w:val="auto"/>
              <w:rPr>
                <w:color w:val="auto"/>
                <w:highlight w:val="none"/>
              </w:rPr>
            </w:pPr>
            <w:r>
              <w:rPr>
                <w:rFonts w:hint="eastAsia" w:ascii="宋体" w:hAnsi="宋体" w:eastAsia="宋体" w:cs="宋体"/>
                <w:b w:val="0"/>
                <w:bCs w:val="0"/>
                <w:color w:val="auto"/>
                <w:kern w:val="2"/>
                <w:sz w:val="21"/>
                <w:szCs w:val="21"/>
                <w:highlight w:val="none"/>
                <w:lang w:val="en-US" w:eastAsia="zh-CN"/>
              </w:rPr>
              <w:t>（</w:t>
            </w:r>
            <w:r>
              <w:rPr>
                <w:rFonts w:hint="eastAsia" w:ascii="宋体" w:hAnsi="宋体" w:cs="宋体"/>
                <w:b w:val="0"/>
                <w:bCs w:val="0"/>
                <w:color w:val="auto"/>
                <w:kern w:val="2"/>
                <w:sz w:val="21"/>
                <w:szCs w:val="21"/>
                <w:highlight w:val="none"/>
                <w:lang w:val="en-US" w:eastAsia="zh-CN"/>
              </w:rPr>
              <w:t>4</w:t>
            </w:r>
            <w:r>
              <w:rPr>
                <w:rFonts w:hint="eastAsia" w:ascii="宋体" w:hAnsi="宋体" w:eastAsia="宋体" w:cs="宋体"/>
                <w:b w:val="0"/>
                <w:bCs w:val="0"/>
                <w:color w:val="auto"/>
                <w:kern w:val="2"/>
                <w:sz w:val="21"/>
                <w:szCs w:val="21"/>
                <w:highlight w:val="none"/>
                <w:lang w:val="en-US" w:eastAsia="zh-CN"/>
              </w:rPr>
              <w:t>）磋商响应人的最后报价在一次报价的基础上“浮动比例”将作为工程量清单每项单价在第一次报价基础上的浮动比例，并作为工程结算价依据。</w:t>
            </w:r>
            <w:r>
              <w:rPr>
                <w:rFonts w:hint="eastAsia" w:ascii="宋体" w:hAnsi="宋体" w:eastAsia="宋体" w:cs="宋体"/>
                <w:b/>
                <w:bCs/>
                <w:color w:val="auto"/>
                <w:kern w:val="2"/>
                <w:sz w:val="21"/>
                <w:szCs w:val="21"/>
                <w:highlight w:val="none"/>
                <w:lang w:val="en-US" w:eastAsia="zh-CN"/>
              </w:rPr>
              <w:t>（</w:t>
            </w:r>
            <w:r>
              <w:rPr>
                <w:rFonts w:hint="eastAsia" w:ascii="宋体" w:hAnsi="宋体" w:cs="宋体"/>
                <w:b/>
                <w:bCs/>
                <w:color w:val="auto"/>
                <w:kern w:val="2"/>
                <w:sz w:val="21"/>
                <w:szCs w:val="21"/>
                <w:highlight w:val="none"/>
                <w:lang w:val="en-US" w:eastAsia="zh-CN"/>
              </w:rPr>
              <w:t>5</w:t>
            </w:r>
            <w:r>
              <w:rPr>
                <w:rFonts w:hint="eastAsia" w:ascii="宋体" w:hAnsi="宋体" w:eastAsia="宋体" w:cs="宋体"/>
                <w:b/>
                <w:bCs/>
                <w:color w:val="auto"/>
                <w:kern w:val="2"/>
                <w:sz w:val="21"/>
                <w:szCs w:val="21"/>
                <w:highlight w:val="none"/>
                <w:lang w:val="en-US" w:eastAsia="zh-CN"/>
              </w:rPr>
              <w:t>）</w:t>
            </w:r>
            <w:r>
              <w:rPr>
                <w:rFonts w:hint="eastAsia" w:ascii="宋体" w:hAnsi="宋体" w:cs="宋体"/>
                <w:b/>
                <w:bCs/>
                <w:color w:val="auto"/>
                <w:kern w:val="2"/>
                <w:sz w:val="21"/>
                <w:szCs w:val="21"/>
                <w:highlight w:val="none"/>
                <w:lang w:val="en-US" w:eastAsia="zh-CN"/>
              </w:rPr>
              <w:t>供应商应</w:t>
            </w:r>
            <w:r>
              <w:rPr>
                <w:rFonts w:hint="eastAsia" w:ascii="宋体" w:hAnsi="宋体" w:eastAsia="宋体" w:cs="宋体"/>
                <w:b/>
                <w:bCs/>
                <w:color w:val="auto"/>
                <w:kern w:val="2"/>
                <w:sz w:val="21"/>
                <w:szCs w:val="21"/>
                <w:highlight w:val="none"/>
                <w:lang w:val="en-US" w:eastAsia="zh-CN"/>
              </w:rPr>
              <w:t>于开标当日在系统上等待代理机构通知最后报价。</w:t>
            </w:r>
          </w:p>
        </w:tc>
      </w:tr>
      <w:tr w14:paraId="78FE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5776F557">
            <w:pPr>
              <w:autoSpaceDE w:val="0"/>
              <w:autoSpaceDN w:val="0"/>
              <w:adjustRightInd w:val="0"/>
              <w:spacing w:line="360" w:lineRule="auto"/>
              <w:jc w:val="center"/>
              <w:rPr>
                <w:rFonts w:hint="eastAsia" w:ascii="宋体" w:hAnsi="宋体"/>
                <w:color w:val="auto"/>
                <w:kern w:val="0"/>
                <w:szCs w:val="21"/>
                <w:highlight w:val="none"/>
              </w:rPr>
            </w:pPr>
            <w:r>
              <w:rPr>
                <w:rFonts w:hint="eastAsia" w:asciiTheme="minorEastAsia" w:hAnsiTheme="minorEastAsia" w:eastAsiaTheme="minorEastAsia" w:cstheme="minorEastAsia"/>
                <w:color w:val="auto"/>
                <w:sz w:val="21"/>
                <w:szCs w:val="21"/>
                <w:highlight w:val="none"/>
                <w:lang w:val="en-US" w:eastAsia="zh-CN"/>
              </w:rPr>
              <w:t>3.2.1</w:t>
            </w:r>
          </w:p>
        </w:tc>
        <w:tc>
          <w:tcPr>
            <w:tcW w:w="1746" w:type="dxa"/>
            <w:vAlign w:val="center"/>
          </w:tcPr>
          <w:p w14:paraId="734CBE2D">
            <w:pPr>
              <w:autoSpaceDE w:val="0"/>
              <w:autoSpaceDN w:val="0"/>
              <w:adjustRightInd w:val="0"/>
              <w:spacing w:line="360" w:lineRule="auto"/>
              <w:jc w:val="center"/>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招标控制价</w:t>
            </w:r>
          </w:p>
        </w:tc>
        <w:tc>
          <w:tcPr>
            <w:tcW w:w="6987" w:type="dxa"/>
            <w:vAlign w:val="center"/>
          </w:tcPr>
          <w:p w14:paraId="69D1695B">
            <w:pPr>
              <w:autoSpaceDE w:val="0"/>
              <w:autoSpaceDN w:val="0"/>
              <w:adjustRightInd w:val="0"/>
              <w:spacing w:line="360" w:lineRule="auto"/>
              <w:jc w:val="both"/>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cs="宋体"/>
                <w:b/>
                <w:bCs/>
                <w:color w:val="auto"/>
                <w:sz w:val="21"/>
                <w:szCs w:val="21"/>
                <w:highlight w:val="none"/>
                <w:lang w:val="en-US" w:eastAsia="zh-CN"/>
              </w:rPr>
              <w:t>899687.73元</w:t>
            </w:r>
          </w:p>
        </w:tc>
      </w:tr>
      <w:tr w14:paraId="61F7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884" w:type="dxa"/>
            <w:vAlign w:val="center"/>
          </w:tcPr>
          <w:p w14:paraId="2F89E1F6">
            <w:pPr>
              <w:autoSpaceDE w:val="0"/>
              <w:autoSpaceDN w:val="0"/>
              <w:adjustRightInd w:val="0"/>
              <w:spacing w:line="360" w:lineRule="auto"/>
              <w:jc w:val="center"/>
              <w:rPr>
                <w:rFonts w:hint="eastAsia" w:ascii="宋体" w:hAnsi="宋体"/>
                <w:color w:val="auto"/>
                <w:kern w:val="0"/>
                <w:szCs w:val="21"/>
                <w:highlight w:val="none"/>
              </w:rPr>
            </w:pPr>
            <w:r>
              <w:rPr>
                <w:rFonts w:hint="eastAsia" w:asciiTheme="minorEastAsia" w:hAnsiTheme="minorEastAsia" w:eastAsiaTheme="minorEastAsia" w:cstheme="minorEastAsia"/>
                <w:color w:val="auto"/>
                <w:sz w:val="21"/>
                <w:szCs w:val="21"/>
                <w:highlight w:val="none"/>
                <w:lang w:val="en-US" w:eastAsia="zh-CN"/>
              </w:rPr>
              <w:t>3.2.2</w:t>
            </w:r>
          </w:p>
        </w:tc>
        <w:tc>
          <w:tcPr>
            <w:tcW w:w="1746" w:type="dxa"/>
            <w:vAlign w:val="center"/>
          </w:tcPr>
          <w:p w14:paraId="6B005EAC">
            <w:pPr>
              <w:autoSpaceDE w:val="0"/>
              <w:autoSpaceDN w:val="0"/>
              <w:adjustRightInd w:val="0"/>
              <w:spacing w:line="360" w:lineRule="auto"/>
              <w:jc w:val="center"/>
              <w:rPr>
                <w:rFonts w:hint="eastAsia" w:ascii="宋体" w:hAnsi="宋体" w:cs="宋体"/>
                <w:color w:val="auto"/>
                <w:szCs w:val="21"/>
                <w:highlight w:val="none"/>
              </w:rPr>
            </w:pPr>
            <w:r>
              <w:rPr>
                <w:rFonts w:hint="eastAsia" w:asciiTheme="minorEastAsia" w:hAnsiTheme="minorEastAsia" w:eastAsiaTheme="minorEastAsia" w:cstheme="minorEastAsia"/>
                <w:b/>
                <w:bCs/>
                <w:color w:val="auto"/>
                <w:sz w:val="21"/>
                <w:szCs w:val="21"/>
                <w:highlight w:val="none"/>
                <w:lang w:eastAsia="zh-CN"/>
              </w:rPr>
              <w:t>工程量清单</w:t>
            </w:r>
          </w:p>
        </w:tc>
        <w:tc>
          <w:tcPr>
            <w:tcW w:w="6987" w:type="dxa"/>
            <w:vAlign w:val="center"/>
          </w:tcPr>
          <w:p w14:paraId="2B43F7C5">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highlight w:val="none"/>
              </w:rPr>
            </w:pPr>
            <w:r>
              <w:rPr>
                <w:rFonts w:hint="eastAsia" w:asciiTheme="minorEastAsia" w:hAnsiTheme="minorEastAsia" w:eastAsiaTheme="minorEastAsia" w:cstheme="minorEastAsia"/>
                <w:b/>
                <w:bCs/>
                <w:color w:val="auto"/>
                <w:sz w:val="21"/>
                <w:szCs w:val="21"/>
                <w:highlight w:val="none"/>
                <w:lang w:val="en-US" w:eastAsia="zh-CN"/>
              </w:rPr>
              <w:t>与采购人提供的工程量清单中项目名称、项目特征、计量单位和工程量完全一致。</w:t>
            </w:r>
          </w:p>
          <w:p w14:paraId="4B372B5A">
            <w:pPr>
              <w:autoSpaceDE w:val="0"/>
              <w:autoSpaceDN w:val="0"/>
              <w:adjustRightInd w:val="0"/>
              <w:spacing w:line="360" w:lineRule="auto"/>
              <w:rPr>
                <w:rFonts w:hint="eastAsia" w:ascii="宋体" w:hAnsi="宋体" w:eastAsia="宋体" w:cs="宋体"/>
                <w:b/>
                <w:bCs/>
                <w:color w:val="auto"/>
                <w:kern w:val="2"/>
                <w:sz w:val="21"/>
                <w:szCs w:val="21"/>
                <w:highlight w:val="none"/>
                <w:lang w:val="en-US" w:eastAsia="zh-CN"/>
              </w:rPr>
            </w:pPr>
          </w:p>
        </w:tc>
      </w:tr>
      <w:tr w14:paraId="0A5E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7814A4AC">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3.3.1</w:t>
            </w:r>
          </w:p>
        </w:tc>
        <w:tc>
          <w:tcPr>
            <w:tcW w:w="1746" w:type="dxa"/>
            <w:vAlign w:val="center"/>
          </w:tcPr>
          <w:p w14:paraId="2A7D00A0">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磋商有效期</w:t>
            </w:r>
          </w:p>
        </w:tc>
        <w:tc>
          <w:tcPr>
            <w:tcW w:w="6987" w:type="dxa"/>
            <w:vAlign w:val="center"/>
          </w:tcPr>
          <w:p w14:paraId="28B7364D">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90日历天</w:t>
            </w:r>
            <w:r>
              <w:rPr>
                <w:rFonts w:hint="eastAsia" w:asciiTheme="minorEastAsia" w:hAnsiTheme="minorEastAsia" w:eastAsiaTheme="minorEastAsia" w:cstheme="minorEastAsia"/>
                <w:color w:val="auto"/>
                <w:sz w:val="21"/>
                <w:szCs w:val="21"/>
                <w:highlight w:val="none"/>
                <w:lang w:eastAsia="zh-CN"/>
              </w:rPr>
              <w:t>。</w:t>
            </w:r>
          </w:p>
        </w:tc>
      </w:tr>
      <w:tr w14:paraId="09FC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0684F5A2">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3.4.1</w:t>
            </w:r>
          </w:p>
        </w:tc>
        <w:tc>
          <w:tcPr>
            <w:tcW w:w="1746" w:type="dxa"/>
            <w:vAlign w:val="center"/>
          </w:tcPr>
          <w:p w14:paraId="4B73AF28">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磋商保证金</w:t>
            </w:r>
          </w:p>
        </w:tc>
        <w:tc>
          <w:tcPr>
            <w:tcW w:w="6987" w:type="dxa"/>
            <w:vAlign w:val="center"/>
          </w:tcPr>
          <w:p w14:paraId="34E09E80">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本项目无需提供</w:t>
            </w:r>
          </w:p>
        </w:tc>
      </w:tr>
      <w:tr w14:paraId="3982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17FEEB1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3.5.2</w:t>
            </w:r>
          </w:p>
        </w:tc>
        <w:tc>
          <w:tcPr>
            <w:tcW w:w="1746" w:type="dxa"/>
            <w:vAlign w:val="center"/>
          </w:tcPr>
          <w:p w14:paraId="7502640F">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资格审查方式</w:t>
            </w:r>
          </w:p>
        </w:tc>
        <w:tc>
          <w:tcPr>
            <w:tcW w:w="6987" w:type="dxa"/>
            <w:vAlign w:val="center"/>
          </w:tcPr>
          <w:p w14:paraId="26B265FD">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资格后审</w:t>
            </w:r>
          </w:p>
        </w:tc>
      </w:tr>
      <w:tr w14:paraId="7DE5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65B04334">
            <w:pPr>
              <w:autoSpaceDE w:val="0"/>
              <w:autoSpaceDN w:val="0"/>
              <w:adjustRightInd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4.1.1</w:t>
            </w:r>
          </w:p>
        </w:tc>
        <w:tc>
          <w:tcPr>
            <w:tcW w:w="1746" w:type="dxa"/>
            <w:vAlign w:val="center"/>
          </w:tcPr>
          <w:p w14:paraId="3289AAAB">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响应文件的加密</w:t>
            </w:r>
          </w:p>
        </w:tc>
        <w:tc>
          <w:tcPr>
            <w:tcW w:w="6987" w:type="dxa"/>
            <w:vAlign w:val="center"/>
          </w:tcPr>
          <w:p w14:paraId="38416C7F">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（1）供应商进行电子交易应安装客户端软件—“政采云电子交易客户端”，并按照磋商文件和电子交易平台的要求编制并加密响应文件。供应商未按规定加密的响应文件，电子交易平台将拒收并提示；</w:t>
            </w:r>
          </w:p>
          <w:p w14:paraId="4DA261E1">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（2）使用“政采云电子交易客户端”需要提前申领 CA 数字证书，申领流程见该项目采购公告；</w:t>
            </w:r>
          </w:p>
          <w:p w14:paraId="07E01B02">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（3）为确保网上操作合法、有效和安全，供应商应当在响应文件提交截止时间前完成在“政府采购云 平台”的身份认证，确保在电子交易过程中能够对相关数据电文进行加密和使用电子签名。</w:t>
            </w:r>
          </w:p>
        </w:tc>
      </w:tr>
      <w:tr w14:paraId="354FB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5F8F4015">
            <w:pPr>
              <w:autoSpaceDE w:val="0"/>
              <w:autoSpaceDN w:val="0"/>
              <w:adjustRightInd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4.1.2</w:t>
            </w:r>
          </w:p>
        </w:tc>
        <w:tc>
          <w:tcPr>
            <w:tcW w:w="1746" w:type="dxa"/>
            <w:vAlign w:val="center"/>
          </w:tcPr>
          <w:p w14:paraId="13B524F8">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响应文件签字或盖章要求</w:t>
            </w:r>
          </w:p>
        </w:tc>
        <w:tc>
          <w:tcPr>
            <w:tcW w:w="6987" w:type="dxa"/>
            <w:vAlign w:val="center"/>
          </w:tcPr>
          <w:p w14:paraId="1E97825D">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按照响应文件格式、工程量清单格式要求加盖单位公章或电子签章且由法定代表人或其委托代理人签字或电子签章。</w:t>
            </w:r>
          </w:p>
        </w:tc>
      </w:tr>
      <w:tr w14:paraId="3991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5659D02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4.1.</w:t>
            </w:r>
            <w:r>
              <w:rPr>
                <w:rFonts w:hint="eastAsia" w:asciiTheme="minorEastAsia" w:hAnsiTheme="minorEastAsia" w:eastAsiaTheme="minorEastAsia" w:cstheme="minorEastAsia"/>
                <w:color w:val="auto"/>
                <w:sz w:val="21"/>
                <w:szCs w:val="21"/>
                <w:highlight w:val="none"/>
                <w:lang w:val="en-US" w:eastAsia="zh-CN"/>
              </w:rPr>
              <w:t>3</w:t>
            </w:r>
          </w:p>
        </w:tc>
        <w:tc>
          <w:tcPr>
            <w:tcW w:w="1746" w:type="dxa"/>
            <w:vAlign w:val="center"/>
          </w:tcPr>
          <w:p w14:paraId="272C7793">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rFonts w:hint="default"/>
                <w:color w:val="auto"/>
                <w:highlight w:val="none"/>
                <w:lang w:val="en-US"/>
              </w:rPr>
            </w:pPr>
            <w:r>
              <w:rPr>
                <w:rFonts w:hint="eastAsia" w:asciiTheme="minorEastAsia" w:hAnsiTheme="minorEastAsia" w:eastAsiaTheme="minorEastAsia" w:cstheme="minorEastAsia"/>
                <w:color w:val="auto"/>
                <w:sz w:val="21"/>
                <w:szCs w:val="21"/>
                <w:highlight w:val="none"/>
                <w:lang w:eastAsia="zh-CN"/>
              </w:rPr>
              <w:t>竞争性磋商响应文件的提交</w:t>
            </w:r>
            <w:r>
              <w:rPr>
                <w:rFonts w:hint="eastAsia" w:asciiTheme="minorEastAsia" w:hAnsiTheme="minorEastAsia" w:eastAsiaTheme="minorEastAsia" w:cstheme="minorEastAsia"/>
                <w:color w:val="auto"/>
                <w:sz w:val="21"/>
                <w:szCs w:val="21"/>
                <w:highlight w:val="none"/>
                <w:lang w:val="en-US" w:eastAsia="zh-CN"/>
              </w:rPr>
              <w:t>方式</w:t>
            </w:r>
          </w:p>
          <w:p w14:paraId="4833EFF1">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p>
        </w:tc>
        <w:tc>
          <w:tcPr>
            <w:tcW w:w="6987" w:type="dxa"/>
            <w:vAlign w:val="center"/>
          </w:tcPr>
          <w:p w14:paraId="73175665">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登录“政采云”平台</w:t>
            </w:r>
            <w:r>
              <w:rPr>
                <w:rFonts w:hint="eastAsia" w:ascii="宋体" w:hAnsi="宋体" w:eastAsia="宋体" w:cs="宋体"/>
                <w:b w:val="0"/>
                <w:bCs/>
                <w:color w:val="auto"/>
                <w:kern w:val="0"/>
                <w:sz w:val="21"/>
                <w:szCs w:val="21"/>
                <w:highlight w:val="none"/>
                <w:lang w:val="en-US" w:eastAsia="zh-CN"/>
              </w:rPr>
              <w:t>（</w:t>
            </w:r>
            <w:r>
              <w:rPr>
                <w:rFonts w:hint="eastAsia" w:ascii="宋体" w:hAnsi="宋体" w:cs="宋体"/>
                <w:b w:val="0"/>
                <w:bCs/>
                <w:color w:val="auto"/>
                <w:kern w:val="0"/>
                <w:sz w:val="21"/>
                <w:szCs w:val="21"/>
                <w:highlight w:val="none"/>
                <w:lang w:val="en-US" w:eastAsia="zh-CN"/>
              </w:rPr>
              <w:t>网址：</w:t>
            </w:r>
            <w:r>
              <w:rPr>
                <w:rFonts w:hint="eastAsia" w:ascii="宋体" w:hAnsi="宋体" w:eastAsia="宋体" w:cs="宋体"/>
                <w:b w:val="0"/>
                <w:bCs/>
                <w:color w:val="auto"/>
                <w:kern w:val="0"/>
                <w:sz w:val="21"/>
                <w:szCs w:val="21"/>
                <w:highlight w:val="none"/>
                <w:lang w:val="en-US" w:eastAsia="zh-CN"/>
              </w:rPr>
              <w:t>http://www.zcygov.cn）</w:t>
            </w:r>
            <w:r>
              <w:rPr>
                <w:rFonts w:hint="eastAsia" w:asciiTheme="minorEastAsia" w:hAnsiTheme="minorEastAsia" w:eastAsiaTheme="minorEastAsia" w:cstheme="minorEastAsia"/>
                <w:color w:val="auto"/>
                <w:sz w:val="21"/>
                <w:szCs w:val="21"/>
                <w:highlight w:val="none"/>
                <w:lang w:val="en-US" w:eastAsia="zh-CN"/>
              </w:rPr>
              <w:t>递交电子响应文件</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注：响应文件全部采用电子文档，供应商应安装客户端软件—“政采云电子交易客户端”，并按照竞争性磋商文件和政采云电子交易平台的要求编制，编制后应进行电子签章、签名及加密。</w:t>
            </w:r>
          </w:p>
        </w:tc>
      </w:tr>
      <w:tr w14:paraId="11C4F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63D81D66">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4.2.2</w:t>
            </w:r>
          </w:p>
        </w:tc>
        <w:tc>
          <w:tcPr>
            <w:tcW w:w="1746" w:type="dxa"/>
            <w:vAlign w:val="center"/>
          </w:tcPr>
          <w:p w14:paraId="4BDE8F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响应文件递交地点及截止时间</w:t>
            </w:r>
          </w:p>
        </w:tc>
        <w:tc>
          <w:tcPr>
            <w:tcW w:w="6987" w:type="dxa"/>
          </w:tcPr>
          <w:p w14:paraId="292B5FD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截止时间：同磋商截止时间</w:t>
            </w:r>
          </w:p>
          <w:p w14:paraId="52FFC93C">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递交</w:t>
            </w:r>
            <w:r>
              <w:rPr>
                <w:rFonts w:hint="eastAsia" w:asciiTheme="minorEastAsia" w:hAnsiTheme="minorEastAsia" w:eastAsiaTheme="minorEastAsia" w:cstheme="minorEastAsia"/>
                <w:b w:val="0"/>
                <w:bCs w:val="0"/>
                <w:color w:val="auto"/>
                <w:sz w:val="21"/>
                <w:szCs w:val="21"/>
                <w:highlight w:val="none"/>
                <w:lang w:eastAsia="zh-CN"/>
              </w:rPr>
              <w:t>地点：</w:t>
            </w:r>
            <w:r>
              <w:rPr>
                <w:rFonts w:hint="eastAsia" w:asciiTheme="minorEastAsia" w:hAnsiTheme="minorEastAsia" w:eastAsiaTheme="minorEastAsia" w:cstheme="minorEastAsia"/>
                <w:b w:val="0"/>
                <w:bCs w:val="0"/>
                <w:color w:val="auto"/>
                <w:sz w:val="21"/>
                <w:szCs w:val="21"/>
                <w:highlight w:val="none"/>
                <w:lang w:val="en-US" w:eastAsia="zh-CN"/>
              </w:rPr>
              <w:t>“政采云”平台（网址：http://www.zcygov.cn）</w:t>
            </w: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eastAsia="zh-CN"/>
              </w:rPr>
              <w:t xml:space="preserve"> </w:t>
            </w:r>
          </w:p>
        </w:tc>
      </w:tr>
      <w:tr w14:paraId="2D540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3C7857FF">
            <w:pPr>
              <w:autoSpaceDE w:val="0"/>
              <w:autoSpaceDN w:val="0"/>
              <w:adjustRightInd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4.2.3</w:t>
            </w:r>
          </w:p>
        </w:tc>
        <w:tc>
          <w:tcPr>
            <w:tcW w:w="1746" w:type="dxa"/>
            <w:vAlign w:val="center"/>
          </w:tcPr>
          <w:p w14:paraId="0AC2A70F">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响应文件解密</w:t>
            </w:r>
          </w:p>
        </w:tc>
        <w:tc>
          <w:tcPr>
            <w:tcW w:w="6987" w:type="dxa"/>
            <w:vAlign w:val="center"/>
          </w:tcPr>
          <w:p w14:paraId="7EBF93D2">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采购代理机构在电子交易平台发起开始解密指令，供应商须使用加密时所用的CA锁按平台提示和采购文件的规定登录到“政采云”平台电子开标大厅签到并在发起解密指令之时起</w:t>
            </w:r>
            <w:r>
              <w:rPr>
                <w:rFonts w:hint="eastAsia" w:asciiTheme="minorEastAsia" w:hAnsiTheme="minorEastAsia" w:eastAsiaTheme="minorEastAsia" w:cstheme="minorEastAsia"/>
                <w:b/>
                <w:bCs/>
                <w:color w:val="auto"/>
                <w:sz w:val="21"/>
                <w:szCs w:val="21"/>
                <w:highlight w:val="none"/>
                <w:lang w:val="en-US" w:eastAsia="zh-CN"/>
              </w:rPr>
              <w:t>30分钟</w:t>
            </w:r>
            <w:r>
              <w:rPr>
                <w:rFonts w:hint="eastAsia" w:asciiTheme="minorEastAsia" w:hAnsiTheme="minorEastAsia" w:eastAsiaTheme="minorEastAsia" w:cstheme="minorEastAsia"/>
                <w:color w:val="auto"/>
                <w:sz w:val="21"/>
                <w:szCs w:val="21"/>
                <w:highlight w:val="none"/>
                <w:lang w:val="en-US" w:eastAsia="zh-CN"/>
              </w:rPr>
              <w:t>内完成对电子响应文件在线解密。响应文件未按时解密的，视为无效响应。</w:t>
            </w:r>
          </w:p>
          <w:p w14:paraId="07246D87">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发起解密指令之时起5分钟内供应商还未进行解密的，代理机构可通知供应商，供应商未预留联系方式或预留联系方式无效，导致代理机构无法联系到供应商进行解密的，视为撤回响应文件。</w:t>
            </w:r>
          </w:p>
        </w:tc>
      </w:tr>
      <w:tr w14:paraId="5BD0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4F038957">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5.1</w:t>
            </w:r>
          </w:p>
        </w:tc>
        <w:tc>
          <w:tcPr>
            <w:tcW w:w="1746" w:type="dxa"/>
            <w:vAlign w:val="center"/>
          </w:tcPr>
          <w:p w14:paraId="7F53B933">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磋商时间及地点</w:t>
            </w:r>
          </w:p>
        </w:tc>
        <w:tc>
          <w:tcPr>
            <w:tcW w:w="6987" w:type="dxa"/>
          </w:tcPr>
          <w:p w14:paraId="2550E63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开标时间：同</w:t>
            </w:r>
            <w:r>
              <w:rPr>
                <w:rFonts w:hint="eastAsia" w:asciiTheme="minorEastAsia" w:hAnsiTheme="minorEastAsia" w:eastAsiaTheme="minorEastAsia" w:cstheme="minorEastAsia"/>
                <w:b w:val="0"/>
                <w:bCs w:val="0"/>
                <w:color w:val="auto"/>
                <w:sz w:val="21"/>
                <w:szCs w:val="21"/>
                <w:highlight w:val="none"/>
                <w:lang w:val="en-US" w:eastAsia="zh-CN"/>
              </w:rPr>
              <w:t>响应</w:t>
            </w:r>
            <w:r>
              <w:rPr>
                <w:rFonts w:hint="eastAsia" w:asciiTheme="minorEastAsia" w:hAnsiTheme="minorEastAsia" w:eastAsiaTheme="minorEastAsia" w:cstheme="minorEastAsia"/>
                <w:b w:val="0"/>
                <w:bCs w:val="0"/>
                <w:color w:val="auto"/>
                <w:sz w:val="21"/>
                <w:szCs w:val="21"/>
                <w:highlight w:val="none"/>
                <w:lang w:eastAsia="zh-CN"/>
              </w:rPr>
              <w:t>文件递交截止时间</w:t>
            </w:r>
          </w:p>
          <w:p w14:paraId="59DAAE6F">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开启</w:t>
            </w:r>
            <w:r>
              <w:rPr>
                <w:rFonts w:hint="eastAsia" w:asciiTheme="minorEastAsia" w:hAnsiTheme="minorEastAsia" w:eastAsiaTheme="minorEastAsia" w:cstheme="minorEastAsia"/>
                <w:b w:val="0"/>
                <w:bCs w:val="0"/>
                <w:color w:val="auto"/>
                <w:sz w:val="21"/>
                <w:szCs w:val="21"/>
                <w:highlight w:val="none"/>
                <w:lang w:eastAsia="zh-CN"/>
              </w:rPr>
              <w:t>地点：</w:t>
            </w:r>
            <w:r>
              <w:rPr>
                <w:rFonts w:hint="eastAsia" w:asciiTheme="minorEastAsia" w:hAnsiTheme="minorEastAsia" w:eastAsiaTheme="minorEastAsia" w:cstheme="minorEastAsia"/>
                <w:b w:val="0"/>
                <w:bCs w:val="0"/>
                <w:color w:val="auto"/>
                <w:sz w:val="21"/>
                <w:szCs w:val="21"/>
                <w:highlight w:val="none"/>
                <w:lang w:val="en-US" w:eastAsia="zh-CN"/>
              </w:rPr>
              <w:t>同本项目第一章采购公告开启地点</w:t>
            </w:r>
            <w:r>
              <w:rPr>
                <w:rFonts w:hint="eastAsia" w:asciiTheme="minorEastAsia" w:hAnsiTheme="minorEastAsia" w:eastAsiaTheme="minorEastAsia" w:cstheme="minorEastAsia"/>
                <w:b w:val="0"/>
                <w:bCs w:val="0"/>
                <w:color w:val="auto"/>
                <w:sz w:val="21"/>
                <w:szCs w:val="21"/>
                <w:highlight w:val="none"/>
                <w:lang w:eastAsia="zh-CN"/>
              </w:rPr>
              <w:t>。</w:t>
            </w:r>
          </w:p>
        </w:tc>
      </w:tr>
      <w:tr w14:paraId="467E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1572C68B">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6.1.1</w:t>
            </w:r>
          </w:p>
        </w:tc>
        <w:tc>
          <w:tcPr>
            <w:tcW w:w="1746" w:type="dxa"/>
            <w:vAlign w:val="center"/>
          </w:tcPr>
          <w:p w14:paraId="52FE7B43">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磋商小组组建</w:t>
            </w:r>
          </w:p>
        </w:tc>
        <w:tc>
          <w:tcPr>
            <w:tcW w:w="6987" w:type="dxa"/>
            <w:vAlign w:val="center"/>
          </w:tcPr>
          <w:p w14:paraId="22B808E7">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磋商小组人数：3人及以上单数。</w:t>
            </w:r>
          </w:p>
          <w:p w14:paraId="0C3E9595">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评标专家确定方式：在</w:t>
            </w:r>
            <w:r>
              <w:rPr>
                <w:rFonts w:hint="eastAsia" w:asciiTheme="minorEastAsia" w:hAnsiTheme="minorEastAsia" w:eastAsiaTheme="minorEastAsia" w:cstheme="minorEastAsia"/>
                <w:color w:val="auto"/>
                <w:sz w:val="21"/>
                <w:szCs w:val="21"/>
                <w:highlight w:val="none"/>
                <w:lang w:val="en-US" w:eastAsia="zh-CN"/>
              </w:rPr>
              <w:t>云南省政府采购网</w:t>
            </w:r>
            <w:r>
              <w:rPr>
                <w:rFonts w:hint="eastAsia" w:asciiTheme="minorEastAsia" w:hAnsiTheme="minorEastAsia" w:eastAsiaTheme="minorEastAsia" w:cstheme="minorEastAsia"/>
                <w:color w:val="auto"/>
                <w:sz w:val="21"/>
                <w:szCs w:val="21"/>
                <w:highlight w:val="none"/>
                <w:lang w:eastAsia="zh-CN"/>
              </w:rPr>
              <w:t>评审专家库中随机抽取的专家及采购人代表组成，其中：评审专家不得少于评审组成员的三分之二；采购人应当授权代表参加评审组，人数不得超过评审组成员总数的三分之一，采购人代表不得以评审专家身份参加评审或者担任评审组长。</w:t>
            </w:r>
          </w:p>
          <w:p w14:paraId="541D7E51">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注：特殊情况经审批后确定。</w:t>
            </w:r>
          </w:p>
        </w:tc>
      </w:tr>
      <w:tr w14:paraId="4E0E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427B166C">
            <w:pPr>
              <w:spacing w:line="360" w:lineRule="exact"/>
              <w:jc w:val="center"/>
              <w:rPr>
                <w:rFonts w:ascii="宋体" w:hAnsi="宋体" w:cs="宋体"/>
                <w:bCs/>
                <w:color w:val="auto"/>
                <w:szCs w:val="21"/>
                <w:highlight w:val="none"/>
              </w:rPr>
            </w:pPr>
            <w:r>
              <w:rPr>
                <w:rFonts w:hint="eastAsia" w:ascii="宋体" w:hAnsi="宋体" w:cs="宋体"/>
                <w:bCs/>
                <w:color w:val="auto"/>
                <w:szCs w:val="21"/>
                <w:highlight w:val="none"/>
              </w:rPr>
              <w:t>7.1</w:t>
            </w:r>
          </w:p>
        </w:tc>
        <w:tc>
          <w:tcPr>
            <w:tcW w:w="1746" w:type="dxa"/>
            <w:vAlign w:val="center"/>
          </w:tcPr>
          <w:p w14:paraId="2D299F23">
            <w:pPr>
              <w:pStyle w:val="34"/>
              <w:jc w:val="center"/>
              <w:rPr>
                <w:rFonts w:hint="eastAsia"/>
                <w:color w:val="auto"/>
                <w:sz w:val="21"/>
                <w:szCs w:val="21"/>
                <w:highlight w:val="none"/>
              </w:rPr>
            </w:pPr>
            <w:r>
              <w:rPr>
                <w:rFonts w:hint="eastAsia"/>
                <w:color w:val="auto"/>
                <w:sz w:val="21"/>
                <w:szCs w:val="21"/>
                <w:highlight w:val="none"/>
              </w:rPr>
              <w:t>是否授权磋商</w:t>
            </w:r>
          </w:p>
          <w:p w14:paraId="7CD6A607">
            <w:pPr>
              <w:pStyle w:val="34"/>
              <w:jc w:val="center"/>
              <w:rPr>
                <w:rFonts w:hint="eastAsia"/>
                <w:color w:val="auto"/>
                <w:sz w:val="21"/>
                <w:szCs w:val="21"/>
                <w:highlight w:val="none"/>
                <w:lang w:eastAsia="zh-CN"/>
              </w:rPr>
            </w:pPr>
            <w:r>
              <w:rPr>
                <w:rFonts w:hint="eastAsia"/>
                <w:color w:val="auto"/>
                <w:sz w:val="21"/>
                <w:szCs w:val="21"/>
                <w:highlight w:val="none"/>
              </w:rPr>
              <w:t>小组确定</w:t>
            </w:r>
            <w:r>
              <w:rPr>
                <w:rFonts w:hint="eastAsia"/>
                <w:color w:val="auto"/>
                <w:sz w:val="21"/>
                <w:szCs w:val="21"/>
                <w:highlight w:val="none"/>
                <w:lang w:eastAsia="zh-CN"/>
              </w:rPr>
              <w:t>成交</w:t>
            </w:r>
          </w:p>
          <w:p w14:paraId="65141FAB">
            <w:pPr>
              <w:pStyle w:val="34"/>
              <w:jc w:val="center"/>
              <w:rPr>
                <w:rFonts w:hint="eastAsia" w:eastAsia="宋体"/>
                <w:bCs/>
                <w:color w:val="auto"/>
                <w:sz w:val="21"/>
                <w:szCs w:val="21"/>
                <w:highlight w:val="none"/>
                <w:lang w:eastAsia="zh-CN"/>
              </w:rPr>
            </w:pPr>
            <w:r>
              <w:rPr>
                <w:rFonts w:hint="eastAsia"/>
                <w:color w:val="auto"/>
                <w:sz w:val="21"/>
                <w:szCs w:val="21"/>
                <w:highlight w:val="none"/>
                <w:lang w:eastAsia="zh-CN"/>
              </w:rPr>
              <w:t>供应商</w:t>
            </w:r>
          </w:p>
        </w:tc>
        <w:tc>
          <w:tcPr>
            <w:tcW w:w="6987" w:type="dxa"/>
            <w:vAlign w:val="center"/>
          </w:tcPr>
          <w:p w14:paraId="477A6C87">
            <w:pPr>
              <w:pStyle w:val="34"/>
              <w:keepNext w:val="0"/>
              <w:keepLines w:val="0"/>
              <w:pageBreakBefore w:val="0"/>
              <w:widowControl w:val="0"/>
              <w:kinsoku/>
              <w:wordWrap/>
              <w:overflowPunct/>
              <w:topLinePunct w:val="0"/>
              <w:autoSpaceDE w:val="0"/>
              <w:autoSpaceDN w:val="0"/>
              <w:bidi w:val="0"/>
              <w:adjustRightInd w:val="0"/>
              <w:snapToGrid/>
              <w:spacing w:line="440" w:lineRule="exact"/>
              <w:ind w:firstLine="210" w:firstLineChars="100"/>
              <w:jc w:val="both"/>
              <w:textAlignment w:val="auto"/>
              <w:rPr>
                <w:color w:val="auto"/>
                <w:sz w:val="21"/>
                <w:szCs w:val="21"/>
                <w:highlight w:val="none"/>
              </w:rPr>
            </w:pPr>
            <w:r>
              <w:rPr>
                <w:rFonts w:hint="eastAsia"/>
                <w:color w:val="auto"/>
                <w:sz w:val="21"/>
                <w:szCs w:val="21"/>
                <w:highlight w:val="none"/>
              </w:rPr>
              <w:fldChar w:fldCharType="begin"/>
            </w:r>
            <w:r>
              <w:rPr>
                <w:rFonts w:hint="eastAsia"/>
                <w:color w:val="auto"/>
                <w:sz w:val="21"/>
                <w:szCs w:val="21"/>
                <w:highlight w:val="none"/>
              </w:rPr>
              <w:instrText xml:space="preserve"> eq \o\ac(</w:instrText>
            </w:r>
            <w:r>
              <w:rPr>
                <w:rFonts w:hint="eastAsia"/>
                <w:color w:val="auto"/>
                <w:position w:val="-4"/>
                <w:sz w:val="31"/>
                <w:szCs w:val="21"/>
                <w:highlight w:val="none"/>
              </w:rPr>
              <w:instrText xml:space="preserve">□</w:instrText>
            </w:r>
            <w:r>
              <w:rPr>
                <w:rFonts w:hint="eastAsia"/>
                <w:color w:val="auto"/>
                <w:sz w:val="21"/>
                <w:szCs w:val="21"/>
                <w:highlight w:val="none"/>
              </w:rPr>
              <w:instrText xml:space="preserve">)</w:instrText>
            </w:r>
            <w:r>
              <w:rPr>
                <w:rFonts w:hint="eastAsia"/>
                <w:color w:val="auto"/>
                <w:sz w:val="21"/>
                <w:szCs w:val="21"/>
                <w:highlight w:val="none"/>
              </w:rPr>
              <w:fldChar w:fldCharType="end"/>
            </w:r>
            <w:r>
              <w:rPr>
                <w:rFonts w:hint="eastAsia"/>
                <w:color w:val="auto"/>
                <w:sz w:val="21"/>
                <w:szCs w:val="21"/>
                <w:highlight w:val="none"/>
              </w:rPr>
              <w:t>是</w:t>
            </w:r>
          </w:p>
          <w:p w14:paraId="1C6306F2">
            <w:pPr>
              <w:pStyle w:val="34"/>
              <w:keepNext w:val="0"/>
              <w:keepLines w:val="0"/>
              <w:pageBreakBefore w:val="0"/>
              <w:widowControl w:val="0"/>
              <w:kinsoku/>
              <w:wordWrap/>
              <w:overflowPunct/>
              <w:topLinePunct w:val="0"/>
              <w:autoSpaceDE w:val="0"/>
              <w:autoSpaceDN w:val="0"/>
              <w:bidi w:val="0"/>
              <w:adjustRightInd w:val="0"/>
              <w:snapToGrid/>
              <w:spacing w:line="440" w:lineRule="exact"/>
              <w:ind w:firstLine="210" w:firstLineChars="100"/>
              <w:jc w:val="both"/>
              <w:textAlignment w:val="auto"/>
              <w:rPr>
                <w:color w:val="auto"/>
                <w:sz w:val="21"/>
                <w:szCs w:val="21"/>
                <w:highlight w:val="none"/>
              </w:rPr>
            </w:pPr>
            <w:r>
              <w:rPr>
                <w:rFonts w:hint="eastAsia"/>
                <w:color w:val="auto"/>
                <w:sz w:val="21"/>
                <w:szCs w:val="21"/>
                <w:highlight w:val="none"/>
              </w:rPr>
              <w:fldChar w:fldCharType="begin"/>
            </w:r>
            <w:r>
              <w:rPr>
                <w:rFonts w:hint="eastAsia"/>
                <w:color w:val="auto"/>
                <w:sz w:val="21"/>
                <w:szCs w:val="21"/>
                <w:highlight w:val="none"/>
              </w:rPr>
              <w:instrText xml:space="preserve"> eq \o\ac(</w:instrText>
            </w:r>
            <w:r>
              <w:rPr>
                <w:rFonts w:hint="eastAsia"/>
                <w:color w:val="auto"/>
                <w:position w:val="-4"/>
                <w:sz w:val="31"/>
                <w:szCs w:val="21"/>
                <w:highlight w:val="none"/>
              </w:rPr>
              <w:instrText xml:space="preserve">□</w:instrText>
            </w:r>
            <w:r>
              <w:rPr>
                <w:rFonts w:hint="eastAsia"/>
                <w:color w:val="auto"/>
                <w:sz w:val="21"/>
                <w:szCs w:val="21"/>
                <w:highlight w:val="none"/>
              </w:rPr>
              <w:instrText xml:space="preserve">,√)</w:instrText>
            </w:r>
            <w:r>
              <w:rPr>
                <w:rFonts w:hint="eastAsia"/>
                <w:color w:val="auto"/>
                <w:sz w:val="21"/>
                <w:szCs w:val="21"/>
                <w:highlight w:val="none"/>
              </w:rPr>
              <w:fldChar w:fldCharType="end"/>
            </w:r>
            <w:r>
              <w:rPr>
                <w:rFonts w:hint="eastAsia"/>
                <w:color w:val="auto"/>
                <w:sz w:val="21"/>
                <w:szCs w:val="21"/>
                <w:highlight w:val="none"/>
              </w:rPr>
              <w:t>否，推荐的成交候选人数：3人，</w:t>
            </w:r>
            <w:r>
              <w:rPr>
                <w:rFonts w:hint="eastAsia"/>
                <w:color w:val="auto"/>
                <w:sz w:val="21"/>
                <w:szCs w:val="21"/>
                <w:highlight w:val="none"/>
                <w:lang w:eastAsia="zh-CN"/>
              </w:rPr>
              <w:t>磋商小组</w:t>
            </w:r>
            <w:r>
              <w:rPr>
                <w:rFonts w:hint="eastAsia"/>
                <w:color w:val="auto"/>
                <w:sz w:val="21"/>
                <w:szCs w:val="21"/>
                <w:highlight w:val="none"/>
              </w:rPr>
              <w:t>依据本磋商文件规定的评标标准和方法，对按最终得分从高到低的顺序推荐出3名</w:t>
            </w:r>
            <w:r>
              <w:rPr>
                <w:rFonts w:hint="eastAsia"/>
                <w:color w:val="auto"/>
                <w:sz w:val="21"/>
                <w:szCs w:val="21"/>
                <w:highlight w:val="none"/>
                <w:lang w:val="en-US" w:eastAsia="zh-CN"/>
              </w:rPr>
              <w:t>成交</w:t>
            </w:r>
            <w:r>
              <w:rPr>
                <w:rFonts w:hint="eastAsia"/>
                <w:color w:val="auto"/>
                <w:sz w:val="21"/>
                <w:szCs w:val="21"/>
                <w:highlight w:val="none"/>
              </w:rPr>
              <w:t>候选人。</w:t>
            </w:r>
            <w:r>
              <w:rPr>
                <w:rFonts w:hint="eastAsia"/>
                <w:color w:val="auto"/>
                <w:sz w:val="21"/>
                <w:szCs w:val="21"/>
                <w:highlight w:val="none"/>
                <w:lang w:eastAsia="zh-CN"/>
              </w:rPr>
              <w:t>采购人</w:t>
            </w:r>
            <w:r>
              <w:rPr>
                <w:rFonts w:hint="eastAsia"/>
                <w:color w:val="auto"/>
                <w:sz w:val="21"/>
                <w:szCs w:val="21"/>
                <w:highlight w:val="none"/>
              </w:rPr>
              <w:t>依据</w:t>
            </w:r>
            <w:r>
              <w:rPr>
                <w:rFonts w:hint="eastAsia"/>
                <w:color w:val="auto"/>
                <w:sz w:val="21"/>
                <w:szCs w:val="21"/>
                <w:highlight w:val="none"/>
                <w:lang w:eastAsia="zh-CN"/>
              </w:rPr>
              <w:t>磋商小组</w:t>
            </w:r>
            <w:r>
              <w:rPr>
                <w:rFonts w:hint="eastAsia"/>
                <w:color w:val="auto"/>
                <w:sz w:val="21"/>
                <w:szCs w:val="21"/>
                <w:highlight w:val="none"/>
              </w:rPr>
              <w:t>推荐的</w:t>
            </w:r>
            <w:r>
              <w:rPr>
                <w:rFonts w:hint="eastAsia"/>
                <w:color w:val="auto"/>
                <w:sz w:val="21"/>
                <w:szCs w:val="21"/>
                <w:highlight w:val="none"/>
                <w:lang w:val="en-US" w:eastAsia="zh-CN"/>
              </w:rPr>
              <w:t>成交</w:t>
            </w:r>
            <w:r>
              <w:rPr>
                <w:rFonts w:hint="eastAsia"/>
                <w:color w:val="auto"/>
                <w:sz w:val="21"/>
                <w:szCs w:val="21"/>
                <w:highlight w:val="none"/>
              </w:rPr>
              <w:t>候选人排序确定第一</w:t>
            </w:r>
            <w:r>
              <w:rPr>
                <w:rFonts w:hint="eastAsia"/>
                <w:color w:val="auto"/>
                <w:sz w:val="21"/>
                <w:szCs w:val="21"/>
                <w:highlight w:val="none"/>
                <w:lang w:val="en-US" w:eastAsia="zh-CN"/>
              </w:rPr>
              <w:t>成交</w:t>
            </w:r>
            <w:r>
              <w:rPr>
                <w:rFonts w:hint="eastAsia"/>
                <w:color w:val="auto"/>
                <w:sz w:val="21"/>
                <w:szCs w:val="21"/>
                <w:highlight w:val="none"/>
              </w:rPr>
              <w:t>候选人为本项目的</w:t>
            </w:r>
            <w:r>
              <w:rPr>
                <w:rFonts w:hint="eastAsia"/>
                <w:color w:val="auto"/>
                <w:sz w:val="21"/>
                <w:szCs w:val="21"/>
                <w:highlight w:val="none"/>
                <w:lang w:val="en-US" w:eastAsia="zh-CN"/>
              </w:rPr>
              <w:t>成交</w:t>
            </w:r>
            <w:r>
              <w:rPr>
                <w:rFonts w:hint="eastAsia"/>
                <w:color w:val="auto"/>
                <w:sz w:val="21"/>
                <w:szCs w:val="21"/>
                <w:highlight w:val="none"/>
              </w:rPr>
              <w:t>人。</w:t>
            </w:r>
          </w:p>
        </w:tc>
      </w:tr>
      <w:tr w14:paraId="7D866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60D1B7DF">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7.2</w:t>
            </w:r>
          </w:p>
        </w:tc>
        <w:tc>
          <w:tcPr>
            <w:tcW w:w="1746" w:type="dxa"/>
            <w:vAlign w:val="center"/>
          </w:tcPr>
          <w:p w14:paraId="26E7535C">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成交公示</w:t>
            </w:r>
          </w:p>
        </w:tc>
        <w:tc>
          <w:tcPr>
            <w:tcW w:w="6987" w:type="dxa"/>
            <w:vAlign w:val="center"/>
          </w:tcPr>
          <w:p w14:paraId="7683A8C4">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公告媒介</w:t>
            </w:r>
            <w:r>
              <w:rPr>
                <w:rFonts w:hint="eastAsia" w:asciiTheme="minorEastAsia" w:hAnsiTheme="minorEastAsia" w:eastAsiaTheme="minorEastAsia" w:cstheme="minorEastAsia"/>
                <w:color w:val="auto"/>
                <w:sz w:val="21"/>
                <w:szCs w:val="21"/>
                <w:highlight w:val="none"/>
                <w:lang w:eastAsia="zh-CN"/>
              </w:rPr>
              <w:t>同竞争性磋商公告发布媒介，公示期为1个工作日</w:t>
            </w:r>
          </w:p>
        </w:tc>
      </w:tr>
      <w:tr w14:paraId="4F0A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64382642">
            <w:pPr>
              <w:autoSpaceDE w:val="0"/>
              <w:autoSpaceDN w:val="0"/>
              <w:adjustRightInd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7.3</w:t>
            </w:r>
          </w:p>
        </w:tc>
        <w:tc>
          <w:tcPr>
            <w:tcW w:w="1746" w:type="dxa"/>
            <w:vAlign w:val="center"/>
          </w:tcPr>
          <w:p w14:paraId="63983616">
            <w:pPr>
              <w:autoSpaceDE w:val="0"/>
              <w:autoSpaceDN w:val="0"/>
              <w:adjustRightInd w:val="0"/>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履约保证金</w:t>
            </w:r>
          </w:p>
        </w:tc>
        <w:tc>
          <w:tcPr>
            <w:tcW w:w="6987" w:type="dxa"/>
            <w:vAlign w:val="center"/>
          </w:tcPr>
          <w:p w14:paraId="75707949">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61F48717">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724A984B">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
          <w:p w14:paraId="6E4CFC9B">
            <w:pPr>
              <w:autoSpaceDE w:val="0"/>
              <w:autoSpaceDN w:val="0"/>
              <w:adjustRightInd w:val="0"/>
              <w:spacing w:line="360" w:lineRule="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不要求</w:t>
            </w:r>
          </w:p>
        </w:tc>
      </w:tr>
      <w:tr w14:paraId="117D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116AA748">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8</w:t>
            </w:r>
          </w:p>
        </w:tc>
        <w:tc>
          <w:tcPr>
            <w:tcW w:w="1746" w:type="dxa"/>
            <w:vAlign w:val="center"/>
          </w:tcPr>
          <w:p w14:paraId="7911570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重新采购</w:t>
            </w:r>
          </w:p>
        </w:tc>
        <w:tc>
          <w:tcPr>
            <w:tcW w:w="6987" w:type="dxa"/>
            <w:vAlign w:val="center"/>
          </w:tcPr>
          <w:p w14:paraId="2AA4CA09">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1E9A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4D9EF740">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9</w:t>
            </w:r>
          </w:p>
        </w:tc>
        <w:tc>
          <w:tcPr>
            <w:tcW w:w="1746" w:type="dxa"/>
            <w:vAlign w:val="center"/>
          </w:tcPr>
          <w:p w14:paraId="483D5EC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纪律和监督</w:t>
            </w:r>
          </w:p>
        </w:tc>
        <w:tc>
          <w:tcPr>
            <w:tcW w:w="6987" w:type="dxa"/>
            <w:vAlign w:val="center"/>
          </w:tcPr>
          <w:p w14:paraId="727AB153">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6616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546D1AFB">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10</w:t>
            </w:r>
          </w:p>
        </w:tc>
        <w:tc>
          <w:tcPr>
            <w:tcW w:w="1746" w:type="dxa"/>
            <w:vAlign w:val="center"/>
          </w:tcPr>
          <w:p w14:paraId="2D08E007">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知识产权</w:t>
            </w:r>
          </w:p>
        </w:tc>
        <w:tc>
          <w:tcPr>
            <w:tcW w:w="6987" w:type="dxa"/>
            <w:vAlign w:val="center"/>
          </w:tcPr>
          <w:p w14:paraId="13500FB4">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56EB6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67E7B745">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11</w:t>
            </w:r>
          </w:p>
        </w:tc>
        <w:tc>
          <w:tcPr>
            <w:tcW w:w="1746" w:type="dxa"/>
            <w:vAlign w:val="center"/>
          </w:tcPr>
          <w:p w14:paraId="4FB84DB5">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同义词语</w:t>
            </w:r>
          </w:p>
        </w:tc>
        <w:tc>
          <w:tcPr>
            <w:tcW w:w="6987" w:type="dxa"/>
            <w:vAlign w:val="center"/>
          </w:tcPr>
          <w:p w14:paraId="7C4F3C83">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0D3A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7F10B3F9">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12</w:t>
            </w:r>
          </w:p>
        </w:tc>
        <w:tc>
          <w:tcPr>
            <w:tcW w:w="1746" w:type="dxa"/>
            <w:vAlign w:val="center"/>
          </w:tcPr>
          <w:p w14:paraId="49DD496A">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监  督</w:t>
            </w:r>
          </w:p>
        </w:tc>
        <w:tc>
          <w:tcPr>
            <w:tcW w:w="6987" w:type="dxa"/>
            <w:vAlign w:val="center"/>
          </w:tcPr>
          <w:p w14:paraId="44870B58">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33ED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84" w:type="dxa"/>
            <w:vAlign w:val="center"/>
          </w:tcPr>
          <w:p w14:paraId="65BBB772">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13</w:t>
            </w:r>
          </w:p>
        </w:tc>
        <w:tc>
          <w:tcPr>
            <w:tcW w:w="1746" w:type="dxa"/>
            <w:vAlign w:val="center"/>
          </w:tcPr>
          <w:p w14:paraId="5F944C94">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解释权</w:t>
            </w:r>
          </w:p>
        </w:tc>
        <w:tc>
          <w:tcPr>
            <w:tcW w:w="6987" w:type="dxa"/>
            <w:vAlign w:val="center"/>
          </w:tcPr>
          <w:p w14:paraId="5FC0B5A7">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（1）本磋商文件是根据《中华人民共和国政府采购法》及实施条例、财政部</w:t>
            </w:r>
            <w:r>
              <w:rPr>
                <w:rFonts w:hint="eastAsia" w:asciiTheme="minorEastAsia" w:hAnsiTheme="minorEastAsia" w:eastAsiaTheme="minorEastAsia" w:cstheme="minorEastAsia"/>
                <w:color w:val="auto"/>
                <w:sz w:val="21"/>
                <w:szCs w:val="21"/>
                <w:highlight w:val="none"/>
                <w:lang w:val="en-US" w:eastAsia="zh-CN"/>
              </w:rPr>
              <w:t>94</w:t>
            </w:r>
            <w:r>
              <w:rPr>
                <w:rFonts w:hint="eastAsia" w:asciiTheme="minorEastAsia" w:hAnsiTheme="minorEastAsia" w:eastAsiaTheme="minorEastAsia" w:cstheme="minorEastAsia"/>
                <w:color w:val="auto"/>
                <w:sz w:val="21"/>
                <w:szCs w:val="21"/>
                <w:highlight w:val="none"/>
                <w:lang w:eastAsia="zh-CN"/>
              </w:rPr>
              <w:t>号、</w:t>
            </w:r>
            <w:r>
              <w:rPr>
                <w:rFonts w:hint="eastAsia" w:asciiTheme="minorEastAsia" w:hAnsiTheme="minorEastAsia" w:eastAsiaTheme="minorEastAsia" w:cstheme="minorEastAsia"/>
                <w:color w:val="auto"/>
                <w:sz w:val="21"/>
                <w:szCs w:val="21"/>
                <w:highlight w:val="none"/>
                <w:lang w:val="en-US" w:eastAsia="zh-CN"/>
              </w:rPr>
              <w:t>101</w:t>
            </w:r>
            <w:r>
              <w:rPr>
                <w:rFonts w:hint="eastAsia" w:asciiTheme="minorEastAsia" w:hAnsiTheme="minorEastAsia" w:eastAsiaTheme="minorEastAsia" w:cstheme="minorEastAsia"/>
                <w:color w:val="auto"/>
                <w:sz w:val="21"/>
                <w:szCs w:val="21"/>
                <w:highlight w:val="none"/>
                <w:lang w:eastAsia="zh-CN"/>
              </w:rPr>
              <w:t>号令、《政府采购竞争性磋商采购方式管理暂行办法》等现行相关法律、法规的规定以及参照国际惯例编制，构成本磋商文件的各个组成文件应互为补充、互为说明、互为解释；如有不明确或不一致，构成合同文件组成内容的，以合同文件约定内容为准，且以专用合同条款约定的合同文件优先顺序解释；除磋商文件中有特别规定外，仅适用于招标投标阶段的规定，按磋商公告（磋商邀请书）、供应商须知、评标办法、响应文件格式的先后顺序解释；同一组成文件中就同一事项的规定或约定不一致的，以编排顺序在后者为准；同一组成文件不同版本之间有不一致的，以形成时间在后者为准。供应商须知正文与前附表不一致的以前附表为准。按本款前述规定仍不能形成结论的，由采购人负责解释。</w:t>
            </w:r>
          </w:p>
          <w:p w14:paraId="2E341221">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（2）供应商若接受本磋商文件的所有条款可继续参与磋商，否则可放弃磋商。</w:t>
            </w:r>
          </w:p>
        </w:tc>
      </w:tr>
      <w:tr w14:paraId="47494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397547C8">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14</w:t>
            </w:r>
          </w:p>
        </w:tc>
        <w:tc>
          <w:tcPr>
            <w:tcW w:w="1746" w:type="dxa"/>
            <w:vAlign w:val="center"/>
          </w:tcPr>
          <w:p w14:paraId="64BF3874">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确定成交供应商</w:t>
            </w:r>
          </w:p>
        </w:tc>
        <w:tc>
          <w:tcPr>
            <w:tcW w:w="6987" w:type="dxa"/>
            <w:vAlign w:val="center"/>
          </w:tcPr>
          <w:p w14:paraId="3079A2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采购人（或采购人授权的</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lang w:eastAsia="zh-CN"/>
              </w:rPr>
              <w:t>）按照</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lang w:eastAsia="zh-CN"/>
              </w:rPr>
              <w:t>推荐</w:t>
            </w:r>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eastAsia="zh-CN"/>
              </w:rPr>
              <w:t>候选人的顺序确定</w:t>
            </w:r>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eastAsia="zh-CN"/>
              </w:rPr>
              <w:t>人。</w:t>
            </w:r>
          </w:p>
        </w:tc>
      </w:tr>
      <w:tr w14:paraId="524A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77CBB0B0">
            <w:pPr>
              <w:autoSpaceDE w:val="0"/>
              <w:autoSpaceDN w:val="0"/>
              <w:adjustRightInd w:val="0"/>
              <w:spacing w:line="360" w:lineRule="auto"/>
              <w:jc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15</w:t>
            </w:r>
          </w:p>
        </w:tc>
        <w:tc>
          <w:tcPr>
            <w:tcW w:w="8733" w:type="dxa"/>
            <w:gridSpan w:val="2"/>
            <w:vAlign w:val="center"/>
          </w:tcPr>
          <w:p w14:paraId="616A8D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需要补充的其他内容</w:t>
            </w:r>
          </w:p>
        </w:tc>
      </w:tr>
      <w:tr w14:paraId="0E11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2DE86D07">
            <w:pPr>
              <w:autoSpaceDE w:val="0"/>
              <w:autoSpaceDN w:val="0"/>
              <w:adjustRightInd w:val="0"/>
              <w:spacing w:line="360" w:lineRule="auto"/>
              <w:jc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15.1</w:t>
            </w:r>
          </w:p>
        </w:tc>
        <w:tc>
          <w:tcPr>
            <w:tcW w:w="1746" w:type="dxa"/>
            <w:vAlign w:val="center"/>
          </w:tcPr>
          <w:p w14:paraId="3CEF177D">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追加合同金额</w:t>
            </w:r>
          </w:p>
        </w:tc>
        <w:tc>
          <w:tcPr>
            <w:tcW w:w="6987" w:type="dxa"/>
            <w:vAlign w:val="center"/>
          </w:tcPr>
          <w:p w14:paraId="372158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r w14:paraId="7811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7DCCC197">
            <w:pPr>
              <w:autoSpaceDE w:val="0"/>
              <w:autoSpaceDN w:val="0"/>
              <w:adjustRightInd w:val="0"/>
              <w:spacing w:line="360" w:lineRule="auto"/>
              <w:jc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15.2</w:t>
            </w:r>
          </w:p>
        </w:tc>
        <w:tc>
          <w:tcPr>
            <w:tcW w:w="1746" w:type="dxa"/>
            <w:vAlign w:val="center"/>
          </w:tcPr>
          <w:p w14:paraId="7191ADDB">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采购标的对应的中小企业划分标准所属行业</w:t>
            </w:r>
          </w:p>
        </w:tc>
        <w:tc>
          <w:tcPr>
            <w:tcW w:w="6987" w:type="dxa"/>
            <w:vAlign w:val="center"/>
          </w:tcPr>
          <w:p w14:paraId="400F0AA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标的：梁河县中心敬老院消防安全标准化提升工程所属行业：建筑业</w:t>
            </w:r>
          </w:p>
          <w:p w14:paraId="70DA0C3B">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划分标准：符合国家统计局关于印发《统计上大中小微型企业划分办法（2017）》的通知（国统字〔2017〕213号）建筑业行业划分标准。</w:t>
            </w:r>
          </w:p>
        </w:tc>
      </w:tr>
      <w:tr w14:paraId="1AEE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3E6B1A40">
            <w:pPr>
              <w:autoSpaceDE w:val="0"/>
              <w:autoSpaceDN w:val="0"/>
              <w:adjustRightInd w:val="0"/>
              <w:spacing w:line="360" w:lineRule="auto"/>
              <w:jc w:val="center"/>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15.3</w:t>
            </w:r>
          </w:p>
        </w:tc>
        <w:tc>
          <w:tcPr>
            <w:tcW w:w="1746" w:type="dxa"/>
            <w:vAlign w:val="center"/>
          </w:tcPr>
          <w:p w14:paraId="42BE2820">
            <w:pPr>
              <w:autoSpaceDE w:val="0"/>
              <w:autoSpaceDN w:val="0"/>
              <w:adjustRightInd w:val="0"/>
              <w:spacing w:line="360" w:lineRule="auto"/>
              <w:jc w:val="center"/>
              <w:rPr>
                <w:rFonts w:hint="eastAsia" w:asciiTheme="minorEastAsia" w:hAnsiTheme="minorEastAsia" w:eastAsiaTheme="minorEastAsia" w:cstheme="minorEastAsia"/>
                <w:b w:val="0"/>
                <w:bCs w:val="0"/>
                <w:i w:val="0"/>
                <w:iCs w:val="0"/>
                <w:color w:val="auto"/>
                <w:sz w:val="21"/>
                <w:szCs w:val="21"/>
                <w:highlight w:val="none"/>
                <w:lang w:eastAsia="zh-CN"/>
              </w:rPr>
            </w:pPr>
            <w:r>
              <w:rPr>
                <w:rFonts w:hint="eastAsia" w:asciiTheme="minorEastAsia" w:hAnsiTheme="minorEastAsia" w:eastAsiaTheme="minorEastAsia" w:cstheme="minorEastAsia"/>
                <w:i w:val="0"/>
                <w:iCs w:val="0"/>
                <w:color w:val="auto"/>
                <w:sz w:val="21"/>
                <w:szCs w:val="21"/>
                <w:highlight w:val="none"/>
                <w:lang w:val="en-US" w:eastAsia="zh-CN"/>
              </w:rPr>
              <w:t>付款方式</w:t>
            </w:r>
          </w:p>
        </w:tc>
        <w:tc>
          <w:tcPr>
            <w:tcW w:w="6987" w:type="dxa"/>
            <w:vAlign w:val="center"/>
          </w:tcPr>
          <w:p w14:paraId="50AE2A52">
            <w:pPr>
              <w:autoSpaceDE w:val="0"/>
              <w:autoSpaceDN w:val="0"/>
              <w:adjustRightInd w:val="0"/>
              <w:spacing w:line="36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eastAsiaTheme="minorEastAsia" w:cstheme="minorEastAsia"/>
                <w:i w:val="0"/>
                <w:iCs w:val="0"/>
                <w:color w:val="auto"/>
                <w:sz w:val="21"/>
                <w:szCs w:val="21"/>
                <w:highlight w:val="none"/>
                <w:lang w:val="en-US" w:eastAsia="zh-CN"/>
              </w:rPr>
              <w:t>根据财政资金安排情况拨付工程款。</w:t>
            </w:r>
          </w:p>
        </w:tc>
      </w:tr>
    </w:tbl>
    <w:p w14:paraId="51ED7F8D">
      <w:pPr>
        <w:pStyle w:val="20"/>
        <w:ind w:left="0" w:leftChars="0" w:firstLine="0" w:firstLineChars="0"/>
        <w:rPr>
          <w:rFonts w:hint="eastAsia"/>
          <w:color w:val="auto"/>
          <w:highlight w:val="none"/>
        </w:rPr>
      </w:pPr>
    </w:p>
    <w:p w14:paraId="15381CC5">
      <w:pPr>
        <w:pStyle w:val="20"/>
        <w:ind w:left="0" w:leftChars="0" w:firstLine="0" w:firstLineChars="0"/>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3096B7A3">
      <w:pPr>
        <w:keepNext w:val="0"/>
        <w:keepLines w:val="0"/>
        <w:pageBreakBefore w:val="0"/>
        <w:widowControl w:val="0"/>
        <w:kinsoku/>
        <w:wordWrap/>
        <w:overflowPunct/>
        <w:topLinePunct w:val="0"/>
        <w:autoSpaceDE/>
        <w:autoSpaceDN/>
        <w:bidi w:val="0"/>
        <w:adjustRightInd/>
        <w:snapToGrid/>
        <w:spacing w:after="157" w:afterLines="50" w:line="240" w:lineRule="atLeast"/>
        <w:jc w:val="center"/>
        <w:textAlignment w:val="auto"/>
        <w:outlineLvl w:val="0"/>
        <w:rPr>
          <w:rFonts w:hint="eastAsia" w:asciiTheme="majorEastAsia" w:hAnsiTheme="majorEastAsia" w:eastAsiaTheme="majorEastAsia" w:cstheme="majorEastAsia"/>
          <w:b/>
          <w:color w:val="auto"/>
          <w:kern w:val="44"/>
          <w:sz w:val="30"/>
          <w:szCs w:val="30"/>
          <w:highlight w:val="none"/>
        </w:rPr>
      </w:pPr>
      <w:r>
        <w:rPr>
          <w:rFonts w:hint="eastAsia" w:asciiTheme="majorEastAsia" w:hAnsiTheme="majorEastAsia" w:eastAsiaTheme="majorEastAsia" w:cstheme="majorEastAsia"/>
          <w:b/>
          <w:color w:val="auto"/>
          <w:kern w:val="44"/>
          <w:sz w:val="30"/>
          <w:szCs w:val="30"/>
          <w:highlight w:val="none"/>
        </w:rPr>
        <w:t>供应商须知</w:t>
      </w:r>
    </w:p>
    <w:p w14:paraId="049FE90E">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color w:val="auto"/>
          <w:kern w:val="0"/>
          <w:szCs w:val="21"/>
          <w:highlight w:val="none"/>
        </w:rPr>
      </w:pPr>
      <w:r>
        <w:rPr>
          <w:rFonts w:hint="eastAsia" w:ascii="宋体" w:hAnsi="宋体" w:cs="宋体"/>
          <w:b/>
          <w:color w:val="auto"/>
          <w:kern w:val="0"/>
          <w:szCs w:val="21"/>
          <w:highlight w:val="none"/>
        </w:rPr>
        <w:t>1. 总则</w:t>
      </w:r>
    </w:p>
    <w:p w14:paraId="6452FE4A">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39" w:name="_Toc209498805"/>
      <w:bookmarkStart w:id="40" w:name="_Toc382901542"/>
      <w:bookmarkStart w:id="41" w:name="_Toc260172642"/>
      <w:bookmarkStart w:id="42" w:name="_Toc247277929"/>
      <w:bookmarkStart w:id="43" w:name="_Toc199321872"/>
      <w:bookmarkStart w:id="44" w:name="_Toc262675309"/>
      <w:bookmarkStart w:id="45" w:name="_Toc491246636"/>
      <w:bookmarkStart w:id="46" w:name="_Toc381278378"/>
      <w:r>
        <w:rPr>
          <w:rFonts w:hint="eastAsia" w:ascii="宋体" w:hAnsi="宋体" w:cs="宋体"/>
          <w:b/>
          <w:color w:val="auto"/>
          <w:kern w:val="0"/>
          <w:szCs w:val="21"/>
          <w:highlight w:val="none"/>
        </w:rPr>
        <w:t>1.1 项目概况</w:t>
      </w:r>
      <w:bookmarkEnd w:id="39"/>
      <w:bookmarkEnd w:id="40"/>
      <w:bookmarkEnd w:id="41"/>
      <w:bookmarkEnd w:id="42"/>
      <w:bookmarkEnd w:id="43"/>
      <w:bookmarkEnd w:id="44"/>
      <w:bookmarkEnd w:id="45"/>
      <w:bookmarkEnd w:id="46"/>
    </w:p>
    <w:p w14:paraId="575CFB2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bCs/>
          <w:color w:val="auto"/>
          <w:kern w:val="0"/>
          <w:szCs w:val="21"/>
          <w:highlight w:val="none"/>
        </w:rPr>
      </w:pPr>
      <w:r>
        <w:rPr>
          <w:rFonts w:hint="eastAsia" w:ascii="宋体" w:hAnsi="宋体" w:cs="宋体"/>
          <w:bCs/>
          <w:color w:val="auto"/>
          <w:szCs w:val="21"/>
          <w:highlight w:val="none"/>
        </w:rPr>
        <w:t xml:space="preserve">1.1.1 </w:t>
      </w:r>
      <w:r>
        <w:rPr>
          <w:rFonts w:hint="eastAsia" w:ascii="宋体" w:hAnsi="宋体" w:cs="宋体"/>
          <w:bCs/>
          <w:color w:val="auto"/>
          <w:kern w:val="0"/>
          <w:szCs w:val="21"/>
          <w:highlight w:val="none"/>
        </w:rPr>
        <w:t>根据《中华人民共和国政府采购法》等有关法律、法规和规章的规定，本项目已具备采购条件，现对本项目进行竞争性磋商采购。</w:t>
      </w:r>
    </w:p>
    <w:p w14:paraId="12E85C3D">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bookmarkStart w:id="47" w:name="_Toc199321873"/>
      <w:r>
        <w:rPr>
          <w:rFonts w:hint="eastAsia" w:hAnsi="宋体" w:cs="宋体"/>
          <w:bCs/>
          <w:color w:val="auto"/>
          <w:szCs w:val="21"/>
          <w:highlight w:val="none"/>
        </w:rPr>
        <w:t>1.1.2</w:t>
      </w:r>
      <w:r>
        <w:rPr>
          <w:rFonts w:hint="eastAsia" w:hAnsi="宋体" w:cs="宋体"/>
          <w:bCs/>
          <w:color w:val="auto"/>
          <w:kern w:val="0"/>
          <w:szCs w:val="21"/>
          <w:highlight w:val="none"/>
        </w:rPr>
        <w:t xml:space="preserve"> 本项目采购人</w:t>
      </w:r>
      <w:r>
        <w:rPr>
          <w:rFonts w:hint="eastAsia" w:hAnsi="宋体" w:cs="宋体"/>
          <w:bCs/>
          <w:color w:val="auto"/>
          <w:szCs w:val="21"/>
          <w:highlight w:val="none"/>
        </w:rPr>
        <w:t>：</w:t>
      </w:r>
      <w:r>
        <w:rPr>
          <w:rFonts w:hint="eastAsia" w:hAnsi="宋体" w:cs="宋体"/>
          <w:bCs/>
          <w:color w:val="auto"/>
          <w:kern w:val="0"/>
          <w:szCs w:val="21"/>
          <w:highlight w:val="none"/>
        </w:rPr>
        <w:t>见供应商须知前附表。</w:t>
      </w:r>
      <w:bookmarkEnd w:id="47"/>
    </w:p>
    <w:p w14:paraId="53CFC40E">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bookmarkStart w:id="48" w:name="_Toc199321874"/>
      <w:r>
        <w:rPr>
          <w:rFonts w:hint="eastAsia" w:hAnsi="宋体" w:cs="宋体"/>
          <w:bCs/>
          <w:color w:val="auto"/>
          <w:szCs w:val="21"/>
          <w:highlight w:val="none"/>
        </w:rPr>
        <w:t>1.1.3</w:t>
      </w:r>
      <w:r>
        <w:rPr>
          <w:rFonts w:hint="eastAsia" w:hAnsi="宋体" w:cs="宋体"/>
          <w:bCs/>
          <w:color w:val="auto"/>
          <w:kern w:val="0"/>
          <w:szCs w:val="21"/>
          <w:highlight w:val="none"/>
        </w:rPr>
        <w:t xml:space="preserve"> 本项目采购代理机构</w:t>
      </w:r>
      <w:r>
        <w:rPr>
          <w:rFonts w:hint="eastAsia" w:hAnsi="宋体" w:cs="宋体"/>
          <w:bCs/>
          <w:color w:val="auto"/>
          <w:szCs w:val="21"/>
          <w:highlight w:val="none"/>
        </w:rPr>
        <w:t>：</w:t>
      </w:r>
      <w:r>
        <w:rPr>
          <w:rFonts w:hint="eastAsia" w:hAnsi="宋体" w:cs="宋体"/>
          <w:bCs/>
          <w:color w:val="auto"/>
          <w:kern w:val="0"/>
          <w:szCs w:val="21"/>
          <w:highlight w:val="none"/>
        </w:rPr>
        <w:t>见供应商须知前附表。</w:t>
      </w:r>
      <w:bookmarkEnd w:id="48"/>
    </w:p>
    <w:p w14:paraId="5E5266DF">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szCs w:val="21"/>
          <w:highlight w:val="none"/>
        </w:rPr>
        <w:t>1.1.4</w:t>
      </w:r>
      <w:r>
        <w:rPr>
          <w:rFonts w:hint="eastAsia" w:hAnsi="宋体" w:cs="宋体"/>
          <w:bCs/>
          <w:color w:val="auto"/>
          <w:kern w:val="0"/>
          <w:szCs w:val="21"/>
          <w:highlight w:val="none"/>
        </w:rPr>
        <w:t xml:space="preserve"> 本项目名称</w:t>
      </w:r>
      <w:r>
        <w:rPr>
          <w:rFonts w:hint="eastAsia" w:hAnsi="宋体" w:cs="宋体"/>
          <w:bCs/>
          <w:color w:val="auto"/>
          <w:szCs w:val="21"/>
          <w:highlight w:val="none"/>
        </w:rPr>
        <w:t>：</w:t>
      </w:r>
      <w:r>
        <w:rPr>
          <w:rFonts w:hint="eastAsia" w:hAnsi="宋体" w:cs="宋体"/>
          <w:bCs/>
          <w:color w:val="auto"/>
          <w:kern w:val="0"/>
          <w:szCs w:val="21"/>
          <w:highlight w:val="none"/>
        </w:rPr>
        <w:t>见供应商须知前附表。</w:t>
      </w:r>
    </w:p>
    <w:p w14:paraId="0A256372">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bookmarkStart w:id="49" w:name="_Toc381278379"/>
      <w:bookmarkStart w:id="50" w:name="_Toc382901543"/>
      <w:bookmarkStart w:id="51" w:name="_Toc274249368"/>
      <w:r>
        <w:rPr>
          <w:rFonts w:hint="eastAsia" w:ascii="宋体" w:hAnsi="宋体" w:cs="宋体"/>
          <w:bCs/>
          <w:color w:val="auto"/>
          <w:kern w:val="0"/>
          <w:szCs w:val="21"/>
          <w:highlight w:val="none"/>
        </w:rPr>
        <w:t>1.1.5 本项目建设地点：见供应商须知前附表。</w:t>
      </w:r>
    </w:p>
    <w:p w14:paraId="3D82E2B0">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1.2  资金来源和落实情况</w:t>
      </w:r>
    </w:p>
    <w:p w14:paraId="366E201A">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 xml:space="preserve">1.2.1 </w:t>
      </w:r>
      <w:r>
        <w:rPr>
          <w:rFonts w:hint="eastAsia" w:hAnsi="宋体" w:cs="宋体"/>
          <w:bCs/>
          <w:color w:val="auto"/>
          <w:kern w:val="0"/>
          <w:szCs w:val="21"/>
          <w:highlight w:val="none"/>
        </w:rPr>
        <w:t>本项目</w:t>
      </w:r>
      <w:r>
        <w:rPr>
          <w:rFonts w:hint="eastAsia" w:ascii="宋体" w:hAnsi="宋体" w:cs="宋体"/>
          <w:bCs/>
          <w:color w:val="auto"/>
          <w:kern w:val="0"/>
          <w:szCs w:val="21"/>
          <w:highlight w:val="none"/>
        </w:rPr>
        <w:t>资金来源：见供应商须知前附表。</w:t>
      </w:r>
    </w:p>
    <w:p w14:paraId="079F5CA0">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1.2.2 本项目</w:t>
      </w:r>
      <w:r>
        <w:rPr>
          <w:rFonts w:hint="eastAsia" w:ascii="宋体" w:hAnsi="宋体" w:cs="宋体"/>
          <w:bCs/>
          <w:color w:val="auto"/>
          <w:kern w:val="0"/>
          <w:szCs w:val="21"/>
          <w:highlight w:val="none"/>
          <w:lang w:val="en-US" w:eastAsia="zh-CN"/>
        </w:rPr>
        <w:t>出资比例</w:t>
      </w:r>
      <w:r>
        <w:rPr>
          <w:rFonts w:hint="eastAsia" w:ascii="宋体" w:hAnsi="宋体" w:cs="宋体"/>
          <w:bCs/>
          <w:color w:val="auto"/>
          <w:kern w:val="0"/>
          <w:szCs w:val="21"/>
          <w:highlight w:val="none"/>
        </w:rPr>
        <w:t>：见供应商须知前附表。</w:t>
      </w:r>
    </w:p>
    <w:p w14:paraId="0C148758">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1.2.3本项目资金落实情况：见供应商须知前附表。</w:t>
      </w:r>
    </w:p>
    <w:p w14:paraId="0F929C5E">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52" w:name="_Toc262675311"/>
      <w:bookmarkStart w:id="53" w:name="_Toc491246638"/>
      <w:bookmarkStart w:id="54" w:name="_Toc382901547"/>
      <w:bookmarkStart w:id="55" w:name="_Toc247277931"/>
      <w:bookmarkStart w:id="56" w:name="_Toc209498807"/>
      <w:bookmarkStart w:id="57" w:name="_Toc260172644"/>
      <w:bookmarkStart w:id="58" w:name="_Toc381278383"/>
      <w:bookmarkStart w:id="59" w:name="_Toc199321877"/>
      <w:r>
        <w:rPr>
          <w:rFonts w:hint="eastAsia" w:ascii="宋体" w:hAnsi="宋体" w:cs="宋体"/>
          <w:b/>
          <w:color w:val="auto"/>
          <w:kern w:val="0"/>
          <w:szCs w:val="21"/>
          <w:highlight w:val="none"/>
        </w:rPr>
        <w:t>1.3 磋商采购范围及</w:t>
      </w:r>
      <w:bookmarkEnd w:id="52"/>
      <w:bookmarkEnd w:id="53"/>
      <w:bookmarkEnd w:id="54"/>
      <w:bookmarkEnd w:id="55"/>
      <w:bookmarkEnd w:id="56"/>
      <w:bookmarkEnd w:id="57"/>
      <w:bookmarkEnd w:id="58"/>
      <w:bookmarkEnd w:id="59"/>
      <w:r>
        <w:rPr>
          <w:rFonts w:hint="eastAsia" w:ascii="宋体" w:hAnsi="宋体" w:cs="宋体"/>
          <w:b/>
          <w:color w:val="auto"/>
          <w:kern w:val="0"/>
          <w:szCs w:val="21"/>
          <w:highlight w:val="none"/>
        </w:rPr>
        <w:t>采购规模、工期、质量</w:t>
      </w:r>
      <w:r>
        <w:rPr>
          <w:rFonts w:hint="eastAsia" w:ascii="宋体" w:hAnsi="宋体" w:cs="宋体"/>
          <w:b/>
          <w:color w:val="auto"/>
          <w:kern w:val="0"/>
          <w:szCs w:val="21"/>
          <w:highlight w:val="none"/>
          <w:lang w:eastAsia="zh-CN"/>
        </w:rPr>
        <w:t>标准</w:t>
      </w:r>
    </w:p>
    <w:p w14:paraId="13E28364">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1.3.1 本次磋商采购范围:见供应商须知前附表。</w:t>
      </w:r>
    </w:p>
    <w:p w14:paraId="236A307C">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1.3.2 本项目的工期: 见供应商须知前附表。</w:t>
      </w:r>
    </w:p>
    <w:p w14:paraId="719D5F40">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Ansi="宋体" w:cs="宋体"/>
          <w:bCs/>
          <w:color w:val="auto"/>
          <w:kern w:val="0"/>
          <w:szCs w:val="21"/>
          <w:highlight w:val="none"/>
        </w:rPr>
      </w:pPr>
      <w:r>
        <w:rPr>
          <w:rFonts w:hint="eastAsia" w:ascii="宋体" w:hAnsi="宋体" w:cs="宋体"/>
          <w:bCs/>
          <w:color w:val="auto"/>
          <w:kern w:val="0"/>
          <w:szCs w:val="21"/>
          <w:highlight w:val="none"/>
        </w:rPr>
        <w:t>1.3.3</w:t>
      </w:r>
      <w:r>
        <w:rPr>
          <w:rFonts w:ascii="宋体" w:hAnsi="宋体" w:cs="宋体"/>
          <w:bCs/>
          <w:color w:val="auto"/>
          <w:kern w:val="0"/>
          <w:szCs w:val="21"/>
          <w:highlight w:val="none"/>
        </w:rPr>
        <w:t xml:space="preserve"> </w:t>
      </w:r>
      <w:r>
        <w:rPr>
          <w:rFonts w:hint="eastAsia" w:hAnsi="宋体" w:cs="宋体"/>
          <w:bCs/>
          <w:color w:val="auto"/>
          <w:kern w:val="0"/>
          <w:szCs w:val="21"/>
          <w:highlight w:val="none"/>
        </w:rPr>
        <w:t>本项目的质量</w:t>
      </w:r>
      <w:r>
        <w:rPr>
          <w:rFonts w:hint="eastAsia" w:hAnsi="宋体" w:cs="宋体"/>
          <w:bCs/>
          <w:color w:val="auto"/>
          <w:kern w:val="0"/>
          <w:szCs w:val="21"/>
          <w:highlight w:val="none"/>
          <w:lang w:eastAsia="zh-CN"/>
        </w:rPr>
        <w:t>标准</w:t>
      </w:r>
      <w:r>
        <w:rPr>
          <w:rFonts w:hint="eastAsia" w:hAnsi="宋体" w:cs="宋体"/>
          <w:bCs/>
          <w:color w:val="auto"/>
          <w:kern w:val="0"/>
          <w:szCs w:val="21"/>
          <w:highlight w:val="none"/>
        </w:rPr>
        <w:t>：见供应商须知前附表。</w:t>
      </w:r>
    </w:p>
    <w:p w14:paraId="3405C553">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1.4</w:t>
      </w:r>
      <w:r>
        <w:rPr>
          <w:rFonts w:hint="eastAsia" w:ascii="宋体" w:hAnsi="宋体" w:cs="宋体"/>
          <w:b/>
          <w:color w:val="auto"/>
          <w:kern w:val="0"/>
          <w:szCs w:val="21"/>
          <w:highlight w:val="none"/>
        </w:rPr>
        <w:tab/>
      </w:r>
      <w:r>
        <w:rPr>
          <w:rFonts w:hint="eastAsia" w:ascii="宋体" w:hAnsi="宋体" w:cs="宋体"/>
          <w:b/>
          <w:color w:val="auto"/>
          <w:kern w:val="0"/>
          <w:szCs w:val="21"/>
          <w:highlight w:val="none"/>
        </w:rPr>
        <w:t>供应商资格要求</w:t>
      </w:r>
    </w:p>
    <w:bookmarkEnd w:id="49"/>
    <w:bookmarkEnd w:id="50"/>
    <w:bookmarkEnd w:id="51"/>
    <w:p w14:paraId="3DB9CE30">
      <w:pPr>
        <w:pStyle w:val="11"/>
        <w:keepNext w:val="0"/>
        <w:keepLines w:val="0"/>
        <w:pageBreakBefore w:val="0"/>
        <w:kinsoku/>
        <w:wordWrap/>
        <w:topLinePunct w:val="0"/>
        <w:bidi w:val="0"/>
        <w:snapToGrid/>
        <w:spacing w:line="440" w:lineRule="exact"/>
        <w:ind w:firstLine="420" w:firstLineChars="200"/>
        <w:rPr>
          <w:rFonts w:hint="eastAsia" w:hAnsi="宋体" w:cs="宋体"/>
          <w:bCs/>
          <w:color w:val="auto"/>
          <w:kern w:val="0"/>
          <w:szCs w:val="21"/>
          <w:highlight w:val="none"/>
          <w:lang w:eastAsia="zh-CN"/>
        </w:rPr>
      </w:pPr>
      <w:bookmarkStart w:id="60" w:name="_Toc274249369"/>
      <w:bookmarkStart w:id="61" w:name="_Toc382901544"/>
      <w:bookmarkStart w:id="62" w:name="_Toc381278380"/>
      <w:r>
        <w:rPr>
          <w:rFonts w:hint="eastAsia" w:hAnsi="宋体" w:cs="宋体"/>
          <w:bCs/>
          <w:color w:val="auto"/>
          <w:kern w:val="0"/>
          <w:szCs w:val="21"/>
          <w:highlight w:val="none"/>
        </w:rPr>
        <w:t>1.4.1 供应商资质条件、能力和信誉；</w:t>
      </w:r>
      <w:r>
        <w:rPr>
          <w:rFonts w:hint="eastAsia" w:hAnsi="宋体" w:cs="宋体"/>
          <w:bCs/>
          <w:color w:val="auto"/>
          <w:kern w:val="0"/>
          <w:szCs w:val="21"/>
          <w:highlight w:val="none"/>
          <w:lang w:eastAsia="zh-CN"/>
        </w:rPr>
        <w:t>（</w:t>
      </w:r>
      <w:r>
        <w:rPr>
          <w:rFonts w:hint="eastAsia" w:hAnsi="宋体" w:cs="宋体"/>
          <w:bCs/>
          <w:color w:val="auto"/>
          <w:kern w:val="0"/>
          <w:szCs w:val="21"/>
          <w:highlight w:val="none"/>
          <w:lang w:val="en-US" w:eastAsia="zh-CN"/>
        </w:rPr>
        <w:t>详见供应商须知前附表</w:t>
      </w:r>
      <w:r>
        <w:rPr>
          <w:rFonts w:hint="eastAsia" w:hAnsi="宋体" w:cs="宋体"/>
          <w:bCs/>
          <w:color w:val="auto"/>
          <w:kern w:val="0"/>
          <w:szCs w:val="21"/>
          <w:highlight w:val="none"/>
          <w:lang w:eastAsia="zh-CN"/>
        </w:rPr>
        <w:t>）</w:t>
      </w:r>
    </w:p>
    <w:p w14:paraId="0D57EF19">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1.4.2供应商须知前附表规定接受联合体投标的，除应符合本章第1.4.1项和供应商须知前附表的要求外，还应遵守以下规定：</w:t>
      </w:r>
    </w:p>
    <w:p w14:paraId="4943F082">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(1)联合体各方应按磋商文件提供的格式签订联合体协议书，明确联合体牵头人和各方权利义务；</w:t>
      </w:r>
    </w:p>
    <w:p w14:paraId="4FA81913">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(2)由同一专业的单位组成的联合体，按照资质等级较低的单位确定资质等级；</w:t>
      </w:r>
    </w:p>
    <w:p w14:paraId="05D84B07">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(3)联合体各方不得再以自己名义单独或参加其他联合体在同一标段中投标。</w:t>
      </w:r>
    </w:p>
    <w:p w14:paraId="46D2E0D0">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1.4.3响应人不得存在下列情形之一：</w:t>
      </w:r>
    </w:p>
    <w:p w14:paraId="2D0528B8">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(1)为采购人不具有独立法人资格的附属机构（单位）；</w:t>
      </w:r>
    </w:p>
    <w:p w14:paraId="62FACD37">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(2)为本采购项目前期准备提供设计或咨询服务的；</w:t>
      </w:r>
    </w:p>
    <w:p w14:paraId="25D3ABB6">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(3)为本采购项目的监理人；</w:t>
      </w:r>
    </w:p>
    <w:p w14:paraId="66039091">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(4)为本采购项目的代建人；</w:t>
      </w:r>
    </w:p>
    <w:p w14:paraId="07181AB5">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(5)为本采购项目提供招标代理服务的；</w:t>
      </w:r>
    </w:p>
    <w:p w14:paraId="0E2B91B5">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(6)与本采购项目的监理人或代建人或</w:t>
      </w:r>
      <w:r>
        <w:rPr>
          <w:rFonts w:hint="eastAsia" w:hAnsi="宋体" w:cs="宋体"/>
          <w:bCs/>
          <w:color w:val="auto"/>
          <w:kern w:val="0"/>
          <w:szCs w:val="21"/>
          <w:highlight w:val="none"/>
          <w:lang w:eastAsia="zh-CN"/>
        </w:rPr>
        <w:t>采购代理机构</w:t>
      </w:r>
      <w:r>
        <w:rPr>
          <w:rFonts w:hint="eastAsia" w:hAnsi="宋体" w:cs="宋体"/>
          <w:bCs/>
          <w:color w:val="auto"/>
          <w:kern w:val="0"/>
          <w:szCs w:val="21"/>
          <w:highlight w:val="none"/>
        </w:rPr>
        <w:t>同为一个法定代表人的；</w:t>
      </w:r>
    </w:p>
    <w:p w14:paraId="6CB17D9E">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(7)与本采购项目的监理人或代建人或</w:t>
      </w:r>
      <w:r>
        <w:rPr>
          <w:rFonts w:hint="eastAsia" w:hAnsi="宋体" w:cs="宋体"/>
          <w:bCs/>
          <w:color w:val="auto"/>
          <w:kern w:val="0"/>
          <w:szCs w:val="21"/>
          <w:highlight w:val="none"/>
          <w:lang w:eastAsia="zh-CN"/>
        </w:rPr>
        <w:t>采购代理机构</w:t>
      </w:r>
      <w:r>
        <w:rPr>
          <w:rFonts w:hint="eastAsia" w:hAnsi="宋体" w:cs="宋体"/>
          <w:bCs/>
          <w:color w:val="auto"/>
          <w:kern w:val="0"/>
          <w:szCs w:val="21"/>
          <w:highlight w:val="none"/>
        </w:rPr>
        <w:t>相互控股或参股的；</w:t>
      </w:r>
    </w:p>
    <w:p w14:paraId="67AA36ED">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(8)与本采购项目的监理人或代建人或</w:t>
      </w:r>
      <w:r>
        <w:rPr>
          <w:rFonts w:hint="eastAsia" w:hAnsi="宋体" w:cs="宋体"/>
          <w:bCs/>
          <w:color w:val="auto"/>
          <w:kern w:val="0"/>
          <w:szCs w:val="21"/>
          <w:highlight w:val="none"/>
          <w:lang w:eastAsia="zh-CN"/>
        </w:rPr>
        <w:t>采购代理机构</w:t>
      </w:r>
      <w:r>
        <w:rPr>
          <w:rFonts w:hint="eastAsia" w:hAnsi="宋体" w:cs="宋体"/>
          <w:bCs/>
          <w:color w:val="auto"/>
          <w:kern w:val="0"/>
          <w:szCs w:val="21"/>
          <w:highlight w:val="none"/>
        </w:rPr>
        <w:t>相互任职或工作的；</w:t>
      </w:r>
    </w:p>
    <w:p w14:paraId="2ED2BFCB">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(9)被责令停业的；</w:t>
      </w:r>
    </w:p>
    <w:p w14:paraId="60C855BD">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(10)被暂停或取消投标资格的；</w:t>
      </w:r>
    </w:p>
    <w:p w14:paraId="0478FC7E">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(11)财产被接管或冻结的；</w:t>
      </w:r>
    </w:p>
    <w:p w14:paraId="45DB8A1C">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1.4.4单位负责人为同一人或者存在控股、管理关系的不同单位，不得同时参加本招标项目</w:t>
      </w:r>
      <w:r>
        <w:rPr>
          <w:rFonts w:hint="eastAsia" w:ascii="宋体" w:hAnsi="宋体" w:cs="宋体"/>
          <w:bCs/>
          <w:color w:val="auto"/>
          <w:kern w:val="0"/>
          <w:szCs w:val="21"/>
          <w:highlight w:val="none"/>
          <w:lang w:eastAsia="zh-CN"/>
        </w:rPr>
        <w:t>磋商</w:t>
      </w:r>
      <w:r>
        <w:rPr>
          <w:rFonts w:hint="eastAsia" w:ascii="宋体" w:hAnsi="宋体" w:cs="宋体"/>
          <w:bCs/>
          <w:color w:val="auto"/>
          <w:kern w:val="0"/>
          <w:szCs w:val="21"/>
          <w:highlight w:val="none"/>
        </w:rPr>
        <w:t>。</w:t>
      </w:r>
    </w:p>
    <w:p w14:paraId="796B44DD">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1.5 费用承担</w:t>
      </w:r>
    </w:p>
    <w:p w14:paraId="5BC18F85">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（1）供应商准备和参加</w:t>
      </w:r>
      <w:r>
        <w:rPr>
          <w:rFonts w:hint="eastAsia" w:hAnsi="宋体" w:cs="宋体"/>
          <w:bCs/>
          <w:color w:val="auto"/>
          <w:kern w:val="0"/>
          <w:szCs w:val="21"/>
          <w:highlight w:val="none"/>
          <w:lang w:eastAsia="zh-CN"/>
        </w:rPr>
        <w:t>磋商</w:t>
      </w:r>
      <w:r>
        <w:rPr>
          <w:rFonts w:hint="eastAsia" w:hAnsi="宋体" w:cs="宋体"/>
          <w:bCs/>
          <w:color w:val="auto"/>
          <w:kern w:val="0"/>
          <w:szCs w:val="21"/>
          <w:highlight w:val="none"/>
        </w:rPr>
        <w:t>活动发生的费用自理。</w:t>
      </w:r>
    </w:p>
    <w:p w14:paraId="0C31D973">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（2）</w:t>
      </w:r>
      <w:r>
        <w:rPr>
          <w:rFonts w:hint="eastAsia" w:hAnsi="宋体" w:cs="宋体"/>
          <w:bCs/>
          <w:color w:val="auto"/>
          <w:kern w:val="0"/>
          <w:szCs w:val="21"/>
          <w:highlight w:val="none"/>
          <w:lang w:eastAsia="zh-CN"/>
        </w:rPr>
        <w:t>代理服务费</w:t>
      </w:r>
      <w:r>
        <w:rPr>
          <w:rFonts w:hint="eastAsia" w:hAnsi="宋体" w:cs="宋体"/>
          <w:bCs/>
          <w:color w:val="auto"/>
          <w:kern w:val="0"/>
          <w:szCs w:val="21"/>
          <w:highlight w:val="none"/>
        </w:rPr>
        <w:t>用应由</w:t>
      </w:r>
      <w:r>
        <w:rPr>
          <w:rFonts w:hint="eastAsia" w:hAnsi="宋体" w:cs="宋体"/>
          <w:bCs/>
          <w:color w:val="auto"/>
          <w:kern w:val="0"/>
          <w:szCs w:val="21"/>
          <w:highlight w:val="none"/>
          <w:lang w:eastAsia="zh-CN"/>
        </w:rPr>
        <w:t>成交</w:t>
      </w:r>
      <w:r>
        <w:rPr>
          <w:rFonts w:hint="eastAsia" w:hAnsi="宋体" w:cs="宋体"/>
          <w:bCs/>
          <w:color w:val="auto"/>
          <w:kern w:val="0"/>
          <w:szCs w:val="21"/>
          <w:highlight w:val="none"/>
        </w:rPr>
        <w:t>人支付。</w:t>
      </w:r>
    </w:p>
    <w:p w14:paraId="1641ED1F">
      <w:pPr>
        <w:pStyle w:val="11"/>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1.6 保密</w:t>
      </w:r>
    </w:p>
    <w:p w14:paraId="32B3897D">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参与磋商采购活动的各方应对磋商文件和响应文件中的商业和技术等秘密保密，违者应对由此造成的后果承担法律责任。</w:t>
      </w:r>
    </w:p>
    <w:p w14:paraId="16FF62A6">
      <w:pPr>
        <w:pStyle w:val="11"/>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1.7语言文字</w:t>
      </w:r>
    </w:p>
    <w:p w14:paraId="5EB0698D">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磋商文件及响应文件使用的语言文字为中文。专用术语使用外文的，应附有中文注释。</w:t>
      </w:r>
    </w:p>
    <w:p w14:paraId="359F033B">
      <w:pPr>
        <w:pStyle w:val="11"/>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1.8 计量单位</w:t>
      </w:r>
    </w:p>
    <w:p w14:paraId="2A3FF680">
      <w:pPr>
        <w:pStyle w:val="11"/>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所有计量均采用中华人民共和国法定计量单位。</w:t>
      </w:r>
    </w:p>
    <w:p w14:paraId="7E17F41C">
      <w:pPr>
        <w:pStyle w:val="11"/>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1.9 踏勘现场</w:t>
      </w:r>
    </w:p>
    <w:p w14:paraId="2897E2AE">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1.9.1供应商须知前附表规定组织踏勘现场的，采购人按供应商须知前附表规定的相关内容组织响应人踏勘项目现场。</w:t>
      </w:r>
    </w:p>
    <w:p w14:paraId="3939278F">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1.9.2响应人踏勘现场发生的费用自理。</w:t>
      </w:r>
    </w:p>
    <w:p w14:paraId="3C5A4D3A">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1.9.3除采购人的原因外，响应人自行负责在踏勘现场中所发生的人员伤亡和财产损失。</w:t>
      </w:r>
    </w:p>
    <w:p w14:paraId="64C71B81">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1.9.4采购人在踏勘现场中介绍的工程场地和相关的周边环境情况，供</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在编制</w:t>
      </w:r>
      <w:r>
        <w:rPr>
          <w:rFonts w:hint="eastAsia" w:ascii="宋体" w:hAnsi="宋体" w:cs="宋体"/>
          <w:bCs/>
          <w:color w:val="auto"/>
          <w:kern w:val="0"/>
          <w:szCs w:val="21"/>
          <w:highlight w:val="none"/>
          <w:lang w:eastAsia="zh-CN"/>
        </w:rPr>
        <w:t>磋商响应</w:t>
      </w:r>
      <w:r>
        <w:rPr>
          <w:rFonts w:hint="eastAsia" w:ascii="宋体" w:hAnsi="宋体" w:cs="宋体"/>
          <w:bCs/>
          <w:color w:val="auto"/>
          <w:kern w:val="0"/>
          <w:szCs w:val="21"/>
          <w:highlight w:val="none"/>
        </w:rPr>
        <w:t>文件时参考，</w:t>
      </w:r>
      <w:r>
        <w:rPr>
          <w:rFonts w:hint="eastAsia" w:ascii="宋体" w:hAnsi="宋体" w:cs="宋体"/>
          <w:bCs/>
          <w:color w:val="auto"/>
          <w:kern w:val="0"/>
          <w:szCs w:val="21"/>
          <w:highlight w:val="none"/>
          <w:lang w:eastAsia="zh-CN"/>
        </w:rPr>
        <w:t>采购人</w:t>
      </w:r>
      <w:r>
        <w:rPr>
          <w:rFonts w:hint="eastAsia" w:ascii="宋体" w:hAnsi="宋体" w:cs="宋体"/>
          <w:bCs/>
          <w:color w:val="auto"/>
          <w:kern w:val="0"/>
          <w:szCs w:val="21"/>
          <w:highlight w:val="none"/>
        </w:rPr>
        <w:t>不对</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据此作出的判断和决策负责。</w:t>
      </w:r>
    </w:p>
    <w:p w14:paraId="02EB40FF">
      <w:pPr>
        <w:pStyle w:val="11"/>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1.10 磋商预备会</w:t>
      </w:r>
    </w:p>
    <w:p w14:paraId="480D32F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1.10.1供应商须知前附表规定召开磋商预备会的，采购人按供应商须知前附表规定的相关内容召开磋商预备会，澄清采购人提出的问题。</w:t>
      </w:r>
    </w:p>
    <w:p w14:paraId="7E0C8C0D">
      <w:pPr>
        <w:keepNext w:val="0"/>
        <w:keepLines w:val="0"/>
        <w:pageBreakBefore w:val="0"/>
        <w:widowControl w:val="0"/>
        <w:kinsoku/>
        <w:wordWrap w:val="0"/>
        <w:overflowPunct/>
        <w:topLinePunct w:val="0"/>
        <w:autoSpaceDE w:val="0"/>
        <w:autoSpaceDN w:val="0"/>
        <w:bidi w:val="0"/>
        <w:adjustRightInd w:val="0"/>
        <w:snapToGrid/>
        <w:spacing w:line="440" w:lineRule="exact"/>
        <w:ind w:firstLine="420" w:firstLineChars="200"/>
        <w:jc w:val="left"/>
        <w:textAlignment w:val="auto"/>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1.10.2采购人应在供应商须知前附表规定的时间前，所有获取了磋商文件的</w:t>
      </w:r>
      <w:r>
        <w:rPr>
          <w:rFonts w:hint="eastAsia" w:ascii="宋体" w:hAnsi="宋体" w:cs="宋体"/>
          <w:bCs/>
          <w:color w:val="auto"/>
          <w:kern w:val="0"/>
          <w:szCs w:val="21"/>
          <w:highlight w:val="none"/>
          <w:lang w:eastAsia="zh-CN"/>
        </w:rPr>
        <w:t>供应商</w:t>
      </w:r>
      <w:r>
        <w:rPr>
          <w:rFonts w:hint="eastAsia" w:ascii="宋体" w:hAnsi="宋体" w:cs="宋体"/>
          <w:color w:val="auto"/>
          <w:szCs w:val="21"/>
        </w:rPr>
        <w:t>凭企业数字证书（CA）登录“政采云”</w:t>
      </w:r>
      <w:r>
        <w:rPr>
          <w:rFonts w:hint="eastAsia" w:ascii="宋体" w:hAnsi="宋体" w:cs="宋体"/>
          <w:color w:val="auto"/>
          <w:szCs w:val="21"/>
          <w:lang w:eastAsia="zh-CN"/>
        </w:rPr>
        <w:t>平台</w:t>
      </w:r>
      <w:r>
        <w:rPr>
          <w:rFonts w:hint="eastAsia" w:ascii="宋体" w:hAnsi="宋体" w:cs="宋体"/>
          <w:color w:val="auto"/>
          <w:szCs w:val="21"/>
          <w:lang w:val="en-US" w:eastAsia="zh-CN"/>
        </w:rPr>
        <w:t>（网址：https://www.zcygov.cn/)中</w:t>
      </w:r>
      <w:r>
        <w:rPr>
          <w:rFonts w:hint="eastAsia" w:ascii="宋体" w:hAnsi="宋体" w:cs="宋体"/>
          <w:color w:val="auto"/>
          <w:szCs w:val="21"/>
          <w:lang w:eastAsia="zh-CN"/>
        </w:rPr>
        <w:t>提出</w:t>
      </w:r>
      <w:r>
        <w:rPr>
          <w:rFonts w:hint="eastAsia" w:ascii="宋体" w:hAnsi="宋体" w:cs="宋体"/>
          <w:bCs/>
          <w:color w:val="auto"/>
          <w:kern w:val="0"/>
          <w:szCs w:val="21"/>
          <w:highlight w:val="none"/>
        </w:rPr>
        <w:t>，采购人或</w:t>
      </w:r>
      <w:r>
        <w:rPr>
          <w:rFonts w:hint="eastAsia" w:ascii="宋体" w:hAnsi="宋体" w:cs="宋体"/>
          <w:bCs/>
          <w:color w:val="auto"/>
          <w:kern w:val="0"/>
          <w:szCs w:val="21"/>
          <w:highlight w:val="none"/>
          <w:lang w:val="en-US" w:eastAsia="zh-CN"/>
        </w:rPr>
        <w:t>采购</w:t>
      </w:r>
      <w:r>
        <w:rPr>
          <w:rFonts w:hint="eastAsia" w:ascii="宋体" w:hAnsi="宋体" w:cs="宋体"/>
          <w:bCs/>
          <w:color w:val="auto"/>
          <w:kern w:val="0"/>
          <w:szCs w:val="21"/>
          <w:highlight w:val="none"/>
        </w:rPr>
        <w:t>代理</w:t>
      </w:r>
      <w:r>
        <w:rPr>
          <w:rFonts w:hint="eastAsia" w:ascii="宋体" w:hAnsi="宋体" w:cs="宋体"/>
          <w:bCs/>
          <w:color w:val="auto"/>
          <w:kern w:val="0"/>
          <w:szCs w:val="21"/>
          <w:highlight w:val="none"/>
          <w:lang w:val="en-US" w:eastAsia="zh-CN"/>
        </w:rPr>
        <w:t>机构</w:t>
      </w:r>
      <w:r>
        <w:rPr>
          <w:rFonts w:hint="eastAsia" w:ascii="宋体" w:hAnsi="宋体" w:cs="宋体"/>
          <w:bCs/>
          <w:color w:val="auto"/>
          <w:kern w:val="0"/>
          <w:szCs w:val="21"/>
          <w:highlight w:val="none"/>
        </w:rPr>
        <w:t>需对所有</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进行统一回复。</w:t>
      </w:r>
    </w:p>
    <w:p w14:paraId="625CCDBC">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1.10.3磋商预备会后，采购人在供应商须知前附表规定的时间内，将对采购人所提问题的澄清，由采购人以补遗书方式按程序报有关主管部门备案后，统一</w:t>
      </w:r>
      <w:r>
        <w:rPr>
          <w:rFonts w:hint="eastAsia" w:ascii="宋体" w:hAnsi="宋体" w:eastAsia="宋体" w:cs="宋体"/>
          <w:b w:val="0"/>
          <w:bCs w:val="0"/>
          <w:color w:val="auto"/>
          <w:kern w:val="2"/>
          <w:sz w:val="21"/>
          <w:szCs w:val="21"/>
          <w:highlight w:val="none"/>
          <w:lang w:val="en-US" w:eastAsia="zh-CN"/>
        </w:rPr>
        <w:t>通过“政采云”</w:t>
      </w:r>
      <w:r>
        <w:rPr>
          <w:rFonts w:hint="eastAsia" w:ascii="宋体" w:hAnsi="宋体" w:cs="宋体"/>
          <w:b w:val="0"/>
          <w:bCs w:val="0"/>
          <w:color w:val="auto"/>
          <w:kern w:val="2"/>
          <w:sz w:val="21"/>
          <w:szCs w:val="21"/>
          <w:highlight w:val="none"/>
          <w:lang w:val="en-US" w:eastAsia="zh-CN"/>
        </w:rPr>
        <w:t>平台</w:t>
      </w:r>
      <w:r>
        <w:rPr>
          <w:rFonts w:hint="eastAsia" w:ascii="宋体" w:hAnsi="宋体" w:eastAsia="宋体" w:cs="宋体"/>
          <w:b w:val="0"/>
          <w:bCs w:val="0"/>
          <w:color w:val="auto"/>
          <w:kern w:val="2"/>
          <w:sz w:val="21"/>
          <w:szCs w:val="21"/>
          <w:highlight w:val="none"/>
          <w:lang w:val="en-US" w:eastAsia="zh-CN"/>
        </w:rPr>
        <w:t>（网址：https://www.zcygov.cn/)</w:t>
      </w:r>
      <w:r>
        <w:rPr>
          <w:rFonts w:hint="eastAsia" w:ascii="宋体" w:hAnsi="宋体" w:cs="宋体"/>
          <w:bCs/>
          <w:color w:val="auto"/>
          <w:kern w:val="0"/>
          <w:szCs w:val="21"/>
          <w:highlight w:val="none"/>
        </w:rPr>
        <w:t>向</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回复。</w:t>
      </w:r>
    </w:p>
    <w:p w14:paraId="2861D4A3">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hAnsi="宋体" w:cs="宋体"/>
          <w:b/>
          <w:color w:val="auto"/>
          <w:kern w:val="0"/>
          <w:szCs w:val="21"/>
          <w:highlight w:val="none"/>
        </w:rPr>
        <w:t xml:space="preserve">1.11 </w:t>
      </w:r>
      <w:r>
        <w:rPr>
          <w:rFonts w:hint="eastAsia" w:ascii="宋体" w:hAnsi="宋体" w:cs="宋体"/>
          <w:b/>
          <w:color w:val="auto"/>
          <w:kern w:val="0"/>
          <w:szCs w:val="21"/>
          <w:highlight w:val="none"/>
        </w:rPr>
        <w:t>分包</w:t>
      </w:r>
    </w:p>
    <w:p w14:paraId="75A6FF9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采购</w:t>
      </w:r>
      <w:r>
        <w:rPr>
          <w:rFonts w:ascii="宋体" w:hAnsi="宋体" w:cs="宋体"/>
          <w:bCs/>
          <w:color w:val="auto"/>
          <w:kern w:val="0"/>
          <w:szCs w:val="21"/>
          <w:highlight w:val="none"/>
        </w:rPr>
        <w:t>人拟在中标后将中标项目的部分非主体、非关键性工作进行分包的，应符合</w:t>
      </w:r>
      <w:r>
        <w:rPr>
          <w:rFonts w:hint="eastAsia" w:ascii="宋体" w:hAnsi="宋体" w:cs="宋体"/>
          <w:bCs/>
          <w:color w:val="auto"/>
          <w:kern w:val="0"/>
          <w:szCs w:val="21"/>
          <w:highlight w:val="none"/>
        </w:rPr>
        <w:t>供应商</w:t>
      </w:r>
      <w:r>
        <w:rPr>
          <w:rFonts w:ascii="宋体" w:hAnsi="宋体" w:cs="宋体"/>
          <w:bCs/>
          <w:color w:val="auto"/>
          <w:kern w:val="0"/>
          <w:szCs w:val="21"/>
          <w:highlight w:val="none"/>
        </w:rPr>
        <w:t>须知前附表的相关规定。</w:t>
      </w:r>
    </w:p>
    <w:p w14:paraId="619E954E">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1.12 偏离</w:t>
      </w:r>
    </w:p>
    <w:p w14:paraId="73EA8627">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供应商</w:t>
      </w:r>
      <w:r>
        <w:rPr>
          <w:rFonts w:ascii="宋体" w:hAnsi="宋体" w:cs="宋体"/>
          <w:bCs/>
          <w:color w:val="auto"/>
          <w:kern w:val="0"/>
          <w:szCs w:val="21"/>
          <w:highlight w:val="none"/>
        </w:rPr>
        <w:t>须知前附表允许</w:t>
      </w:r>
      <w:r>
        <w:rPr>
          <w:rFonts w:hint="eastAsia" w:ascii="宋体" w:hAnsi="宋体" w:cs="宋体"/>
          <w:bCs/>
          <w:color w:val="auto"/>
          <w:kern w:val="0"/>
          <w:szCs w:val="21"/>
          <w:highlight w:val="none"/>
        </w:rPr>
        <w:t>响应</w:t>
      </w:r>
      <w:r>
        <w:rPr>
          <w:rFonts w:ascii="宋体" w:hAnsi="宋体" w:cs="宋体"/>
          <w:bCs/>
          <w:color w:val="auto"/>
          <w:kern w:val="0"/>
          <w:szCs w:val="21"/>
          <w:highlight w:val="none"/>
        </w:rPr>
        <w:t>文件偏离</w:t>
      </w:r>
      <w:r>
        <w:rPr>
          <w:rFonts w:hint="eastAsia" w:ascii="宋体" w:hAnsi="宋体" w:cs="宋体"/>
          <w:bCs/>
          <w:color w:val="auto"/>
          <w:kern w:val="0"/>
          <w:szCs w:val="21"/>
          <w:highlight w:val="none"/>
        </w:rPr>
        <w:t>磋商</w:t>
      </w:r>
      <w:r>
        <w:rPr>
          <w:rFonts w:ascii="宋体" w:hAnsi="宋体" w:cs="宋体"/>
          <w:bCs/>
          <w:color w:val="auto"/>
          <w:kern w:val="0"/>
          <w:szCs w:val="21"/>
          <w:highlight w:val="none"/>
        </w:rPr>
        <w:t>文件某些要求的，偏离应当符合</w:t>
      </w:r>
      <w:r>
        <w:rPr>
          <w:rFonts w:hint="eastAsia" w:ascii="宋体" w:hAnsi="宋体" w:cs="宋体"/>
          <w:bCs/>
          <w:color w:val="auto"/>
          <w:kern w:val="0"/>
          <w:szCs w:val="21"/>
          <w:highlight w:val="none"/>
        </w:rPr>
        <w:t>磋商</w:t>
      </w:r>
      <w:r>
        <w:rPr>
          <w:rFonts w:ascii="宋体" w:hAnsi="宋体" w:cs="宋体"/>
          <w:bCs/>
          <w:color w:val="auto"/>
          <w:kern w:val="0"/>
          <w:szCs w:val="21"/>
          <w:highlight w:val="none"/>
        </w:rPr>
        <w:t>文件规定的偏离范围和幅度。</w:t>
      </w:r>
    </w:p>
    <w:bookmarkEnd w:id="60"/>
    <w:bookmarkEnd w:id="61"/>
    <w:bookmarkEnd w:id="62"/>
    <w:p w14:paraId="32245A74">
      <w:pPr>
        <w:keepNext w:val="0"/>
        <w:keepLines w:val="0"/>
        <w:pageBreakBefore w:val="0"/>
        <w:numPr>
          <w:ilvl w:val="0"/>
          <w:numId w:val="4"/>
        </w:numPr>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63" w:name="_Toc199321878"/>
      <w:r>
        <w:rPr>
          <w:rFonts w:hint="eastAsia" w:ascii="宋体" w:hAnsi="宋体" w:cs="宋体"/>
          <w:b/>
          <w:color w:val="auto"/>
          <w:kern w:val="0"/>
          <w:szCs w:val="21"/>
          <w:highlight w:val="none"/>
        </w:rPr>
        <w:t>磋商文件</w:t>
      </w:r>
    </w:p>
    <w:p w14:paraId="1F93E836">
      <w:pPr>
        <w:pStyle w:val="38"/>
        <w:keepNext w:val="0"/>
        <w:keepLines w:val="0"/>
        <w:pageBreakBefore w:val="0"/>
        <w:kinsoku/>
        <w:wordWrap/>
        <w:topLinePunct w:val="0"/>
        <w:bidi w:val="0"/>
        <w:snapToGrid/>
        <w:spacing w:line="440" w:lineRule="exact"/>
        <w:ind w:firstLine="0" w:firstLineChars="0"/>
        <w:rPr>
          <w:rFonts w:hAnsi="宋体" w:cs="宋体"/>
          <w:b/>
          <w:color w:val="auto"/>
          <w:sz w:val="21"/>
          <w:szCs w:val="21"/>
          <w:highlight w:val="none"/>
        </w:rPr>
      </w:pPr>
      <w:r>
        <w:rPr>
          <w:rFonts w:hint="eastAsia" w:hAnsi="宋体" w:cs="宋体"/>
          <w:b/>
          <w:color w:val="auto"/>
          <w:sz w:val="21"/>
          <w:szCs w:val="21"/>
          <w:highlight w:val="none"/>
        </w:rPr>
        <w:t>2.1 磋商文件的组成</w:t>
      </w:r>
    </w:p>
    <w:p w14:paraId="6BC8E2B9">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r>
        <w:rPr>
          <w:rFonts w:hint="eastAsia" w:ascii="宋体" w:hAnsi="宋体" w:cs="宋体"/>
          <w:bCs/>
          <w:color w:val="auto"/>
          <w:kern w:val="0"/>
          <w:szCs w:val="21"/>
          <w:highlight w:val="none"/>
        </w:rPr>
        <w:t>2.1.1</w:t>
      </w:r>
      <w:r>
        <w:rPr>
          <w:rFonts w:hint="eastAsia" w:ascii="宋体" w:hAnsi="宋体" w:cs="宋体"/>
          <w:color w:val="auto"/>
          <w:kern w:val="0"/>
          <w:szCs w:val="21"/>
          <w:highlight w:val="none"/>
        </w:rPr>
        <w:t>本竞争性磋商文件包括:</w:t>
      </w:r>
    </w:p>
    <w:p w14:paraId="2E4E54C0">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（1）竞争性磋商公告   </w:t>
      </w:r>
    </w:p>
    <w:p w14:paraId="032521E5">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（2）供应商须知</w:t>
      </w:r>
    </w:p>
    <w:p w14:paraId="50288DCD">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（3）采购需求  </w:t>
      </w:r>
    </w:p>
    <w:p w14:paraId="49AC2A33">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（4）评审办法  </w:t>
      </w:r>
    </w:p>
    <w:p w14:paraId="1C54EBFB">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（5）合同条款及格式</w:t>
      </w:r>
    </w:p>
    <w:p w14:paraId="3C117DCD">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eastAsia="宋体" w:cs="宋体"/>
          <w:color w:val="auto"/>
          <w:spacing w:val="-4"/>
          <w:kern w:val="0"/>
          <w:szCs w:val="21"/>
          <w:highlight w:val="none"/>
        </w:rPr>
        <w:t xml:space="preserve">（6）竞争性磋商响应文件格式   </w:t>
      </w:r>
      <w:r>
        <w:rPr>
          <w:rFonts w:hint="eastAsia" w:ascii="宋体" w:hAnsi="宋体" w:cs="宋体"/>
          <w:color w:val="auto"/>
          <w:spacing w:val="-4"/>
          <w:kern w:val="0"/>
          <w:szCs w:val="21"/>
          <w:highlight w:val="none"/>
        </w:rPr>
        <w:t xml:space="preserve">     </w:t>
      </w:r>
    </w:p>
    <w:p w14:paraId="1E560ED8">
      <w:pPr>
        <w:pStyle w:val="11"/>
        <w:keepNext w:val="0"/>
        <w:keepLines w:val="0"/>
        <w:pageBreakBefore w:val="0"/>
        <w:kinsoku/>
        <w:wordWrap/>
        <w:topLinePunct w:val="0"/>
        <w:bidi w:val="0"/>
        <w:snapToGrid/>
        <w:spacing w:line="440" w:lineRule="exact"/>
        <w:ind w:firstLine="420" w:firstLineChars="200"/>
        <w:rPr>
          <w:rFonts w:hint="eastAsia" w:ascii="宋体" w:hAnsi="宋体" w:eastAsia="宋体" w:cs="宋体"/>
          <w:caps w:val="0"/>
          <w:color w:val="auto"/>
          <w:spacing w:val="0"/>
          <w:position w:val="0"/>
          <w:sz w:val="21"/>
          <w:szCs w:val="21"/>
          <w:highlight w:val="none"/>
          <w:lang w:val="en-US" w:eastAsia="zh-CN"/>
        </w:rPr>
      </w:pPr>
      <w:r>
        <w:rPr>
          <w:rFonts w:hint="eastAsia" w:ascii="宋体" w:hAnsi="宋体" w:eastAsia="宋体" w:cs="宋体"/>
          <w:caps w:val="0"/>
          <w:color w:val="auto"/>
          <w:spacing w:val="0"/>
          <w:position w:val="0"/>
          <w:sz w:val="21"/>
          <w:szCs w:val="21"/>
          <w:highlight w:val="none"/>
          <w:lang w:val="en-US" w:eastAsia="zh-CN"/>
        </w:rPr>
        <w:t>（7）含本章第2.2款和第2.3款对招标文件所作的澄清、修改及补充文件等，构成招标文件的组成部分。</w:t>
      </w:r>
    </w:p>
    <w:p w14:paraId="7EA39407">
      <w:pPr>
        <w:pStyle w:val="11"/>
        <w:keepNext w:val="0"/>
        <w:keepLines w:val="0"/>
        <w:pageBreakBefore w:val="0"/>
        <w:kinsoku/>
        <w:wordWrap/>
        <w:topLinePunct w:val="0"/>
        <w:bidi w:val="0"/>
        <w:snapToGrid/>
        <w:spacing w:line="440" w:lineRule="exact"/>
        <w:ind w:firstLine="422" w:firstLineChars="200"/>
        <w:rPr>
          <w:rFonts w:hAnsi="宋体" w:cs="宋体"/>
          <w:b/>
          <w:color w:val="auto"/>
          <w:kern w:val="0"/>
          <w:szCs w:val="21"/>
          <w:highlight w:val="none"/>
        </w:rPr>
      </w:pPr>
      <w:r>
        <w:rPr>
          <w:rFonts w:hint="eastAsia" w:hAnsi="宋体" w:cs="宋体"/>
          <w:b/>
          <w:color w:val="auto"/>
          <w:kern w:val="0"/>
          <w:szCs w:val="21"/>
          <w:highlight w:val="none"/>
        </w:rPr>
        <w:t>2.2 磋商文件的澄清</w:t>
      </w:r>
    </w:p>
    <w:p w14:paraId="1F0C214A">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2.2.1同1.10.2的时间要求。</w:t>
      </w:r>
      <w:r>
        <w:rPr>
          <w:rFonts w:hint="eastAsia" w:ascii="宋体" w:hAnsi="宋体" w:eastAsia="宋体" w:cs="宋体"/>
          <w:b w:val="0"/>
          <w:bCs w:val="0"/>
          <w:color w:val="auto"/>
          <w:kern w:val="2"/>
          <w:sz w:val="21"/>
          <w:szCs w:val="21"/>
          <w:highlight w:val="none"/>
          <w:lang w:val="en-US" w:eastAsia="zh-CN"/>
        </w:rPr>
        <w:t>响应人应仔细阅读和检查磋商文件的全部内容，如发现磋商文件缺页或附件不全或工程量清单漏算少算，应及时向采购人提出，以便补齐。如有疑问，应在供应商须知前附表规定的时间前</w:t>
      </w:r>
      <w:r>
        <w:rPr>
          <w:rFonts w:hint="eastAsia" w:ascii="宋体" w:hAnsi="宋体" w:cs="宋体"/>
          <w:color w:val="auto"/>
          <w:szCs w:val="21"/>
        </w:rPr>
        <w:t>凭企业数字证书（CA）登录“政采云”</w:t>
      </w:r>
      <w:r>
        <w:rPr>
          <w:rFonts w:hint="eastAsia" w:ascii="宋体" w:hAnsi="宋体" w:cs="宋体"/>
          <w:color w:val="auto"/>
          <w:szCs w:val="21"/>
          <w:lang w:eastAsia="zh-CN"/>
        </w:rPr>
        <w:t>平台</w:t>
      </w:r>
      <w:r>
        <w:rPr>
          <w:rFonts w:hint="eastAsia" w:ascii="宋体" w:hAnsi="宋体" w:cs="宋体"/>
          <w:color w:val="auto"/>
          <w:szCs w:val="21"/>
          <w:lang w:val="en-US" w:eastAsia="zh-CN"/>
        </w:rPr>
        <w:t>（网址：https://www.zcygov.cn/)中</w:t>
      </w:r>
      <w:r>
        <w:rPr>
          <w:rFonts w:hint="eastAsia" w:ascii="宋体" w:hAnsi="宋体" w:eastAsia="宋体" w:cs="宋体"/>
          <w:b w:val="0"/>
          <w:bCs w:val="0"/>
          <w:color w:val="auto"/>
          <w:kern w:val="2"/>
          <w:sz w:val="21"/>
          <w:szCs w:val="21"/>
          <w:highlight w:val="none"/>
          <w:lang w:val="en-US" w:eastAsia="zh-CN"/>
        </w:rPr>
        <w:t>提出澄清申请</w:t>
      </w:r>
      <w:r>
        <w:rPr>
          <w:rFonts w:hint="eastAsia" w:ascii="宋体" w:hAnsi="宋体" w:cs="宋体"/>
          <w:bCs/>
          <w:color w:val="auto"/>
          <w:kern w:val="0"/>
          <w:szCs w:val="21"/>
          <w:highlight w:val="none"/>
        </w:rPr>
        <w:t>。</w:t>
      </w:r>
    </w:p>
    <w:p w14:paraId="722545D4">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2.2.2</w:t>
      </w:r>
      <w:r>
        <w:rPr>
          <w:rFonts w:hint="eastAsia" w:ascii="宋体" w:hAnsi="宋体" w:cs="宋体"/>
          <w:bCs/>
          <w:color w:val="auto"/>
          <w:kern w:val="0"/>
          <w:szCs w:val="21"/>
          <w:highlight w:val="none"/>
          <w:lang w:eastAsia="zh-CN"/>
        </w:rPr>
        <w:t>磋商截止时间</w:t>
      </w:r>
      <w:r>
        <w:rPr>
          <w:rFonts w:hint="eastAsia" w:ascii="宋体" w:hAnsi="宋体" w:cs="宋体"/>
          <w:bCs/>
          <w:color w:val="auto"/>
          <w:kern w:val="0"/>
          <w:szCs w:val="21"/>
          <w:highlight w:val="none"/>
        </w:rPr>
        <w:t>：见供应商须知前附表。</w:t>
      </w:r>
    </w:p>
    <w:p w14:paraId="744A11C2">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2.2.3</w:t>
      </w:r>
      <w:r>
        <w:rPr>
          <w:rFonts w:hint="eastAsia" w:ascii="宋体" w:hAnsi="宋体" w:eastAsia="宋体" w:cs="宋体"/>
          <w:b w:val="0"/>
          <w:bCs w:val="0"/>
          <w:color w:val="auto"/>
          <w:kern w:val="2"/>
          <w:sz w:val="21"/>
          <w:szCs w:val="21"/>
          <w:highlight w:val="none"/>
          <w:lang w:val="en-US" w:eastAsia="zh-CN"/>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r>
        <w:rPr>
          <w:rFonts w:hint="eastAsia" w:ascii="宋体" w:hAnsi="宋体" w:cs="宋体"/>
          <w:bCs/>
          <w:color w:val="auto"/>
          <w:kern w:val="0"/>
          <w:szCs w:val="21"/>
          <w:highlight w:val="none"/>
        </w:rPr>
        <w:t>。</w:t>
      </w:r>
    </w:p>
    <w:p w14:paraId="32AD589B">
      <w:pPr>
        <w:pStyle w:val="11"/>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2.3 竞争性磋商文件的修改</w:t>
      </w:r>
    </w:p>
    <w:p w14:paraId="2C15E262">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2.3.1 在磋商截止时间5天前，采购人可以</w:t>
      </w:r>
      <w:r>
        <w:rPr>
          <w:rFonts w:hint="eastAsia" w:ascii="宋体" w:hAnsi="宋体" w:eastAsia="宋体" w:cs="宋体"/>
          <w:b w:val="0"/>
          <w:bCs w:val="0"/>
          <w:color w:val="auto"/>
          <w:kern w:val="2"/>
          <w:sz w:val="21"/>
          <w:szCs w:val="21"/>
          <w:highlight w:val="none"/>
          <w:lang w:val="en-US" w:eastAsia="zh-CN"/>
        </w:rPr>
        <w:t>通过“政采云”平台（网址：https://www.zcygov.cn/)</w:t>
      </w:r>
      <w:r>
        <w:rPr>
          <w:rFonts w:hint="eastAsia" w:ascii="宋体" w:hAnsi="宋体" w:eastAsia="宋体" w:cs="宋体"/>
          <w:bCs/>
          <w:color w:val="auto"/>
          <w:kern w:val="0"/>
          <w:szCs w:val="21"/>
          <w:highlight w:val="none"/>
          <w:lang w:val="en-US" w:eastAsia="zh-CN"/>
        </w:rPr>
        <w:t>发布变更、澄清或补遗</w:t>
      </w:r>
      <w:r>
        <w:rPr>
          <w:rFonts w:hint="eastAsia" w:ascii="宋体" w:hAnsi="宋体" w:cs="宋体"/>
          <w:bCs/>
          <w:color w:val="auto"/>
          <w:kern w:val="0"/>
          <w:szCs w:val="21"/>
          <w:highlight w:val="none"/>
        </w:rPr>
        <w:t>修改竞争性磋商文件，</w:t>
      </w:r>
      <w:r>
        <w:rPr>
          <w:rFonts w:hint="eastAsia" w:ascii="宋体" w:hAnsi="宋体" w:cs="宋体"/>
          <w:bCs/>
          <w:color w:val="auto"/>
          <w:kern w:val="0"/>
          <w:szCs w:val="21"/>
          <w:highlight w:val="none"/>
          <w:lang w:val="en-US" w:eastAsia="zh-CN"/>
        </w:rPr>
        <w:t>竞争性磋商文件的修改作为竞争性磋商文件的组成部分，并具有约束力。但如果修改竞争性磋商文件的时间距磋商截止时间不足5天，并且修改内容影响响应文件编制的，应相应延长磋商截止时间</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供应商自行登录“政采云”平台（网址：https://www.zcygov.cn/)收取修改内容。供应商应在磋商截止时间前自行查看</w:t>
      </w:r>
      <w:r>
        <w:rPr>
          <w:rFonts w:hint="eastAsia" w:ascii="宋体" w:hAnsi="宋体" w:eastAsia="宋体" w:cs="宋体"/>
          <w:b w:val="0"/>
          <w:bCs w:val="0"/>
          <w:color w:val="auto"/>
          <w:kern w:val="2"/>
          <w:sz w:val="21"/>
          <w:szCs w:val="21"/>
          <w:highlight w:val="none"/>
          <w:lang w:val="en-US" w:eastAsia="zh-CN"/>
        </w:rPr>
        <w:t>“政采云”平台（网址：https://www.zcygov.cn/)</w:t>
      </w:r>
      <w:r>
        <w:rPr>
          <w:rFonts w:hint="eastAsia" w:ascii="宋体" w:hAnsi="宋体" w:cs="宋体"/>
          <w:bCs/>
          <w:color w:val="auto"/>
          <w:kern w:val="0"/>
          <w:szCs w:val="21"/>
          <w:highlight w:val="none"/>
          <w:lang w:val="en-US" w:eastAsia="zh-CN"/>
        </w:rPr>
        <w:t>中有关该项目竞争性磋商文件的答疑、补遗内容。否则，由此引起的磋商损失自负。</w:t>
      </w:r>
    </w:p>
    <w:p w14:paraId="4ADF2B0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 xml:space="preserve">2.3.2 </w:t>
      </w:r>
      <w:r>
        <w:rPr>
          <w:rFonts w:hint="eastAsia" w:ascii="宋体" w:hAnsi="宋体" w:cs="宋体"/>
          <w:b w:val="0"/>
          <w:bCs w:val="0"/>
          <w:color w:val="auto"/>
          <w:kern w:val="2"/>
          <w:sz w:val="21"/>
          <w:szCs w:val="21"/>
          <w:highlight w:val="none"/>
          <w:lang w:val="en-US" w:eastAsia="zh-CN"/>
        </w:rPr>
        <w:t>供应商</w:t>
      </w:r>
      <w:r>
        <w:rPr>
          <w:rFonts w:hint="eastAsia" w:ascii="宋体" w:hAnsi="宋体" w:eastAsia="宋体" w:cs="宋体"/>
          <w:b w:val="0"/>
          <w:bCs w:val="0"/>
          <w:color w:val="auto"/>
          <w:kern w:val="2"/>
          <w:sz w:val="21"/>
          <w:szCs w:val="21"/>
          <w:highlight w:val="none"/>
          <w:lang w:val="en-US" w:eastAsia="zh-CN"/>
        </w:rPr>
        <w:t>自行登录“政采云”平台（网址：https://www.zcygov.cn/)获取澄清、补充、修改、答疑等，无须回复确认</w:t>
      </w:r>
      <w:r>
        <w:rPr>
          <w:rFonts w:hint="eastAsia" w:ascii="宋体" w:hAnsi="宋体" w:cs="宋体"/>
          <w:bCs/>
          <w:color w:val="auto"/>
          <w:kern w:val="0"/>
          <w:szCs w:val="21"/>
          <w:highlight w:val="none"/>
        </w:rPr>
        <w:t>。</w:t>
      </w:r>
    </w:p>
    <w:p w14:paraId="6F340D99">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3. 磋商响应文件</w:t>
      </w:r>
    </w:p>
    <w:p w14:paraId="7BD4E01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3.1 磋商响应文件的组成如下：</w:t>
      </w:r>
    </w:p>
    <w:bookmarkEnd w:id="63"/>
    <w:p w14:paraId="32398767">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 w:val="0"/>
          <w:bCs/>
          <w:color w:val="auto"/>
          <w:kern w:val="0"/>
          <w:szCs w:val="21"/>
          <w:highlight w:val="none"/>
          <w:lang w:val="en-US" w:eastAsia="zh-CN"/>
        </w:rPr>
      </w:pPr>
      <w:bookmarkStart w:id="64" w:name="_Toc199321902"/>
      <w:bookmarkStart w:id="65" w:name="_Toc260172660"/>
      <w:bookmarkStart w:id="66" w:name="_Toc247277947"/>
      <w:bookmarkStart w:id="67" w:name="_Toc491246652"/>
      <w:bookmarkStart w:id="68" w:name="_Toc382901560"/>
      <w:bookmarkStart w:id="69" w:name="_Toc262675327"/>
      <w:bookmarkStart w:id="70" w:name="_Toc209498823"/>
      <w:bookmarkStart w:id="71" w:name="_Toc381278396"/>
      <w:r>
        <w:rPr>
          <w:rFonts w:hint="eastAsia" w:ascii="宋体" w:hAnsi="宋体" w:cs="宋体"/>
          <w:b w:val="0"/>
          <w:bCs/>
          <w:color w:val="auto"/>
          <w:kern w:val="0"/>
          <w:szCs w:val="21"/>
          <w:highlight w:val="none"/>
          <w:lang w:val="en-US" w:eastAsia="zh-CN"/>
        </w:rPr>
        <w:t>详见“第六章 竞争性磋商响应文件格式”。</w:t>
      </w:r>
    </w:p>
    <w:p w14:paraId="4EE50A54">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r>
        <w:rPr>
          <w:rFonts w:hint="eastAsia" w:ascii="宋体" w:hAnsi="宋体" w:cs="宋体"/>
          <w:b/>
          <w:color w:val="auto"/>
          <w:kern w:val="0"/>
          <w:szCs w:val="21"/>
          <w:highlight w:val="none"/>
        </w:rPr>
        <w:t>3.2 磋商报价</w:t>
      </w:r>
      <w:bookmarkEnd w:id="64"/>
      <w:bookmarkEnd w:id="65"/>
      <w:bookmarkEnd w:id="66"/>
      <w:bookmarkEnd w:id="67"/>
      <w:bookmarkEnd w:id="68"/>
      <w:bookmarkEnd w:id="69"/>
      <w:bookmarkEnd w:id="70"/>
      <w:bookmarkEnd w:id="71"/>
    </w:p>
    <w:p w14:paraId="1348FACC">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olor w:val="auto"/>
          <w:sz w:val="21"/>
          <w:szCs w:val="21"/>
          <w:highlight w:val="none"/>
          <w:lang w:eastAsia="zh-CN"/>
        </w:rPr>
      </w:pPr>
      <w:bookmarkStart w:id="72" w:name="_Toc199321903"/>
      <w:bookmarkStart w:id="73" w:name="_Toc247277948"/>
      <w:bookmarkStart w:id="74" w:name="_Toc381278397"/>
      <w:bookmarkStart w:id="75" w:name="_Toc209498824"/>
      <w:bookmarkStart w:id="76" w:name="_Toc262675328"/>
      <w:bookmarkStart w:id="77" w:name="_Toc382901561"/>
      <w:bookmarkStart w:id="78" w:name="_Toc491246653"/>
      <w:bookmarkStart w:id="79" w:name="_Toc260172661"/>
      <w:r>
        <w:rPr>
          <w:rFonts w:hint="eastAsia" w:ascii="宋体" w:hAnsi="宋体"/>
          <w:color w:val="auto"/>
          <w:sz w:val="21"/>
          <w:szCs w:val="21"/>
          <w:highlight w:val="none"/>
        </w:rPr>
        <w:t>3.2.1供应商应按照供应商须知前附表约定的方式和工程量清单</w:t>
      </w:r>
      <w:r>
        <w:rPr>
          <w:rFonts w:hint="eastAsia" w:ascii="宋体" w:hAnsi="宋体"/>
          <w:color w:val="auto"/>
          <w:sz w:val="21"/>
          <w:szCs w:val="21"/>
          <w:highlight w:val="none"/>
          <w:lang w:val="en-US" w:eastAsia="zh-CN"/>
        </w:rPr>
        <w:t>及“响应文件格式”的要求在初次报价表中进行报价，磋商报价不得超过招标控制价，</w:t>
      </w:r>
      <w:r>
        <w:rPr>
          <w:rFonts w:hint="eastAsia" w:ascii="宋体" w:hAnsi="宋体"/>
          <w:color w:val="auto"/>
          <w:sz w:val="21"/>
          <w:szCs w:val="21"/>
          <w:highlight w:val="none"/>
        </w:rPr>
        <w:t>报价货币为人民币</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招标控制价</w:t>
      </w:r>
      <w:r>
        <w:rPr>
          <w:rFonts w:hint="eastAsia" w:ascii="宋体" w:hAnsi="宋体" w:cs="宋体"/>
          <w:bCs/>
          <w:color w:val="auto"/>
          <w:kern w:val="0"/>
          <w:szCs w:val="21"/>
          <w:highlight w:val="none"/>
        </w:rPr>
        <w:t>见供应商须知前附表</w:t>
      </w:r>
      <w:r>
        <w:rPr>
          <w:rFonts w:hint="eastAsia" w:ascii="宋体" w:hAnsi="宋体" w:cs="宋体"/>
          <w:bCs/>
          <w:color w:val="auto"/>
          <w:kern w:val="0"/>
          <w:szCs w:val="21"/>
          <w:highlight w:val="none"/>
          <w:lang w:eastAsia="zh-CN"/>
        </w:rPr>
        <w:t>。</w:t>
      </w:r>
    </w:p>
    <w:p w14:paraId="7AD084FD">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lang w:val="zh-CN" w:eastAsia="zh-CN"/>
        </w:rPr>
      </w:pPr>
      <w:r>
        <w:rPr>
          <w:rFonts w:hint="eastAsia" w:ascii="宋体" w:hAnsi="宋体"/>
          <w:color w:val="auto"/>
          <w:sz w:val="21"/>
          <w:szCs w:val="21"/>
          <w:highlight w:val="none"/>
        </w:rPr>
        <w:t>3.2.2供应商就“工程量清单”中的内容作完整唯一报价。任何有选择的报价将不予接受，本次</w:t>
      </w:r>
      <w:r>
        <w:rPr>
          <w:rFonts w:hint="eastAsia" w:ascii="宋体" w:hAnsi="宋体"/>
          <w:color w:val="auto"/>
          <w:sz w:val="21"/>
          <w:szCs w:val="21"/>
          <w:highlight w:val="none"/>
          <w:lang w:val="en-US" w:eastAsia="zh-CN"/>
        </w:rPr>
        <w:t>磋商初次报价</w:t>
      </w:r>
      <w:r>
        <w:rPr>
          <w:rFonts w:hint="eastAsia" w:ascii="宋体" w:hAnsi="宋体"/>
          <w:color w:val="auto"/>
          <w:sz w:val="21"/>
          <w:szCs w:val="21"/>
          <w:highlight w:val="none"/>
        </w:rPr>
        <w:t>只允许有一个有效报价。在</w:t>
      </w:r>
      <w:r>
        <w:rPr>
          <w:rFonts w:hint="eastAsia" w:ascii="宋体" w:hAnsi="宋体"/>
          <w:color w:val="auto"/>
          <w:sz w:val="21"/>
          <w:szCs w:val="21"/>
          <w:highlight w:val="none"/>
          <w:lang w:eastAsia="zh-CN"/>
        </w:rPr>
        <w:t>磋商响应</w:t>
      </w:r>
      <w:r>
        <w:rPr>
          <w:rFonts w:hint="eastAsia" w:ascii="宋体" w:hAnsi="宋体"/>
          <w:color w:val="auto"/>
          <w:sz w:val="21"/>
          <w:szCs w:val="21"/>
          <w:highlight w:val="none"/>
        </w:rPr>
        <w:t>文件中，供应商投报两个或多个标书、方案或有两个或多个报价，又未书面声明其中哪一个有效的，按</w:t>
      </w:r>
      <w:r>
        <w:rPr>
          <w:rFonts w:hint="eastAsia" w:ascii="宋体" w:hAnsi="宋体"/>
          <w:color w:val="auto"/>
          <w:sz w:val="21"/>
          <w:szCs w:val="21"/>
          <w:highlight w:val="none"/>
          <w:lang w:val="en-US" w:eastAsia="zh-CN"/>
        </w:rPr>
        <w:t>无效</w:t>
      </w:r>
      <w:r>
        <w:rPr>
          <w:rFonts w:hint="eastAsia" w:ascii="宋体" w:hAnsi="宋体"/>
          <w:color w:val="auto"/>
          <w:sz w:val="21"/>
          <w:szCs w:val="21"/>
          <w:highlight w:val="none"/>
        </w:rPr>
        <w:t>标处理</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zh-CN" w:eastAsia="zh-CN"/>
        </w:rPr>
        <w:t xml:space="preserve"> </w:t>
      </w:r>
    </w:p>
    <w:p w14:paraId="0725A465">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供应商应按“工程量清单”的要求填写相应表格，已标价工程量清单与采购人提供的工程量清单中项目名称、项目特征、计量单位和工程量完全一致。</w:t>
      </w:r>
    </w:p>
    <w:p w14:paraId="6F06C722">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rPr>
        <w:t>3.2.3本项目采用综合单价进行工程量清单</w:t>
      </w:r>
      <w:r>
        <w:rPr>
          <w:rFonts w:hint="eastAsia" w:ascii="宋体" w:hAnsi="宋体"/>
          <w:color w:val="auto"/>
          <w:sz w:val="21"/>
          <w:szCs w:val="21"/>
          <w:highlight w:val="none"/>
          <w:lang w:val="en-US" w:eastAsia="zh-CN"/>
        </w:rPr>
        <w:t>磋商</w:t>
      </w:r>
      <w:r>
        <w:rPr>
          <w:rFonts w:hint="eastAsia" w:ascii="宋体" w:hAnsi="宋体"/>
          <w:color w:val="auto"/>
          <w:sz w:val="21"/>
          <w:szCs w:val="21"/>
          <w:highlight w:val="none"/>
        </w:rPr>
        <w:t>报价，磋商报价应依据竞争性磋商文件、答疑的要求</w:t>
      </w:r>
      <w:r>
        <w:rPr>
          <w:rFonts w:hint="eastAsia" w:ascii="宋体" w:hAnsi="宋体"/>
          <w:color w:val="auto"/>
          <w:sz w:val="21"/>
          <w:szCs w:val="21"/>
          <w:highlight w:val="none"/>
          <w:lang w:val="zh-CN" w:eastAsia="zh-CN"/>
        </w:rPr>
        <w:t>及采购人提供的图纸、技术要求、工程量清单</w:t>
      </w:r>
      <w:r>
        <w:rPr>
          <w:rFonts w:hint="eastAsia" w:ascii="宋体" w:hAnsi="宋体"/>
          <w:color w:val="auto"/>
          <w:sz w:val="21"/>
          <w:szCs w:val="21"/>
          <w:highlight w:val="none"/>
        </w:rPr>
        <w:t>，执行国家</w:t>
      </w:r>
      <w:r>
        <w:rPr>
          <w:rFonts w:hint="eastAsia" w:ascii="宋体" w:hAnsi="宋体"/>
          <w:color w:val="auto"/>
          <w:sz w:val="21"/>
          <w:szCs w:val="21"/>
          <w:highlight w:val="none"/>
          <w:lang w:val="zh-CN" w:eastAsia="zh-CN"/>
        </w:rPr>
        <w:t>或行业</w:t>
      </w:r>
      <w:r>
        <w:rPr>
          <w:rFonts w:hint="eastAsia" w:ascii="宋体" w:hAnsi="宋体"/>
          <w:color w:val="auto"/>
          <w:sz w:val="21"/>
          <w:szCs w:val="21"/>
          <w:highlight w:val="none"/>
        </w:rPr>
        <w:t>现行</w:t>
      </w:r>
      <w:r>
        <w:rPr>
          <w:rFonts w:hint="eastAsia" w:ascii="宋体" w:hAnsi="宋体"/>
          <w:color w:val="auto"/>
          <w:sz w:val="21"/>
          <w:szCs w:val="21"/>
          <w:highlight w:val="none"/>
          <w:lang w:val="en-US" w:eastAsia="zh-CN"/>
        </w:rPr>
        <w:t>质量标准、</w:t>
      </w:r>
      <w:r>
        <w:rPr>
          <w:rFonts w:hint="eastAsia" w:ascii="宋体" w:hAnsi="宋体"/>
          <w:color w:val="auto"/>
          <w:sz w:val="21"/>
          <w:szCs w:val="21"/>
          <w:highlight w:val="none"/>
        </w:rPr>
        <w:t>技术经济标准、定额及规范，以及供应商对现场实际情况的勘察和市场竞争因素，并结合企业实力自行确定。该报价应符合国内行情并</w:t>
      </w:r>
      <w:r>
        <w:rPr>
          <w:rFonts w:hint="eastAsia" w:ascii="宋体" w:hAnsi="宋体" w:eastAsia="宋体" w:cs="Times New Roman"/>
          <w:color w:val="auto"/>
          <w:sz w:val="21"/>
          <w:szCs w:val="21"/>
          <w:highlight w:val="none"/>
          <w:lang w:val="en-US" w:eastAsia="zh-CN"/>
        </w:rPr>
        <w:t>能保证供应商完成履行合同所需的一切工作。</w:t>
      </w:r>
    </w:p>
    <w:p w14:paraId="5F9DFB3B">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rPr>
        <w:t>3.2.4 供应商不得哄抬报价，也不应低于成本价（或进价）报价。磋商小组认为供应商的最低报价或者某些分项报价明显不合理或者低于成本，有可能影</w:t>
      </w:r>
      <w:r>
        <w:rPr>
          <w:rFonts w:hint="eastAsia" w:ascii="宋体" w:hAnsi="宋体"/>
          <w:color w:val="auto"/>
          <w:sz w:val="21"/>
          <w:szCs w:val="21"/>
          <w:highlight w:val="none"/>
        </w:rPr>
        <w:t>响商品质量和不能诚信履约的，将要求其在规定的期限内提供书面文件予以解释说明，并提交相关证明材料。否则，</w:t>
      </w:r>
      <w:r>
        <w:rPr>
          <w:rFonts w:hint="eastAsia" w:ascii="宋体" w:hAnsi="宋体"/>
          <w:color w:val="auto"/>
          <w:sz w:val="21"/>
          <w:szCs w:val="21"/>
          <w:highlight w:val="none"/>
          <w:lang w:eastAsia="zh-CN"/>
        </w:rPr>
        <w:t>磋商</w:t>
      </w:r>
      <w:r>
        <w:rPr>
          <w:rFonts w:hint="eastAsia" w:ascii="宋体" w:hAnsi="宋体"/>
          <w:color w:val="auto"/>
          <w:sz w:val="21"/>
          <w:szCs w:val="21"/>
          <w:highlight w:val="none"/>
        </w:rPr>
        <w:t>小组可以取消该供应商的成交候选资格。</w:t>
      </w:r>
    </w:p>
    <w:p w14:paraId="3632062F">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rPr>
        <w:t>3.2.5</w:t>
      </w:r>
      <w:r>
        <w:rPr>
          <w:rFonts w:hint="eastAsia" w:ascii="宋体" w:hAnsi="宋体"/>
          <w:color w:val="auto"/>
          <w:sz w:val="21"/>
          <w:szCs w:val="21"/>
          <w:highlight w:val="none"/>
          <w:lang w:eastAsia="zh-CN"/>
        </w:rPr>
        <w:t>磋商</w:t>
      </w:r>
      <w:r>
        <w:rPr>
          <w:rFonts w:hint="eastAsia" w:ascii="宋体" w:hAnsi="宋体"/>
          <w:color w:val="auto"/>
          <w:sz w:val="21"/>
          <w:szCs w:val="21"/>
          <w:highlight w:val="none"/>
        </w:rPr>
        <w:t>阶段的工程量与实际发生的工程量发生变化时，以实际发生为准（实际发生的工程量变化指：实际发生的，经采购单位审定的数量）</w:t>
      </w:r>
      <w:r>
        <w:rPr>
          <w:rFonts w:hint="eastAsia" w:ascii="宋体" w:hAnsi="宋体"/>
          <w:color w:val="auto"/>
          <w:sz w:val="21"/>
          <w:szCs w:val="21"/>
          <w:highlight w:val="none"/>
          <w:lang w:eastAsia="zh-CN"/>
        </w:rPr>
        <w:t>。</w:t>
      </w:r>
    </w:p>
    <w:p w14:paraId="3030E45A">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3.2.6</w:t>
      </w:r>
      <w:r>
        <w:rPr>
          <w:rFonts w:hint="eastAsia" w:ascii="宋体" w:hAnsi="宋体"/>
          <w:color w:val="auto"/>
          <w:sz w:val="21"/>
          <w:szCs w:val="21"/>
          <w:highlight w:val="none"/>
          <w:lang w:val="zh-CN" w:eastAsia="zh-CN"/>
        </w:rPr>
        <w:t>供应商先到工地踏勘以充分了解工地位置、情况。装卸限制及任何其他足以影响承包价的情况， 任何因忽视或误解工地情况而导致的索赔或工期延长申请将不被批准。</w:t>
      </w:r>
    </w:p>
    <w:p w14:paraId="308C1DA5">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3.2.</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通过实质性审查的供应商</w:t>
      </w:r>
      <w:r>
        <w:rPr>
          <w:rFonts w:hint="eastAsia" w:ascii="宋体" w:hAnsi="宋体" w:eastAsia="宋体" w:cs="宋体"/>
          <w:b w:val="0"/>
          <w:bCs/>
          <w:color w:val="auto"/>
          <w:sz w:val="21"/>
          <w:szCs w:val="21"/>
          <w:highlight w:val="none"/>
          <w:lang w:val="en-US" w:eastAsia="zh-CN"/>
        </w:rPr>
        <w:t>在系统上“政采云平台（网址：https://www.zcygov.cn/）”等待代理机构通知最后报价，</w:t>
      </w:r>
      <w:r>
        <w:rPr>
          <w:rFonts w:hint="eastAsia" w:ascii="宋体" w:hAnsi="宋体"/>
          <w:color w:val="auto"/>
          <w:sz w:val="21"/>
          <w:szCs w:val="21"/>
          <w:highlight w:val="none"/>
        </w:rPr>
        <w:t>第二轮报价为</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是供应商响应文件的有效组成部分。</w:t>
      </w:r>
    </w:p>
    <w:p w14:paraId="40598A52">
      <w:pPr>
        <w:keepNext w:val="0"/>
        <w:keepLines w:val="0"/>
        <w:pageBreakBefore w:val="0"/>
        <w:kinsoku/>
        <w:wordWrap/>
        <w:topLinePunct w:val="0"/>
        <w:bidi w:val="0"/>
        <w:snapToGrid/>
        <w:spacing w:line="440" w:lineRule="exact"/>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注：</w:t>
      </w:r>
      <w:r>
        <w:rPr>
          <w:rFonts w:hint="eastAsia" w:ascii="宋体" w:hAnsi="宋体"/>
          <w:b/>
          <w:bCs/>
          <w:color w:val="auto"/>
          <w:sz w:val="21"/>
          <w:szCs w:val="21"/>
          <w:highlight w:val="none"/>
          <w:lang w:eastAsia="zh-CN"/>
        </w:rPr>
        <w:t>磋商响应人</w:t>
      </w:r>
      <w:r>
        <w:rPr>
          <w:rFonts w:hint="eastAsia" w:ascii="宋体" w:hAnsi="宋体"/>
          <w:b/>
          <w:bCs/>
          <w:color w:val="auto"/>
          <w:sz w:val="21"/>
          <w:szCs w:val="21"/>
          <w:highlight w:val="none"/>
          <w:lang w:val="zh-CN" w:eastAsia="zh-CN"/>
        </w:rPr>
        <w:t>最后磋商报价</w:t>
      </w:r>
      <w:r>
        <w:rPr>
          <w:rFonts w:hint="eastAsia" w:ascii="宋体" w:hAnsi="宋体"/>
          <w:b/>
          <w:bCs/>
          <w:color w:val="auto"/>
          <w:sz w:val="21"/>
          <w:szCs w:val="21"/>
          <w:highlight w:val="none"/>
        </w:rPr>
        <w:t>在一次报价的基础上“浮动比例”将作为工程量清单每项单价在第一次报价基础上的浮动比例，并作为工程结算价依据。</w:t>
      </w:r>
    </w:p>
    <w:p w14:paraId="2CD236E2">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3.2.</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若已递交的</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出现含义不明确、同类问题表述不一致或者签署不完整、有明显文字和计算错误的，可以进行澄清和补充，但不得改变</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文件中报价等实质性内容（算术性错误修正的除外）。</w:t>
      </w:r>
    </w:p>
    <w:p w14:paraId="23B04F4F">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3.3 磋商有效期</w:t>
      </w:r>
      <w:bookmarkEnd w:id="72"/>
      <w:bookmarkEnd w:id="73"/>
      <w:bookmarkEnd w:id="74"/>
      <w:bookmarkEnd w:id="75"/>
      <w:bookmarkEnd w:id="76"/>
      <w:bookmarkEnd w:id="77"/>
      <w:bookmarkEnd w:id="78"/>
      <w:bookmarkEnd w:id="79"/>
    </w:p>
    <w:p w14:paraId="61F60231">
      <w:pPr>
        <w:pStyle w:val="11"/>
        <w:keepNext w:val="0"/>
        <w:keepLines w:val="0"/>
        <w:pageBreakBefore w:val="0"/>
        <w:kinsoku/>
        <w:wordWrap/>
        <w:topLinePunct w:val="0"/>
        <w:bidi w:val="0"/>
        <w:snapToGrid/>
        <w:spacing w:line="440" w:lineRule="exact"/>
        <w:ind w:firstLine="420" w:firstLineChars="200"/>
        <w:rPr>
          <w:rFonts w:hAnsi="宋体" w:cs="宋体"/>
          <w:color w:val="auto"/>
          <w:kern w:val="0"/>
          <w:szCs w:val="21"/>
          <w:highlight w:val="none"/>
        </w:rPr>
      </w:pPr>
      <w:r>
        <w:rPr>
          <w:rFonts w:hint="eastAsia" w:hAnsi="宋体" w:cs="宋体"/>
          <w:bCs/>
          <w:color w:val="auto"/>
          <w:kern w:val="0"/>
          <w:szCs w:val="21"/>
          <w:highlight w:val="none"/>
        </w:rPr>
        <w:t>3.3.1</w:t>
      </w:r>
      <w:r>
        <w:rPr>
          <w:rFonts w:hint="eastAsia" w:hAnsi="宋体" w:cs="宋体"/>
          <w:color w:val="auto"/>
          <w:kern w:val="0"/>
          <w:szCs w:val="21"/>
          <w:highlight w:val="none"/>
        </w:rPr>
        <w:t xml:space="preserve"> 在供应商须知前附表规定的磋商有效期内，供应商不得要求撤销或修改其磋商文件。</w:t>
      </w:r>
    </w:p>
    <w:p w14:paraId="1613C8B0">
      <w:pPr>
        <w:pStyle w:val="11"/>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Ansi="宋体" w:cs="宋体"/>
          <w:color w:val="auto"/>
          <w:kern w:val="0"/>
          <w:szCs w:val="21"/>
          <w:highlight w:val="none"/>
        </w:rPr>
      </w:pPr>
      <w:r>
        <w:rPr>
          <w:rFonts w:hint="eastAsia" w:hAnsi="宋体" w:cs="宋体"/>
          <w:bCs/>
          <w:color w:val="auto"/>
          <w:kern w:val="0"/>
          <w:szCs w:val="21"/>
          <w:highlight w:val="none"/>
        </w:rPr>
        <w:t xml:space="preserve">3.3.2 </w:t>
      </w:r>
      <w:r>
        <w:rPr>
          <w:rFonts w:hint="eastAsia" w:hAnsi="宋体" w:cs="宋体"/>
          <w:color w:val="auto"/>
          <w:kern w:val="0"/>
          <w:szCs w:val="21"/>
          <w:highlight w:val="none"/>
        </w:rPr>
        <w:t>出现特殊情况需要延长磋商有效期的，采购人</w:t>
      </w:r>
      <w:r>
        <w:rPr>
          <w:rFonts w:hint="eastAsia" w:hAnsi="宋体" w:cs="宋体"/>
          <w:color w:val="auto"/>
          <w:kern w:val="0"/>
          <w:szCs w:val="21"/>
          <w:highlight w:val="none"/>
          <w:lang w:val="en-US" w:eastAsia="zh-CN"/>
        </w:rPr>
        <w:t>通过</w:t>
      </w:r>
      <w:r>
        <w:rPr>
          <w:rFonts w:hint="eastAsia" w:ascii="宋体" w:hAnsi="宋体" w:cs="宋体"/>
          <w:bCs/>
          <w:color w:val="auto"/>
          <w:kern w:val="0"/>
          <w:szCs w:val="21"/>
          <w:highlight w:val="none"/>
          <w:lang w:val="en-US" w:eastAsia="zh-CN"/>
        </w:rPr>
        <w:t>“政采云”平台（网址：https://www.zcygov.cn/)</w:t>
      </w:r>
      <w:r>
        <w:rPr>
          <w:rFonts w:hint="eastAsia" w:hAnsi="宋体" w:cs="宋体"/>
          <w:color w:val="auto"/>
          <w:kern w:val="0"/>
          <w:szCs w:val="21"/>
          <w:highlight w:val="none"/>
        </w:rPr>
        <w:t>通知所有供应商延长磋商有效期。供应商同意延长的，应相应延长其磋商保证金的有效期，但不得要求或被允许修改或撤销其磋商文件；供应商拒绝延长的，其磋商失效，但供应商有权收回其磋商保证金。</w:t>
      </w:r>
    </w:p>
    <w:p w14:paraId="4850E7E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80" w:name="_Toc260172662"/>
      <w:bookmarkStart w:id="81" w:name="_Toc199321904"/>
      <w:bookmarkStart w:id="82" w:name="_Toc381278398"/>
      <w:bookmarkStart w:id="83" w:name="_Toc491246654"/>
      <w:bookmarkStart w:id="84" w:name="_Toc247277949"/>
      <w:bookmarkStart w:id="85" w:name="_Toc382901562"/>
      <w:bookmarkStart w:id="86" w:name="_Toc262675329"/>
      <w:bookmarkStart w:id="87" w:name="_Toc209498825"/>
      <w:r>
        <w:rPr>
          <w:rFonts w:hint="eastAsia" w:ascii="宋体" w:hAnsi="宋体" w:cs="宋体"/>
          <w:b/>
          <w:color w:val="auto"/>
          <w:kern w:val="0"/>
          <w:szCs w:val="21"/>
          <w:highlight w:val="none"/>
        </w:rPr>
        <w:t>3.4 磋商保证金</w:t>
      </w:r>
      <w:bookmarkEnd w:id="80"/>
      <w:bookmarkEnd w:id="81"/>
      <w:bookmarkEnd w:id="82"/>
      <w:bookmarkEnd w:id="83"/>
      <w:bookmarkEnd w:id="84"/>
      <w:bookmarkEnd w:id="85"/>
      <w:bookmarkEnd w:id="86"/>
      <w:bookmarkEnd w:id="87"/>
    </w:p>
    <w:p w14:paraId="0C14EF63">
      <w:pPr>
        <w:pStyle w:val="11"/>
        <w:keepNext w:val="0"/>
        <w:keepLines w:val="0"/>
        <w:pageBreakBefore w:val="0"/>
        <w:kinsoku/>
        <w:wordWrap/>
        <w:topLinePunct w:val="0"/>
        <w:bidi w:val="0"/>
        <w:snapToGrid/>
        <w:spacing w:line="440" w:lineRule="exact"/>
        <w:ind w:firstLine="420" w:firstLineChars="200"/>
        <w:rPr>
          <w:rFonts w:hint="default" w:hAnsi="宋体" w:eastAsia="宋体" w:cs="宋体"/>
          <w:color w:val="auto"/>
          <w:kern w:val="0"/>
          <w:szCs w:val="21"/>
          <w:highlight w:val="none"/>
          <w:lang w:val="en-US" w:eastAsia="zh-CN"/>
        </w:rPr>
      </w:pPr>
      <w:r>
        <w:rPr>
          <w:rFonts w:hint="eastAsia" w:hAnsi="宋体" w:cs="宋体"/>
          <w:bCs/>
          <w:color w:val="auto"/>
          <w:kern w:val="0"/>
          <w:szCs w:val="21"/>
          <w:highlight w:val="none"/>
          <w:lang w:val="en-US" w:eastAsia="zh-CN"/>
        </w:rPr>
        <w:t>本项目无需提供保证金</w:t>
      </w:r>
    </w:p>
    <w:p w14:paraId="5E161044">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3.4.4 有下列情形之一的，磋商保证金不予退还：</w:t>
      </w:r>
    </w:p>
    <w:p w14:paraId="251E62DF">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1</w:t>
      </w:r>
      <w:r>
        <w:rPr>
          <w:rFonts w:hint="eastAsia" w:ascii="宋体" w:hAnsi="宋体" w:cs="宋体"/>
          <w:bCs/>
          <w:color w:val="auto"/>
          <w:spacing w:val="-4"/>
          <w:kern w:val="0"/>
          <w:szCs w:val="21"/>
          <w:highlight w:val="none"/>
        </w:rPr>
        <w:t>）供应商在提交响应文件截止时间后撤回响应文件的；</w:t>
      </w:r>
    </w:p>
    <w:p w14:paraId="5FE6068D">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2</w:t>
      </w:r>
      <w:r>
        <w:rPr>
          <w:rFonts w:hint="eastAsia" w:ascii="宋体" w:hAnsi="宋体" w:cs="宋体"/>
          <w:bCs/>
          <w:color w:val="auto"/>
          <w:spacing w:val="-4"/>
          <w:kern w:val="0"/>
          <w:szCs w:val="21"/>
          <w:highlight w:val="none"/>
        </w:rPr>
        <w:t>）供应商在响应文件中提供虚假材料的；</w:t>
      </w:r>
    </w:p>
    <w:p w14:paraId="17E61C9B">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3</w:t>
      </w:r>
      <w:r>
        <w:rPr>
          <w:rFonts w:hint="eastAsia" w:ascii="宋体" w:hAnsi="宋体" w:cs="宋体"/>
          <w:bCs/>
          <w:color w:val="auto"/>
          <w:spacing w:val="-4"/>
          <w:kern w:val="0"/>
          <w:szCs w:val="21"/>
          <w:highlight w:val="none"/>
        </w:rPr>
        <w:t>）除因不可抗力或磋商文件认可的情形以外，成交供应商不与采购人签订合同的；</w:t>
      </w:r>
    </w:p>
    <w:p w14:paraId="63448E1F">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4</w:t>
      </w:r>
      <w:r>
        <w:rPr>
          <w:rFonts w:hint="eastAsia" w:ascii="宋体" w:hAnsi="宋体" w:eastAsia="宋体" w:cs="宋体"/>
          <w:bCs/>
          <w:color w:val="auto"/>
          <w:spacing w:val="-4"/>
          <w:kern w:val="0"/>
          <w:szCs w:val="21"/>
          <w:highlight w:val="none"/>
        </w:rPr>
        <w:t>）供应商与采购人、其他供应商或者采购代理机构恶意串通的；</w:t>
      </w:r>
    </w:p>
    <w:p w14:paraId="68A2D8D1">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lang w:eastAsia="zh-CN"/>
        </w:rPr>
      </w:pPr>
      <w:r>
        <w:rPr>
          <w:rFonts w:hint="eastAsia" w:ascii="宋体" w:hAnsi="宋体" w:eastAsia="宋体" w:cs="宋体"/>
          <w:bCs/>
          <w:color w:val="auto"/>
          <w:spacing w:val="-4"/>
          <w:kern w:val="0"/>
          <w:szCs w:val="21"/>
          <w:highlight w:val="none"/>
          <w:lang w:eastAsia="zh-CN"/>
        </w:rPr>
        <w:t>（</w:t>
      </w:r>
      <w:r>
        <w:rPr>
          <w:rFonts w:hint="eastAsia" w:ascii="宋体" w:hAnsi="宋体" w:eastAsia="宋体" w:cs="宋体"/>
          <w:bCs/>
          <w:color w:val="auto"/>
          <w:spacing w:val="-4"/>
          <w:kern w:val="0"/>
          <w:szCs w:val="21"/>
          <w:highlight w:val="none"/>
          <w:lang w:val="en-US" w:eastAsia="zh-CN"/>
        </w:rPr>
        <w:t>5</w:t>
      </w:r>
      <w:r>
        <w:rPr>
          <w:rFonts w:hint="eastAsia" w:ascii="宋体" w:hAnsi="宋体" w:eastAsia="宋体" w:cs="宋体"/>
          <w:bCs/>
          <w:color w:val="auto"/>
          <w:spacing w:val="-4"/>
          <w:kern w:val="0"/>
          <w:szCs w:val="21"/>
          <w:highlight w:val="none"/>
          <w:lang w:eastAsia="zh-CN"/>
        </w:rPr>
        <w:t>）</w:t>
      </w:r>
      <w:r>
        <w:rPr>
          <w:rFonts w:hint="eastAsia" w:ascii="宋体" w:hAnsi="宋体" w:cs="宋体"/>
          <w:bCs/>
          <w:color w:val="auto"/>
          <w:spacing w:val="-4"/>
          <w:kern w:val="0"/>
          <w:szCs w:val="21"/>
          <w:highlight w:val="none"/>
          <w:lang w:eastAsia="zh-CN"/>
        </w:rPr>
        <w:t>成交供应商</w:t>
      </w:r>
      <w:r>
        <w:rPr>
          <w:rFonts w:hint="eastAsia" w:ascii="宋体" w:hAnsi="宋体" w:eastAsia="宋体" w:cs="宋体"/>
          <w:caps w:val="0"/>
          <w:color w:val="auto"/>
          <w:spacing w:val="0"/>
          <w:position w:val="0"/>
          <w:sz w:val="21"/>
          <w:szCs w:val="21"/>
          <w:highlight w:val="none"/>
          <w:lang w:val="en-US" w:eastAsia="zh-CN"/>
        </w:rPr>
        <w:t>未按磋商文件的规定支付招标代理费的；</w:t>
      </w:r>
    </w:p>
    <w:p w14:paraId="57DCCBEC">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color w:val="auto"/>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6</w:t>
      </w:r>
      <w:r>
        <w:rPr>
          <w:rFonts w:hint="eastAsia" w:ascii="宋体" w:hAnsi="宋体" w:cs="宋体"/>
          <w:bCs/>
          <w:color w:val="auto"/>
          <w:spacing w:val="-4"/>
          <w:kern w:val="0"/>
          <w:szCs w:val="21"/>
          <w:highlight w:val="none"/>
        </w:rPr>
        <w:t>）磋商文件规定的其他情形。</w:t>
      </w:r>
    </w:p>
    <w:p w14:paraId="1E4BC2C2">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88" w:name="_Toc260172663"/>
      <w:bookmarkStart w:id="89" w:name="_Toc381278399"/>
      <w:bookmarkStart w:id="90" w:name="_Toc262675330"/>
      <w:bookmarkStart w:id="91" w:name="_Toc209498826"/>
      <w:bookmarkStart w:id="92" w:name="_Toc382901563"/>
      <w:bookmarkStart w:id="93" w:name="_Toc247277950"/>
      <w:bookmarkStart w:id="94" w:name="_Toc491246655"/>
      <w:bookmarkStart w:id="95" w:name="_Toc199321905"/>
      <w:r>
        <w:rPr>
          <w:rFonts w:hint="eastAsia" w:ascii="宋体" w:hAnsi="宋体" w:cs="宋体"/>
          <w:b/>
          <w:color w:val="auto"/>
          <w:kern w:val="0"/>
          <w:szCs w:val="21"/>
          <w:highlight w:val="none"/>
        </w:rPr>
        <w:t>3.5 资格审查资料</w:t>
      </w:r>
      <w:bookmarkEnd w:id="88"/>
      <w:bookmarkEnd w:id="89"/>
      <w:bookmarkEnd w:id="90"/>
      <w:bookmarkEnd w:id="91"/>
      <w:bookmarkEnd w:id="92"/>
      <w:bookmarkEnd w:id="93"/>
      <w:bookmarkEnd w:id="94"/>
      <w:bookmarkEnd w:id="95"/>
    </w:p>
    <w:p w14:paraId="1AE09A6A">
      <w:pPr>
        <w:pStyle w:val="21"/>
        <w:keepNext w:val="0"/>
        <w:keepLines w:val="0"/>
        <w:pageBreakBefore w:val="0"/>
        <w:kinsoku/>
        <w:wordWrap/>
        <w:topLinePunct w:val="0"/>
        <w:bidi w:val="0"/>
        <w:snapToGrid/>
        <w:spacing w:line="440" w:lineRule="exact"/>
        <w:ind w:left="0" w:leftChars="0"/>
        <w:rPr>
          <w:rFonts w:ascii="宋体" w:hAnsi="宋体" w:cs="宋体"/>
          <w:color w:val="auto"/>
          <w:kern w:val="0"/>
          <w:szCs w:val="21"/>
          <w:highlight w:val="none"/>
        </w:rPr>
      </w:pPr>
      <w:r>
        <w:rPr>
          <w:rFonts w:hint="eastAsia" w:ascii="宋体" w:hAnsi="宋体" w:cs="宋体"/>
          <w:color w:val="auto"/>
          <w:kern w:val="0"/>
          <w:szCs w:val="21"/>
          <w:highlight w:val="none"/>
        </w:rPr>
        <w:t>3.5.1详见供应商须知前附表第1.4.1条供应商资格要求及招标文件中其他资格要求。</w:t>
      </w:r>
    </w:p>
    <w:p w14:paraId="752BB9F3">
      <w:pPr>
        <w:pStyle w:val="21"/>
        <w:keepNext w:val="0"/>
        <w:keepLines w:val="0"/>
        <w:pageBreakBefore w:val="0"/>
        <w:kinsoku/>
        <w:wordWrap/>
        <w:topLinePunct w:val="0"/>
        <w:bidi w:val="0"/>
        <w:snapToGrid/>
        <w:spacing w:line="440" w:lineRule="exact"/>
        <w:ind w:left="0" w:leftChars="0"/>
        <w:rPr>
          <w:rFonts w:ascii="宋体" w:hAnsi="宋体" w:cs="宋体"/>
          <w:color w:val="auto"/>
          <w:kern w:val="0"/>
          <w:szCs w:val="21"/>
          <w:highlight w:val="none"/>
        </w:rPr>
      </w:pPr>
      <w:r>
        <w:rPr>
          <w:rFonts w:hint="eastAsia" w:ascii="宋体" w:hAnsi="宋体" w:cs="宋体"/>
          <w:color w:val="auto"/>
          <w:kern w:val="0"/>
          <w:szCs w:val="21"/>
          <w:highlight w:val="none"/>
        </w:rPr>
        <w:t>3.5.2资格审查方式：见供应商须知前附表。</w:t>
      </w:r>
    </w:p>
    <w:p w14:paraId="1C855F55">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96" w:name="_Toc382901565"/>
      <w:bookmarkStart w:id="97" w:name="_Toc491246657"/>
      <w:bookmarkStart w:id="98" w:name="_Toc262675331"/>
      <w:bookmarkStart w:id="99" w:name="_Toc260172665"/>
      <w:bookmarkStart w:id="100" w:name="_Toc247277952"/>
      <w:bookmarkStart w:id="101" w:name="_Toc199321908"/>
      <w:bookmarkStart w:id="102" w:name="_Toc381278401"/>
      <w:bookmarkStart w:id="103" w:name="_Toc209498828"/>
      <w:r>
        <w:rPr>
          <w:rFonts w:hint="eastAsia" w:ascii="宋体" w:hAnsi="宋体" w:cs="宋体"/>
          <w:b/>
          <w:color w:val="auto"/>
          <w:kern w:val="0"/>
          <w:szCs w:val="21"/>
          <w:highlight w:val="none"/>
        </w:rPr>
        <w:t xml:space="preserve">3.6 </w:t>
      </w:r>
      <w:r>
        <w:rPr>
          <w:rFonts w:hint="eastAsia" w:ascii="宋体" w:hAnsi="宋体" w:cs="宋体"/>
          <w:b/>
          <w:color w:val="auto"/>
          <w:szCs w:val="21"/>
          <w:highlight w:val="none"/>
        </w:rPr>
        <w:t>磋商响应文件</w:t>
      </w:r>
      <w:r>
        <w:rPr>
          <w:rFonts w:hint="eastAsia" w:ascii="宋体" w:hAnsi="宋体" w:cs="宋体"/>
          <w:b/>
          <w:color w:val="auto"/>
          <w:kern w:val="0"/>
          <w:szCs w:val="21"/>
          <w:highlight w:val="none"/>
        </w:rPr>
        <w:t>的编制</w:t>
      </w:r>
      <w:bookmarkEnd w:id="96"/>
      <w:bookmarkEnd w:id="97"/>
      <w:bookmarkEnd w:id="98"/>
      <w:bookmarkEnd w:id="99"/>
      <w:bookmarkEnd w:id="100"/>
      <w:bookmarkEnd w:id="101"/>
      <w:bookmarkEnd w:id="102"/>
      <w:bookmarkEnd w:id="103"/>
    </w:p>
    <w:p w14:paraId="63F3BBF6">
      <w:pPr>
        <w:pStyle w:val="11"/>
        <w:keepNext w:val="0"/>
        <w:keepLines w:val="0"/>
        <w:pageBreakBefore w:val="0"/>
        <w:kinsoku/>
        <w:wordWrap/>
        <w:topLinePunct w:val="0"/>
        <w:bidi w:val="0"/>
        <w:snapToGrid/>
        <w:spacing w:line="440" w:lineRule="exact"/>
        <w:ind w:firstLine="420" w:firstLineChars="200"/>
        <w:outlineLvl w:val="0"/>
        <w:rPr>
          <w:rFonts w:hint="eastAsia" w:hAnsi="宋体" w:cs="宋体"/>
          <w:color w:val="auto"/>
          <w:sz w:val="21"/>
          <w:szCs w:val="21"/>
          <w:lang w:eastAsia="zh-CN"/>
        </w:rPr>
      </w:pPr>
      <w:r>
        <w:rPr>
          <w:rFonts w:hint="eastAsia" w:hAnsi="宋体" w:cs="宋体"/>
          <w:color w:val="auto"/>
          <w:szCs w:val="21"/>
          <w:highlight w:val="none"/>
        </w:rPr>
        <w:t>3.6.1</w:t>
      </w:r>
      <w:bookmarkStart w:id="104" w:name="_Toc382901566"/>
      <w:bookmarkStart w:id="105" w:name="_Toc262675332"/>
      <w:bookmarkStart w:id="106" w:name="_Toc247277953"/>
      <w:bookmarkStart w:id="107" w:name="_Toc199321914"/>
      <w:bookmarkStart w:id="108" w:name="_Toc260172666"/>
      <w:bookmarkStart w:id="109" w:name="_Toc491246658"/>
      <w:bookmarkStart w:id="110" w:name="_Toc209498829"/>
      <w:r>
        <w:rPr>
          <w:rFonts w:hint="eastAsia" w:hAnsi="宋体" w:cs="宋体"/>
          <w:color w:val="auto"/>
          <w:sz w:val="21"/>
          <w:szCs w:val="21"/>
          <w:lang w:val="en-US" w:eastAsia="zh-CN"/>
        </w:rPr>
        <w:t>供应商登录</w:t>
      </w:r>
      <w:r>
        <w:rPr>
          <w:rFonts w:hint="eastAsia" w:ascii="宋体" w:hAnsi="宋体" w:cs="宋体"/>
          <w:color w:val="auto"/>
          <w:sz w:val="21"/>
          <w:szCs w:val="21"/>
        </w:rPr>
        <w:t>“政采云”平台（</w:t>
      </w:r>
      <w:r>
        <w:rPr>
          <w:rFonts w:hint="eastAsia" w:hAnsi="宋体" w:cs="宋体"/>
          <w:color w:val="auto"/>
          <w:sz w:val="21"/>
          <w:szCs w:val="21"/>
          <w:lang w:val="en-US" w:eastAsia="zh-CN"/>
        </w:rPr>
        <w:t>网址：</w:t>
      </w:r>
      <w:r>
        <w:rPr>
          <w:rFonts w:hint="eastAsia" w:ascii="宋体" w:hAnsi="宋体" w:cs="宋体"/>
          <w:color w:val="auto"/>
          <w:sz w:val="21"/>
          <w:szCs w:val="21"/>
        </w:rPr>
        <w:t>http</w:t>
      </w:r>
      <w:r>
        <w:rPr>
          <w:rFonts w:hint="eastAsia" w:hAnsi="宋体" w:cs="宋体"/>
          <w:color w:val="auto"/>
          <w:sz w:val="21"/>
          <w:szCs w:val="21"/>
          <w:lang w:val="en-US" w:eastAsia="zh-CN"/>
        </w:rPr>
        <w:t>:</w:t>
      </w:r>
      <w:r>
        <w:rPr>
          <w:rFonts w:hint="eastAsia" w:ascii="宋体" w:hAnsi="宋体" w:cs="宋体"/>
          <w:color w:val="auto"/>
          <w:sz w:val="21"/>
          <w:szCs w:val="21"/>
        </w:rPr>
        <w:t>//www.zcygov.cn）中下载的政采云电子投标客户端制作，并进行电子签章及加密后上传至政采云平台</w:t>
      </w:r>
      <w:r>
        <w:rPr>
          <w:rFonts w:hint="eastAsia" w:hAnsi="宋体" w:cs="宋体"/>
          <w:color w:val="auto"/>
          <w:szCs w:val="21"/>
          <w:highlight w:val="none"/>
        </w:rPr>
        <w:t>。</w:t>
      </w:r>
      <w:r>
        <w:rPr>
          <w:rFonts w:hint="eastAsia" w:ascii="宋体" w:hAnsi="宋体" w:cs="宋体"/>
          <w:color w:val="auto"/>
          <w:sz w:val="21"/>
          <w:szCs w:val="21"/>
        </w:rPr>
        <w:t>如</w:t>
      </w:r>
      <w:r>
        <w:rPr>
          <w:rFonts w:hint="eastAsia" w:hAnsi="宋体" w:cs="宋体"/>
          <w:color w:val="auto"/>
          <w:sz w:val="21"/>
          <w:szCs w:val="21"/>
          <w:lang w:eastAsia="zh-CN"/>
        </w:rPr>
        <w:t>供应商</w:t>
      </w:r>
      <w:r>
        <w:rPr>
          <w:rFonts w:hint="eastAsia" w:ascii="宋体" w:hAnsi="宋体" w:cs="宋体"/>
          <w:color w:val="auto"/>
          <w:sz w:val="21"/>
          <w:szCs w:val="21"/>
        </w:rPr>
        <w:t>提交的电子标书不符合要求或开标时无法读取导入或解密，其投标（响应）文件将不予受理</w:t>
      </w:r>
      <w:r>
        <w:rPr>
          <w:rFonts w:hint="eastAsia" w:hAnsi="宋体" w:cs="宋体"/>
          <w:color w:val="auto"/>
          <w:sz w:val="21"/>
          <w:szCs w:val="21"/>
          <w:lang w:eastAsia="zh-CN"/>
        </w:rPr>
        <w:t>。</w:t>
      </w:r>
    </w:p>
    <w:p w14:paraId="6FA0C44D">
      <w:pPr>
        <w:pStyle w:val="11"/>
        <w:keepNext w:val="0"/>
        <w:keepLines w:val="0"/>
        <w:pageBreakBefore w:val="0"/>
        <w:kinsoku/>
        <w:wordWrap/>
        <w:topLinePunct w:val="0"/>
        <w:bidi w:val="0"/>
        <w:snapToGrid/>
        <w:spacing w:line="440" w:lineRule="exact"/>
        <w:ind w:firstLine="420" w:firstLineChars="200"/>
        <w:outlineLvl w:val="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3.6.2本项目为全流程电子化项目，通过“政采云”平台（</w:t>
      </w:r>
      <w:r>
        <w:rPr>
          <w:rFonts w:hint="eastAsia" w:hAnsi="宋体" w:cs="宋体"/>
          <w:color w:val="auto"/>
          <w:sz w:val="21"/>
          <w:szCs w:val="21"/>
          <w:lang w:val="en-US" w:eastAsia="zh-CN"/>
        </w:rPr>
        <w:t>网址：</w:t>
      </w:r>
      <w:r>
        <w:rPr>
          <w:rFonts w:hint="eastAsia" w:ascii="宋体" w:hAnsi="宋体" w:eastAsia="宋体" w:cs="宋体"/>
          <w:color w:val="auto"/>
          <w:sz w:val="21"/>
          <w:szCs w:val="21"/>
          <w:lang w:val="en-US" w:eastAsia="zh-CN"/>
        </w:rPr>
        <w:t>http://www.zcygov.cn）实行在线电子响应，供应商应先安装“政采云电子交易客户端”（请自行前往“政采云”平台进行下载），并按照本项目磋商文件和“政采云”平台的要求编制、加密后在投标截止时间前通过网络上传至“政采云”平台，供应商在“政采云”平台提交电子版响应文件时，请填写参加远程采购活动经办人联系方式。</w:t>
      </w:r>
    </w:p>
    <w:p w14:paraId="327C4EF6">
      <w:pPr>
        <w:pStyle w:val="11"/>
        <w:keepNext w:val="0"/>
        <w:keepLines w:val="0"/>
        <w:pageBreakBefore w:val="0"/>
        <w:kinsoku/>
        <w:wordWrap/>
        <w:topLinePunct w:val="0"/>
        <w:bidi w:val="0"/>
        <w:snapToGrid/>
        <w:spacing w:line="440" w:lineRule="exact"/>
        <w:outlineLvl w:val="0"/>
        <w:rPr>
          <w:rFonts w:hAnsi="宋体" w:cs="宋体"/>
          <w:b/>
          <w:color w:val="auto"/>
          <w:kern w:val="0"/>
          <w:szCs w:val="21"/>
          <w:highlight w:val="none"/>
        </w:rPr>
      </w:pPr>
      <w:r>
        <w:rPr>
          <w:rFonts w:hint="eastAsia" w:hAnsi="宋体" w:cs="宋体"/>
          <w:b/>
          <w:color w:val="auto"/>
          <w:kern w:val="0"/>
          <w:szCs w:val="21"/>
          <w:highlight w:val="none"/>
        </w:rPr>
        <w:t>4</w:t>
      </w:r>
      <w:bookmarkEnd w:id="104"/>
      <w:bookmarkEnd w:id="105"/>
      <w:bookmarkEnd w:id="106"/>
      <w:bookmarkEnd w:id="107"/>
      <w:bookmarkEnd w:id="108"/>
      <w:bookmarkEnd w:id="109"/>
      <w:bookmarkEnd w:id="110"/>
      <w:r>
        <w:rPr>
          <w:rFonts w:hint="eastAsia" w:ascii="宋体" w:hAnsi="宋体" w:cs="宋体"/>
          <w:b/>
          <w:color w:val="auto"/>
          <w:kern w:val="0"/>
          <w:szCs w:val="21"/>
          <w:highlight w:val="none"/>
        </w:rPr>
        <w:t xml:space="preserve">. </w:t>
      </w:r>
      <w:r>
        <w:rPr>
          <w:rFonts w:hint="eastAsia" w:hAnsi="宋体" w:cs="宋体"/>
          <w:b/>
          <w:color w:val="auto"/>
          <w:szCs w:val="21"/>
          <w:highlight w:val="none"/>
        </w:rPr>
        <w:t>磋商响应文件</w:t>
      </w:r>
      <w:r>
        <w:rPr>
          <w:rFonts w:hint="eastAsia" w:hAnsi="宋体" w:cs="宋体"/>
          <w:b/>
          <w:color w:val="auto"/>
          <w:szCs w:val="21"/>
          <w:highlight w:val="none"/>
          <w:lang w:val="en-US" w:eastAsia="zh-CN"/>
        </w:rPr>
        <w:t>加密及递交</w:t>
      </w:r>
    </w:p>
    <w:p w14:paraId="060C1C6F">
      <w:pPr>
        <w:keepNext w:val="0"/>
        <w:keepLines w:val="0"/>
        <w:pageBreakBefore w:val="0"/>
        <w:kinsoku/>
        <w:wordWrap/>
        <w:topLinePunct w:val="0"/>
        <w:bidi w:val="0"/>
        <w:snapToGrid/>
        <w:spacing w:line="440" w:lineRule="exact"/>
        <w:rPr>
          <w:rFonts w:ascii="宋体" w:hAnsi="宋体" w:cs="宋体"/>
          <w:bCs/>
          <w:color w:val="auto"/>
          <w:szCs w:val="21"/>
          <w:highlight w:val="none"/>
        </w:rPr>
      </w:pPr>
      <w:r>
        <w:rPr>
          <w:rFonts w:hint="eastAsia" w:ascii="宋体" w:hAnsi="宋体" w:cs="宋体"/>
          <w:b/>
          <w:color w:val="auto"/>
          <w:szCs w:val="21"/>
          <w:highlight w:val="none"/>
        </w:rPr>
        <w:t>4.1</w:t>
      </w:r>
      <w:r>
        <w:rPr>
          <w:rFonts w:hint="eastAsia" w:ascii="宋体" w:hAnsi="宋体" w:cs="宋体"/>
          <w:bCs/>
          <w:color w:val="auto"/>
          <w:szCs w:val="21"/>
          <w:highlight w:val="none"/>
        </w:rPr>
        <w:t>磋商响应文件的</w:t>
      </w:r>
      <w:r>
        <w:rPr>
          <w:rFonts w:hint="eastAsia" w:ascii="宋体" w:hAnsi="宋体" w:cs="宋体"/>
          <w:bCs/>
          <w:color w:val="auto"/>
          <w:szCs w:val="21"/>
          <w:highlight w:val="none"/>
          <w:lang w:val="en-US" w:eastAsia="zh-CN"/>
        </w:rPr>
        <w:t>加密和签章</w:t>
      </w:r>
      <w:r>
        <w:rPr>
          <w:rFonts w:hint="eastAsia" w:ascii="宋体" w:hAnsi="宋体" w:cs="宋体"/>
          <w:bCs/>
          <w:color w:val="auto"/>
          <w:szCs w:val="21"/>
          <w:highlight w:val="none"/>
        </w:rPr>
        <w:t>：</w:t>
      </w:r>
    </w:p>
    <w:p w14:paraId="36D32B82">
      <w:pPr>
        <w:keepNext w:val="0"/>
        <w:keepLines w:val="0"/>
        <w:pageBreakBefore w:val="0"/>
        <w:kinsoku/>
        <w:wordWrap/>
        <w:topLinePunct w:val="0"/>
        <w:bidi w:val="0"/>
        <w:snapToGrid/>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4.1.1</w:t>
      </w:r>
      <w:r>
        <w:rPr>
          <w:rFonts w:hint="eastAsia" w:ascii="宋体" w:hAnsi="宋体" w:cs="宋体"/>
          <w:color w:val="auto"/>
          <w:szCs w:val="21"/>
          <w:highlight w:val="none"/>
          <w:lang w:eastAsia="zh-CN"/>
        </w:rPr>
        <w:t>（1）供应商进行电子交易应安装客户端软件—“政采云电子交易客户端”，并按照磋商文件和电子交易平台的要求编制并加密响应文件。供应商未按规定加密的响应文件，电子交易平台将拒收并提示；（2）使用“政采云电子交易客户端”需要提前申领 CA 数字证书，申领流程见该项目采购公告；（3）为确保网上操作合法、有效和安全，供应商应当在响应文件提交截止时间前完成在“政府采购云 平台”的身份认证，确保在电子交易过程中能够对相关数据电文进行加密和使用电子签名</w:t>
      </w:r>
      <w:r>
        <w:rPr>
          <w:rFonts w:hint="eastAsia" w:ascii="宋体" w:hAnsi="宋体" w:cs="宋体"/>
          <w:color w:val="auto"/>
          <w:szCs w:val="21"/>
          <w:highlight w:val="none"/>
        </w:rPr>
        <w:t>。</w:t>
      </w:r>
    </w:p>
    <w:p w14:paraId="4756FA09">
      <w:pPr>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4.1.2</w:t>
      </w:r>
      <w:r>
        <w:rPr>
          <w:rFonts w:hint="eastAsia" w:asciiTheme="minorEastAsia" w:hAnsiTheme="minorEastAsia" w:eastAsiaTheme="minorEastAsia" w:cstheme="minorEastAsia"/>
          <w:color w:val="auto"/>
          <w:sz w:val="21"/>
          <w:szCs w:val="21"/>
          <w:highlight w:val="none"/>
          <w:lang w:eastAsia="zh-CN"/>
        </w:rPr>
        <w:t>响应文件签字或盖章要求</w:t>
      </w:r>
      <w:r>
        <w:rPr>
          <w:rFonts w:hint="eastAsia" w:ascii="宋体" w:hAnsi="宋体" w:cs="宋体"/>
          <w:color w:val="auto"/>
          <w:szCs w:val="21"/>
          <w:highlight w:val="none"/>
        </w:rPr>
        <w:t>：详见供应商须知前附表</w:t>
      </w:r>
      <w:r>
        <w:rPr>
          <w:rFonts w:hint="eastAsia" w:ascii="宋体" w:hAnsi="宋体" w:cs="宋体"/>
          <w:color w:val="auto"/>
          <w:szCs w:val="21"/>
          <w:highlight w:val="none"/>
          <w:lang w:eastAsia="zh-CN"/>
        </w:rPr>
        <w:t>。</w:t>
      </w:r>
    </w:p>
    <w:p w14:paraId="369C9B77">
      <w:pPr>
        <w:keepNext w:val="0"/>
        <w:keepLines w:val="0"/>
        <w:pageBreakBefore w:val="0"/>
        <w:kinsoku/>
        <w:wordWrap/>
        <w:topLinePunct w:val="0"/>
        <w:bidi w:val="0"/>
        <w:snapToGrid/>
        <w:spacing w:line="440" w:lineRule="exact"/>
        <w:rPr>
          <w:rFonts w:ascii="宋体" w:hAnsi="宋体" w:cs="宋体"/>
          <w:b/>
          <w:color w:val="auto"/>
          <w:szCs w:val="21"/>
          <w:highlight w:val="none"/>
        </w:rPr>
      </w:pPr>
      <w:r>
        <w:rPr>
          <w:rFonts w:hint="eastAsia" w:ascii="宋体" w:hAnsi="宋体" w:cs="宋体"/>
          <w:b/>
          <w:color w:val="auto"/>
          <w:szCs w:val="21"/>
          <w:highlight w:val="none"/>
        </w:rPr>
        <w:t>4.2磋商响应文件的递交</w:t>
      </w:r>
    </w:p>
    <w:p w14:paraId="590CF15F">
      <w:pPr>
        <w:keepNext w:val="0"/>
        <w:keepLines w:val="0"/>
        <w:pageBreakBefore w:val="0"/>
        <w:kinsoku/>
        <w:wordWrap/>
        <w:topLinePunct w:val="0"/>
        <w:bidi w:val="0"/>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4.2.1</w:t>
      </w:r>
      <w:r>
        <w:rPr>
          <w:rFonts w:hint="eastAsia" w:ascii="宋体" w:hAnsi="宋体" w:cs="宋体"/>
          <w:color w:val="auto"/>
          <w:szCs w:val="21"/>
          <w:highlight w:val="none"/>
          <w:lang w:eastAsia="zh-CN"/>
        </w:rPr>
        <w:t>竞争性磋商响应文件的提交</w:t>
      </w:r>
      <w:r>
        <w:rPr>
          <w:rFonts w:hint="eastAsia" w:ascii="宋体" w:hAnsi="宋体" w:cs="宋体"/>
          <w:color w:val="auto"/>
          <w:szCs w:val="21"/>
          <w:highlight w:val="none"/>
          <w:lang w:val="en-US" w:eastAsia="zh-CN"/>
        </w:rPr>
        <w:t>方式：登录“政采云”平台（网址：http://www.zcygov.cn）递交电子响应文件。注：响应文件全部采用电子文档，供应商应安装客户端软件—“政采云电子交易客户端”，并按照竞争性磋商文件和政采云电子交易平台的要求编制，编制后应进行电子签章、签名及加密</w:t>
      </w:r>
      <w:r>
        <w:rPr>
          <w:rFonts w:hint="eastAsia" w:ascii="宋体" w:hAnsi="宋体" w:cs="宋体"/>
          <w:color w:val="auto"/>
          <w:szCs w:val="21"/>
          <w:highlight w:val="none"/>
        </w:rPr>
        <w:t>。</w:t>
      </w:r>
    </w:p>
    <w:p w14:paraId="58C9F3EF">
      <w:pPr>
        <w:keepNext w:val="0"/>
        <w:keepLines w:val="0"/>
        <w:pageBreakBefore w:val="0"/>
        <w:kinsoku/>
        <w:wordWrap/>
        <w:topLinePunct w:val="0"/>
        <w:bidi w:val="0"/>
        <w:snapToGrid/>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4.2.2</w:t>
      </w:r>
      <w:r>
        <w:rPr>
          <w:rFonts w:hint="eastAsia" w:asciiTheme="minorEastAsia" w:hAnsiTheme="minorEastAsia" w:eastAsiaTheme="minorEastAsia" w:cstheme="minorEastAsia"/>
          <w:color w:val="auto"/>
          <w:sz w:val="21"/>
          <w:szCs w:val="21"/>
          <w:highlight w:val="none"/>
          <w:lang w:eastAsia="zh-CN"/>
        </w:rPr>
        <w:t>响应文件递交地点及截止时间：</w:t>
      </w:r>
      <w:r>
        <w:rPr>
          <w:rFonts w:hint="eastAsia" w:ascii="宋体" w:hAnsi="宋体" w:cs="宋体"/>
          <w:color w:val="auto"/>
          <w:szCs w:val="21"/>
          <w:highlight w:val="none"/>
        </w:rPr>
        <w:t>详见供应商须知前附表。</w:t>
      </w:r>
    </w:p>
    <w:p w14:paraId="50A488BC">
      <w:pPr>
        <w:keepNext w:val="0"/>
        <w:keepLines w:val="0"/>
        <w:pageBreakBefore w:val="0"/>
        <w:kinsoku/>
        <w:wordWrap/>
        <w:topLinePunct w:val="0"/>
        <w:bidi w:val="0"/>
        <w:snapToGrid/>
        <w:spacing w:line="44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4.2.3</w:t>
      </w:r>
      <w:r>
        <w:rPr>
          <w:rFonts w:hint="eastAsia" w:asciiTheme="minorEastAsia" w:hAnsiTheme="minorEastAsia" w:eastAsiaTheme="minorEastAsia" w:cstheme="minorEastAsia"/>
          <w:b w:val="0"/>
          <w:bCs w:val="0"/>
          <w:color w:val="auto"/>
          <w:sz w:val="21"/>
          <w:szCs w:val="21"/>
          <w:highlight w:val="none"/>
          <w:lang w:val="en-US" w:eastAsia="zh-CN"/>
        </w:rPr>
        <w:t>响应文件解密：</w:t>
      </w:r>
      <w:r>
        <w:rPr>
          <w:rFonts w:hint="eastAsia" w:ascii="宋体" w:hAnsi="宋体" w:cs="宋体"/>
          <w:color w:val="auto"/>
          <w:szCs w:val="21"/>
          <w:highlight w:val="none"/>
        </w:rPr>
        <w:t>详见供应商须知前附表</w:t>
      </w:r>
      <w:r>
        <w:rPr>
          <w:rFonts w:hint="eastAsia" w:ascii="宋体" w:hAnsi="宋体" w:cs="宋体"/>
          <w:color w:val="auto"/>
          <w:szCs w:val="21"/>
          <w:highlight w:val="none"/>
          <w:lang w:eastAsia="zh-CN"/>
        </w:rPr>
        <w:t>。</w:t>
      </w:r>
    </w:p>
    <w:p w14:paraId="5BD0ABD1">
      <w:pPr>
        <w:keepNext w:val="0"/>
        <w:keepLines w:val="0"/>
        <w:pageBreakBefore w:val="0"/>
        <w:kinsoku/>
        <w:wordWrap/>
        <w:topLinePunct w:val="0"/>
        <w:bidi w:val="0"/>
        <w:snapToGrid/>
        <w:spacing w:line="440" w:lineRule="exact"/>
        <w:rPr>
          <w:rFonts w:ascii="宋体" w:hAnsi="宋体" w:cs="宋体"/>
          <w:b/>
          <w:color w:val="auto"/>
          <w:szCs w:val="21"/>
          <w:highlight w:val="none"/>
        </w:rPr>
      </w:pPr>
      <w:r>
        <w:rPr>
          <w:rFonts w:hint="eastAsia" w:ascii="宋体" w:hAnsi="宋体" w:cs="宋体"/>
          <w:b/>
          <w:color w:val="auto"/>
          <w:szCs w:val="21"/>
          <w:highlight w:val="none"/>
        </w:rPr>
        <w:t>4.3磋商响应文件的修改与撤回</w:t>
      </w:r>
    </w:p>
    <w:p w14:paraId="3592B156">
      <w:pPr>
        <w:keepNext w:val="0"/>
        <w:keepLines w:val="0"/>
        <w:pageBreakBefore w:val="0"/>
        <w:kinsoku/>
        <w:wordWrap/>
        <w:topLinePunct w:val="0"/>
        <w:bidi w:val="0"/>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4.3.1在本章第2.2.2项规定的磋商截止时间前，供应商可以修改或撤回已在网上递交的磋商</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文件，无须</w:t>
      </w:r>
      <w:r>
        <w:rPr>
          <w:rFonts w:hint="eastAsia" w:ascii="宋体" w:hAnsi="宋体" w:cs="宋体"/>
          <w:color w:val="auto"/>
          <w:szCs w:val="21"/>
          <w:highlight w:val="none"/>
          <w:lang w:val="en-US" w:eastAsia="zh-CN"/>
        </w:rPr>
        <w:t>任何</w:t>
      </w:r>
      <w:r>
        <w:rPr>
          <w:rFonts w:hint="eastAsia" w:ascii="宋体" w:hAnsi="宋体" w:cs="宋体"/>
          <w:color w:val="auto"/>
          <w:szCs w:val="21"/>
          <w:highlight w:val="none"/>
        </w:rPr>
        <w:t>形式通知采购人。</w:t>
      </w:r>
    </w:p>
    <w:p w14:paraId="1B7BDD14">
      <w:pPr>
        <w:pStyle w:val="11"/>
        <w:keepNext w:val="0"/>
        <w:keepLines w:val="0"/>
        <w:pageBreakBefore w:val="0"/>
        <w:kinsoku/>
        <w:wordWrap/>
        <w:topLinePunct w:val="0"/>
        <w:bidi w:val="0"/>
        <w:snapToGrid/>
        <w:spacing w:line="440" w:lineRule="exact"/>
        <w:ind w:firstLine="420"/>
        <w:rPr>
          <w:rFonts w:hint="eastAsia" w:hAnsi="宋体" w:cs="宋体"/>
          <w:color w:val="auto"/>
          <w:szCs w:val="21"/>
          <w:highlight w:val="none"/>
        </w:rPr>
      </w:pPr>
      <w:r>
        <w:rPr>
          <w:rFonts w:hint="eastAsia" w:hAnsi="宋体" w:cs="宋体"/>
          <w:color w:val="auto"/>
          <w:szCs w:val="21"/>
          <w:highlight w:val="none"/>
        </w:rPr>
        <w:t>4.3.2修改的磋商</w:t>
      </w:r>
      <w:r>
        <w:rPr>
          <w:rFonts w:hint="eastAsia" w:hAnsi="宋体" w:cs="宋体"/>
          <w:color w:val="auto"/>
          <w:szCs w:val="21"/>
          <w:highlight w:val="none"/>
          <w:lang w:val="en-US" w:eastAsia="zh-CN"/>
        </w:rPr>
        <w:t>响应</w:t>
      </w:r>
      <w:r>
        <w:rPr>
          <w:rFonts w:hint="eastAsia" w:hAnsi="宋体" w:cs="宋体"/>
          <w:color w:val="auto"/>
          <w:szCs w:val="21"/>
          <w:highlight w:val="none"/>
        </w:rPr>
        <w:t>文件应按照本章第3.6条、第4条规定进行编制、</w:t>
      </w:r>
      <w:r>
        <w:rPr>
          <w:rFonts w:hint="eastAsia" w:hAnsi="宋体" w:cs="宋体"/>
          <w:color w:val="auto"/>
          <w:szCs w:val="21"/>
          <w:highlight w:val="none"/>
          <w:lang w:val="en-US" w:eastAsia="zh-CN"/>
        </w:rPr>
        <w:t>加密</w:t>
      </w:r>
      <w:r>
        <w:rPr>
          <w:rFonts w:hint="eastAsia" w:hAnsi="宋体" w:cs="宋体"/>
          <w:color w:val="auto"/>
          <w:szCs w:val="21"/>
          <w:highlight w:val="none"/>
        </w:rPr>
        <w:t>和递交。</w:t>
      </w:r>
    </w:p>
    <w:p w14:paraId="443E6316">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11" w:name="_Toc247277957"/>
      <w:bookmarkStart w:id="112" w:name="_Toc491246662"/>
      <w:bookmarkStart w:id="113" w:name="_Toc209498833"/>
      <w:bookmarkStart w:id="114" w:name="_Toc262675337"/>
      <w:bookmarkStart w:id="115" w:name="_Toc260172670"/>
      <w:bookmarkStart w:id="116" w:name="_Toc382901571"/>
      <w:bookmarkStart w:id="117" w:name="_Toc199321920"/>
      <w:r>
        <w:rPr>
          <w:rFonts w:hint="eastAsia" w:ascii="宋体" w:hAnsi="宋体" w:cs="宋体"/>
          <w:b/>
          <w:color w:val="auto"/>
          <w:kern w:val="0"/>
          <w:szCs w:val="21"/>
          <w:highlight w:val="none"/>
        </w:rPr>
        <w:t>5</w:t>
      </w:r>
      <w:bookmarkEnd w:id="111"/>
      <w:bookmarkEnd w:id="112"/>
      <w:bookmarkEnd w:id="113"/>
      <w:bookmarkEnd w:id="114"/>
      <w:bookmarkEnd w:id="115"/>
      <w:bookmarkEnd w:id="116"/>
      <w:bookmarkEnd w:id="117"/>
      <w:r>
        <w:rPr>
          <w:rFonts w:hint="eastAsia" w:ascii="宋体" w:hAnsi="宋体" w:cs="宋体"/>
          <w:b/>
          <w:color w:val="auto"/>
          <w:kern w:val="0"/>
          <w:szCs w:val="21"/>
          <w:highlight w:val="none"/>
        </w:rPr>
        <w:t>. 磋商</w:t>
      </w:r>
    </w:p>
    <w:p w14:paraId="6B9C31DA">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18" w:name="_Toc491246663"/>
      <w:bookmarkStart w:id="119" w:name="_Toc247277958"/>
      <w:bookmarkStart w:id="120" w:name="_Toc209498834"/>
      <w:bookmarkStart w:id="121" w:name="_Toc260172671"/>
      <w:bookmarkStart w:id="122" w:name="_Toc381278408"/>
      <w:bookmarkStart w:id="123" w:name="_Toc262675338"/>
      <w:bookmarkStart w:id="124" w:name="_Toc382901572"/>
      <w:r>
        <w:rPr>
          <w:rFonts w:hint="eastAsia" w:ascii="宋体" w:hAnsi="宋体" w:cs="宋体"/>
          <w:b/>
          <w:color w:val="auto"/>
          <w:kern w:val="0"/>
          <w:szCs w:val="21"/>
          <w:highlight w:val="none"/>
        </w:rPr>
        <w:t>5.1 磋商时间和地点</w:t>
      </w:r>
      <w:bookmarkEnd w:id="118"/>
      <w:bookmarkEnd w:id="119"/>
      <w:bookmarkEnd w:id="120"/>
      <w:bookmarkEnd w:id="121"/>
      <w:bookmarkEnd w:id="122"/>
      <w:bookmarkEnd w:id="123"/>
      <w:bookmarkEnd w:id="124"/>
    </w:p>
    <w:p w14:paraId="4872B9FF">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bookmarkStart w:id="125" w:name="_Toc262675339"/>
      <w:bookmarkStart w:id="126" w:name="_Toc209498835"/>
      <w:bookmarkStart w:id="127" w:name="_Toc491246664"/>
      <w:bookmarkStart w:id="128" w:name="_Toc260172672"/>
      <w:bookmarkStart w:id="129" w:name="_Toc382901573"/>
      <w:bookmarkStart w:id="130" w:name="_Toc381278409"/>
      <w:bookmarkStart w:id="131" w:name="_Toc247277959"/>
      <w:r>
        <w:rPr>
          <w:rFonts w:hint="eastAsia" w:ascii="宋体" w:hAnsi="宋体" w:cs="宋体"/>
          <w:color w:val="auto"/>
          <w:kern w:val="0"/>
          <w:szCs w:val="21"/>
          <w:highlight w:val="none"/>
        </w:rPr>
        <w:t>采购人在供应商须知前附表规定的磋商时间及地点公开磋商</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时间和地点</w:t>
      </w:r>
      <w:r>
        <w:rPr>
          <w:rFonts w:hint="eastAsia" w:ascii="宋体" w:hAnsi="宋体" w:cs="宋体"/>
          <w:color w:val="auto"/>
          <w:szCs w:val="21"/>
          <w:highlight w:val="none"/>
        </w:rPr>
        <w:t>详见供应商须知前附表</w:t>
      </w:r>
      <w:r>
        <w:rPr>
          <w:rFonts w:hint="eastAsia" w:ascii="宋体" w:hAnsi="宋体" w:cs="宋体"/>
          <w:color w:val="auto"/>
          <w:kern w:val="0"/>
          <w:szCs w:val="21"/>
          <w:highlight w:val="none"/>
        </w:rPr>
        <w:t>。</w:t>
      </w:r>
    </w:p>
    <w:p w14:paraId="170ADF1F">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5.2 磋商程序</w:t>
      </w:r>
      <w:bookmarkEnd w:id="125"/>
      <w:bookmarkEnd w:id="126"/>
      <w:bookmarkEnd w:id="127"/>
      <w:bookmarkEnd w:id="128"/>
      <w:bookmarkEnd w:id="129"/>
      <w:bookmarkEnd w:id="130"/>
      <w:bookmarkEnd w:id="131"/>
    </w:p>
    <w:p w14:paraId="4E6313BD">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color w:val="auto"/>
          <w:kern w:val="0"/>
          <w:szCs w:val="21"/>
          <w:highlight w:val="none"/>
        </w:rPr>
      </w:pPr>
      <w:r>
        <w:rPr>
          <w:rFonts w:hint="eastAsia" w:ascii="宋体" w:hAnsi="宋体" w:cs="宋体"/>
          <w:color w:val="auto"/>
          <w:kern w:val="0"/>
          <w:szCs w:val="21"/>
          <w:highlight w:val="none"/>
        </w:rPr>
        <w:t>5.2.1磋商小组成员按照客观、公正、审慎的原则，根据磋商文件规定的评审程序、评审方法和评审标准进行独立评审。未实质性响应磋商文件的响应文件按无效响应处理。</w:t>
      </w:r>
    </w:p>
    <w:p w14:paraId="34A801A1">
      <w:pPr>
        <w:pStyle w:val="2"/>
        <w:keepNext w:val="0"/>
        <w:keepLines w:val="0"/>
        <w:pageBreakBefore w:val="0"/>
        <w:kinsoku/>
        <w:wordWrap/>
        <w:topLinePunct w:val="0"/>
        <w:bidi w:val="0"/>
        <w:snapToGrid/>
        <w:spacing w:before="38" w:line="440" w:lineRule="exact"/>
        <w:ind w:right="228" w:firstLine="462" w:firstLineChars="220"/>
        <w:rPr>
          <w:rFonts w:ascii="宋体" w:hAnsi="宋体" w:cs="宋体"/>
          <w:color w:val="auto"/>
          <w:sz w:val="21"/>
          <w:szCs w:val="21"/>
          <w:highlight w:val="none"/>
        </w:rPr>
      </w:pPr>
      <w:r>
        <w:rPr>
          <w:rFonts w:hint="eastAsia" w:ascii="宋体" w:hAnsi="宋体" w:cs="宋体"/>
          <w:color w:val="auto"/>
          <w:sz w:val="21"/>
          <w:szCs w:val="21"/>
          <w:highlight w:val="none"/>
        </w:rPr>
        <w:t>5.2.2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9FEA3AE">
      <w:pPr>
        <w:pStyle w:val="2"/>
        <w:keepNext w:val="0"/>
        <w:keepLines w:val="0"/>
        <w:pageBreakBefore w:val="0"/>
        <w:kinsoku/>
        <w:wordWrap/>
        <w:topLinePunct w:val="0"/>
        <w:bidi w:val="0"/>
        <w:snapToGrid/>
        <w:spacing w:before="38" w:line="440" w:lineRule="exact"/>
        <w:ind w:right="93" w:firstLine="424" w:firstLineChars="202"/>
        <w:rPr>
          <w:rFonts w:ascii="宋体" w:hAnsi="宋体" w:cs="宋体"/>
          <w:color w:val="auto"/>
          <w:sz w:val="21"/>
          <w:szCs w:val="21"/>
          <w:highlight w:val="none"/>
        </w:rPr>
      </w:pPr>
      <w:r>
        <w:rPr>
          <w:rFonts w:hint="eastAsia" w:ascii="宋体" w:hAnsi="宋体" w:cs="宋体"/>
          <w:color w:val="auto"/>
          <w:sz w:val="21"/>
          <w:szCs w:val="21"/>
          <w:highlight w:val="none"/>
        </w:rPr>
        <w:t>5.2.3供应商的澄清、说明或者更正应当</w:t>
      </w:r>
      <w:r>
        <w:rPr>
          <w:rFonts w:hint="eastAsia" w:ascii="宋体" w:hAnsi="宋体" w:cs="宋体"/>
          <w:color w:val="auto"/>
          <w:sz w:val="21"/>
          <w:szCs w:val="21"/>
          <w:highlight w:val="none"/>
          <w:lang w:val="en-US" w:eastAsia="zh-CN"/>
        </w:rPr>
        <w:t>在“政采云”平台（网址：http://www.zcygov.cn）本项目界面中进行</w:t>
      </w:r>
      <w:r>
        <w:rPr>
          <w:rFonts w:hint="eastAsia" w:ascii="宋体" w:hAnsi="宋体" w:cs="宋体"/>
          <w:color w:val="auto"/>
          <w:sz w:val="21"/>
          <w:szCs w:val="21"/>
          <w:highlight w:val="none"/>
        </w:rPr>
        <w:t>。</w:t>
      </w:r>
    </w:p>
    <w:p w14:paraId="44118A73">
      <w:pPr>
        <w:pStyle w:val="2"/>
        <w:keepNext w:val="0"/>
        <w:keepLines w:val="0"/>
        <w:pageBreakBefore w:val="0"/>
        <w:kinsoku/>
        <w:wordWrap/>
        <w:topLinePunct w:val="0"/>
        <w:bidi w:val="0"/>
        <w:snapToGrid/>
        <w:spacing w:before="76" w:line="440" w:lineRule="exact"/>
        <w:ind w:left="105" w:leftChars="5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5.2.</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磋商文件能够详细列明采购标的的技术、服务要求的，磋商小组应当要求所有实质性响应的供应商在规定时间内提交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的供应商不得少于3家。</w:t>
      </w:r>
      <w:r>
        <w:rPr>
          <w:rFonts w:hint="eastAsia" w:ascii="宋体" w:hAnsi="宋体" w:cs="宋体"/>
          <w:color w:val="auto"/>
          <w:sz w:val="21"/>
          <w:szCs w:val="21"/>
          <w:highlight w:val="none"/>
          <w:lang w:val="en-US" w:eastAsia="zh-CN"/>
        </w:rPr>
        <w:t>符合《政府采购竞争性磋商采购方式管理暂行办法》第三条第四项情形的，提交最后磋商报价的供应商可以为2家。</w:t>
      </w:r>
    </w:p>
    <w:p w14:paraId="29C67CBB">
      <w:pPr>
        <w:pStyle w:val="2"/>
        <w:keepNext w:val="0"/>
        <w:keepLines w:val="0"/>
        <w:pageBreakBefore w:val="0"/>
        <w:kinsoku/>
        <w:wordWrap/>
        <w:topLinePunct w:val="0"/>
        <w:bidi w:val="0"/>
        <w:snapToGrid/>
        <w:spacing w:before="38" w:line="440" w:lineRule="exact"/>
        <w:ind w:right="103" w:firstLine="463"/>
        <w:rPr>
          <w:rFonts w:ascii="宋体" w:hAnsi="宋体" w:cs="宋体"/>
          <w:color w:val="auto"/>
          <w:sz w:val="21"/>
          <w:szCs w:val="21"/>
          <w:highlight w:val="none"/>
        </w:rPr>
      </w:pPr>
      <w:r>
        <w:rPr>
          <w:rFonts w:hint="eastAsia" w:ascii="宋体" w:hAnsi="宋体" w:cs="宋体"/>
          <w:color w:val="auto"/>
          <w:sz w:val="21"/>
          <w:szCs w:val="21"/>
          <w:highlight w:val="none"/>
        </w:rPr>
        <w:t>5.2.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w:t>
      </w:r>
    </w:p>
    <w:p w14:paraId="7581654F">
      <w:pPr>
        <w:pStyle w:val="2"/>
        <w:keepNext w:val="0"/>
        <w:keepLines w:val="0"/>
        <w:pageBreakBefore w:val="0"/>
        <w:kinsoku/>
        <w:wordWrap/>
        <w:topLinePunct w:val="0"/>
        <w:bidi w:val="0"/>
        <w:snapToGrid/>
        <w:spacing w:before="38" w:line="440" w:lineRule="exact"/>
        <w:ind w:right="103" w:firstLine="463"/>
        <w:rPr>
          <w:rFonts w:ascii="宋体" w:hAnsi="宋体" w:cs="宋体"/>
          <w:color w:val="auto"/>
          <w:sz w:val="21"/>
          <w:szCs w:val="21"/>
          <w:highlight w:val="none"/>
        </w:rPr>
      </w:pPr>
      <w:r>
        <w:rPr>
          <w:rFonts w:hint="eastAsia" w:ascii="宋体" w:hAnsi="宋体" w:cs="宋体"/>
          <w:color w:val="auto"/>
          <w:sz w:val="21"/>
          <w:szCs w:val="21"/>
          <w:highlight w:val="none"/>
        </w:rPr>
        <w:t>5.2.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是供应商响应文件的有效组成部分。若采购项目为市场竞争不充分的科研项目，以及需要扶持的科技成果转化项目，或采购项目为政府购买服务项目，提交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的供应商可以为2家。</w:t>
      </w:r>
    </w:p>
    <w:p w14:paraId="765047E1">
      <w:pPr>
        <w:pStyle w:val="2"/>
        <w:keepNext w:val="0"/>
        <w:keepLines w:val="0"/>
        <w:pageBreakBefore w:val="0"/>
        <w:kinsoku/>
        <w:wordWrap/>
        <w:topLinePunct w:val="0"/>
        <w:bidi w:val="0"/>
        <w:snapToGrid/>
        <w:spacing w:before="38" w:line="440" w:lineRule="exact"/>
        <w:ind w:firstLine="360"/>
        <w:rPr>
          <w:rFonts w:ascii="宋体" w:hAnsi="宋体" w:cs="宋体"/>
          <w:color w:val="auto"/>
          <w:sz w:val="21"/>
          <w:szCs w:val="21"/>
          <w:highlight w:val="none"/>
        </w:rPr>
      </w:pPr>
      <w:r>
        <w:rPr>
          <w:rFonts w:hint="eastAsia" w:ascii="宋体" w:hAnsi="宋体" w:cs="宋体"/>
          <w:color w:val="auto"/>
          <w:sz w:val="21"/>
          <w:szCs w:val="21"/>
          <w:highlight w:val="none"/>
        </w:rPr>
        <w:t>5.2.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 xml:space="preserve"> 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后，由磋商小组按照《</w:t>
      </w:r>
      <w:r>
        <w:rPr>
          <w:rFonts w:hint="eastAsia" w:ascii="宋体" w:hAnsi="宋体" w:cs="宋体"/>
          <w:color w:val="auto"/>
          <w:sz w:val="21"/>
          <w:szCs w:val="21"/>
          <w:highlight w:val="none"/>
          <w:lang w:eastAsia="zh-CN"/>
        </w:rPr>
        <w:t>评分标准</w:t>
      </w:r>
      <w:r>
        <w:rPr>
          <w:rFonts w:hint="eastAsia" w:ascii="宋体" w:hAnsi="宋体" w:cs="宋体"/>
          <w:color w:val="auto"/>
          <w:sz w:val="21"/>
          <w:szCs w:val="21"/>
          <w:highlight w:val="none"/>
        </w:rPr>
        <w:t>》对提交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的供应商的响应文件和</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进行综合评分。</w:t>
      </w:r>
    </w:p>
    <w:p w14:paraId="64C9021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32" w:name="_Toc260172673"/>
      <w:bookmarkStart w:id="133" w:name="_Toc262675340"/>
      <w:bookmarkStart w:id="134" w:name="_Toc209498836"/>
      <w:bookmarkStart w:id="135" w:name="_Toc491246665"/>
      <w:bookmarkStart w:id="136" w:name="_Toc382901574"/>
      <w:bookmarkStart w:id="137" w:name="_Toc247277960"/>
      <w:bookmarkStart w:id="138" w:name="_Toc199321921"/>
      <w:r>
        <w:rPr>
          <w:rFonts w:hint="eastAsia" w:ascii="宋体" w:hAnsi="宋体" w:cs="宋体"/>
          <w:b/>
          <w:color w:val="auto"/>
          <w:kern w:val="0"/>
          <w:szCs w:val="21"/>
          <w:highlight w:val="none"/>
        </w:rPr>
        <w:t>6</w:t>
      </w:r>
      <w:bookmarkEnd w:id="132"/>
      <w:bookmarkEnd w:id="133"/>
      <w:bookmarkEnd w:id="134"/>
      <w:bookmarkEnd w:id="135"/>
      <w:bookmarkEnd w:id="136"/>
      <w:bookmarkEnd w:id="137"/>
      <w:bookmarkEnd w:id="138"/>
      <w:r>
        <w:rPr>
          <w:rFonts w:hint="eastAsia" w:ascii="宋体" w:hAnsi="宋体" w:cs="宋体"/>
          <w:b/>
          <w:color w:val="auto"/>
          <w:kern w:val="0"/>
          <w:szCs w:val="21"/>
          <w:highlight w:val="none"/>
        </w:rPr>
        <w:t>. 磋商</w:t>
      </w:r>
      <w:r>
        <w:rPr>
          <w:rFonts w:hint="eastAsia" w:ascii="宋体" w:hAnsi="宋体" w:cs="宋体"/>
          <w:b/>
          <w:color w:val="auto"/>
          <w:kern w:val="0"/>
          <w:szCs w:val="21"/>
          <w:highlight w:val="none"/>
          <w:lang w:val="en-US" w:eastAsia="zh-CN"/>
        </w:rPr>
        <w:t>小组与评审</w:t>
      </w:r>
      <w:r>
        <w:rPr>
          <w:rFonts w:hint="eastAsia" w:ascii="宋体" w:hAnsi="宋体" w:cs="宋体"/>
          <w:b/>
          <w:color w:val="auto"/>
          <w:kern w:val="0"/>
          <w:szCs w:val="21"/>
          <w:highlight w:val="none"/>
        </w:rPr>
        <w:t xml:space="preserve">  </w:t>
      </w:r>
    </w:p>
    <w:p w14:paraId="0215E75B">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39" w:name="_Toc199321922"/>
      <w:bookmarkStart w:id="140" w:name="_Toc247277961"/>
      <w:bookmarkStart w:id="141" w:name="_Toc491246666"/>
      <w:bookmarkStart w:id="142" w:name="_Toc260172674"/>
      <w:bookmarkStart w:id="143" w:name="_Toc209498837"/>
      <w:bookmarkStart w:id="144" w:name="_Toc262675341"/>
      <w:bookmarkStart w:id="145" w:name="_Toc382901575"/>
      <w:bookmarkStart w:id="146" w:name="_Toc381278411"/>
      <w:r>
        <w:rPr>
          <w:rFonts w:hint="eastAsia" w:ascii="宋体" w:hAnsi="宋体" w:cs="宋体"/>
          <w:b/>
          <w:color w:val="auto"/>
          <w:kern w:val="0"/>
          <w:szCs w:val="21"/>
          <w:highlight w:val="none"/>
        </w:rPr>
        <w:t xml:space="preserve">6.1 </w:t>
      </w:r>
      <w:bookmarkEnd w:id="139"/>
      <w:bookmarkEnd w:id="140"/>
      <w:bookmarkEnd w:id="141"/>
      <w:bookmarkEnd w:id="142"/>
      <w:bookmarkEnd w:id="143"/>
      <w:bookmarkEnd w:id="144"/>
      <w:r>
        <w:rPr>
          <w:rFonts w:hint="eastAsia" w:ascii="宋体" w:hAnsi="宋体" w:cs="宋体"/>
          <w:b/>
          <w:color w:val="auto"/>
          <w:kern w:val="0"/>
          <w:szCs w:val="21"/>
          <w:highlight w:val="none"/>
        </w:rPr>
        <w:t>磋商小组</w:t>
      </w:r>
      <w:bookmarkEnd w:id="145"/>
      <w:bookmarkEnd w:id="146"/>
    </w:p>
    <w:p w14:paraId="72F87FC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6.1.1 磋商由采购人依法组建的磋商小组负责。磋商小组由采购人或其委托的采购人熟悉相关业务的代表，以及有关技术、经济等方面的专家组成。磋商小组成员人数以及技术、经济等方面专家的确定方式见供应商须知前附表。</w:t>
      </w:r>
    </w:p>
    <w:p w14:paraId="7B23C39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6.1.2 磋商小组成员有下列情形之一的，应当回避:</w:t>
      </w:r>
    </w:p>
    <w:p w14:paraId="1A8B5FF0">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(1) 采购人或供应商的主要负责人的近亲属；</w:t>
      </w:r>
    </w:p>
    <w:p w14:paraId="56EE74C5">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(2) 项目主管部门或者行政监督部门的人员；</w:t>
      </w:r>
    </w:p>
    <w:p w14:paraId="6794E79E">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(3) 与供应商有经济利益关系，可能影响对磋商公正评审的；</w:t>
      </w:r>
    </w:p>
    <w:p w14:paraId="0F88B564">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(4) 曾因在采购、招标、评标及其他与政府采购有关活动中从事违法行为而受过行政处罚或刑事处罚的。</w:t>
      </w:r>
    </w:p>
    <w:p w14:paraId="67BBFBA6">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47" w:name="_Toc199321923"/>
      <w:bookmarkStart w:id="148" w:name="_Toc247277962"/>
      <w:bookmarkStart w:id="149" w:name="_Toc262675342"/>
      <w:bookmarkStart w:id="150" w:name="_Toc209498838"/>
      <w:bookmarkStart w:id="151" w:name="_Toc491246667"/>
      <w:bookmarkStart w:id="152" w:name="_Toc260172675"/>
      <w:bookmarkStart w:id="153" w:name="_Toc381278412"/>
      <w:bookmarkStart w:id="154" w:name="_Toc382901576"/>
      <w:r>
        <w:rPr>
          <w:rFonts w:hint="eastAsia" w:ascii="宋体" w:hAnsi="宋体" w:cs="宋体"/>
          <w:b/>
          <w:color w:val="auto"/>
          <w:kern w:val="0"/>
          <w:szCs w:val="21"/>
          <w:highlight w:val="none"/>
        </w:rPr>
        <w:t>6.2 评标原则</w:t>
      </w:r>
      <w:bookmarkEnd w:id="147"/>
      <w:bookmarkEnd w:id="148"/>
      <w:bookmarkEnd w:id="149"/>
      <w:bookmarkEnd w:id="150"/>
      <w:bookmarkEnd w:id="151"/>
      <w:bookmarkEnd w:id="152"/>
      <w:r>
        <w:rPr>
          <w:rFonts w:hint="eastAsia" w:ascii="宋体" w:hAnsi="宋体" w:cs="宋体"/>
          <w:b/>
          <w:color w:val="auto"/>
          <w:kern w:val="0"/>
          <w:szCs w:val="21"/>
          <w:highlight w:val="none"/>
        </w:rPr>
        <w:t>：磋商活动遵循公平、公正、科学和择优的原则。</w:t>
      </w:r>
      <w:bookmarkEnd w:id="153"/>
      <w:bookmarkEnd w:id="154"/>
    </w:p>
    <w:p w14:paraId="09FF131C">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155" w:name="_Toc382901577"/>
      <w:bookmarkStart w:id="156" w:name="_Toc247277963"/>
      <w:bookmarkStart w:id="157" w:name="_Toc381278413"/>
      <w:bookmarkStart w:id="158" w:name="_Toc260172676"/>
      <w:bookmarkStart w:id="159" w:name="_Toc491246668"/>
      <w:bookmarkStart w:id="160" w:name="_Toc199321924"/>
      <w:bookmarkStart w:id="161" w:name="_Toc209498839"/>
      <w:bookmarkStart w:id="162" w:name="_Toc262675343"/>
      <w:r>
        <w:rPr>
          <w:rFonts w:hint="eastAsia" w:ascii="宋体" w:hAnsi="宋体" w:cs="宋体"/>
          <w:b/>
          <w:color w:val="auto"/>
          <w:kern w:val="0"/>
          <w:szCs w:val="21"/>
          <w:highlight w:val="none"/>
        </w:rPr>
        <w:t xml:space="preserve">6.3 </w:t>
      </w:r>
      <w:bookmarkEnd w:id="155"/>
      <w:bookmarkEnd w:id="156"/>
      <w:bookmarkEnd w:id="157"/>
      <w:bookmarkEnd w:id="158"/>
      <w:bookmarkEnd w:id="159"/>
      <w:bookmarkEnd w:id="160"/>
      <w:bookmarkEnd w:id="161"/>
      <w:bookmarkEnd w:id="162"/>
      <w:r>
        <w:rPr>
          <w:rFonts w:hint="eastAsia" w:ascii="宋体" w:hAnsi="宋体" w:cs="宋体"/>
          <w:b/>
          <w:color w:val="auto"/>
          <w:kern w:val="0"/>
          <w:szCs w:val="21"/>
          <w:highlight w:val="none"/>
          <w:lang w:val="en-US" w:eastAsia="zh-CN"/>
        </w:rPr>
        <w:t>评审</w:t>
      </w:r>
    </w:p>
    <w:p w14:paraId="41A965D9">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磋商小组按照</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评审</w:t>
      </w:r>
      <w:r>
        <w:rPr>
          <w:rFonts w:hint="eastAsia" w:ascii="宋体" w:hAnsi="宋体" w:cs="宋体"/>
          <w:color w:val="auto"/>
          <w:kern w:val="0"/>
          <w:szCs w:val="21"/>
          <w:highlight w:val="none"/>
        </w:rPr>
        <w:t>办法</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规定的方法、评审因素、标准和程序对磋商文件进行评审。</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评审</w:t>
      </w:r>
      <w:r>
        <w:rPr>
          <w:rFonts w:hint="eastAsia" w:ascii="宋体" w:hAnsi="宋体" w:cs="宋体"/>
          <w:color w:val="auto"/>
          <w:kern w:val="0"/>
          <w:szCs w:val="21"/>
          <w:highlight w:val="none"/>
        </w:rPr>
        <w:t>办法</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没有规定的方法、评审因素和标准，不作为成交依据。</w:t>
      </w:r>
    </w:p>
    <w:p w14:paraId="2AD42A7F">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63" w:name="_Toc382901578"/>
      <w:bookmarkStart w:id="164" w:name="_Toc262675344"/>
      <w:bookmarkStart w:id="165" w:name="_Toc260172677"/>
      <w:bookmarkStart w:id="166" w:name="_Toc209498840"/>
      <w:bookmarkStart w:id="167" w:name="_Toc247277964"/>
      <w:bookmarkStart w:id="168" w:name="_Toc491246669"/>
      <w:bookmarkStart w:id="169" w:name="_Toc199321925"/>
      <w:r>
        <w:rPr>
          <w:rFonts w:hint="eastAsia" w:ascii="宋体" w:hAnsi="宋体" w:cs="宋体"/>
          <w:b/>
          <w:color w:val="auto"/>
          <w:kern w:val="0"/>
          <w:szCs w:val="21"/>
          <w:highlight w:val="none"/>
        </w:rPr>
        <w:t>7. 合同授予</w:t>
      </w:r>
      <w:bookmarkEnd w:id="163"/>
      <w:bookmarkEnd w:id="164"/>
      <w:bookmarkEnd w:id="165"/>
      <w:bookmarkEnd w:id="166"/>
      <w:bookmarkEnd w:id="167"/>
      <w:bookmarkEnd w:id="168"/>
      <w:bookmarkEnd w:id="169"/>
    </w:p>
    <w:p w14:paraId="0CF6DD46">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70" w:name="_Toc247277965"/>
      <w:bookmarkStart w:id="171" w:name="_Toc260172678"/>
      <w:bookmarkStart w:id="172" w:name="_Toc382901579"/>
      <w:bookmarkStart w:id="173" w:name="_Toc199321926"/>
      <w:bookmarkStart w:id="174" w:name="_Toc381278415"/>
      <w:bookmarkStart w:id="175" w:name="_Toc491246670"/>
      <w:bookmarkStart w:id="176" w:name="_Toc209498841"/>
      <w:bookmarkStart w:id="177" w:name="_Toc262675345"/>
      <w:r>
        <w:rPr>
          <w:rFonts w:hint="eastAsia" w:ascii="宋体" w:hAnsi="宋体" w:cs="宋体"/>
          <w:b/>
          <w:color w:val="auto"/>
          <w:kern w:val="0"/>
          <w:szCs w:val="21"/>
          <w:highlight w:val="none"/>
        </w:rPr>
        <w:t>7.1 成交方式</w:t>
      </w:r>
      <w:bookmarkEnd w:id="170"/>
      <w:bookmarkEnd w:id="171"/>
      <w:bookmarkEnd w:id="172"/>
      <w:bookmarkEnd w:id="173"/>
      <w:bookmarkEnd w:id="174"/>
      <w:bookmarkEnd w:id="175"/>
      <w:bookmarkEnd w:id="176"/>
      <w:bookmarkEnd w:id="177"/>
    </w:p>
    <w:p w14:paraId="7E618C90">
      <w:pPr>
        <w:keepNext w:val="0"/>
        <w:keepLines w:val="0"/>
        <w:pageBreakBefore w:val="0"/>
        <w:kinsoku/>
        <w:wordWrap/>
        <w:topLinePunct w:val="0"/>
        <w:autoSpaceDE w:val="0"/>
        <w:autoSpaceDN w:val="0"/>
        <w:bidi w:val="0"/>
        <w:adjustRightInd w:val="0"/>
        <w:snapToGrid/>
        <w:spacing w:line="440" w:lineRule="exact"/>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除供应商须知前附表规定磋商小组直接确定成交候选人外，采购人依据磋商小组推荐的成交候选人确定成交供应商，磋商小组推荐成交候选人的人数见供应商须知前附表。</w:t>
      </w:r>
    </w:p>
    <w:p w14:paraId="31770FDF">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78" w:name="_Toc260172679"/>
      <w:bookmarkStart w:id="179" w:name="_Toc381278416"/>
      <w:bookmarkStart w:id="180" w:name="_Toc382901580"/>
      <w:bookmarkStart w:id="181" w:name="_Toc209498842"/>
      <w:bookmarkStart w:id="182" w:name="_Toc262675346"/>
      <w:bookmarkStart w:id="183" w:name="_Toc247277966"/>
      <w:bookmarkStart w:id="184" w:name="_Toc491246671"/>
      <w:r>
        <w:rPr>
          <w:rFonts w:hint="eastAsia" w:ascii="宋体" w:hAnsi="宋体" w:cs="宋体"/>
          <w:b/>
          <w:color w:val="auto"/>
          <w:kern w:val="0"/>
          <w:szCs w:val="21"/>
          <w:highlight w:val="none"/>
        </w:rPr>
        <w:t>7.2</w:t>
      </w:r>
      <w:r>
        <w:rPr>
          <w:rFonts w:hint="eastAsia" w:ascii="宋体" w:hAnsi="宋体" w:cs="宋体"/>
          <w:b/>
          <w:color w:val="auto"/>
          <w:kern w:val="0"/>
          <w:szCs w:val="21"/>
          <w:highlight w:val="none"/>
          <w:lang w:val="en-US" w:eastAsia="zh-CN"/>
        </w:rPr>
        <w:t xml:space="preserve"> </w:t>
      </w:r>
      <w:r>
        <w:rPr>
          <w:rFonts w:hint="eastAsia" w:ascii="宋体" w:hAnsi="宋体" w:cs="宋体"/>
          <w:b/>
          <w:color w:val="auto"/>
          <w:kern w:val="0"/>
          <w:szCs w:val="21"/>
          <w:highlight w:val="none"/>
        </w:rPr>
        <w:t>成交通知</w:t>
      </w:r>
      <w:bookmarkEnd w:id="178"/>
      <w:bookmarkEnd w:id="179"/>
      <w:bookmarkEnd w:id="180"/>
      <w:bookmarkEnd w:id="181"/>
      <w:bookmarkEnd w:id="182"/>
      <w:bookmarkEnd w:id="183"/>
      <w:bookmarkEnd w:id="184"/>
    </w:p>
    <w:p w14:paraId="4CFBBCA6">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在本章第3.3 款规定的磋商有效期内，采购人以书面形式向磋商成交单位发出成交通知书，并在</w:t>
      </w:r>
      <w:r>
        <w:rPr>
          <w:rFonts w:hint="eastAsia" w:ascii="宋体" w:hAnsi="宋体" w:cs="宋体"/>
          <w:color w:val="auto"/>
          <w:szCs w:val="21"/>
          <w:highlight w:val="none"/>
          <w:lang w:eastAsia="zh-CN"/>
        </w:rPr>
        <w:t>公告发布媒介上发布成交结果公告</w:t>
      </w:r>
      <w:r>
        <w:rPr>
          <w:rFonts w:hint="eastAsia" w:ascii="宋体" w:hAnsi="宋体" w:cs="宋体"/>
          <w:color w:val="auto"/>
          <w:kern w:val="0"/>
          <w:szCs w:val="21"/>
          <w:highlight w:val="none"/>
        </w:rPr>
        <w:t>，同时以此代替通知未成交的供应商。</w:t>
      </w:r>
    </w:p>
    <w:p w14:paraId="17CECCC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85" w:name="_Toc382901581"/>
      <w:bookmarkStart w:id="186" w:name="_Toc209498843"/>
      <w:bookmarkStart w:id="187" w:name="_Toc199321927"/>
      <w:bookmarkStart w:id="188" w:name="_Toc491246672"/>
      <w:bookmarkStart w:id="189" w:name="_Toc260172680"/>
      <w:bookmarkStart w:id="190" w:name="_Toc247277967"/>
      <w:bookmarkStart w:id="191" w:name="_Toc381278417"/>
      <w:bookmarkStart w:id="192" w:name="_Toc262675347"/>
      <w:r>
        <w:rPr>
          <w:rFonts w:hint="eastAsia" w:ascii="宋体" w:hAnsi="宋体" w:cs="宋体"/>
          <w:b/>
          <w:color w:val="auto"/>
          <w:kern w:val="0"/>
          <w:szCs w:val="21"/>
          <w:highlight w:val="none"/>
        </w:rPr>
        <w:t>7.3 履约担保</w:t>
      </w:r>
      <w:bookmarkEnd w:id="185"/>
      <w:bookmarkEnd w:id="186"/>
      <w:bookmarkEnd w:id="187"/>
      <w:bookmarkEnd w:id="188"/>
      <w:bookmarkEnd w:id="189"/>
      <w:bookmarkEnd w:id="190"/>
      <w:bookmarkEnd w:id="191"/>
      <w:bookmarkEnd w:id="192"/>
    </w:p>
    <w:p w14:paraId="4A600DAB">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 w:val="0"/>
          <w:bCs/>
          <w:color w:val="auto"/>
          <w:kern w:val="0"/>
          <w:szCs w:val="21"/>
          <w:highlight w:val="none"/>
        </w:rPr>
      </w:pPr>
      <w:bookmarkStart w:id="193" w:name="_Toc199321928"/>
      <w:r>
        <w:rPr>
          <w:rFonts w:hint="eastAsia" w:ascii="宋体" w:hAnsi="宋体" w:cs="宋体"/>
          <w:b w:val="0"/>
          <w:bCs/>
          <w:color w:val="auto"/>
          <w:kern w:val="0"/>
          <w:szCs w:val="21"/>
          <w:highlight w:val="none"/>
        </w:rPr>
        <w:t>磋商后双方在合同中约定。</w:t>
      </w:r>
    </w:p>
    <w:p w14:paraId="3D5F41C5">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94" w:name="_Toc382901583"/>
      <w:bookmarkStart w:id="195" w:name="_Toc262675348"/>
      <w:bookmarkStart w:id="196" w:name="_Toc260172681"/>
      <w:bookmarkStart w:id="197" w:name="_Toc381278419"/>
      <w:bookmarkStart w:id="198" w:name="_Toc247277968"/>
      <w:r>
        <w:rPr>
          <w:rFonts w:hint="eastAsia" w:ascii="宋体" w:hAnsi="宋体" w:cs="宋体"/>
          <w:b/>
          <w:color w:val="auto"/>
          <w:kern w:val="0"/>
          <w:szCs w:val="21"/>
          <w:highlight w:val="none"/>
        </w:rPr>
        <w:t>7.4 签订合同</w:t>
      </w:r>
      <w:bookmarkEnd w:id="193"/>
      <w:bookmarkEnd w:id="194"/>
      <w:bookmarkEnd w:id="195"/>
      <w:bookmarkEnd w:id="196"/>
      <w:bookmarkEnd w:id="197"/>
      <w:bookmarkEnd w:id="198"/>
    </w:p>
    <w:p w14:paraId="3835B69C">
      <w:pPr>
        <w:keepNext w:val="0"/>
        <w:keepLines w:val="0"/>
        <w:pageBreakBefore w:val="0"/>
        <w:kinsoku/>
        <w:wordWrap/>
        <w:topLinePunct w:val="0"/>
        <w:autoSpaceDE w:val="0"/>
        <w:autoSpaceDN w:val="0"/>
        <w:bidi w:val="0"/>
        <w:adjustRightInd w:val="0"/>
        <w:snapToGrid/>
        <w:spacing w:line="440" w:lineRule="exact"/>
        <w:ind w:firstLine="414" w:firstLineChars="200"/>
        <w:jc w:val="left"/>
        <w:rPr>
          <w:rFonts w:ascii="宋体" w:hAnsi="宋体" w:cs="宋体"/>
          <w:color w:val="auto"/>
          <w:spacing w:val="-2"/>
          <w:kern w:val="0"/>
          <w:szCs w:val="21"/>
          <w:highlight w:val="none"/>
        </w:rPr>
      </w:pPr>
      <w:r>
        <w:rPr>
          <w:rFonts w:hint="eastAsia" w:ascii="宋体" w:hAnsi="宋体" w:cs="宋体"/>
          <w:b/>
          <w:color w:val="auto"/>
          <w:spacing w:val="-2"/>
          <w:kern w:val="0"/>
          <w:szCs w:val="21"/>
          <w:highlight w:val="none"/>
        </w:rPr>
        <w:t>7.4.1</w:t>
      </w:r>
      <w:r>
        <w:rPr>
          <w:rFonts w:hint="eastAsia" w:ascii="宋体" w:hAnsi="宋体" w:cs="宋体"/>
          <w:color w:val="auto"/>
          <w:spacing w:val="-2"/>
          <w:kern w:val="0"/>
          <w:szCs w:val="21"/>
          <w:highlight w:val="none"/>
        </w:rPr>
        <w:t xml:space="preserve"> 采购人和磋商成交单位应当自磋商成交通知书发出之日起</w:t>
      </w:r>
      <w:r>
        <w:rPr>
          <w:rFonts w:hint="eastAsia" w:ascii="宋体" w:hAnsi="宋体" w:cs="宋体"/>
          <w:color w:val="auto"/>
          <w:spacing w:val="-2"/>
          <w:kern w:val="0"/>
          <w:szCs w:val="21"/>
          <w:highlight w:val="none"/>
          <w:lang w:val="en-US" w:eastAsia="zh-CN"/>
        </w:rPr>
        <w:t>30</w:t>
      </w:r>
      <w:r>
        <w:rPr>
          <w:rFonts w:hint="eastAsia" w:ascii="宋体" w:hAnsi="宋体" w:cs="宋体"/>
          <w:color w:val="auto"/>
          <w:spacing w:val="-2"/>
          <w:kern w:val="0"/>
          <w:szCs w:val="21"/>
          <w:highlight w:val="none"/>
        </w:rPr>
        <w:t>天内，根据竞争性磋商文件和磋商成交单位的磋商文件订立书面合同。磋商成交单位无正当理由拒签合同的，采购人取消其磋商成交资格，其</w:t>
      </w:r>
      <w:r>
        <w:rPr>
          <w:rFonts w:hint="eastAsia" w:ascii="宋体" w:hAnsi="宋体" w:cs="宋体"/>
          <w:color w:val="auto"/>
          <w:kern w:val="0"/>
          <w:szCs w:val="21"/>
          <w:highlight w:val="none"/>
        </w:rPr>
        <w:t>磋商保证金不予退还；给采购人造成的损失超过磋商保证金数额的，磋商成交单位还应当对超过部分予以赔偿。</w:t>
      </w:r>
    </w:p>
    <w:p w14:paraId="2A2805E5">
      <w:pPr>
        <w:keepNext w:val="0"/>
        <w:keepLines w:val="0"/>
        <w:pageBreakBefore w:val="0"/>
        <w:kinsoku/>
        <w:wordWrap/>
        <w:topLinePunct w:val="0"/>
        <w:autoSpaceDE w:val="0"/>
        <w:autoSpaceDN w:val="0"/>
        <w:bidi w:val="0"/>
        <w:adjustRightInd w:val="0"/>
        <w:snapToGrid/>
        <w:spacing w:line="440" w:lineRule="exact"/>
        <w:ind w:firstLine="414" w:firstLineChars="200"/>
        <w:jc w:val="left"/>
        <w:rPr>
          <w:rFonts w:ascii="宋体" w:hAnsi="宋体" w:cs="宋体"/>
          <w:bCs/>
          <w:color w:val="auto"/>
          <w:spacing w:val="-2"/>
          <w:kern w:val="0"/>
          <w:szCs w:val="21"/>
          <w:highlight w:val="none"/>
        </w:rPr>
      </w:pPr>
      <w:r>
        <w:rPr>
          <w:rFonts w:hint="eastAsia" w:ascii="宋体" w:hAnsi="宋体" w:cs="宋体"/>
          <w:b/>
          <w:color w:val="auto"/>
          <w:spacing w:val="-2"/>
          <w:kern w:val="0"/>
          <w:szCs w:val="21"/>
          <w:highlight w:val="none"/>
        </w:rPr>
        <w:t xml:space="preserve">7.4.2 </w:t>
      </w:r>
      <w:r>
        <w:rPr>
          <w:rFonts w:hint="eastAsia" w:ascii="宋体" w:hAnsi="宋体" w:cs="宋体"/>
          <w:bCs/>
          <w:color w:val="auto"/>
          <w:spacing w:val="-2"/>
          <w:kern w:val="0"/>
          <w:szCs w:val="21"/>
          <w:highlight w:val="none"/>
        </w:rPr>
        <w:t>发出磋商成交通知书后，采购人无正当理由拒签合同的，采购人向磋商成交单位退还磋商保证金，并按磋商保证金双倍的金额补偿供应商损失。</w:t>
      </w:r>
    </w:p>
    <w:p w14:paraId="08F9E0FB">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8. 重新采购</w:t>
      </w:r>
    </w:p>
    <w:p w14:paraId="77A81A79">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有下列情形之一的，采购人将重新采购：</w:t>
      </w:r>
    </w:p>
    <w:p w14:paraId="4F21BC37">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(1)磋商报名截止时间止，磋商响应人少于3家的；</w:t>
      </w:r>
    </w:p>
    <w:p w14:paraId="1392AA5D">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(2)经磋商小组评审后通过资格审查且有竞争力的供应商少于2家的。</w:t>
      </w:r>
    </w:p>
    <w:p w14:paraId="6D599AC6">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(3)法律、法规规定的应当重新采购的其他情形。</w:t>
      </w:r>
    </w:p>
    <w:p w14:paraId="77B32729">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9．纪律和监督</w:t>
      </w:r>
    </w:p>
    <w:p w14:paraId="54D1601A">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9.1对采购人的纪律要求</w:t>
      </w:r>
    </w:p>
    <w:p w14:paraId="7E61316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采购人不得泄漏采购活动中应当保密的情况和资料，不得与磋商响应人串通损害国家利益、社会公共利益或者他人合法权益。</w:t>
      </w:r>
    </w:p>
    <w:p w14:paraId="4D6E0256">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9.2对磋商响应人的纪律和法律要求</w:t>
      </w:r>
    </w:p>
    <w:p w14:paraId="2D07B70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9.2.1对磋商响应人的纪律要求：磋商响应人不得相互串通投标或者与采购人串通投标，不得向采购人或者磋商小组成员行贿谋取中标，不得以他人名义投标或者以其他方式弄虚作假骗取中标；磋商响应人不得以任何方式干扰、影响评标工作。</w:t>
      </w:r>
    </w:p>
    <w:p w14:paraId="02B53578">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9.3对</w:t>
      </w:r>
      <w:r>
        <w:rPr>
          <w:rFonts w:hint="eastAsia" w:ascii="宋体" w:hAnsi="宋体" w:cs="宋体"/>
          <w:b/>
          <w:bCs/>
          <w:color w:val="auto"/>
          <w:kern w:val="0"/>
          <w:szCs w:val="21"/>
          <w:highlight w:val="none"/>
          <w:lang w:eastAsia="zh-CN"/>
        </w:rPr>
        <w:t>磋商小组</w:t>
      </w:r>
      <w:r>
        <w:rPr>
          <w:rFonts w:hint="eastAsia" w:ascii="宋体" w:hAnsi="宋体" w:cs="宋体"/>
          <w:b/>
          <w:bCs/>
          <w:color w:val="auto"/>
          <w:kern w:val="0"/>
          <w:szCs w:val="21"/>
          <w:highlight w:val="none"/>
        </w:rPr>
        <w:t>成员的纪律要求</w:t>
      </w:r>
    </w:p>
    <w:p w14:paraId="1B595D04">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成员应严格遵守国家、省相关法律、法规和规章，不得收受他人的财物或者其他好处，不得向他人透漏对</w:t>
      </w:r>
      <w:r>
        <w:rPr>
          <w:rFonts w:hint="eastAsia" w:ascii="宋体" w:hAnsi="宋体" w:cs="宋体"/>
          <w:color w:val="auto"/>
          <w:kern w:val="0"/>
          <w:szCs w:val="21"/>
          <w:highlight w:val="none"/>
          <w:lang w:eastAsia="zh-CN"/>
        </w:rPr>
        <w:t>磋商响应</w:t>
      </w:r>
      <w:r>
        <w:rPr>
          <w:rFonts w:hint="eastAsia" w:ascii="宋体" w:hAnsi="宋体" w:cs="宋体"/>
          <w:color w:val="auto"/>
          <w:kern w:val="0"/>
          <w:szCs w:val="21"/>
          <w:highlight w:val="none"/>
        </w:rPr>
        <w:t>文件的评审和比较、</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候选人的推荐情况以及评标有关的其他情况。在评标活动中，</w:t>
      </w: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成员应当客观、公正地履行职责，遵守职业道德，不得擅离职守，影响评标程序正常进行，不得使用第</w:t>
      </w:r>
      <w:r>
        <w:rPr>
          <w:rFonts w:hint="eastAsia" w:ascii="宋体" w:hAnsi="宋体" w:cs="宋体"/>
          <w:color w:val="auto"/>
          <w:kern w:val="0"/>
          <w:szCs w:val="21"/>
          <w:highlight w:val="none"/>
          <w:lang w:eastAsia="zh-CN"/>
        </w:rPr>
        <w:t>四</w:t>
      </w:r>
      <w:r>
        <w:rPr>
          <w:rFonts w:hint="eastAsia" w:ascii="宋体" w:hAnsi="宋体" w:cs="宋体"/>
          <w:color w:val="auto"/>
          <w:kern w:val="0"/>
          <w:szCs w:val="21"/>
          <w:highlight w:val="none"/>
        </w:rPr>
        <w:t>章“</w:t>
      </w:r>
      <w:r>
        <w:rPr>
          <w:rFonts w:hint="eastAsia" w:ascii="宋体" w:hAnsi="宋体" w:cs="宋体"/>
          <w:color w:val="auto"/>
          <w:kern w:val="0"/>
          <w:szCs w:val="21"/>
          <w:highlight w:val="none"/>
          <w:lang w:eastAsia="zh-CN"/>
        </w:rPr>
        <w:t>评审</w:t>
      </w:r>
      <w:r>
        <w:rPr>
          <w:rFonts w:hint="eastAsia" w:ascii="宋体" w:hAnsi="宋体" w:cs="宋体"/>
          <w:color w:val="auto"/>
          <w:kern w:val="0"/>
          <w:szCs w:val="21"/>
          <w:highlight w:val="none"/>
        </w:rPr>
        <w:t>办法”没有规定的评审因素和标准进行评标。</w:t>
      </w:r>
    </w:p>
    <w:p w14:paraId="2C98DEAE">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9.4对与评标活动有关的工作人员的纪律要求</w:t>
      </w:r>
    </w:p>
    <w:p w14:paraId="0E8D3F1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与评标活动有关的工作人员不得收受他人的财物或者其他好处，不得向他人透漏对采购文件的评审和比较、</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候选人的推荐情况以及评标有关的其他情况。在评标活动中，与评标活动有关的工作人员不得擅离职守，影响评标程序正常进行。</w:t>
      </w:r>
    </w:p>
    <w:p w14:paraId="2A9CD597">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9.5</w:t>
      </w:r>
      <w:r>
        <w:rPr>
          <w:rFonts w:hint="eastAsia" w:ascii="宋体" w:hAnsi="宋体" w:eastAsia="宋体" w:cs="宋体"/>
          <w:b/>
          <w:bCs/>
          <w:color w:val="auto"/>
          <w:kern w:val="0"/>
          <w:sz w:val="21"/>
          <w:szCs w:val="21"/>
          <w:highlight w:val="none"/>
        </w:rPr>
        <w:t>质疑提出与答复</w:t>
      </w:r>
    </w:p>
    <w:p w14:paraId="5D4A5694">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9.5.1 供应商认为采购文件、采购过程、中标或者成交结果使自己的权益受到损害的，可以在知道或者应知其权益受到损害之日起7个工作日内，</w:t>
      </w:r>
      <w:r>
        <w:rPr>
          <w:rFonts w:hint="eastAsia" w:ascii="宋体" w:hAnsi="宋体" w:cs="宋体"/>
          <w:color w:val="auto"/>
          <w:kern w:val="0"/>
          <w:sz w:val="21"/>
          <w:szCs w:val="21"/>
          <w:highlight w:val="none"/>
          <w:lang w:val="en-US" w:eastAsia="zh-CN" w:bidi="ar-SA"/>
        </w:rPr>
        <w:t>通过</w:t>
      </w:r>
      <w:r>
        <w:rPr>
          <w:rFonts w:hint="eastAsia" w:ascii="宋体" w:hAnsi="宋体" w:eastAsia="宋体" w:cs="宋体"/>
          <w:color w:val="auto"/>
          <w:kern w:val="0"/>
          <w:sz w:val="21"/>
          <w:szCs w:val="21"/>
          <w:highlight w:val="none"/>
          <w:lang w:val="en-US" w:eastAsia="zh-CN" w:bidi="ar-SA"/>
        </w:rPr>
        <w:t>“政采云”平台（网址：http://www.zcygov.cn）向采购人、采购代理机构提出质疑。</w:t>
      </w:r>
    </w:p>
    <w:p w14:paraId="4783490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采购文件可以要求供应商在法定质疑期内一次性提出针对同一采购程序环节的质疑。</w:t>
      </w:r>
    </w:p>
    <w:p w14:paraId="19AF67B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 提出质疑的供应商（以下简称质疑供应商）应当是参与所质疑项目采购活动的供应商。</w:t>
      </w:r>
    </w:p>
    <w:p w14:paraId="1F1DE7B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潜在供应商已依法获取其可质疑的采购文件的，可以对该文件提出质疑。对采购文件提出质疑的，应当在获取采购文件或者采购文件公告期限届满之日起7个工作日内提出。</w:t>
      </w:r>
    </w:p>
    <w:p w14:paraId="6E0E3A4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9.5.3 供应商提出质疑应当提交质疑函和必要的证明材料。质疑函应当包括下列内容：</w:t>
      </w:r>
    </w:p>
    <w:p w14:paraId="69263E6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（一）供应商的姓名或者名称、地址、邮编、联系人及联系电话；</w:t>
      </w:r>
    </w:p>
    <w:p w14:paraId="63B603F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（二）质疑项目的名称、编号；</w:t>
      </w:r>
    </w:p>
    <w:p w14:paraId="2564F07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（三）具体、明确的质疑事项和与质疑事项相关的请求；</w:t>
      </w:r>
    </w:p>
    <w:p w14:paraId="7ED8EC1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（四）事实依据；</w:t>
      </w:r>
    </w:p>
    <w:p w14:paraId="606F9F2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（五）必要的法律依据；</w:t>
      </w:r>
    </w:p>
    <w:p w14:paraId="6367045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（六）提出质疑的日期。</w:t>
      </w:r>
    </w:p>
    <w:p w14:paraId="4C626B2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供应商为自然人的，应当由本人签字；供应商为法人或者其他组织的，应当由法定代表人、主要负责人，或者其授权代表签字或者盖章，并加盖公章。</w:t>
      </w:r>
    </w:p>
    <w:p w14:paraId="469E497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9.5.4 采购人、采购代理机构不得拒收质疑供应商在法定质疑期内发出的质疑函，应当在收到质疑函后7个工作日内作出答复，并</w:t>
      </w:r>
      <w:r>
        <w:rPr>
          <w:rFonts w:hint="eastAsia" w:ascii="宋体" w:hAnsi="宋体" w:cs="宋体"/>
          <w:color w:val="auto"/>
          <w:kern w:val="0"/>
          <w:sz w:val="21"/>
          <w:szCs w:val="21"/>
          <w:highlight w:val="none"/>
          <w:lang w:val="en-US" w:eastAsia="zh-CN" w:bidi="ar-SA"/>
        </w:rPr>
        <w:t>通过</w:t>
      </w:r>
      <w:r>
        <w:rPr>
          <w:rFonts w:hint="eastAsia" w:ascii="宋体" w:hAnsi="宋体" w:cs="宋体"/>
          <w:color w:val="auto"/>
          <w:sz w:val="21"/>
          <w:szCs w:val="21"/>
          <w:highlight w:val="none"/>
          <w:lang w:val="en-US" w:eastAsia="zh-CN"/>
        </w:rPr>
        <w:t>“政采云”平台（网址：http://www.zcygov.cn）</w:t>
      </w:r>
      <w:r>
        <w:rPr>
          <w:rFonts w:hint="eastAsia" w:ascii="宋体" w:hAnsi="宋体" w:eastAsia="宋体" w:cs="宋体"/>
          <w:color w:val="auto"/>
          <w:kern w:val="0"/>
          <w:sz w:val="21"/>
          <w:szCs w:val="21"/>
          <w:highlight w:val="none"/>
          <w:lang w:val="en-US" w:eastAsia="zh-CN" w:bidi="ar-SA"/>
        </w:rPr>
        <w:t>通知质疑供应商和其他有关供应商。</w:t>
      </w:r>
    </w:p>
    <w:p w14:paraId="6E0164B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9.5.6 供应商对评审过程、中标或者成交结果提出质疑的，采购人、采购代理机构可以组织原</w:t>
      </w:r>
      <w:r>
        <w:rPr>
          <w:rFonts w:hint="eastAsia" w:ascii="宋体" w:hAnsi="宋体" w:cs="宋体"/>
          <w:color w:val="auto"/>
          <w:kern w:val="0"/>
          <w:sz w:val="21"/>
          <w:szCs w:val="21"/>
          <w:highlight w:val="none"/>
          <w:lang w:val="en-US" w:eastAsia="zh-CN" w:bidi="ar-SA"/>
        </w:rPr>
        <w:t>磋商小组</w:t>
      </w:r>
      <w:r>
        <w:rPr>
          <w:rFonts w:hint="eastAsia" w:ascii="宋体" w:hAnsi="宋体" w:eastAsia="宋体" w:cs="宋体"/>
          <w:color w:val="auto"/>
          <w:kern w:val="0"/>
          <w:sz w:val="21"/>
          <w:szCs w:val="21"/>
          <w:highlight w:val="none"/>
          <w:lang w:val="en-US" w:eastAsia="zh-CN" w:bidi="ar-SA"/>
        </w:rPr>
        <w:t>、竞争性谈判小组、询价小组或者竞争性磋商小组协助答复质疑。</w:t>
      </w:r>
    </w:p>
    <w:p w14:paraId="6151E14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9.5.7 质疑答复应当包括下列内容：</w:t>
      </w:r>
    </w:p>
    <w:p w14:paraId="7DA7B91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（一）质疑供应商的姓名或者名称；</w:t>
      </w:r>
    </w:p>
    <w:p w14:paraId="2AE103B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（二）收到质疑函的日期、质疑项目名称及编号；</w:t>
      </w:r>
    </w:p>
    <w:p w14:paraId="527E497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（三）质疑事项、质疑答复的具体内容、事实依据和法律依据；</w:t>
      </w:r>
    </w:p>
    <w:p w14:paraId="6854928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（四）告知质疑供应商依法投诉的权利；</w:t>
      </w:r>
    </w:p>
    <w:p w14:paraId="0F0C881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（五）质疑答复人名称；</w:t>
      </w:r>
    </w:p>
    <w:p w14:paraId="3362FEB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（六）答复质疑的日期。</w:t>
      </w:r>
    </w:p>
    <w:p w14:paraId="1BCAF84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质疑答复的内容不得涉及商业秘密。</w:t>
      </w:r>
    </w:p>
    <w:p w14:paraId="1367D1A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9.5.8 采购人、采购代理机构认为供应商质疑不成立，或者成立但未对中标、成交结果构成影响的，继续开展采购活动；认为供应商质疑成立且影响或者可能影响中标、成交结果的，按照下列情况处理：</w:t>
      </w:r>
    </w:p>
    <w:p w14:paraId="4CB066B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（一）对采购文件提出的质疑，依法通过澄清或者修改可以继续开展采购活动的，澄清或者修改采购文件后继续开展采购活动；否则应当修改采购文件后重新开展采购活动。</w:t>
      </w:r>
    </w:p>
    <w:p w14:paraId="1D73F57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7813BE9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质疑答复导致中标、成交结果改变的，采购人或者采购代理机构应当将有关情况书面报告本级财政部门。</w:t>
      </w:r>
    </w:p>
    <w:p w14:paraId="13A5A56B">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9.5.2投诉</w:t>
      </w:r>
    </w:p>
    <w:p w14:paraId="2115D28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9.5.2.1磋商响应人或者其他利害关系人认为采购投标活动不符合法律、行政法规规定的，应当在知道或者应当知道其权益受到侵害之日起十日内向有关行政监督部门提出书面投诉，其他利害关系人是指磋商响应人以外的，与采购项目或者采购活动有直接和间接利益关系的法人、其他组织和个人。</w:t>
      </w:r>
    </w:p>
    <w:p w14:paraId="7BFAB53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9.5.2.2就本章9.5条规定事项投诉的，应当先向采购人提出质疑，质疑答复期间不计算在前款规定的期限内。</w:t>
      </w:r>
    </w:p>
    <w:p w14:paraId="476B71E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9.5.2.3投诉人投诉时，应当提交投诉书。投诉书应当包括下列内容：</w:t>
      </w:r>
    </w:p>
    <w:p w14:paraId="12EBC0E8">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（一）投诉人和被投诉人的姓名或者名称、通讯地址、邮编、联系人及联系电话；</w:t>
      </w:r>
    </w:p>
    <w:p w14:paraId="25AEA52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（二）质疑和质疑答复情况说明及相关证明材料；</w:t>
      </w:r>
    </w:p>
    <w:p w14:paraId="2CEE0EC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（三）具体、明确的投诉事项和与投诉事项相关的投诉请求；</w:t>
      </w:r>
    </w:p>
    <w:p w14:paraId="7EC2B88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（四）事实依据；</w:t>
      </w:r>
    </w:p>
    <w:p w14:paraId="26DE86C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（五）法律依据；</w:t>
      </w:r>
    </w:p>
    <w:p w14:paraId="17BF500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（六）提起投诉的日期</w:t>
      </w:r>
      <w:r>
        <w:rPr>
          <w:rFonts w:hint="eastAsia" w:ascii="宋体" w:hAnsi="宋体" w:cs="宋体"/>
          <w:color w:val="auto"/>
          <w:kern w:val="0"/>
          <w:sz w:val="21"/>
          <w:szCs w:val="21"/>
          <w:highlight w:val="none"/>
          <w:lang w:val="en-US" w:eastAsia="zh-CN" w:bidi="ar-SA"/>
        </w:rPr>
        <w:t>。</w:t>
      </w:r>
    </w:p>
    <w:p w14:paraId="37CEA0B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投诉人是法人的，投诉书必须由其法定代表人或者授权代表签字并盖章；其他组织或者个人投诉的，投诉书必须由其主要负责人或者投诉</w:t>
      </w:r>
      <w:r>
        <w:rPr>
          <w:rFonts w:hint="eastAsia" w:ascii="宋体" w:hAnsi="宋体" w:eastAsia="宋体" w:cs="宋体"/>
          <w:color w:val="auto"/>
          <w:sz w:val="21"/>
          <w:szCs w:val="21"/>
          <w:highlight w:val="none"/>
          <w:lang w:val="en-US" w:eastAsia="zh-CN"/>
        </w:rPr>
        <w:t>人本人签字，并附有效身份证明复印件。投诉书有关材料是外文的，投诉人应当同时提供其中文译本。</w:t>
      </w:r>
    </w:p>
    <w:p w14:paraId="34CFF0F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9.5.2.4投诉人不得以投诉为名排挤竞争对手，不得进行虚假、恶意投诉，阻碍采购投标活动的正常进行。</w:t>
      </w:r>
    </w:p>
    <w:p w14:paraId="2EDEFF2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9.5.2.5投诉人可以直接投诉，也可以委托代理人办理投诉事务。代理人办理投诉事务时，应将授权委托书连同投诉书一并提交给行政监督部门。授权委托书应当明确有关委托代理权限和事项。</w:t>
      </w:r>
    </w:p>
    <w:p w14:paraId="260531A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9.5.2.6有下列情形之一的投诉，不予受理；</w:t>
      </w:r>
    </w:p>
    <w:p w14:paraId="4EC5B6F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（一）投诉人不是所投诉采购投标活动的参与者，或者与投诉项目无任何利害关系；</w:t>
      </w:r>
    </w:p>
    <w:p w14:paraId="41F2A19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（二）投诉事项不具体，且未提供有效线索，难以查证的；</w:t>
      </w:r>
    </w:p>
    <w:p w14:paraId="7F55EEA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（三）投诉书未署具投诉人真实姓名、签字和有效联系方式的；以法人名义投诉的，投诉书未经法定代表人签字并加盖公章的；</w:t>
      </w:r>
    </w:p>
    <w:p w14:paraId="5124EF4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（四）超过投诉时效的；</w:t>
      </w:r>
    </w:p>
    <w:p w14:paraId="46F723D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（五）已经作出处理决定，并且投诉人没有提出新的证据；</w:t>
      </w:r>
    </w:p>
    <w:p w14:paraId="2FC2AB1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（六）投诉事项已进入行政复议或者行政诉讼程序的。</w:t>
      </w:r>
    </w:p>
    <w:p w14:paraId="7B4F81A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9.5.2.7未尽事宜，按国家现行有关法律法规、</w:t>
      </w:r>
      <w:r>
        <w:rPr>
          <w:rFonts w:hint="eastAsia" w:ascii="宋体" w:hAnsi="宋体" w:eastAsia="宋体" w:cs="宋体"/>
          <w:color w:val="auto"/>
          <w:sz w:val="21"/>
          <w:szCs w:val="21"/>
          <w:highlight w:val="none"/>
        </w:rPr>
        <w:t>中华人民共和国财政部令第94号--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政府采购质疑和投诉办法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SA"/>
        </w:rPr>
        <w:t>的规定执行。</w:t>
      </w:r>
    </w:p>
    <w:p w14:paraId="6B6E93F5">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10．知识产权</w:t>
      </w:r>
    </w:p>
    <w:p w14:paraId="1ECC9F0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构成本采购文件各个组成部分的文件，未经采购人书面同意，磋商响应人不得擅自复印和用于非本采购项目所需的其他目的。采购人全部或者部分使用未中标人</w:t>
      </w:r>
      <w:r>
        <w:rPr>
          <w:rFonts w:hint="eastAsia" w:ascii="宋体" w:hAnsi="宋体" w:cs="宋体"/>
          <w:color w:val="auto"/>
          <w:kern w:val="0"/>
          <w:szCs w:val="21"/>
          <w:highlight w:val="none"/>
          <w:lang w:eastAsia="zh-CN"/>
        </w:rPr>
        <w:t>磋商响应</w:t>
      </w:r>
      <w:r>
        <w:rPr>
          <w:rFonts w:hint="eastAsia" w:ascii="宋体" w:hAnsi="宋体" w:cs="宋体"/>
          <w:color w:val="auto"/>
          <w:kern w:val="0"/>
          <w:szCs w:val="21"/>
          <w:highlight w:val="none"/>
        </w:rPr>
        <w:t>文件中的技术成果或技术方案时，需征得其书面同意，并不得擅自复印或提供给第三人。</w:t>
      </w:r>
    </w:p>
    <w:p w14:paraId="6C618BF3">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11．同义词语</w:t>
      </w:r>
    </w:p>
    <w:p w14:paraId="38277F1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构成采购文件组成部分的“通用合同条款”、“专用合同条款”、“技术标准和要求”和“工程量清单”等章节中出现的措辞“发包人”和“承包人”，在采购投标阶段应当分别按“采购人”和“磋商响应人”进行理解。</w:t>
      </w:r>
    </w:p>
    <w:p w14:paraId="7585D084">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12．监  督</w:t>
      </w:r>
    </w:p>
    <w:p w14:paraId="7892ADC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本项目的采购</w:t>
      </w:r>
      <w:r>
        <w:rPr>
          <w:rFonts w:hint="eastAsia" w:ascii="宋体" w:hAnsi="宋体" w:cs="宋体"/>
          <w:color w:val="auto"/>
          <w:kern w:val="0"/>
          <w:szCs w:val="21"/>
          <w:highlight w:val="none"/>
          <w:lang w:eastAsia="zh-CN"/>
        </w:rPr>
        <w:t>磋商</w:t>
      </w:r>
      <w:r>
        <w:rPr>
          <w:rFonts w:hint="eastAsia" w:ascii="宋体" w:hAnsi="宋体" w:cs="宋体"/>
          <w:color w:val="auto"/>
          <w:kern w:val="0"/>
          <w:szCs w:val="21"/>
          <w:highlight w:val="none"/>
        </w:rPr>
        <w:t>活动及其相关当事人应当接受有管辖权的财政部门、监督部门依法实施的监督。</w:t>
      </w:r>
    </w:p>
    <w:p w14:paraId="1DB7E88A">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13．解释权</w:t>
      </w:r>
    </w:p>
    <w:p w14:paraId="2A5DF95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详见供应商须知前附表。</w:t>
      </w:r>
    </w:p>
    <w:p w14:paraId="415B924D">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14．确定成交供应商</w:t>
      </w:r>
    </w:p>
    <w:p w14:paraId="046DFBC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采购人（或采购人授权的</w:t>
      </w: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）按照</w:t>
      </w: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推荐</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候选人的顺序确定成交供应商。</w:t>
      </w:r>
    </w:p>
    <w:p w14:paraId="549114EF">
      <w:pPr>
        <w:keepNext w:val="0"/>
        <w:keepLines w:val="0"/>
        <w:pageBreakBefore w:val="0"/>
        <w:kinsoku/>
        <w:wordWrap/>
        <w:topLinePunct w:val="0"/>
        <w:autoSpaceDE w:val="0"/>
        <w:autoSpaceDN w:val="0"/>
        <w:bidi w:val="0"/>
        <w:adjustRightInd w:val="0"/>
        <w:snapToGrid/>
        <w:spacing w:line="440" w:lineRule="exact"/>
        <w:jc w:val="left"/>
        <w:outlineLvl w:val="0"/>
        <w:rPr>
          <w:rFonts w:ascii="华文中宋" w:hAnsi="华文中宋" w:eastAsia="华文中宋"/>
          <w:color w:val="auto"/>
          <w:highlight w:val="none"/>
        </w:rPr>
      </w:pPr>
      <w:r>
        <w:rPr>
          <w:rFonts w:hint="eastAsia" w:ascii="宋体" w:hAnsi="宋体" w:cs="宋体"/>
          <w:b/>
          <w:color w:val="auto"/>
          <w:kern w:val="0"/>
          <w:szCs w:val="21"/>
          <w:highlight w:val="none"/>
        </w:rPr>
        <w:t>15.需要补充的其他内容</w:t>
      </w:r>
      <w:bookmarkStart w:id="199" w:name="_Toc9904_WPSOffice_Level1"/>
    </w:p>
    <w:p w14:paraId="0FA9A1BB">
      <w:pPr>
        <w:pStyle w:val="38"/>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color w:val="auto"/>
          <w:spacing w:val="0"/>
          <w:kern w:val="0"/>
          <w:sz w:val="21"/>
          <w:szCs w:val="21"/>
          <w:highlight w:val="none"/>
          <w:lang w:val="en-US" w:eastAsia="zh-CN" w:bidi="ar-SA"/>
        </w:rPr>
      </w:pPr>
      <w:r>
        <w:rPr>
          <w:rFonts w:hint="eastAsia" w:ascii="宋体" w:hAnsi="宋体" w:eastAsia="宋体" w:cs="宋体"/>
          <w:color w:val="auto"/>
          <w:spacing w:val="0"/>
          <w:kern w:val="0"/>
          <w:sz w:val="21"/>
          <w:szCs w:val="21"/>
          <w:highlight w:val="none"/>
          <w:lang w:val="en-US" w:eastAsia="zh-CN" w:bidi="ar-SA"/>
        </w:rPr>
        <w:t>需要补充的其他内容：见</w:t>
      </w:r>
      <w:r>
        <w:rPr>
          <w:rFonts w:hint="eastAsia" w:hAnsi="宋体" w:cs="宋体"/>
          <w:color w:val="auto"/>
          <w:spacing w:val="0"/>
          <w:kern w:val="0"/>
          <w:sz w:val="21"/>
          <w:szCs w:val="21"/>
          <w:highlight w:val="none"/>
          <w:lang w:val="en-US" w:eastAsia="zh-CN" w:bidi="ar-SA"/>
        </w:rPr>
        <w:t>供应商</w:t>
      </w:r>
      <w:r>
        <w:rPr>
          <w:rFonts w:hint="eastAsia" w:ascii="宋体" w:hAnsi="宋体" w:eastAsia="宋体" w:cs="宋体"/>
          <w:color w:val="auto"/>
          <w:spacing w:val="0"/>
          <w:kern w:val="0"/>
          <w:sz w:val="21"/>
          <w:szCs w:val="21"/>
          <w:highlight w:val="none"/>
          <w:lang w:val="en-US" w:eastAsia="zh-CN" w:bidi="ar-SA"/>
        </w:rPr>
        <w:t>须知前附表；</w:t>
      </w:r>
    </w:p>
    <w:p w14:paraId="4580E8D9">
      <w:pPr>
        <w:pStyle w:val="38"/>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b/>
          <w:bCs/>
          <w:color w:val="auto"/>
          <w:sz w:val="32"/>
          <w:szCs w:val="32"/>
          <w:highlight w:val="none"/>
        </w:rPr>
      </w:pPr>
      <w:r>
        <w:rPr>
          <w:rFonts w:hint="eastAsia" w:hAnsi="宋体" w:cs="宋体"/>
          <w:color w:val="auto"/>
          <w:spacing w:val="0"/>
          <w:kern w:val="0"/>
          <w:sz w:val="21"/>
          <w:szCs w:val="21"/>
          <w:highlight w:val="none"/>
          <w:lang w:val="en-US" w:eastAsia="zh-CN" w:bidi="ar-SA"/>
        </w:rPr>
        <w:t>注：</w:t>
      </w:r>
      <w:r>
        <w:rPr>
          <w:rFonts w:hint="eastAsia" w:ascii="宋体" w:hAnsi="宋体" w:eastAsia="宋体" w:cs="宋体"/>
          <w:color w:val="auto"/>
          <w:spacing w:val="0"/>
          <w:kern w:val="0"/>
          <w:sz w:val="21"/>
          <w:szCs w:val="21"/>
          <w:highlight w:val="none"/>
          <w:lang w:val="en-US" w:eastAsia="zh-CN" w:bidi="ar-SA"/>
        </w:rPr>
        <w:t>在领取</w:t>
      </w:r>
      <w:r>
        <w:rPr>
          <w:rFonts w:hint="eastAsia" w:hAnsi="宋体" w:cs="宋体"/>
          <w:color w:val="auto"/>
          <w:spacing w:val="0"/>
          <w:kern w:val="0"/>
          <w:sz w:val="21"/>
          <w:szCs w:val="21"/>
          <w:highlight w:val="none"/>
          <w:lang w:val="en-US" w:eastAsia="zh-CN" w:bidi="ar-SA"/>
        </w:rPr>
        <w:t>成交</w:t>
      </w:r>
      <w:r>
        <w:rPr>
          <w:rFonts w:hint="eastAsia" w:ascii="宋体" w:hAnsi="宋体" w:eastAsia="宋体" w:cs="宋体"/>
          <w:color w:val="auto"/>
          <w:spacing w:val="0"/>
          <w:kern w:val="0"/>
          <w:sz w:val="21"/>
          <w:szCs w:val="21"/>
          <w:highlight w:val="none"/>
          <w:lang w:val="en-US" w:eastAsia="zh-CN" w:bidi="ar-SA"/>
        </w:rPr>
        <w:t>通知书的同时，由</w:t>
      </w:r>
      <w:r>
        <w:rPr>
          <w:rFonts w:hint="eastAsia" w:hAnsi="宋体" w:cs="宋体"/>
          <w:color w:val="auto"/>
          <w:spacing w:val="0"/>
          <w:kern w:val="0"/>
          <w:sz w:val="21"/>
          <w:szCs w:val="21"/>
          <w:highlight w:val="none"/>
          <w:lang w:val="en-US" w:eastAsia="zh-CN" w:bidi="ar-SA"/>
        </w:rPr>
        <w:t>成交</w:t>
      </w:r>
      <w:r>
        <w:rPr>
          <w:rFonts w:hint="eastAsia" w:ascii="宋体" w:hAnsi="宋体" w:eastAsia="宋体" w:cs="宋体"/>
          <w:color w:val="auto"/>
          <w:spacing w:val="0"/>
          <w:kern w:val="0"/>
          <w:sz w:val="21"/>
          <w:szCs w:val="21"/>
          <w:highlight w:val="none"/>
          <w:lang w:val="en-US" w:eastAsia="zh-CN" w:bidi="ar-SA"/>
        </w:rPr>
        <w:t>人向采购代理机构支付</w:t>
      </w:r>
      <w:r>
        <w:rPr>
          <w:rFonts w:hint="eastAsia" w:hAnsi="宋体" w:cs="宋体"/>
          <w:color w:val="auto"/>
          <w:spacing w:val="0"/>
          <w:kern w:val="0"/>
          <w:sz w:val="21"/>
          <w:szCs w:val="21"/>
          <w:highlight w:val="none"/>
          <w:lang w:val="en-US" w:eastAsia="zh-CN" w:bidi="ar-SA"/>
        </w:rPr>
        <w:t>代理</w:t>
      </w:r>
      <w:r>
        <w:rPr>
          <w:rFonts w:hint="eastAsia" w:ascii="宋体" w:hAnsi="宋体" w:eastAsia="宋体" w:cs="宋体"/>
          <w:color w:val="auto"/>
          <w:spacing w:val="0"/>
          <w:kern w:val="0"/>
          <w:sz w:val="21"/>
          <w:szCs w:val="21"/>
          <w:highlight w:val="none"/>
          <w:lang w:val="en-US" w:eastAsia="zh-CN" w:bidi="ar-SA"/>
        </w:rPr>
        <w:t>服务费</w:t>
      </w:r>
      <w:r>
        <w:rPr>
          <w:rFonts w:hint="eastAsia" w:hAnsi="宋体" w:cs="宋体"/>
          <w:color w:val="auto"/>
          <w:spacing w:val="0"/>
          <w:kern w:val="0"/>
          <w:sz w:val="21"/>
          <w:szCs w:val="21"/>
          <w:highlight w:val="none"/>
          <w:lang w:val="en-US" w:eastAsia="zh-CN" w:bidi="ar-SA"/>
        </w:rPr>
        <w:t>，收费标准详见采购公告</w:t>
      </w:r>
      <w:r>
        <w:rPr>
          <w:rFonts w:hint="eastAsia" w:ascii="宋体" w:hAnsi="宋体" w:eastAsia="宋体" w:cs="宋体"/>
          <w:color w:val="auto"/>
          <w:spacing w:val="0"/>
          <w:kern w:val="0"/>
          <w:sz w:val="21"/>
          <w:szCs w:val="21"/>
          <w:highlight w:val="none"/>
          <w:lang w:val="en-US" w:eastAsia="zh-CN" w:bidi="ar-SA"/>
        </w:rPr>
        <w:t>。</w:t>
      </w:r>
      <w:r>
        <w:rPr>
          <w:rFonts w:hint="eastAsia" w:hAnsi="宋体" w:cs="宋体"/>
          <w:color w:val="auto"/>
          <w:spacing w:val="0"/>
          <w:kern w:val="0"/>
          <w:sz w:val="21"/>
          <w:szCs w:val="21"/>
          <w:highlight w:val="none"/>
          <w:lang w:val="en-US" w:eastAsia="zh-CN" w:bidi="ar-SA"/>
        </w:rPr>
        <w:t>成交</w:t>
      </w:r>
      <w:r>
        <w:rPr>
          <w:rFonts w:hint="eastAsia" w:ascii="宋体" w:hAnsi="宋体" w:eastAsia="宋体" w:cs="宋体"/>
          <w:color w:val="auto"/>
          <w:spacing w:val="0"/>
          <w:kern w:val="0"/>
          <w:sz w:val="21"/>
          <w:szCs w:val="21"/>
          <w:highlight w:val="none"/>
          <w:lang w:val="en-US" w:eastAsia="zh-CN" w:bidi="ar-SA"/>
        </w:rPr>
        <w:t>人与采购人签订合同后，将合同副本报采购代理机构备案。</w:t>
      </w:r>
    </w:p>
    <w:p w14:paraId="7CB77BEB">
      <w:pPr>
        <w:pStyle w:val="3"/>
        <w:tabs>
          <w:tab w:val="left" w:pos="0"/>
        </w:tabs>
        <w:autoSpaceDE w:val="0"/>
        <w:autoSpaceDN w:val="0"/>
        <w:adjustRightInd w:val="0"/>
        <w:spacing w:before="0" w:after="0" w:line="240" w:lineRule="auto"/>
        <w:jc w:val="both"/>
        <w:rPr>
          <w:rFonts w:hint="eastAsia" w:ascii="宋体" w:hAnsi="宋体" w:eastAsia="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08EA5DD0">
      <w:pPr>
        <w:pStyle w:val="3"/>
        <w:tabs>
          <w:tab w:val="left" w:pos="0"/>
        </w:tabs>
        <w:autoSpaceDE w:val="0"/>
        <w:autoSpaceDN w:val="0"/>
        <w:adjustRightInd w:val="0"/>
        <w:spacing w:before="0" w:after="0" w:line="240" w:lineRule="auto"/>
        <w:jc w:val="center"/>
        <w:rPr>
          <w:rFonts w:ascii="宋体" w:hAnsi="宋体" w:cs="宋体"/>
          <w:color w:val="auto"/>
          <w:sz w:val="44"/>
          <w:szCs w:val="44"/>
          <w:highlight w:val="none"/>
        </w:rPr>
      </w:pPr>
      <w:r>
        <w:rPr>
          <w:rFonts w:hint="eastAsia" w:ascii="宋体" w:hAnsi="宋体" w:eastAsia="宋体"/>
          <w:color w:val="auto"/>
          <w:sz w:val="44"/>
          <w:szCs w:val="44"/>
          <w:highlight w:val="none"/>
        </w:rPr>
        <w:t>第三章</w:t>
      </w:r>
      <w:r>
        <w:rPr>
          <w:rFonts w:hint="eastAsia" w:ascii="宋体" w:hAnsi="宋体"/>
          <w:color w:val="auto"/>
          <w:sz w:val="44"/>
          <w:szCs w:val="44"/>
          <w:highlight w:val="none"/>
          <w:lang w:val="en-US" w:eastAsia="zh-CN"/>
        </w:rPr>
        <w:t xml:space="preserve"> </w:t>
      </w:r>
      <w:r>
        <w:rPr>
          <w:rFonts w:hint="eastAsia" w:ascii="宋体" w:hAnsi="宋体" w:eastAsia="宋体"/>
          <w:color w:val="auto"/>
          <w:sz w:val="44"/>
          <w:szCs w:val="44"/>
          <w:highlight w:val="none"/>
        </w:rPr>
        <w:t>采购需求</w:t>
      </w:r>
      <w:bookmarkEnd w:id="199"/>
    </w:p>
    <w:p w14:paraId="6659C1DF">
      <w:pPr>
        <w:keepNext w:val="0"/>
        <w:keepLines w:val="0"/>
        <w:pageBreakBefore w:val="0"/>
        <w:widowControl w:val="0"/>
        <w:kinsoku/>
        <w:wordWrap/>
        <w:overflowPunct/>
        <w:topLinePunct w:val="0"/>
        <w:bidi w:val="0"/>
        <w:snapToGrid/>
        <w:spacing w:line="480" w:lineRule="exact"/>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lang w:val="en-US" w:eastAsia="zh-CN"/>
        </w:rPr>
        <w:t>项目</w:t>
      </w:r>
      <w:r>
        <w:rPr>
          <w:rFonts w:hint="eastAsia" w:ascii="宋体" w:hAnsi="宋体" w:eastAsia="宋体" w:cs="宋体"/>
          <w:b/>
          <w:bCs/>
          <w:color w:val="auto"/>
          <w:sz w:val="21"/>
          <w:szCs w:val="21"/>
          <w:highlight w:val="none"/>
          <w:lang w:eastAsia="zh-CN"/>
        </w:rPr>
        <w:t>概</w:t>
      </w:r>
      <w:r>
        <w:rPr>
          <w:rFonts w:hint="eastAsia" w:ascii="宋体" w:hAnsi="宋体" w:eastAsia="宋体" w:cs="宋体"/>
          <w:b/>
          <w:bCs/>
          <w:color w:val="auto"/>
          <w:sz w:val="21"/>
          <w:szCs w:val="21"/>
          <w:highlight w:val="none"/>
        </w:rPr>
        <w:t>况</w:t>
      </w:r>
      <w:r>
        <w:rPr>
          <w:rFonts w:hint="eastAsia" w:ascii="宋体" w:hAnsi="宋体" w:eastAsia="宋体" w:cs="宋体"/>
          <w:b/>
          <w:bCs/>
          <w:color w:val="auto"/>
          <w:sz w:val="21"/>
          <w:szCs w:val="21"/>
          <w:highlight w:val="none"/>
          <w:lang w:eastAsia="zh-CN"/>
        </w:rPr>
        <w:t>：</w:t>
      </w:r>
    </w:p>
    <w:p w14:paraId="5B280344">
      <w:pPr>
        <w:keepNext w:val="0"/>
        <w:keepLines w:val="0"/>
        <w:pageBreakBefore w:val="0"/>
        <w:widowControl w:val="0"/>
        <w:kinsoku/>
        <w:wordWrap/>
        <w:overflowPunct/>
        <w:topLinePunct w:val="0"/>
        <w:bidi w:val="0"/>
        <w:snapToGrid/>
        <w:spacing w:line="480" w:lineRule="exact"/>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1.项目名称：</w:t>
      </w:r>
      <w:r>
        <w:rPr>
          <w:rFonts w:hint="eastAsia" w:ascii="宋体" w:hAnsi="宋体" w:cs="宋体"/>
          <w:color w:val="auto"/>
          <w:sz w:val="21"/>
          <w:szCs w:val="21"/>
          <w:highlight w:val="none"/>
          <w:lang w:eastAsia="zh-CN"/>
        </w:rPr>
        <w:t>梁河县中心敬老院消防安全标准化提升工程</w:t>
      </w:r>
      <w:r>
        <w:rPr>
          <w:rFonts w:hint="eastAsia" w:ascii="宋体" w:hAnsi="宋体" w:cs="宋体"/>
          <w:color w:val="auto"/>
          <w:sz w:val="21"/>
          <w:szCs w:val="21"/>
          <w:highlight w:val="none"/>
          <w:lang w:val="en-US" w:eastAsia="zh-CN"/>
        </w:rPr>
        <w:t>；</w:t>
      </w:r>
    </w:p>
    <w:p w14:paraId="34489A67">
      <w:pPr>
        <w:keepNext w:val="0"/>
        <w:keepLines w:val="0"/>
        <w:pageBreakBefore w:val="0"/>
        <w:widowControl w:val="0"/>
        <w:kinsoku/>
        <w:wordWrap/>
        <w:overflowPunct/>
        <w:topLinePunct w:val="0"/>
        <w:bidi w:val="0"/>
        <w:snapToGrid/>
        <w:spacing w:line="480" w:lineRule="exact"/>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2.建设地点：</w:t>
      </w:r>
      <w:r>
        <w:rPr>
          <w:rFonts w:hint="eastAsia" w:ascii="宋体" w:hAnsi="宋体" w:cs="宋体"/>
          <w:color w:val="auto"/>
          <w:sz w:val="21"/>
          <w:szCs w:val="21"/>
          <w:highlight w:val="none"/>
          <w:lang w:eastAsia="zh-CN"/>
        </w:rPr>
        <w:t>梁河县中心敬老院</w:t>
      </w:r>
      <w:r>
        <w:rPr>
          <w:rFonts w:hint="eastAsia" w:ascii="宋体" w:hAnsi="宋体" w:cs="宋体"/>
          <w:color w:val="auto"/>
          <w:sz w:val="21"/>
          <w:szCs w:val="21"/>
          <w:highlight w:val="none"/>
          <w:lang w:val="en-US" w:eastAsia="zh-CN"/>
        </w:rPr>
        <w:t>；</w:t>
      </w:r>
    </w:p>
    <w:p w14:paraId="52C3D980">
      <w:pPr>
        <w:keepNext w:val="0"/>
        <w:keepLines w:val="0"/>
        <w:pageBreakBefore w:val="0"/>
        <w:widowControl w:val="0"/>
        <w:kinsoku/>
        <w:wordWrap/>
        <w:overflowPunct/>
        <w:topLinePunct w:val="0"/>
        <w:bidi w:val="0"/>
        <w:snapToGrid/>
        <w:spacing w:line="480" w:lineRule="exact"/>
        <w:ind w:firstLine="420"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3.建设单位：梁河县民政局；</w:t>
      </w:r>
    </w:p>
    <w:p w14:paraId="3804A618">
      <w:pPr>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900000.00元</w:t>
      </w:r>
      <w:r>
        <w:rPr>
          <w:rFonts w:hint="eastAsia" w:ascii="宋体" w:hAnsi="宋体" w:eastAsia="宋体" w:cs="宋体"/>
          <w:color w:val="auto"/>
          <w:sz w:val="21"/>
          <w:szCs w:val="21"/>
          <w:highlight w:val="none"/>
          <w:lang w:eastAsia="zh-CN"/>
        </w:rPr>
        <w:t>；</w:t>
      </w:r>
    </w:p>
    <w:p w14:paraId="0EF8B977">
      <w:pPr>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最高限价：899687.73元（即招标控制价）</w:t>
      </w:r>
      <w:r>
        <w:rPr>
          <w:rFonts w:hint="eastAsia" w:ascii="宋体" w:hAnsi="宋体" w:eastAsia="宋体" w:cs="宋体"/>
          <w:color w:val="auto"/>
          <w:sz w:val="21"/>
          <w:szCs w:val="21"/>
          <w:highlight w:val="none"/>
        </w:rPr>
        <w:t>；</w:t>
      </w:r>
    </w:p>
    <w:p w14:paraId="7E5BBAE3">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cs="宋体"/>
          <w:color w:val="auto"/>
          <w:kern w:val="2"/>
          <w:sz w:val="21"/>
          <w:szCs w:val="21"/>
          <w:highlight w:val="none"/>
          <w:lang w:val="en-US" w:eastAsia="zh-CN" w:bidi="ar-SA"/>
        </w:rPr>
      </w:pPr>
      <w:r>
        <w:rPr>
          <w:rFonts w:hint="eastAsia" w:cs="宋体"/>
          <w:color w:val="auto"/>
          <w:sz w:val="21"/>
          <w:szCs w:val="21"/>
          <w:highlight w:val="none"/>
          <w:lang w:val="en-US" w:eastAsia="zh-CN"/>
        </w:rPr>
        <w:t>6.采购范围：</w:t>
      </w:r>
      <w:r>
        <w:rPr>
          <w:rFonts w:hint="eastAsia" w:ascii="宋体" w:hAnsi="宋体" w:eastAsia="宋体" w:cs="宋体"/>
          <w:color w:val="auto"/>
          <w:sz w:val="21"/>
          <w:szCs w:val="21"/>
          <w:highlight w:val="none"/>
          <w:lang w:val="en-US" w:eastAsia="zh-CN"/>
        </w:rPr>
        <w:t>（一）主体建筑消防系统改造</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对一号宿舍楼（建筑面积745.59平方米）、二号宿舍楼（建筑面积1163.99平方米）开展全域消防系统升级，更换、优化原有老旧喷淋系统、火灾自动报警系统系统、应急照明系统。（二）新建18立方米成品消防水箱1座，配套安装专用稳压泵组，完善消防供水管网铺设。（三）配套建设全套火灾自动报警系统1套，消防控制室1间。（四）新增专用发电机1台，新建独立储油间1间、配电室1间。（五）室外消防栓、消防水池及消防水塔补水。（六）附属设施及综合整改</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全域更换、增补手提式磷酸铵盐干粉灭火器，按照规范合理布置，适配火灾初期扑救需求；</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开展全院电气线路专项改造，规整线路敷设、更换老化线路、消除电气火灾安全隐患；</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完善应急照明系统、语音疏散引导设施，优化老年人应急疏散条件；</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 xml:space="preserve">配套完成所有附属收尾工程，实现全院消防系统一体化、标准化、常态化运行。 </w:t>
      </w:r>
    </w:p>
    <w:p w14:paraId="4374EEB7">
      <w:pPr>
        <w:pStyle w:val="34"/>
        <w:keepNext w:val="0"/>
        <w:keepLines w:val="0"/>
        <w:pageBreakBefore w:val="0"/>
        <w:widowControl w:val="0"/>
        <w:kinsoku/>
        <w:wordWrap/>
        <w:overflowPunct/>
        <w:topLinePunct w:val="0"/>
        <w:bidi w:val="0"/>
        <w:snapToGrid/>
        <w:spacing w:line="48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w:t>
      </w:r>
      <w:r>
        <w:rPr>
          <w:rFonts w:hint="eastAsia" w:cs="宋体"/>
          <w:color w:val="auto"/>
          <w:kern w:val="2"/>
          <w:sz w:val="21"/>
          <w:szCs w:val="21"/>
          <w:highlight w:val="none"/>
          <w:lang w:val="en-US" w:eastAsia="zh-CN" w:bidi="ar-SA"/>
        </w:rPr>
        <w:t>质量标准：符合国家施工质量验收标准，一次性验收合格；</w:t>
      </w:r>
    </w:p>
    <w:p w14:paraId="02619597">
      <w:pPr>
        <w:pStyle w:val="34"/>
        <w:keepNext w:val="0"/>
        <w:keepLines w:val="0"/>
        <w:pageBreakBefore w:val="0"/>
        <w:widowControl w:val="0"/>
        <w:kinsoku/>
        <w:wordWrap/>
        <w:overflowPunct/>
        <w:topLinePunct w:val="0"/>
        <w:bidi w:val="0"/>
        <w:snapToGrid/>
        <w:spacing w:line="480" w:lineRule="exact"/>
        <w:ind w:firstLine="420" w:firstLineChars="200"/>
        <w:textAlignment w:val="auto"/>
        <w:rPr>
          <w:rFonts w:hint="eastAsia" w:cs="宋体"/>
          <w:color w:val="auto"/>
          <w:sz w:val="21"/>
          <w:szCs w:val="21"/>
          <w:highlight w:val="none"/>
          <w:lang w:eastAsia="zh-CN"/>
        </w:rPr>
      </w:pPr>
      <w:r>
        <w:rPr>
          <w:rFonts w:hint="eastAsia"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工期：</w:t>
      </w:r>
      <w:r>
        <w:rPr>
          <w:rFonts w:hint="eastAsia" w:cs="宋体"/>
          <w:color w:val="auto"/>
          <w:kern w:val="2"/>
          <w:sz w:val="21"/>
          <w:szCs w:val="21"/>
          <w:highlight w:val="none"/>
          <w:lang w:val="en-US" w:eastAsia="zh-CN" w:bidi="ar-SA"/>
        </w:rPr>
        <w:t>90日历天</w:t>
      </w:r>
      <w:r>
        <w:rPr>
          <w:rFonts w:hint="eastAsia" w:cs="宋体"/>
          <w:color w:val="auto"/>
          <w:sz w:val="21"/>
          <w:szCs w:val="21"/>
          <w:highlight w:val="none"/>
          <w:lang w:eastAsia="zh-CN"/>
        </w:rPr>
        <w:t>；</w:t>
      </w:r>
    </w:p>
    <w:p w14:paraId="7BCFF69A">
      <w:pPr>
        <w:pStyle w:val="34"/>
        <w:keepNext w:val="0"/>
        <w:keepLines w:val="0"/>
        <w:pageBreakBefore w:val="0"/>
        <w:widowControl w:val="0"/>
        <w:kinsoku/>
        <w:wordWrap/>
        <w:overflowPunct/>
        <w:topLinePunct w:val="0"/>
        <w:bidi w:val="0"/>
        <w:snapToGrid/>
        <w:spacing w:line="480" w:lineRule="exact"/>
        <w:ind w:firstLine="420" w:firstLineChars="200"/>
        <w:textAlignment w:val="auto"/>
        <w:rPr>
          <w:rFonts w:hint="eastAsia"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9.付款方式：根据财政资金安排情况拨付工程款；</w:t>
      </w:r>
    </w:p>
    <w:p w14:paraId="08F23002">
      <w:pPr>
        <w:pStyle w:val="34"/>
        <w:keepNext w:val="0"/>
        <w:keepLines w:val="0"/>
        <w:pageBreakBefore w:val="0"/>
        <w:widowControl w:val="0"/>
        <w:kinsoku/>
        <w:wordWrap/>
        <w:overflowPunct/>
        <w:topLinePunct w:val="0"/>
        <w:bidi w:val="0"/>
        <w:snapToGrid/>
        <w:spacing w:line="480" w:lineRule="exact"/>
        <w:ind w:firstLine="420" w:firstLineChars="200"/>
        <w:textAlignment w:val="auto"/>
        <w:rPr>
          <w:rFonts w:hint="default" w:cs="宋体"/>
          <w:b w:val="0"/>
          <w:bCs w:val="0"/>
          <w:color w:val="auto"/>
          <w:kern w:val="2"/>
          <w:sz w:val="21"/>
          <w:szCs w:val="21"/>
          <w:highlight w:val="none"/>
          <w:lang w:val="en-US" w:eastAsia="zh-CN" w:bidi="ar-SA"/>
        </w:rPr>
      </w:pPr>
      <w:r>
        <w:rPr>
          <w:rFonts w:hint="eastAsia" w:cs="宋体"/>
          <w:b w:val="0"/>
          <w:bCs w:val="0"/>
          <w:color w:val="auto"/>
          <w:kern w:val="2"/>
          <w:sz w:val="21"/>
          <w:szCs w:val="21"/>
          <w:highlight w:val="none"/>
          <w:lang w:val="en-US" w:eastAsia="zh-CN" w:bidi="ar-SA"/>
        </w:rPr>
        <w:t>10.本项目工程量清单（另册附）。</w:t>
      </w:r>
    </w:p>
    <w:p w14:paraId="6B01A461">
      <w:pPr>
        <w:pStyle w:val="3"/>
        <w:tabs>
          <w:tab w:val="left" w:pos="0"/>
        </w:tabs>
        <w:autoSpaceDE w:val="0"/>
        <w:autoSpaceDN w:val="0"/>
        <w:adjustRightInd w:val="0"/>
        <w:spacing w:before="0" w:after="0" w:line="240" w:lineRule="auto"/>
        <w:jc w:val="center"/>
        <w:rPr>
          <w:rFonts w:hint="eastAsia" w:ascii="宋体" w:hAnsi="宋体" w:eastAsia="宋体"/>
          <w:color w:val="auto"/>
          <w:highlight w:val="none"/>
        </w:rPr>
      </w:pPr>
      <w:bookmarkStart w:id="200" w:name="_Toc14742_WPSOffice_Level1"/>
      <w:bookmarkStart w:id="201" w:name="_Toc16726_WPSOffice_Level1"/>
    </w:p>
    <w:p w14:paraId="3D905ED3">
      <w:pPr>
        <w:pStyle w:val="3"/>
        <w:tabs>
          <w:tab w:val="left" w:pos="0"/>
        </w:tabs>
        <w:autoSpaceDE w:val="0"/>
        <w:autoSpaceDN w:val="0"/>
        <w:adjustRightInd w:val="0"/>
        <w:spacing w:before="0" w:after="0" w:line="240" w:lineRule="auto"/>
        <w:jc w:val="center"/>
        <w:rPr>
          <w:rFonts w:hint="eastAsia" w:ascii="宋体" w:hAnsi="宋体" w:eastAsia="宋体"/>
          <w:color w:val="auto"/>
          <w:highlight w:val="none"/>
        </w:rPr>
      </w:pPr>
    </w:p>
    <w:p w14:paraId="17D2F737">
      <w:pPr>
        <w:pStyle w:val="3"/>
        <w:tabs>
          <w:tab w:val="left" w:pos="0"/>
        </w:tabs>
        <w:autoSpaceDE w:val="0"/>
        <w:autoSpaceDN w:val="0"/>
        <w:adjustRightInd w:val="0"/>
        <w:spacing w:before="0" w:after="0" w:line="240" w:lineRule="auto"/>
        <w:jc w:val="both"/>
        <w:rPr>
          <w:rFonts w:hint="eastAsia" w:ascii="宋体" w:hAnsi="宋体" w:eastAsia="宋体"/>
          <w:color w:val="auto"/>
          <w:highlight w:val="none"/>
        </w:rPr>
      </w:pPr>
    </w:p>
    <w:p w14:paraId="39C8DE4A">
      <w:pPr>
        <w:rPr>
          <w:rFonts w:hint="eastAsia" w:ascii="宋体" w:hAnsi="宋体" w:eastAsia="宋体"/>
          <w:color w:val="auto"/>
          <w:highlight w:val="none"/>
        </w:rPr>
      </w:pPr>
    </w:p>
    <w:p w14:paraId="0AFE45FA">
      <w:pPr>
        <w:pStyle w:val="3"/>
        <w:tabs>
          <w:tab w:val="left" w:pos="0"/>
        </w:tabs>
        <w:autoSpaceDE w:val="0"/>
        <w:autoSpaceDN w:val="0"/>
        <w:adjustRightInd w:val="0"/>
        <w:spacing w:before="0" w:after="0" w:line="240" w:lineRule="auto"/>
        <w:jc w:val="both"/>
        <w:rPr>
          <w:rFonts w:hint="eastAsia" w:ascii="宋体" w:hAnsi="宋体" w:eastAsia="宋体"/>
          <w:color w:val="auto"/>
          <w:highlight w:val="none"/>
        </w:rPr>
      </w:pPr>
    </w:p>
    <w:p w14:paraId="104D46A6">
      <w:pPr>
        <w:rPr>
          <w:rFonts w:hint="eastAsia" w:ascii="宋体" w:hAnsi="宋体" w:eastAsia="宋体"/>
          <w:color w:val="auto"/>
          <w:highlight w:val="none"/>
        </w:rPr>
      </w:pPr>
    </w:p>
    <w:p w14:paraId="2302D02A">
      <w:pPr>
        <w:pStyle w:val="2"/>
        <w:rPr>
          <w:rFonts w:hint="eastAsia" w:ascii="宋体" w:hAnsi="宋体" w:eastAsia="宋体"/>
          <w:color w:val="auto"/>
          <w:highlight w:val="none"/>
        </w:rPr>
      </w:pPr>
    </w:p>
    <w:p w14:paraId="4C677656">
      <w:pPr>
        <w:rPr>
          <w:rFonts w:hint="eastAsia"/>
        </w:rPr>
      </w:pPr>
    </w:p>
    <w:p w14:paraId="488B2936">
      <w:pPr>
        <w:pStyle w:val="3"/>
        <w:tabs>
          <w:tab w:val="left" w:pos="0"/>
        </w:tabs>
        <w:autoSpaceDE w:val="0"/>
        <w:autoSpaceDN w:val="0"/>
        <w:adjustRightInd w:val="0"/>
        <w:spacing w:before="0" w:after="0" w:line="240" w:lineRule="auto"/>
        <w:jc w:val="center"/>
        <w:rPr>
          <w:rFonts w:ascii="宋体" w:hAnsi="宋体" w:eastAsia="宋体"/>
          <w:color w:val="auto"/>
          <w:highlight w:val="none"/>
        </w:rPr>
      </w:pPr>
      <w:r>
        <w:rPr>
          <w:rFonts w:hint="eastAsia" w:ascii="宋体" w:hAnsi="宋体" w:eastAsia="宋体"/>
          <w:color w:val="auto"/>
          <w:highlight w:val="none"/>
        </w:rPr>
        <w:t>第四章 评审办法</w:t>
      </w:r>
      <w:bookmarkEnd w:id="200"/>
    </w:p>
    <w:p w14:paraId="709DBA23">
      <w:pPr>
        <w:rPr>
          <w:rFonts w:ascii="宋体" w:hAnsi="宋体" w:cs="宋体"/>
          <w:color w:val="auto"/>
          <w:sz w:val="24"/>
          <w:szCs w:val="32"/>
          <w:highlight w:val="none"/>
        </w:rPr>
      </w:pPr>
    </w:p>
    <w:p w14:paraId="1B2C92B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1.根据《中华人民共和国政府采购法》及其实施条例、财政部第</w:t>
      </w:r>
      <w:r>
        <w:rPr>
          <w:rFonts w:hint="eastAsia" w:ascii="宋体" w:hAnsi="宋体" w:cs="宋体"/>
          <w:color w:val="auto"/>
          <w:szCs w:val="21"/>
          <w:highlight w:val="none"/>
          <w:lang w:val="en-US" w:eastAsia="zh-CN"/>
        </w:rPr>
        <w:t>94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101</w:t>
      </w:r>
      <w:r>
        <w:rPr>
          <w:rFonts w:hint="eastAsia" w:ascii="宋体" w:hAnsi="宋体" w:cs="宋体"/>
          <w:color w:val="auto"/>
          <w:szCs w:val="21"/>
          <w:highlight w:val="none"/>
        </w:rPr>
        <w:t>号令、《政府采购竞争性磋商采购方式管理暂行办法》等现行相关法律、法规的规定及磋商文件制定本办法。</w:t>
      </w:r>
    </w:p>
    <w:p w14:paraId="3D3E772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2.采购人将根据本次采购项目的性质和特点依法组建磋商小组，磋商小组按照法律、法规的规定，在严格的保密条件下进行评审工作，任何人及单位不得干扰磋商小组的正常工作。</w:t>
      </w:r>
    </w:p>
    <w:p w14:paraId="40F1296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3.评标原则：依照“公平、公正、科学</w:t>
      </w:r>
      <w:r>
        <w:rPr>
          <w:rFonts w:hint="eastAsia" w:ascii="宋体" w:hAnsi="宋体" w:cs="宋体"/>
          <w:color w:val="auto"/>
          <w:szCs w:val="21"/>
          <w:highlight w:val="none"/>
          <w:lang w:eastAsia="zh-CN"/>
        </w:rPr>
        <w:t>、</w:t>
      </w:r>
      <w:r>
        <w:rPr>
          <w:rFonts w:hint="eastAsia" w:ascii="宋体" w:hAnsi="宋体" w:cs="宋体"/>
          <w:color w:val="auto"/>
          <w:szCs w:val="21"/>
          <w:highlight w:val="none"/>
        </w:rPr>
        <w:t>择优”的原则。</w:t>
      </w:r>
    </w:p>
    <w:p w14:paraId="18131A0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4.评标办法：采用综合评分法。</w:t>
      </w:r>
    </w:p>
    <w:p w14:paraId="6ED58ADA">
      <w:pPr>
        <w:keepNext w:val="0"/>
        <w:keepLines w:val="0"/>
        <w:pageBreakBefore w:val="0"/>
        <w:widowControl w:val="0"/>
        <w:kinsoku/>
        <w:wordWrap/>
        <w:overflowPunct/>
        <w:topLinePunct w:val="0"/>
        <w:autoSpaceDE/>
        <w:autoSpaceDN/>
        <w:bidi w:val="0"/>
        <w:adjustRightInd/>
        <w:snapToGrid/>
        <w:spacing w:line="480" w:lineRule="exact"/>
        <w:ind w:firstLine="630" w:firstLineChars="300"/>
        <w:textAlignment w:val="auto"/>
        <w:rPr>
          <w:rFonts w:hint="eastAsia" w:ascii="宋体" w:hAnsi="宋体" w:cs="宋体"/>
          <w:color w:val="auto"/>
          <w:szCs w:val="21"/>
          <w:highlight w:val="none"/>
          <w:lang w:val="zh-CN"/>
        </w:rPr>
      </w:pPr>
      <w:r>
        <w:rPr>
          <w:rFonts w:hint="eastAsia" w:ascii="宋体" w:hAnsi="宋体" w:cs="宋体"/>
          <w:color w:val="auto"/>
          <w:szCs w:val="21"/>
          <w:highlight w:val="none"/>
        </w:rPr>
        <w:t>磋商文件内容违反国家有关强制性规定的，磋商小组应当停止评审并向采购人或者采购代理机构说明情况。</w:t>
      </w:r>
    </w:p>
    <w:p w14:paraId="53EAEBB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5.评标程序：</w:t>
      </w:r>
      <w:r>
        <w:rPr>
          <w:rFonts w:hint="eastAsia" w:ascii="宋体" w:hAnsi="宋体" w:cs="宋体"/>
          <w:color w:val="auto"/>
          <w:szCs w:val="21"/>
          <w:highlight w:val="none"/>
          <w:lang w:eastAsia="zh-CN"/>
        </w:rPr>
        <w:t>初步评审</w:t>
      </w:r>
      <w:r>
        <w:rPr>
          <w:rFonts w:hint="eastAsia" w:ascii="宋体" w:hAnsi="宋体" w:cs="宋体"/>
          <w:color w:val="auto"/>
          <w:szCs w:val="21"/>
          <w:highlight w:val="none"/>
        </w:rPr>
        <w:t>→磋商过程→在规定的时间内提交</w:t>
      </w:r>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w:t>
      </w:r>
      <w:r>
        <w:rPr>
          <w:rFonts w:hint="eastAsia" w:ascii="宋体" w:hAnsi="宋体" w:cs="宋体"/>
          <w:color w:val="auto"/>
          <w:szCs w:val="21"/>
          <w:highlight w:val="none"/>
          <w:lang w:eastAsia="zh-CN"/>
        </w:rPr>
        <w:t>报价</w:t>
      </w:r>
      <w:r>
        <w:rPr>
          <w:rFonts w:hint="eastAsia" w:ascii="宋体" w:hAnsi="宋体" w:cs="宋体"/>
          <w:color w:val="auto"/>
          <w:szCs w:val="21"/>
          <w:highlight w:val="none"/>
        </w:rPr>
        <w:t>→详细评审→综合评估评分。</w:t>
      </w:r>
    </w:p>
    <w:p w14:paraId="10EAE9D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bookmarkStart w:id="202" w:name="_Toc26135_WPSOffice_Level3"/>
      <w:bookmarkStart w:id="203" w:name="_Toc32042_WPSOffice_Level3"/>
      <w:bookmarkStart w:id="204" w:name="_Toc20321_WPSOffice_Level3"/>
      <w:r>
        <w:rPr>
          <w:rFonts w:hint="eastAsia" w:ascii="宋体" w:hAnsi="宋体" w:cs="宋体"/>
          <w:color w:val="auto"/>
          <w:szCs w:val="21"/>
          <w:highlight w:val="none"/>
        </w:rPr>
        <w:t>5.1</w:t>
      </w:r>
      <w:bookmarkEnd w:id="202"/>
      <w:bookmarkEnd w:id="203"/>
      <w:bookmarkEnd w:id="204"/>
      <w:r>
        <w:rPr>
          <w:rFonts w:hint="eastAsia" w:ascii="宋体" w:hAnsi="宋体" w:cs="宋体"/>
          <w:color w:val="auto"/>
          <w:szCs w:val="21"/>
          <w:highlight w:val="none"/>
          <w:lang w:val="en-US" w:eastAsia="zh-CN"/>
        </w:rPr>
        <w:t>初步评审</w:t>
      </w:r>
      <w:r>
        <w:rPr>
          <w:rFonts w:hint="eastAsia" w:ascii="宋体" w:hAnsi="宋体" w:cs="宋体"/>
          <w:color w:val="auto"/>
          <w:szCs w:val="21"/>
          <w:highlight w:val="none"/>
        </w:rPr>
        <w:t>（分为</w:t>
      </w:r>
      <w:r>
        <w:rPr>
          <w:rFonts w:hint="eastAsia" w:ascii="宋体" w:hAnsi="宋体" w:cs="宋体"/>
          <w:color w:val="auto"/>
          <w:szCs w:val="21"/>
          <w:highlight w:val="none"/>
          <w:lang w:val="en-US" w:eastAsia="zh-CN"/>
        </w:rPr>
        <w:t>资格评审、符合性评审</w:t>
      </w:r>
      <w:r>
        <w:rPr>
          <w:rFonts w:hint="eastAsia" w:ascii="宋体" w:hAnsi="宋体" w:cs="宋体"/>
          <w:color w:val="auto"/>
          <w:szCs w:val="21"/>
          <w:highlight w:val="none"/>
        </w:rPr>
        <w:t>）：具体内容详见评审标准</w:t>
      </w:r>
    </w:p>
    <w:p w14:paraId="48AC50C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资格评审</w:t>
      </w:r>
      <w:r>
        <w:rPr>
          <w:rFonts w:hint="eastAsia" w:ascii="宋体" w:hAnsi="宋体" w:cs="宋体"/>
          <w:color w:val="auto"/>
          <w:szCs w:val="21"/>
          <w:highlight w:val="none"/>
        </w:rPr>
        <w:t>：未通过</w:t>
      </w:r>
      <w:r>
        <w:rPr>
          <w:rFonts w:hint="eastAsia" w:ascii="宋体" w:hAnsi="宋体" w:cs="宋体"/>
          <w:color w:val="auto"/>
          <w:szCs w:val="21"/>
          <w:highlight w:val="none"/>
          <w:lang w:eastAsia="zh-CN"/>
        </w:rPr>
        <w:t>资格</w:t>
      </w:r>
      <w:r>
        <w:rPr>
          <w:rFonts w:hint="eastAsia" w:ascii="宋体" w:hAnsi="宋体" w:cs="宋体"/>
          <w:color w:val="auto"/>
          <w:szCs w:val="21"/>
          <w:highlight w:val="none"/>
        </w:rPr>
        <w:t>评审的响应文件应作</w:t>
      </w:r>
      <w:r>
        <w:rPr>
          <w:rFonts w:hint="eastAsia" w:ascii="宋体" w:hAnsi="宋体" w:cs="宋体"/>
          <w:color w:val="auto"/>
          <w:szCs w:val="21"/>
          <w:highlight w:val="none"/>
          <w:lang w:eastAsia="zh-CN"/>
        </w:rPr>
        <w:t>无效标</w:t>
      </w:r>
      <w:r>
        <w:rPr>
          <w:rFonts w:hint="eastAsia" w:ascii="宋体" w:hAnsi="宋体" w:cs="宋体"/>
          <w:color w:val="auto"/>
          <w:szCs w:val="21"/>
          <w:highlight w:val="none"/>
        </w:rPr>
        <w:t>处理。</w:t>
      </w:r>
    </w:p>
    <w:p w14:paraId="50491A5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符合性评审</w:t>
      </w:r>
      <w:r>
        <w:rPr>
          <w:rFonts w:hint="eastAsia" w:ascii="宋体" w:hAnsi="宋体" w:cs="宋体"/>
          <w:color w:val="auto"/>
          <w:szCs w:val="21"/>
          <w:highlight w:val="none"/>
        </w:rPr>
        <w:t>: 未通过</w:t>
      </w:r>
      <w:r>
        <w:rPr>
          <w:rFonts w:hint="eastAsia" w:ascii="宋体" w:hAnsi="宋体" w:cs="宋体"/>
          <w:color w:val="auto"/>
          <w:szCs w:val="21"/>
          <w:highlight w:val="none"/>
          <w:lang w:eastAsia="zh-CN"/>
        </w:rPr>
        <w:t>符合性</w:t>
      </w:r>
      <w:r>
        <w:rPr>
          <w:rFonts w:hint="eastAsia" w:ascii="宋体" w:hAnsi="宋体" w:cs="宋体"/>
          <w:color w:val="auto"/>
          <w:szCs w:val="21"/>
          <w:highlight w:val="none"/>
        </w:rPr>
        <w:t>评审的响应文件应作</w:t>
      </w:r>
      <w:r>
        <w:rPr>
          <w:rFonts w:hint="eastAsia" w:ascii="宋体" w:hAnsi="宋体" w:cs="宋体"/>
          <w:color w:val="auto"/>
          <w:szCs w:val="21"/>
          <w:highlight w:val="none"/>
          <w:lang w:eastAsia="zh-CN"/>
        </w:rPr>
        <w:t>无效标</w:t>
      </w:r>
      <w:r>
        <w:rPr>
          <w:rFonts w:hint="eastAsia" w:ascii="宋体" w:hAnsi="宋体" w:cs="宋体"/>
          <w:color w:val="auto"/>
          <w:szCs w:val="21"/>
          <w:highlight w:val="none"/>
        </w:rPr>
        <w:t>处理。</w:t>
      </w:r>
    </w:p>
    <w:p w14:paraId="5C9A2E0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cs="宋体"/>
          <w:color w:val="auto"/>
          <w:szCs w:val="21"/>
          <w:highlight w:val="none"/>
        </w:rPr>
        <w:t>只</w:t>
      </w:r>
      <w:r>
        <w:rPr>
          <w:rFonts w:hint="eastAsia" w:ascii="宋体" w:hAnsi="宋体" w:cs="宋体"/>
          <w:color w:val="auto"/>
          <w:szCs w:val="21"/>
          <w:highlight w:val="none"/>
          <w:lang w:val="en-US" w:eastAsia="zh-CN"/>
        </w:rPr>
        <w:t>有通过初步评</w:t>
      </w:r>
      <w:r>
        <w:rPr>
          <w:rFonts w:hint="eastAsia" w:ascii="宋体" w:hAnsi="宋体" w:cs="宋体"/>
          <w:color w:val="auto"/>
          <w:szCs w:val="21"/>
          <w:highlight w:val="none"/>
        </w:rPr>
        <w:t>审的响应文件才能进入</w:t>
      </w:r>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磋商报价。</w:t>
      </w:r>
    </w:p>
    <w:p w14:paraId="35C6D08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（4）如果响应文件实质上不响应磋商文件的要求，采购人将予以拒绝，并且不允许通过修正或撤销其不符合要求的差异或保留，使之成为具有响应性的投标。</w:t>
      </w:r>
    </w:p>
    <w:p w14:paraId="1B126E0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bookmarkStart w:id="205" w:name="_Toc18004_WPSOffice_Level3"/>
      <w:bookmarkStart w:id="206" w:name="_Toc713_WPSOffice_Level3"/>
      <w:bookmarkStart w:id="207" w:name="_Toc31486_WPSOffice_Level3"/>
      <w:r>
        <w:rPr>
          <w:rFonts w:hint="eastAsia" w:ascii="宋体" w:hAnsi="宋体" w:cs="宋体"/>
          <w:color w:val="auto"/>
          <w:szCs w:val="21"/>
          <w:highlight w:val="none"/>
        </w:rPr>
        <w:t>5.2</w:t>
      </w:r>
      <w:bookmarkEnd w:id="205"/>
      <w:bookmarkEnd w:id="206"/>
      <w:bookmarkEnd w:id="207"/>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磋商报价</w:t>
      </w:r>
    </w:p>
    <w:p w14:paraId="165CB83C">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通过资格审查及符合性审查的供应商在系统中等待代理机构通知最后磋商报价</w:t>
      </w:r>
      <w:r>
        <w:rPr>
          <w:rFonts w:hint="eastAsia" w:ascii="宋体" w:hAnsi="宋体" w:cs="宋体"/>
          <w:color w:val="auto"/>
          <w:szCs w:val="21"/>
          <w:highlight w:val="none"/>
          <w:lang w:val="en-US" w:eastAsia="zh-CN"/>
        </w:rPr>
        <w:t>，</w:t>
      </w:r>
      <w:r>
        <w:rPr>
          <w:rFonts w:hint="default" w:ascii="宋体" w:hAnsi="宋体" w:cs="宋体"/>
          <w:color w:val="auto"/>
          <w:szCs w:val="21"/>
          <w:highlight w:val="none"/>
          <w:lang w:val="en-US" w:eastAsia="zh-CN"/>
        </w:rPr>
        <w:t>经磋商确定最终采购需求和提交</w:t>
      </w:r>
      <w:r>
        <w:rPr>
          <w:rFonts w:hint="eastAsia" w:ascii="宋体" w:hAnsi="宋体" w:cs="宋体"/>
          <w:color w:val="auto"/>
          <w:szCs w:val="21"/>
          <w:highlight w:val="none"/>
          <w:lang w:val="en-US" w:eastAsia="zh-CN"/>
        </w:rPr>
        <w:t>最后</w:t>
      </w:r>
      <w:r>
        <w:rPr>
          <w:rFonts w:hint="default" w:ascii="宋体" w:hAnsi="宋体" w:cs="宋体"/>
          <w:color w:val="auto"/>
          <w:szCs w:val="21"/>
          <w:highlight w:val="none"/>
          <w:lang w:val="en-US" w:eastAsia="zh-CN"/>
        </w:rPr>
        <w:t>磋商报价的供应商后，由磋商小组采用综合评分法对提交</w:t>
      </w:r>
      <w:r>
        <w:rPr>
          <w:rFonts w:hint="eastAsia" w:ascii="宋体" w:hAnsi="宋体" w:cs="宋体"/>
          <w:color w:val="auto"/>
          <w:szCs w:val="21"/>
          <w:highlight w:val="none"/>
          <w:lang w:val="en-US" w:eastAsia="zh-CN"/>
        </w:rPr>
        <w:t>最后</w:t>
      </w:r>
      <w:r>
        <w:rPr>
          <w:rFonts w:hint="default" w:ascii="宋体" w:hAnsi="宋体" w:cs="宋体"/>
          <w:color w:val="auto"/>
          <w:szCs w:val="21"/>
          <w:highlight w:val="none"/>
          <w:lang w:val="en-US" w:eastAsia="zh-CN"/>
        </w:rPr>
        <w:t>磋商报价的供应商的响应文件和</w:t>
      </w:r>
      <w:r>
        <w:rPr>
          <w:rFonts w:hint="eastAsia" w:ascii="宋体" w:hAnsi="宋体" w:cs="宋体"/>
          <w:color w:val="auto"/>
          <w:szCs w:val="21"/>
          <w:highlight w:val="none"/>
          <w:lang w:val="en-US" w:eastAsia="zh-CN"/>
        </w:rPr>
        <w:t>最后</w:t>
      </w:r>
      <w:r>
        <w:rPr>
          <w:rFonts w:hint="default" w:ascii="宋体" w:hAnsi="宋体" w:cs="宋体"/>
          <w:color w:val="auto"/>
          <w:szCs w:val="21"/>
          <w:highlight w:val="none"/>
          <w:lang w:val="en-US" w:eastAsia="zh-CN"/>
        </w:rPr>
        <w:t>磋商报价进行综合评分。</w:t>
      </w:r>
    </w:p>
    <w:p w14:paraId="62E0D94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5.</w:t>
      </w:r>
      <w:r>
        <w:rPr>
          <w:rFonts w:hint="eastAsia" w:ascii="宋体" w:hAnsi="宋体" w:cs="宋体"/>
          <w:color w:val="auto"/>
          <w:szCs w:val="21"/>
          <w:highlight w:val="none"/>
          <w:lang w:val="en-US" w:eastAsia="zh-CN"/>
        </w:rPr>
        <w:t>3详细评审</w:t>
      </w:r>
    </w:p>
    <w:p w14:paraId="66B8DD5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磋商小组根据本章详细评审评分办法对通过初步评审及进行最后磋商报价的响应人进行量化打分。</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p>
    <w:p w14:paraId="1319FFC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磋商报价</w:t>
      </w:r>
    </w:p>
    <w:p w14:paraId="5E26E7D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（1）磋商小组所有成员集中与单一供应商分别进行磋商。在磋商中，磋商的任何一方不得透露与磋商有关的其他供应商的技术资料、价格、折扣和其他信息。</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本项目为通过资格审查及符合性审查的供应商在系统中等待代理机构通知最后磋商报价</w:t>
      </w:r>
      <w:r>
        <w:rPr>
          <w:rFonts w:hint="eastAsia" w:ascii="宋体" w:hAnsi="宋体" w:cs="宋体"/>
          <w:color w:val="auto"/>
          <w:szCs w:val="21"/>
          <w:highlight w:val="none"/>
          <w:lang w:eastAsia="zh-CN"/>
        </w:rPr>
        <w:t>）</w:t>
      </w:r>
    </w:p>
    <w:p w14:paraId="2254E8FB">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（2）为有助于对响应文件的详细审查、评价和比较，磋商小组可要求对供应商分别进行技术询问、澄清，有关要求和答复均</w:t>
      </w:r>
      <w:r>
        <w:rPr>
          <w:rFonts w:hint="eastAsia" w:ascii="宋体" w:hAnsi="宋体" w:cs="宋体"/>
          <w:b/>
          <w:bCs/>
          <w:color w:val="auto"/>
          <w:szCs w:val="21"/>
          <w:highlight w:val="none"/>
          <w:lang w:val="en-US" w:eastAsia="zh-CN"/>
        </w:rPr>
        <w:t>在</w:t>
      </w:r>
      <w:r>
        <w:rPr>
          <w:rFonts w:hint="eastAsia" w:ascii="宋体" w:hAnsi="宋体" w:eastAsia="宋体" w:cs="宋体"/>
          <w:b/>
          <w:bCs/>
          <w:color w:val="auto"/>
          <w:sz w:val="21"/>
          <w:szCs w:val="21"/>
          <w:highlight w:val="none"/>
          <w:lang w:val="en-US" w:eastAsia="zh-CN"/>
        </w:rPr>
        <w:t>“政采云”平台（网址：http://www.zcygov.cn）</w:t>
      </w:r>
      <w:r>
        <w:rPr>
          <w:rFonts w:hint="eastAsia" w:ascii="宋体" w:hAnsi="宋体" w:cs="宋体"/>
          <w:b/>
          <w:bCs/>
          <w:color w:val="auto"/>
          <w:szCs w:val="21"/>
          <w:highlight w:val="none"/>
        </w:rPr>
        <w:t>进行。</w:t>
      </w:r>
    </w:p>
    <w:p w14:paraId="330926A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（3）磋商小组将要求所有供应商在规定时间内进行</w:t>
      </w:r>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磋商报价，并对响应文件及供应商按要求提交的澄清、说明或补正进行综合比较和评价。</w:t>
      </w:r>
    </w:p>
    <w:p w14:paraId="321BC20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bookmarkStart w:id="208" w:name="_Toc5833_WPSOffice_Level3"/>
      <w:bookmarkStart w:id="209" w:name="_Toc25258_WPSOffice_Level3"/>
      <w:bookmarkStart w:id="210" w:name="_Toc27138_WPSOffice_Level3"/>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推荐成交候选人</w:t>
      </w:r>
      <w:bookmarkEnd w:id="208"/>
      <w:bookmarkEnd w:id="209"/>
      <w:bookmarkEnd w:id="210"/>
    </w:p>
    <w:p w14:paraId="303D583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磋商报价由低到高的顺序推荐。评审得分且最后磋商报价相同的，按照技术指标优劣顺序推荐。</w:t>
      </w:r>
    </w:p>
    <w:p w14:paraId="01DE2D5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评审报告应当包括以下主要内容：</w:t>
      </w:r>
    </w:p>
    <w:p w14:paraId="39C7125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(一)供应商参加采购活动的具体方式和相关情况；</w:t>
      </w:r>
    </w:p>
    <w:p w14:paraId="61AC548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(二)响应文件开启日期和地点；</w:t>
      </w:r>
    </w:p>
    <w:p w14:paraId="2F38A69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(三)获取磋商文件的供应商名单和磋商小组成员名单；</w:t>
      </w:r>
    </w:p>
    <w:p w14:paraId="08937B3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(四)评审情况记录和说明，包括对供应商的资格审查情况、供应商响应文件评审情况、磋商情况、报价情况等；</w:t>
      </w:r>
    </w:p>
    <w:p w14:paraId="5A7C44D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(五)提出的成交候选供应商的排序名单及理由。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p>
    <w:p w14:paraId="3820F31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（2）采购人依据磋商小组推荐的成交候选人排序确定第一成交候选人为本项目的成交人。</w:t>
      </w:r>
    </w:p>
    <w:p w14:paraId="337ABE8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（3）成交供应商确定后，成交结果将在发布磋商公告的媒介上发布，公告时间为发布公告之日1个工作日。采购人对供应商未成交的原因不予解释。</w:t>
      </w:r>
    </w:p>
    <w:p w14:paraId="3B6CEBD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bookmarkStart w:id="211" w:name="_Toc10253_WPSOffice_Level3"/>
      <w:bookmarkStart w:id="212" w:name="_Toc10650_WPSOffice_Level3"/>
      <w:bookmarkStart w:id="213" w:name="_Toc492634044"/>
      <w:bookmarkStart w:id="214" w:name="_Toc5864_WPSOffice_Level3"/>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评标纪律</w:t>
      </w:r>
      <w:bookmarkEnd w:id="211"/>
      <w:bookmarkEnd w:id="212"/>
      <w:bookmarkEnd w:id="213"/>
      <w:bookmarkEnd w:id="214"/>
    </w:p>
    <w:p w14:paraId="0C15262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（1）开标和评标活动应当遵循公开、公平、公正和诚实信用原则。</w:t>
      </w:r>
    </w:p>
    <w:p w14:paraId="2B7FE46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（2）遵守回避制度，凡参加开标会的磋商小组及有关工作人员与供应商有利害关系，或遇到需回避的情形，主动申请回避。</w:t>
      </w:r>
    </w:p>
    <w:p w14:paraId="6441356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（3）评委必须公平、公正评标。认真履行职责，严格按照磋商文件和有关法律、法规的规定进行评标。</w:t>
      </w:r>
    </w:p>
    <w:p w14:paraId="59AAB11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（4）评委在评标开始前，应关闭随身携带的各种通信工具。</w:t>
      </w:r>
    </w:p>
    <w:p w14:paraId="571F327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（5）评委在评标过程中，未经许可不得中途离开评标现场，不得迟到或早退。</w:t>
      </w:r>
    </w:p>
    <w:p w14:paraId="53A94D7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（6）对有关评标的情况严格保密，评委和工作人员不得透露评标过程中的讨论情况和评标结果。</w:t>
      </w:r>
    </w:p>
    <w:p w14:paraId="653E5A5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（7）评委在评标过程中不得将自己的观点，强加给其他评委，评委应自主发表见解，根据民主集中制原则择优推荐中标人。</w:t>
      </w:r>
    </w:p>
    <w:p w14:paraId="2644005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（8）及时反映或举报评标过程中出现违法违规行为和不正常现象。</w:t>
      </w:r>
    </w:p>
    <w:p w14:paraId="3F94882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评审专家的职责</w:t>
      </w:r>
    </w:p>
    <w:p w14:paraId="1CC4154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p>
    <w:p w14:paraId="4E28107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color w:val="auto"/>
          <w:szCs w:val="21"/>
          <w:highlight w:val="none"/>
          <w:lang w:val="en-US" w:eastAsia="zh-CN"/>
        </w:rPr>
        <w:t>（2）磋商小组成员应当按照客观、公正、审慎的原则，根据磋商文件规定的评审程序、评审方法和评审标准进行独立评审。未实质性响应磋商文件的响应文件按无效响应处理，供应商自行</w:t>
      </w:r>
      <w:r>
        <w:rPr>
          <w:rFonts w:hint="eastAsia" w:ascii="宋体" w:hAnsi="宋体" w:cs="宋体"/>
          <w:b w:val="0"/>
          <w:bCs w:val="0"/>
          <w:color w:val="auto"/>
          <w:szCs w:val="21"/>
          <w:highlight w:val="none"/>
          <w:lang w:val="en-US" w:eastAsia="zh-CN"/>
        </w:rPr>
        <w:t>在</w:t>
      </w:r>
      <w:r>
        <w:rPr>
          <w:rFonts w:hint="eastAsia" w:ascii="宋体" w:hAnsi="宋体" w:eastAsia="宋体" w:cs="宋体"/>
          <w:b w:val="0"/>
          <w:bCs w:val="0"/>
          <w:color w:val="auto"/>
          <w:sz w:val="21"/>
          <w:szCs w:val="21"/>
          <w:highlight w:val="none"/>
          <w:lang w:val="en-US" w:eastAsia="zh-CN"/>
        </w:rPr>
        <w:t>“政采云”平台（网址：http://www.zcygov.cn）</w:t>
      </w:r>
      <w:r>
        <w:rPr>
          <w:rFonts w:hint="eastAsia" w:ascii="宋体" w:hAnsi="宋体" w:cs="宋体"/>
          <w:b w:val="0"/>
          <w:bCs w:val="0"/>
          <w:color w:val="auto"/>
          <w:sz w:val="21"/>
          <w:szCs w:val="21"/>
          <w:highlight w:val="none"/>
          <w:lang w:val="en-US" w:eastAsia="zh-CN"/>
        </w:rPr>
        <w:t>上查看评审结果</w:t>
      </w:r>
      <w:r>
        <w:rPr>
          <w:rFonts w:hint="eastAsia" w:ascii="宋体" w:hAnsi="宋体" w:cs="宋体"/>
          <w:b w:val="0"/>
          <w:bCs w:val="0"/>
          <w:color w:val="auto"/>
          <w:szCs w:val="21"/>
          <w:highlight w:val="none"/>
          <w:lang w:val="en-US" w:eastAsia="zh-CN"/>
        </w:rPr>
        <w:t>。</w:t>
      </w:r>
    </w:p>
    <w:p w14:paraId="16BD268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磋商小组成员拒绝在报告上签字又不说明其不同意见和理由的，视为同意评审报告。</w:t>
      </w:r>
    </w:p>
    <w:p w14:paraId="0F29AAB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统分原则</w:t>
      </w:r>
    </w:p>
    <w:p w14:paraId="3C5F1C0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（1）除最后磋商报价得分外，技术部分由各评委自主评分并签字确认。</w:t>
      </w:r>
    </w:p>
    <w:p w14:paraId="2263071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（2）所有评委有效评分的算术平均分值为磋商响应人的技术部分的得分（保留小数点后两位）。</w:t>
      </w:r>
    </w:p>
    <w:p w14:paraId="6A76861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（3）最后得分统分办法：最后磋商报价得分和技术部分得分之和即为磋商响应人最后得分。</w:t>
      </w:r>
    </w:p>
    <w:p w14:paraId="17BCEB16">
      <w:pPr>
        <w:pStyle w:val="20"/>
        <w:rPr>
          <w:rFonts w:ascii="宋体" w:hAnsi="宋体" w:cs="宋体"/>
          <w:color w:val="auto"/>
          <w:szCs w:val="21"/>
          <w:highlight w:val="none"/>
        </w:rPr>
      </w:pPr>
    </w:p>
    <w:p w14:paraId="159456B8">
      <w:pPr>
        <w:pStyle w:val="20"/>
        <w:rPr>
          <w:rFonts w:ascii="宋体" w:hAnsi="宋体" w:cs="宋体"/>
          <w:color w:val="auto"/>
          <w:szCs w:val="21"/>
          <w:highlight w:val="none"/>
        </w:rPr>
      </w:pPr>
    </w:p>
    <w:p w14:paraId="623E06D9">
      <w:pPr>
        <w:pStyle w:val="20"/>
        <w:rPr>
          <w:rFonts w:ascii="宋体" w:hAnsi="宋体" w:cs="宋体"/>
          <w:color w:val="auto"/>
          <w:szCs w:val="21"/>
          <w:highlight w:val="none"/>
        </w:rPr>
      </w:pPr>
    </w:p>
    <w:p w14:paraId="7E2A83C4">
      <w:pPr>
        <w:pStyle w:val="20"/>
        <w:rPr>
          <w:rFonts w:ascii="宋体" w:hAnsi="宋体" w:cs="宋体"/>
          <w:color w:val="auto"/>
          <w:szCs w:val="21"/>
          <w:highlight w:val="none"/>
        </w:rPr>
      </w:pPr>
    </w:p>
    <w:p w14:paraId="0E66236E">
      <w:pPr>
        <w:pStyle w:val="38"/>
        <w:ind w:firstLine="0" w:firstLineChars="0"/>
        <w:rPr>
          <w:rFonts w:hAnsi="宋体" w:cs="宋体"/>
          <w:color w:val="auto"/>
          <w:sz w:val="21"/>
          <w:szCs w:val="21"/>
          <w:highlight w:val="none"/>
        </w:rPr>
      </w:pPr>
    </w:p>
    <w:p w14:paraId="4BFEFAB2">
      <w:pPr>
        <w:pStyle w:val="38"/>
        <w:ind w:firstLine="0" w:firstLineChars="0"/>
        <w:rPr>
          <w:rFonts w:hAnsi="宋体" w:cs="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p>
    <w:p w14:paraId="4136A184">
      <w:pPr>
        <w:pStyle w:val="21"/>
        <w:spacing w:after="0" w:line="520" w:lineRule="exact"/>
        <w:ind w:left="0" w:leftChars="0" w:firstLine="0" w:firstLineChars="0"/>
        <w:jc w:val="left"/>
        <w:rPr>
          <w:rFonts w:hint="eastAsia" w:ascii="宋体" w:hAnsi="宋体" w:cs="宋体"/>
          <w:b/>
          <w:bCs/>
          <w:color w:val="auto"/>
          <w:sz w:val="24"/>
          <w:highlight w:val="none"/>
          <w:lang w:eastAsia="zh-CN"/>
        </w:rPr>
      </w:pPr>
      <w:bookmarkStart w:id="215" w:name="_Toc3575_WPSOffice_Level3"/>
      <w:bookmarkStart w:id="216" w:name="_Toc1636_WPSOffice_Level3"/>
      <w:bookmarkStart w:id="217" w:name="_Toc27827_WPSOffice_Level3"/>
      <w:r>
        <w:rPr>
          <w:rFonts w:hint="eastAsia" w:ascii="宋体" w:hAnsi="宋体" w:cs="宋体"/>
          <w:b/>
          <w:bCs/>
          <w:color w:val="auto"/>
          <w:sz w:val="24"/>
          <w:highlight w:val="none"/>
          <w:lang w:eastAsia="zh-CN"/>
        </w:rPr>
        <w:t>初步评审：</w:t>
      </w:r>
    </w:p>
    <w:p w14:paraId="7AA4D0A1">
      <w:pPr>
        <w:pStyle w:val="21"/>
        <w:spacing w:after="0" w:line="520" w:lineRule="exact"/>
        <w:ind w:left="0" w:leftChars="0" w:firstLine="0" w:firstLineChars="0"/>
        <w:jc w:val="left"/>
        <w:rPr>
          <w:rFonts w:hint="eastAsia" w:ascii="宋体" w:hAnsi="宋体" w:cs="宋体"/>
          <w:b/>
          <w:bCs/>
          <w:color w:val="auto"/>
          <w:sz w:val="21"/>
          <w:highlight w:val="none"/>
        </w:rPr>
      </w:pPr>
      <w:r>
        <w:rPr>
          <w:rFonts w:hint="eastAsia" w:ascii="宋体" w:hAnsi="宋体" w:cs="宋体"/>
          <w:b/>
          <w:bCs/>
          <w:color w:val="auto"/>
          <w:sz w:val="21"/>
          <w:highlight w:val="none"/>
          <w:lang w:eastAsia="zh-CN"/>
        </w:rPr>
        <w:t>（</w:t>
      </w:r>
      <w:r>
        <w:rPr>
          <w:rFonts w:hint="eastAsia" w:ascii="宋体" w:hAnsi="宋体" w:cs="宋体"/>
          <w:b/>
          <w:bCs/>
          <w:color w:val="auto"/>
          <w:sz w:val="21"/>
          <w:highlight w:val="none"/>
          <w:lang w:val="en-US" w:eastAsia="zh-CN"/>
        </w:rPr>
        <w:t>一</w:t>
      </w:r>
      <w:r>
        <w:rPr>
          <w:rFonts w:hint="eastAsia" w:ascii="宋体" w:hAnsi="宋体" w:cs="宋体"/>
          <w:b/>
          <w:bCs/>
          <w:color w:val="auto"/>
          <w:sz w:val="21"/>
          <w:highlight w:val="none"/>
          <w:lang w:eastAsia="zh-CN"/>
        </w:rPr>
        <w:t>）</w:t>
      </w:r>
      <w:r>
        <w:rPr>
          <w:rFonts w:hint="eastAsia" w:ascii="宋体" w:hAnsi="宋体" w:cs="宋体"/>
          <w:b/>
          <w:bCs/>
          <w:color w:val="auto"/>
          <w:sz w:val="21"/>
          <w:highlight w:val="none"/>
        </w:rPr>
        <w:t>资格审查</w:t>
      </w:r>
    </w:p>
    <w:p w14:paraId="31BF5039">
      <w:pPr>
        <w:pStyle w:val="21"/>
        <w:spacing w:after="0" w:line="520" w:lineRule="exact"/>
        <w:ind w:left="0" w:leftChars="0" w:firstLine="420" w:firstLineChars="200"/>
        <w:jc w:val="left"/>
        <w:rPr>
          <w:rFonts w:hint="eastAsia" w:ascii="宋体" w:hAnsi="宋体" w:cs="宋体"/>
          <w:color w:val="auto"/>
          <w:sz w:val="21"/>
          <w:highlight w:val="none"/>
          <w:lang w:val="en-US" w:eastAsia="zh-CN"/>
        </w:rPr>
      </w:pPr>
      <w:r>
        <w:rPr>
          <w:rFonts w:hint="eastAsia" w:ascii="宋体" w:hAnsi="宋体" w:cs="宋体"/>
          <w:color w:val="auto"/>
          <w:sz w:val="21"/>
          <w:highlight w:val="none"/>
          <w:lang w:val="en-US" w:eastAsia="zh-CN"/>
        </w:rPr>
        <w:t xml:space="preserve">不符合下列情形之一的响应文件不能通过资格审查： </w:t>
      </w:r>
    </w:p>
    <w:tbl>
      <w:tblPr>
        <w:tblStyle w:val="23"/>
        <w:tblW w:w="4996" w:type="pct"/>
        <w:jc w:val="center"/>
        <w:tblLayout w:type="autofit"/>
        <w:tblCellMar>
          <w:top w:w="0" w:type="dxa"/>
          <w:left w:w="108" w:type="dxa"/>
          <w:bottom w:w="0" w:type="dxa"/>
          <w:right w:w="108" w:type="dxa"/>
        </w:tblCellMar>
      </w:tblPr>
      <w:tblGrid>
        <w:gridCol w:w="743"/>
        <w:gridCol w:w="2045"/>
        <w:gridCol w:w="7166"/>
      </w:tblGrid>
      <w:tr w14:paraId="026115C5">
        <w:tblPrEx>
          <w:tblCellMar>
            <w:top w:w="0" w:type="dxa"/>
            <w:left w:w="108" w:type="dxa"/>
            <w:bottom w:w="0" w:type="dxa"/>
            <w:right w:w="108" w:type="dxa"/>
          </w:tblCellMar>
        </w:tblPrEx>
        <w:trPr>
          <w:trHeight w:val="657"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24FC8B02">
            <w:pPr>
              <w:widowControl/>
              <w:spacing w:line="350" w:lineRule="exact"/>
              <w:jc w:val="center"/>
              <w:rPr>
                <w:rFonts w:ascii="宋体" w:hAnsi="宋体" w:eastAsia="宋体" w:cs="宋体"/>
                <w:b/>
                <w:bCs/>
                <w:color w:val="auto"/>
                <w:spacing w:val="-4"/>
                <w:kern w:val="0"/>
                <w:sz w:val="21"/>
                <w:szCs w:val="21"/>
                <w:highlight w:val="none"/>
              </w:rPr>
            </w:pPr>
            <w:r>
              <w:rPr>
                <w:rFonts w:hint="eastAsia" w:ascii="宋体" w:hAnsi="宋体" w:eastAsia="宋体" w:cs="宋体"/>
                <w:b/>
                <w:bCs/>
                <w:color w:val="auto"/>
                <w:spacing w:val="-4"/>
                <w:kern w:val="0"/>
                <w:sz w:val="21"/>
                <w:szCs w:val="21"/>
                <w:highlight w:val="none"/>
              </w:rPr>
              <w:t>序号</w:t>
            </w:r>
          </w:p>
        </w:tc>
        <w:tc>
          <w:tcPr>
            <w:tcW w:w="1027" w:type="pct"/>
            <w:tcBorders>
              <w:top w:val="single" w:color="auto" w:sz="4" w:space="0"/>
              <w:left w:val="single" w:color="auto" w:sz="4" w:space="0"/>
              <w:bottom w:val="single" w:color="auto" w:sz="4" w:space="0"/>
              <w:right w:val="single" w:color="auto" w:sz="4" w:space="0"/>
            </w:tcBorders>
            <w:vAlign w:val="center"/>
          </w:tcPr>
          <w:p w14:paraId="5DADC4C6">
            <w:pPr>
              <w:widowControl/>
              <w:spacing w:line="350" w:lineRule="exact"/>
              <w:jc w:val="center"/>
              <w:rPr>
                <w:rFonts w:ascii="宋体" w:hAnsi="宋体" w:eastAsia="宋体" w:cs="宋体"/>
                <w:b/>
                <w:bCs/>
                <w:color w:val="auto"/>
                <w:spacing w:val="-4"/>
                <w:kern w:val="0"/>
                <w:sz w:val="21"/>
                <w:szCs w:val="21"/>
                <w:highlight w:val="none"/>
              </w:rPr>
            </w:pPr>
            <w:r>
              <w:rPr>
                <w:rFonts w:hint="eastAsia" w:ascii="宋体" w:hAnsi="宋体" w:eastAsia="宋体" w:cs="宋体"/>
                <w:b/>
                <w:bCs/>
                <w:color w:val="auto"/>
                <w:spacing w:val="-4"/>
                <w:kern w:val="0"/>
                <w:sz w:val="21"/>
                <w:szCs w:val="21"/>
                <w:highlight w:val="none"/>
              </w:rPr>
              <w:t>评审因素</w:t>
            </w:r>
          </w:p>
        </w:tc>
        <w:tc>
          <w:tcPr>
            <w:tcW w:w="3599" w:type="pct"/>
            <w:tcBorders>
              <w:top w:val="single" w:color="auto" w:sz="4" w:space="0"/>
              <w:left w:val="single" w:color="auto" w:sz="4" w:space="0"/>
              <w:bottom w:val="single" w:color="auto" w:sz="4" w:space="0"/>
              <w:right w:val="single" w:color="auto" w:sz="4" w:space="0"/>
            </w:tcBorders>
            <w:vAlign w:val="center"/>
          </w:tcPr>
          <w:p w14:paraId="38A66523">
            <w:pPr>
              <w:widowControl/>
              <w:spacing w:line="350" w:lineRule="exact"/>
              <w:jc w:val="center"/>
              <w:rPr>
                <w:rFonts w:ascii="宋体" w:hAnsi="宋体" w:eastAsia="宋体" w:cs="宋体"/>
                <w:b/>
                <w:bCs/>
                <w:color w:val="auto"/>
                <w:spacing w:val="-4"/>
                <w:kern w:val="0"/>
                <w:sz w:val="21"/>
                <w:szCs w:val="21"/>
                <w:highlight w:val="none"/>
              </w:rPr>
            </w:pPr>
            <w:r>
              <w:rPr>
                <w:rFonts w:hint="eastAsia" w:ascii="宋体" w:hAnsi="宋体" w:eastAsia="宋体" w:cs="宋体"/>
                <w:b/>
                <w:bCs/>
                <w:color w:val="auto"/>
                <w:spacing w:val="-4"/>
                <w:kern w:val="0"/>
                <w:sz w:val="21"/>
                <w:szCs w:val="21"/>
                <w:highlight w:val="none"/>
              </w:rPr>
              <w:t>资格审查标准</w:t>
            </w:r>
          </w:p>
        </w:tc>
      </w:tr>
      <w:tr w14:paraId="5F6A819B">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6FB62A89">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1</w:t>
            </w:r>
          </w:p>
        </w:tc>
        <w:tc>
          <w:tcPr>
            <w:tcW w:w="1027" w:type="pct"/>
            <w:tcBorders>
              <w:top w:val="single" w:color="auto" w:sz="4" w:space="0"/>
              <w:left w:val="single" w:color="auto" w:sz="4" w:space="0"/>
              <w:bottom w:val="single" w:color="auto" w:sz="4" w:space="0"/>
              <w:right w:val="single" w:color="auto" w:sz="4" w:space="0"/>
            </w:tcBorders>
            <w:vAlign w:val="center"/>
          </w:tcPr>
          <w:p w14:paraId="62E9DC1A">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具有独立承担民事责任的能力</w:t>
            </w:r>
          </w:p>
        </w:tc>
        <w:tc>
          <w:tcPr>
            <w:tcW w:w="3599" w:type="pct"/>
            <w:tcBorders>
              <w:top w:val="single" w:color="auto" w:sz="4" w:space="0"/>
              <w:left w:val="single" w:color="auto" w:sz="4" w:space="0"/>
              <w:bottom w:val="single" w:color="auto" w:sz="4" w:space="0"/>
              <w:right w:val="single" w:color="auto" w:sz="4" w:space="0"/>
            </w:tcBorders>
            <w:vAlign w:val="center"/>
          </w:tcPr>
          <w:p w14:paraId="45134C8A">
            <w:pPr>
              <w:pStyle w:val="21"/>
              <w:pageBreakBefore w:val="0"/>
              <w:kinsoku/>
              <w:wordWrap/>
              <w:overflowPunct/>
              <w:topLinePunct w:val="0"/>
              <w:autoSpaceDN/>
              <w:bidi w:val="0"/>
              <w:adjustRightInd w:val="0"/>
              <w:snapToGrid/>
              <w:spacing w:after="0" w:line="500" w:lineRule="exact"/>
              <w:ind w:left="0" w:leftChars="0" w:firstLine="0" w:firstLineChars="0"/>
              <w:textAlignment w:val="auto"/>
              <w:rPr>
                <w:rFonts w:ascii="宋体" w:hAnsi="宋体" w:eastAsia="宋体" w:cs="宋体"/>
                <w:color w:val="auto"/>
                <w:spacing w:val="-4"/>
                <w:kern w:val="0"/>
                <w:sz w:val="21"/>
                <w:szCs w:val="21"/>
                <w:highlight w:val="none"/>
                <w:lang w:val="zh-CN"/>
              </w:rPr>
            </w:pPr>
            <w:r>
              <w:rPr>
                <w:rFonts w:hint="eastAsia" w:ascii="宋体" w:hAnsi="宋体" w:eastAsia="宋体" w:cs="宋体"/>
                <w:color w:val="auto"/>
                <w:spacing w:val="-4"/>
                <w:kern w:val="0"/>
                <w:sz w:val="21"/>
                <w:szCs w:val="21"/>
                <w:highlight w:val="none"/>
                <w:lang w:val="en-US" w:eastAsia="zh-CN" w:bidi="ar-SA"/>
              </w:rPr>
              <w:t>提供自然人有效身份证明或法人或者其他组织有效的营业执照等证明文件；</w:t>
            </w:r>
            <w:r>
              <w:rPr>
                <w:rFonts w:hint="eastAsia" w:ascii="宋体" w:hAnsi="宋体" w:eastAsia="宋体" w:cs="宋体"/>
                <w:b/>
                <w:bCs/>
                <w:color w:val="auto"/>
                <w:spacing w:val="-4"/>
                <w:kern w:val="0"/>
                <w:sz w:val="21"/>
                <w:szCs w:val="21"/>
                <w:highlight w:val="none"/>
                <w:lang w:eastAsia="zh-CN"/>
              </w:rPr>
              <w:t>（提供扫描件并加盖公章）</w:t>
            </w:r>
          </w:p>
        </w:tc>
      </w:tr>
      <w:tr w14:paraId="0776F2BE">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1AF45B0A">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2</w:t>
            </w:r>
          </w:p>
        </w:tc>
        <w:tc>
          <w:tcPr>
            <w:tcW w:w="1027" w:type="pct"/>
            <w:tcBorders>
              <w:top w:val="single" w:color="auto" w:sz="4" w:space="0"/>
              <w:left w:val="single" w:color="auto" w:sz="4" w:space="0"/>
              <w:bottom w:val="single" w:color="auto" w:sz="4" w:space="0"/>
              <w:right w:val="single" w:color="auto" w:sz="4" w:space="0"/>
            </w:tcBorders>
            <w:vAlign w:val="center"/>
          </w:tcPr>
          <w:p w14:paraId="44A62883">
            <w:pPr>
              <w:widowControl/>
              <w:spacing w:line="350" w:lineRule="exact"/>
              <w:jc w:val="center"/>
              <w:rPr>
                <w:rFonts w:hint="eastAsia" w:ascii="宋体" w:hAnsi="宋体" w:eastAsia="宋体" w:cs="宋体"/>
                <w:color w:val="auto"/>
                <w:spacing w:val="-4"/>
                <w:kern w:val="0"/>
                <w:sz w:val="21"/>
                <w:szCs w:val="21"/>
                <w:highlight w:val="none"/>
                <w:lang w:eastAsia="zh-CN"/>
              </w:rPr>
            </w:pPr>
            <w:r>
              <w:rPr>
                <w:rFonts w:hint="eastAsia" w:ascii="宋体" w:hAnsi="宋体" w:eastAsia="宋体" w:cs="宋体"/>
                <w:color w:val="auto"/>
                <w:spacing w:val="-4"/>
                <w:kern w:val="0"/>
                <w:sz w:val="21"/>
                <w:szCs w:val="21"/>
                <w:highlight w:val="none"/>
              </w:rPr>
              <w:t>具有良好的商业信誉和健全的财务会计制度</w:t>
            </w:r>
          </w:p>
        </w:tc>
        <w:tc>
          <w:tcPr>
            <w:tcW w:w="3599" w:type="pct"/>
            <w:tcBorders>
              <w:top w:val="single" w:color="auto" w:sz="4" w:space="0"/>
              <w:left w:val="single" w:color="auto" w:sz="4" w:space="0"/>
              <w:bottom w:val="single" w:color="auto" w:sz="4" w:space="0"/>
              <w:right w:val="single" w:color="auto" w:sz="4" w:space="0"/>
            </w:tcBorders>
            <w:vAlign w:val="center"/>
          </w:tcPr>
          <w:p w14:paraId="70ED42E8">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具有良好的商业信誉和健全的财务会计制度。供应商须提供财务状况报告，内容可为以下三者之一：</w:t>
            </w:r>
          </w:p>
          <w:p w14:paraId="78B323CC">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①</w:t>
            </w:r>
            <w:r>
              <w:rPr>
                <w:rFonts w:hint="eastAsia" w:ascii="宋体" w:hAnsi="宋体" w:cs="宋体"/>
                <w:color w:val="auto"/>
                <w:spacing w:val="-4"/>
                <w:kern w:val="0"/>
                <w:sz w:val="21"/>
                <w:szCs w:val="21"/>
                <w:highlight w:val="none"/>
                <w:lang w:val="en-US" w:eastAsia="zh-CN" w:bidi="ar-SA"/>
              </w:rPr>
              <w:t>提供2024年至今任意一年财务状况报告（至少包含审计报告、资产负债表、利润表、现金流量表），成立未满1年或成立至今未产生经营活动的供应商提供自成立至今的财务报表或财务情况说明；</w:t>
            </w:r>
          </w:p>
          <w:p w14:paraId="2FCA5D45">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②提供自响应文件提交截止时间前六个月内基本开户银行出具的资信证明；</w:t>
            </w:r>
          </w:p>
          <w:p w14:paraId="16532831">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③提供专业担保机构出具的投标担保函。</w:t>
            </w:r>
          </w:p>
          <w:p w14:paraId="5EEB96F2">
            <w:pPr>
              <w:pStyle w:val="21"/>
              <w:pageBreakBefore w:val="0"/>
              <w:kinsoku/>
              <w:wordWrap/>
              <w:overflowPunct/>
              <w:autoSpaceDN/>
              <w:bidi w:val="0"/>
              <w:snapToGrid/>
              <w:spacing w:after="0" w:line="460" w:lineRule="exact"/>
              <w:ind w:left="0" w:leftChars="0" w:firstLine="0" w:firstLineChars="0"/>
              <w:textAlignment w:val="auto"/>
              <w:rPr>
                <w:rFonts w:ascii="宋体" w:hAnsi="宋体" w:cs="宋体"/>
                <w:color w:val="auto"/>
                <w:spacing w:val="-4"/>
                <w:sz w:val="21"/>
                <w:szCs w:val="21"/>
                <w:highlight w:val="none"/>
              </w:rPr>
            </w:pPr>
            <w:r>
              <w:rPr>
                <w:rFonts w:hint="eastAsia" w:ascii="宋体" w:hAnsi="宋体" w:eastAsia="宋体" w:cs="宋体"/>
                <w:b/>
                <w:bCs/>
                <w:color w:val="auto"/>
                <w:spacing w:val="-4"/>
                <w:kern w:val="0"/>
                <w:sz w:val="21"/>
                <w:szCs w:val="21"/>
                <w:highlight w:val="none"/>
                <w:lang w:eastAsia="zh-CN"/>
              </w:rPr>
              <w:t>（</w:t>
            </w:r>
            <w:r>
              <w:rPr>
                <w:rFonts w:hint="eastAsia" w:ascii="宋体" w:hAnsi="宋体" w:cs="宋体"/>
                <w:b/>
                <w:bCs/>
                <w:color w:val="auto"/>
                <w:spacing w:val="-4"/>
                <w:kern w:val="0"/>
                <w:sz w:val="21"/>
                <w:szCs w:val="21"/>
                <w:highlight w:val="none"/>
                <w:lang w:eastAsia="zh-CN"/>
              </w:rPr>
              <w:t>提供扫描件并加盖公章</w:t>
            </w:r>
            <w:r>
              <w:rPr>
                <w:rFonts w:hint="eastAsia" w:ascii="宋体" w:hAnsi="宋体" w:eastAsia="宋体" w:cs="宋体"/>
                <w:b/>
                <w:bCs/>
                <w:color w:val="auto"/>
                <w:spacing w:val="-4"/>
                <w:kern w:val="0"/>
                <w:sz w:val="21"/>
                <w:szCs w:val="21"/>
                <w:highlight w:val="none"/>
                <w:lang w:eastAsia="zh-CN"/>
              </w:rPr>
              <w:t>）</w:t>
            </w:r>
          </w:p>
        </w:tc>
      </w:tr>
      <w:tr w14:paraId="33B1ABC8">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3B6C5281">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3</w:t>
            </w:r>
          </w:p>
        </w:tc>
        <w:tc>
          <w:tcPr>
            <w:tcW w:w="1027" w:type="pct"/>
            <w:tcBorders>
              <w:top w:val="single" w:color="auto" w:sz="4" w:space="0"/>
              <w:left w:val="single" w:color="auto" w:sz="4" w:space="0"/>
              <w:bottom w:val="single" w:color="auto" w:sz="4" w:space="0"/>
              <w:right w:val="single" w:color="auto" w:sz="4" w:space="0"/>
            </w:tcBorders>
            <w:vAlign w:val="center"/>
          </w:tcPr>
          <w:p w14:paraId="6B19409C">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具有履行合同所必需的设备和专业技术能力</w:t>
            </w:r>
          </w:p>
        </w:tc>
        <w:tc>
          <w:tcPr>
            <w:tcW w:w="3599" w:type="pct"/>
            <w:tcBorders>
              <w:top w:val="single" w:color="auto" w:sz="4" w:space="0"/>
              <w:left w:val="single" w:color="auto" w:sz="4" w:space="0"/>
              <w:bottom w:val="single" w:color="auto" w:sz="4" w:space="0"/>
              <w:right w:val="single" w:color="auto" w:sz="4" w:space="0"/>
            </w:tcBorders>
            <w:vAlign w:val="center"/>
          </w:tcPr>
          <w:p w14:paraId="62658AA6">
            <w:pPr>
              <w:pStyle w:val="21"/>
              <w:spacing w:after="0" w:line="460" w:lineRule="exact"/>
              <w:ind w:left="0" w:leftChars="0" w:firstLine="0" w:firstLineChars="0"/>
              <w:rPr>
                <w:rFonts w:ascii="宋体" w:hAnsi="宋体" w:cs="宋体"/>
                <w:color w:val="auto"/>
                <w:spacing w:val="-4"/>
                <w:sz w:val="21"/>
                <w:szCs w:val="21"/>
                <w:highlight w:val="none"/>
                <w:lang w:val="zh-CN"/>
              </w:rPr>
            </w:pPr>
            <w:r>
              <w:rPr>
                <w:rFonts w:hint="eastAsia" w:ascii="宋体" w:hAnsi="宋体" w:eastAsia="宋体" w:cs="宋体"/>
                <w:color w:val="auto"/>
                <w:spacing w:val="-4"/>
                <w:kern w:val="0"/>
                <w:sz w:val="21"/>
                <w:szCs w:val="21"/>
                <w:highlight w:val="none"/>
                <w:lang w:val="en-US" w:eastAsia="zh-CN" w:bidi="ar-SA"/>
              </w:rPr>
              <w:t>提供具备履行合同所必需的设备和专业技术能力的证明材料或承诺书；</w:t>
            </w:r>
            <w:r>
              <w:rPr>
                <w:rFonts w:hint="eastAsia" w:ascii="宋体" w:hAnsi="宋体" w:eastAsia="宋体" w:cs="宋体"/>
                <w:b/>
                <w:bCs/>
                <w:color w:val="auto"/>
                <w:spacing w:val="-4"/>
                <w:kern w:val="0"/>
                <w:sz w:val="21"/>
                <w:szCs w:val="21"/>
                <w:highlight w:val="none"/>
                <w:lang w:val="en-US" w:eastAsia="zh-CN" w:bidi="ar-SA"/>
              </w:rPr>
              <w:t>（</w:t>
            </w:r>
            <w:r>
              <w:rPr>
                <w:rFonts w:hint="eastAsia" w:ascii="宋体" w:hAnsi="宋体" w:cs="宋体"/>
                <w:b/>
                <w:bCs/>
                <w:color w:val="auto"/>
                <w:spacing w:val="-4"/>
                <w:kern w:val="0"/>
                <w:sz w:val="21"/>
                <w:szCs w:val="21"/>
                <w:highlight w:val="none"/>
                <w:lang w:val="en-US" w:eastAsia="zh-CN" w:bidi="ar-SA"/>
              </w:rPr>
              <w:t>格式自拟并加盖公章</w:t>
            </w:r>
            <w:r>
              <w:rPr>
                <w:rFonts w:hint="eastAsia" w:ascii="宋体" w:hAnsi="宋体" w:eastAsia="宋体" w:cs="宋体"/>
                <w:b/>
                <w:bCs/>
                <w:color w:val="auto"/>
                <w:spacing w:val="-4"/>
                <w:kern w:val="0"/>
                <w:sz w:val="21"/>
                <w:szCs w:val="21"/>
                <w:highlight w:val="none"/>
                <w:lang w:val="en-US" w:eastAsia="zh-CN" w:bidi="ar-SA"/>
              </w:rPr>
              <w:t>）</w:t>
            </w:r>
          </w:p>
        </w:tc>
      </w:tr>
      <w:tr w14:paraId="2F413397">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102103EA">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4</w:t>
            </w:r>
          </w:p>
        </w:tc>
        <w:tc>
          <w:tcPr>
            <w:tcW w:w="1027" w:type="pct"/>
            <w:tcBorders>
              <w:top w:val="single" w:color="auto" w:sz="4" w:space="0"/>
              <w:left w:val="single" w:color="auto" w:sz="4" w:space="0"/>
              <w:bottom w:val="single" w:color="auto" w:sz="4" w:space="0"/>
              <w:right w:val="single" w:color="auto" w:sz="4" w:space="0"/>
            </w:tcBorders>
            <w:vAlign w:val="center"/>
          </w:tcPr>
          <w:p w14:paraId="49246D3D">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eastAsia="zh-CN"/>
              </w:rPr>
              <w:t>有依法缴纳税收和社会保障资金的良好记录</w:t>
            </w:r>
          </w:p>
        </w:tc>
        <w:tc>
          <w:tcPr>
            <w:tcW w:w="3599" w:type="pct"/>
            <w:tcBorders>
              <w:top w:val="single" w:color="auto" w:sz="4" w:space="0"/>
              <w:left w:val="single" w:color="auto" w:sz="4" w:space="0"/>
              <w:bottom w:val="single" w:color="auto" w:sz="4" w:space="0"/>
              <w:right w:val="single" w:color="auto" w:sz="4" w:space="0"/>
            </w:tcBorders>
            <w:vAlign w:val="center"/>
          </w:tcPr>
          <w:p w14:paraId="2EB3CD7E">
            <w:pPr>
              <w:pStyle w:val="21"/>
              <w:spacing w:after="0" w:line="460" w:lineRule="exact"/>
              <w:ind w:left="0" w:leftChars="0" w:firstLine="0" w:firstLineChars="0"/>
              <w:rPr>
                <w:rFonts w:ascii="宋体" w:hAnsi="宋体" w:cs="宋体"/>
                <w:color w:val="auto"/>
                <w:spacing w:val="-4"/>
                <w:sz w:val="21"/>
                <w:szCs w:val="21"/>
                <w:highlight w:val="none"/>
              </w:rPr>
            </w:pPr>
            <w:r>
              <w:rPr>
                <w:rFonts w:hint="eastAsia" w:ascii="宋体" w:hAnsi="宋体" w:eastAsia="宋体" w:cs="宋体"/>
                <w:color w:val="auto"/>
                <w:spacing w:val="-4"/>
                <w:kern w:val="0"/>
                <w:sz w:val="21"/>
                <w:szCs w:val="21"/>
                <w:highlight w:val="none"/>
                <w:lang w:val="en-US" w:eastAsia="zh-CN" w:bidi="ar-SA"/>
              </w:rPr>
              <w:t>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r>
              <w:rPr>
                <w:rFonts w:hint="eastAsia" w:ascii="宋体" w:hAnsi="宋体" w:eastAsia="宋体" w:cs="宋体"/>
                <w:b/>
                <w:bCs/>
                <w:color w:val="auto"/>
                <w:spacing w:val="-4"/>
                <w:kern w:val="0"/>
                <w:sz w:val="21"/>
                <w:szCs w:val="21"/>
                <w:highlight w:val="none"/>
                <w:lang w:eastAsia="zh-CN"/>
              </w:rPr>
              <w:t>（</w:t>
            </w:r>
            <w:r>
              <w:rPr>
                <w:rFonts w:hint="eastAsia" w:ascii="宋体" w:hAnsi="宋体" w:cs="宋体"/>
                <w:b/>
                <w:bCs/>
                <w:color w:val="auto"/>
                <w:spacing w:val="-4"/>
                <w:kern w:val="0"/>
                <w:sz w:val="21"/>
                <w:szCs w:val="21"/>
                <w:highlight w:val="none"/>
                <w:lang w:eastAsia="zh-CN"/>
              </w:rPr>
              <w:t>提供扫描件并加盖公章</w:t>
            </w:r>
            <w:r>
              <w:rPr>
                <w:rFonts w:hint="eastAsia" w:ascii="宋体" w:hAnsi="宋体" w:eastAsia="宋体" w:cs="宋体"/>
                <w:b/>
                <w:bCs/>
                <w:color w:val="auto"/>
                <w:spacing w:val="-4"/>
                <w:kern w:val="0"/>
                <w:sz w:val="21"/>
                <w:szCs w:val="21"/>
                <w:highlight w:val="none"/>
                <w:lang w:eastAsia="zh-CN"/>
              </w:rPr>
              <w:t>）</w:t>
            </w:r>
          </w:p>
        </w:tc>
      </w:tr>
      <w:tr w14:paraId="0910C6E1">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2FFE4924">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5</w:t>
            </w:r>
          </w:p>
        </w:tc>
        <w:tc>
          <w:tcPr>
            <w:tcW w:w="1027" w:type="pct"/>
            <w:tcBorders>
              <w:top w:val="single" w:color="auto" w:sz="4" w:space="0"/>
              <w:left w:val="single" w:color="auto" w:sz="4" w:space="0"/>
              <w:bottom w:val="single" w:color="auto" w:sz="4" w:space="0"/>
              <w:right w:val="single" w:color="auto" w:sz="4" w:space="0"/>
            </w:tcBorders>
            <w:vAlign w:val="center"/>
          </w:tcPr>
          <w:p w14:paraId="49F738FA">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eastAsia="zh-CN"/>
              </w:rPr>
              <w:t>参加政府采购活动前三年内，在经营活动中没有重大违法记录</w:t>
            </w:r>
          </w:p>
        </w:tc>
        <w:tc>
          <w:tcPr>
            <w:tcW w:w="3599" w:type="pct"/>
            <w:tcBorders>
              <w:top w:val="single" w:color="auto" w:sz="4" w:space="0"/>
              <w:left w:val="single" w:color="auto" w:sz="4" w:space="0"/>
              <w:bottom w:val="single" w:color="auto" w:sz="4" w:space="0"/>
              <w:right w:val="single" w:color="auto" w:sz="4" w:space="0"/>
            </w:tcBorders>
            <w:vAlign w:val="center"/>
          </w:tcPr>
          <w:p w14:paraId="77AE975C">
            <w:pPr>
              <w:keepNext w:val="0"/>
              <w:keepLines w:val="0"/>
              <w:pageBreakBefore w:val="0"/>
              <w:kinsoku/>
              <w:wordWrap/>
              <w:overflowPunct/>
              <w:topLinePunct w:val="0"/>
              <w:autoSpaceDE/>
              <w:autoSpaceDN/>
              <w:bidi w:val="0"/>
              <w:adjustRightInd/>
              <w:snapToGrid/>
              <w:spacing w:line="460" w:lineRule="exact"/>
              <w:textAlignment w:val="auto"/>
              <w:rPr>
                <w:rFonts w:ascii="宋体" w:hAnsi="宋体" w:eastAsia="宋体" w:cs="宋体"/>
                <w:color w:val="auto"/>
                <w:spacing w:val="-4"/>
                <w:kern w:val="0"/>
                <w:sz w:val="21"/>
                <w:szCs w:val="21"/>
                <w:highlight w:val="none"/>
                <w:lang w:val="zh-CN"/>
              </w:rPr>
            </w:pPr>
            <w:r>
              <w:rPr>
                <w:rFonts w:hint="eastAsia" w:ascii="宋体" w:hAnsi="宋体" w:eastAsia="宋体" w:cs="宋体"/>
                <w:color w:val="auto"/>
                <w:spacing w:val="-4"/>
                <w:kern w:val="0"/>
                <w:sz w:val="21"/>
                <w:szCs w:val="21"/>
                <w:highlight w:val="none"/>
                <w:lang w:val="en-US" w:eastAsia="zh-CN" w:bidi="ar-SA"/>
              </w:rPr>
              <w:t>提供参加本次政府采购活动前三年内在经营活动中没有重大违法记录的书面声明；</w:t>
            </w:r>
            <w:r>
              <w:rPr>
                <w:rFonts w:hint="eastAsia" w:ascii="宋体" w:hAnsi="宋体" w:eastAsia="宋体" w:cs="宋体"/>
                <w:b/>
                <w:bCs/>
                <w:color w:val="auto"/>
                <w:spacing w:val="-4"/>
                <w:kern w:val="0"/>
                <w:sz w:val="21"/>
                <w:szCs w:val="21"/>
                <w:highlight w:val="none"/>
                <w:lang w:val="en-US" w:eastAsia="zh-CN" w:bidi="ar-SA"/>
              </w:rPr>
              <w:t>（格式自拟并加盖公章）</w:t>
            </w:r>
          </w:p>
        </w:tc>
      </w:tr>
      <w:tr w14:paraId="37C73E37">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154B8AE7">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6</w:t>
            </w:r>
          </w:p>
        </w:tc>
        <w:tc>
          <w:tcPr>
            <w:tcW w:w="1027" w:type="pct"/>
            <w:tcBorders>
              <w:top w:val="single" w:color="auto" w:sz="4" w:space="0"/>
              <w:left w:val="single" w:color="auto" w:sz="4" w:space="0"/>
              <w:bottom w:val="single" w:color="auto" w:sz="4" w:space="0"/>
              <w:right w:val="single" w:color="auto" w:sz="4" w:space="0"/>
            </w:tcBorders>
            <w:vAlign w:val="center"/>
          </w:tcPr>
          <w:p w14:paraId="4CED6582">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法律、行政法规规定的其他条件</w:t>
            </w:r>
          </w:p>
        </w:tc>
        <w:tc>
          <w:tcPr>
            <w:tcW w:w="3599" w:type="pct"/>
            <w:tcBorders>
              <w:top w:val="single" w:color="auto" w:sz="4" w:space="0"/>
              <w:left w:val="single" w:color="auto" w:sz="4" w:space="0"/>
              <w:bottom w:val="single" w:color="auto" w:sz="4" w:space="0"/>
              <w:right w:val="single" w:color="auto" w:sz="4" w:space="0"/>
            </w:tcBorders>
            <w:vAlign w:val="center"/>
          </w:tcPr>
          <w:p w14:paraId="577DA4FE">
            <w:pPr>
              <w:widowControl/>
              <w:spacing w:line="350" w:lineRule="exact"/>
              <w:jc w:val="left"/>
              <w:rPr>
                <w:rFonts w:hint="eastAsia" w:ascii="宋体" w:hAnsi="宋体" w:eastAsia="宋体" w:cs="宋体"/>
                <w:color w:val="auto"/>
                <w:spacing w:val="-4"/>
                <w:kern w:val="0"/>
                <w:sz w:val="21"/>
                <w:szCs w:val="21"/>
                <w:highlight w:val="none"/>
                <w:lang w:val="en-US" w:eastAsia="zh-CN" w:bidi="ar-SA"/>
              </w:rPr>
            </w:pPr>
            <w:r>
              <w:rPr>
                <w:rFonts w:hint="default" w:ascii="宋体" w:hAnsi="宋体" w:eastAsia="宋体" w:cs="宋体"/>
                <w:color w:val="auto"/>
                <w:spacing w:val="-4"/>
                <w:kern w:val="0"/>
                <w:sz w:val="21"/>
                <w:szCs w:val="21"/>
                <w:highlight w:val="none"/>
                <w:lang w:val="en-US" w:eastAsia="zh-CN" w:bidi="ar-SA"/>
              </w:rPr>
              <w:t>①</w:t>
            </w:r>
            <w:r>
              <w:rPr>
                <w:rFonts w:hint="eastAsia" w:ascii="宋体" w:hAnsi="宋体" w:eastAsia="宋体" w:cs="宋体"/>
                <w:color w:val="auto"/>
                <w:spacing w:val="-4"/>
                <w:kern w:val="0"/>
                <w:sz w:val="21"/>
                <w:szCs w:val="21"/>
                <w:highlight w:val="none"/>
                <w:lang w:val="en-US" w:eastAsia="zh-CN" w:bidi="ar-SA"/>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eastAsia="宋体" w:cs="宋体"/>
                <w:b/>
                <w:bCs/>
                <w:color w:val="auto"/>
                <w:spacing w:val="-4"/>
                <w:kern w:val="0"/>
                <w:sz w:val="21"/>
                <w:szCs w:val="21"/>
                <w:highlight w:val="none"/>
                <w:lang w:val="en-US" w:eastAsia="zh-CN" w:bidi="ar-SA"/>
              </w:rPr>
              <w:t>（格式自拟并加盖公章）</w:t>
            </w:r>
          </w:p>
          <w:p w14:paraId="4D115423">
            <w:pPr>
              <w:widowControl/>
              <w:spacing w:line="350" w:lineRule="exact"/>
              <w:jc w:val="left"/>
              <w:rPr>
                <w:rFonts w:ascii="宋体" w:hAnsi="宋体" w:eastAsia="宋体" w:cs="宋体"/>
                <w:color w:val="auto"/>
                <w:spacing w:val="-4"/>
                <w:kern w:val="0"/>
                <w:sz w:val="21"/>
                <w:szCs w:val="21"/>
                <w:highlight w:val="none"/>
              </w:rPr>
            </w:pPr>
            <w:r>
              <w:rPr>
                <w:rFonts w:hint="default" w:ascii="宋体" w:hAnsi="宋体" w:eastAsia="宋体" w:cs="宋体"/>
                <w:color w:val="auto"/>
                <w:spacing w:val="-4"/>
                <w:kern w:val="0"/>
                <w:sz w:val="21"/>
                <w:szCs w:val="21"/>
                <w:highlight w:val="none"/>
                <w:lang w:val="en-US" w:eastAsia="zh-CN" w:bidi="ar-SA"/>
              </w:rPr>
              <w:t>②</w:t>
            </w:r>
            <w:r>
              <w:rPr>
                <w:rFonts w:hint="eastAsia" w:ascii="宋体" w:hAnsi="宋体" w:eastAsia="宋体" w:cs="宋体"/>
                <w:color w:val="auto"/>
                <w:spacing w:val="-4"/>
                <w:kern w:val="0"/>
                <w:sz w:val="21"/>
                <w:szCs w:val="21"/>
                <w:highlight w:val="none"/>
                <w:lang w:val="en-US" w:eastAsia="zh-CN" w:bidi="ar-SA"/>
              </w:rPr>
              <w:t>供应商在“中国执行信息公开网”未被列入失信被执行人名单；供应商在“信用中国”未被列入重大税收违法失信主体、在“中国政府采购网”中未被列入：政府采购严重违法失信行为记录名单。</w:t>
            </w:r>
            <w:r>
              <w:rPr>
                <w:rFonts w:hint="eastAsia" w:ascii="宋体" w:hAnsi="宋体" w:eastAsia="宋体" w:cs="宋体"/>
                <w:b/>
                <w:bCs/>
                <w:color w:val="auto"/>
                <w:spacing w:val="-4"/>
                <w:kern w:val="0"/>
                <w:sz w:val="21"/>
                <w:szCs w:val="21"/>
                <w:highlight w:val="none"/>
                <w:lang w:val="en-US" w:eastAsia="zh-CN" w:bidi="ar-SA"/>
              </w:rPr>
              <w:t>（</w:t>
            </w:r>
            <w:r>
              <w:rPr>
                <w:rFonts w:hint="eastAsia" w:ascii="宋体" w:hAnsi="宋体" w:eastAsia="宋体" w:cs="宋体"/>
                <w:b/>
                <w:bCs/>
                <w:color w:val="auto"/>
                <w:spacing w:val="-4"/>
                <w:kern w:val="0"/>
                <w:sz w:val="21"/>
                <w:szCs w:val="21"/>
                <w:highlight w:val="none"/>
                <w:lang w:val="en-US" w:eastAsia="zh-CN"/>
              </w:rPr>
              <w:t>注：以上网站均由采购人或采购代理机构在评审时查询，若供应商有不良信誉，视为不满足资格要求，响应文件无效。）</w:t>
            </w:r>
          </w:p>
        </w:tc>
      </w:tr>
      <w:tr w14:paraId="5C225B94">
        <w:tblPrEx>
          <w:tblCellMar>
            <w:top w:w="0" w:type="dxa"/>
            <w:left w:w="108" w:type="dxa"/>
            <w:bottom w:w="0" w:type="dxa"/>
            <w:right w:w="108" w:type="dxa"/>
          </w:tblCellMar>
        </w:tblPrEx>
        <w:trPr>
          <w:trHeight w:val="118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2FA12B19">
            <w:pPr>
              <w:widowControl/>
              <w:spacing w:line="350" w:lineRule="exact"/>
              <w:jc w:val="center"/>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7</w:t>
            </w:r>
          </w:p>
        </w:tc>
        <w:tc>
          <w:tcPr>
            <w:tcW w:w="1027" w:type="pct"/>
            <w:tcBorders>
              <w:top w:val="single" w:color="auto" w:sz="4" w:space="0"/>
              <w:left w:val="single" w:color="auto" w:sz="4" w:space="0"/>
              <w:bottom w:val="single" w:color="auto" w:sz="4" w:space="0"/>
              <w:right w:val="single" w:color="auto" w:sz="4" w:space="0"/>
            </w:tcBorders>
            <w:vAlign w:val="center"/>
          </w:tcPr>
          <w:p w14:paraId="0E8E24C8">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本项目的特定资格要求</w:t>
            </w:r>
          </w:p>
        </w:tc>
        <w:tc>
          <w:tcPr>
            <w:tcW w:w="3599" w:type="pct"/>
            <w:tcBorders>
              <w:top w:val="single" w:color="auto" w:sz="4" w:space="0"/>
              <w:left w:val="single" w:color="auto" w:sz="4" w:space="0"/>
              <w:bottom w:val="single" w:color="auto" w:sz="4" w:space="0"/>
              <w:right w:val="single" w:color="auto" w:sz="4" w:space="0"/>
            </w:tcBorders>
            <w:vAlign w:val="center"/>
          </w:tcPr>
          <w:p w14:paraId="48314C75">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（1）供应商应具备建设行业主管部门颁发的建筑工程施工总承包叁级以上（含叁级）资质；同时具备有效的安全生产许可证；</w:t>
            </w:r>
          </w:p>
          <w:p w14:paraId="477E2B05">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（2）项目经理要求：项目负责人具有建设行政主管部门颁发的二级及以上注册建造师（建筑工程专业）证书，具备有效的安全生产考核合格证书；项目经理必须为本单位在职人员。</w:t>
            </w:r>
          </w:p>
          <w:p w14:paraId="1EC22AC8">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b/>
                <w:bCs/>
                <w:color w:val="auto"/>
                <w:spacing w:val="-4"/>
                <w:kern w:val="0"/>
                <w:sz w:val="21"/>
                <w:szCs w:val="21"/>
                <w:highlight w:val="none"/>
                <w:lang w:val="en-US" w:eastAsia="zh-CN"/>
              </w:rPr>
              <w:t>（提供扫描件并加盖公章）</w:t>
            </w:r>
          </w:p>
        </w:tc>
      </w:tr>
    </w:tbl>
    <w:p w14:paraId="7EF4B6AC">
      <w:pPr>
        <w:pStyle w:val="22"/>
        <w:rPr>
          <w:rFonts w:hint="eastAsia"/>
          <w:sz w:val="21"/>
          <w:szCs w:val="21"/>
          <w:lang w:val="en-US" w:eastAsia="zh-CN"/>
        </w:rPr>
      </w:pPr>
    </w:p>
    <w:p w14:paraId="12F2CBF8">
      <w:pPr>
        <w:pStyle w:val="21"/>
        <w:spacing w:after="0" w:line="520" w:lineRule="exact"/>
        <w:ind w:left="0" w:leftChars="0" w:firstLine="0" w:firstLineChars="0"/>
        <w:jc w:val="lef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lang w:eastAsia="zh-CN"/>
        </w:rPr>
        <w:t>）符合性</w:t>
      </w:r>
      <w:r>
        <w:rPr>
          <w:rFonts w:hint="eastAsia" w:asciiTheme="minorEastAsia" w:hAnsiTheme="minorEastAsia" w:eastAsiaTheme="minorEastAsia" w:cstheme="minorEastAsia"/>
          <w:b/>
          <w:bCs/>
          <w:color w:val="auto"/>
          <w:sz w:val="21"/>
          <w:szCs w:val="21"/>
          <w:highlight w:val="none"/>
          <w:lang w:val="en-US" w:eastAsia="zh-CN"/>
        </w:rPr>
        <w:t>审查</w:t>
      </w:r>
    </w:p>
    <w:p w14:paraId="55EE8311">
      <w:pPr>
        <w:pStyle w:val="21"/>
        <w:keepNext w:val="0"/>
        <w:keepLines w:val="0"/>
        <w:pageBreakBefore w:val="0"/>
        <w:widowControl w:val="0"/>
        <w:kinsoku/>
        <w:wordWrap/>
        <w:overflowPunct/>
        <w:topLinePunct w:val="0"/>
        <w:autoSpaceDE/>
        <w:autoSpaceDN/>
        <w:bidi w:val="0"/>
        <w:adjustRightInd/>
        <w:snapToGrid/>
        <w:spacing w:after="157" w:afterLines="50" w:line="520" w:lineRule="exact"/>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磋商小组依据符合性评审标准对符合资格的供应商的响应文件进行符合性审查，有一项不符合评审标准的，磋商小组应当否决其投标。</w:t>
      </w:r>
    </w:p>
    <w:tbl>
      <w:tblPr>
        <w:tblStyle w:val="24"/>
        <w:tblW w:w="0" w:type="auto"/>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240"/>
        <w:gridCol w:w="5700"/>
      </w:tblGrid>
      <w:tr w14:paraId="14EB7A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top"/>
          </w:tcPr>
          <w:p w14:paraId="239C6E93">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3240" w:type="dxa"/>
            <w:tcBorders>
              <w:tl2br w:val="nil"/>
              <w:tr2bl w:val="nil"/>
            </w:tcBorders>
            <w:noWrap w:val="0"/>
            <w:vAlign w:val="top"/>
          </w:tcPr>
          <w:p w14:paraId="72A9BB5A">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评审因素</w:t>
            </w:r>
          </w:p>
        </w:tc>
        <w:tc>
          <w:tcPr>
            <w:tcW w:w="5700" w:type="dxa"/>
            <w:tcBorders>
              <w:tl2br w:val="nil"/>
              <w:tr2bl w:val="nil"/>
            </w:tcBorders>
            <w:noWrap w:val="0"/>
            <w:vAlign w:val="top"/>
          </w:tcPr>
          <w:p w14:paraId="7ABDEFE3">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符合性评审标准</w:t>
            </w:r>
          </w:p>
        </w:tc>
      </w:tr>
      <w:tr w14:paraId="7BE11F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203B026">
            <w:pPr>
              <w:adjustRightInd w:val="0"/>
              <w:snapToGrid w:val="0"/>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highlight w:val="none"/>
                <w:lang w:val="en-US" w:eastAsia="zh-CN"/>
              </w:rPr>
              <w:t>1</w:t>
            </w:r>
          </w:p>
        </w:tc>
        <w:tc>
          <w:tcPr>
            <w:tcW w:w="3240" w:type="dxa"/>
            <w:tcBorders>
              <w:tl2br w:val="nil"/>
              <w:tr2bl w:val="nil"/>
            </w:tcBorders>
            <w:noWrap w:val="0"/>
            <w:vAlign w:val="center"/>
          </w:tcPr>
          <w:p w14:paraId="78A58A81">
            <w:pPr>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cs="宋体"/>
                <w:color w:val="auto"/>
                <w:highlight w:val="none"/>
                <w:lang w:eastAsia="zh-CN"/>
              </w:rPr>
              <w:t>供应商</w:t>
            </w:r>
            <w:r>
              <w:rPr>
                <w:rFonts w:hint="eastAsia" w:ascii="宋体" w:hAnsi="宋体" w:eastAsia="宋体" w:cs="宋体"/>
                <w:color w:val="auto"/>
                <w:highlight w:val="none"/>
              </w:rPr>
              <w:t>名称</w:t>
            </w:r>
          </w:p>
        </w:tc>
        <w:tc>
          <w:tcPr>
            <w:tcW w:w="5700" w:type="dxa"/>
            <w:tcBorders>
              <w:tl2br w:val="nil"/>
              <w:tr2bl w:val="nil"/>
            </w:tcBorders>
            <w:noWrap w:val="0"/>
            <w:vAlign w:val="center"/>
          </w:tcPr>
          <w:p w14:paraId="004B3AC4">
            <w:pPr>
              <w:spacing w:line="360" w:lineRule="auto"/>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highlight w:val="none"/>
              </w:rPr>
              <w:t>与</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独立承担民事责任的能力</w:t>
            </w:r>
            <w:r>
              <w:rPr>
                <w:rFonts w:hint="eastAsia" w:ascii="宋体" w:hAnsi="宋体" w:eastAsia="宋体" w:cs="宋体"/>
                <w:color w:val="auto"/>
                <w:highlight w:val="none"/>
                <w:lang w:eastAsia="zh-CN"/>
              </w:rPr>
              <w:t>”证明材料名称</w:t>
            </w:r>
            <w:r>
              <w:rPr>
                <w:rFonts w:hint="eastAsia" w:ascii="宋体" w:hAnsi="宋体" w:eastAsia="宋体" w:cs="宋体"/>
                <w:color w:val="auto"/>
                <w:highlight w:val="none"/>
              </w:rPr>
              <w:t>一致</w:t>
            </w:r>
          </w:p>
        </w:tc>
      </w:tr>
      <w:tr w14:paraId="741E19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13FD835">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2</w:t>
            </w:r>
          </w:p>
        </w:tc>
        <w:tc>
          <w:tcPr>
            <w:tcW w:w="3240" w:type="dxa"/>
            <w:tcBorders>
              <w:tl2br w:val="nil"/>
              <w:tr2bl w:val="nil"/>
            </w:tcBorders>
            <w:noWrap w:val="0"/>
            <w:vAlign w:val="center"/>
          </w:tcPr>
          <w:p w14:paraId="0B78AC47">
            <w:pPr>
              <w:autoSpaceDE w:val="0"/>
              <w:autoSpaceDN w:val="0"/>
              <w:adjustRightInd w:val="0"/>
              <w:spacing w:before="43" w:line="360" w:lineRule="auto"/>
              <w:ind w:right="-2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0"/>
                <w:highlight w:val="none"/>
                <w:lang w:eastAsia="zh-CN"/>
              </w:rPr>
              <w:t>磋商</w:t>
            </w:r>
            <w:r>
              <w:rPr>
                <w:rFonts w:hint="eastAsia" w:ascii="宋体" w:hAnsi="宋体" w:eastAsia="宋体" w:cs="宋体"/>
                <w:color w:val="auto"/>
                <w:kern w:val="0"/>
                <w:highlight w:val="none"/>
              </w:rPr>
              <w:t>保证金</w:t>
            </w:r>
          </w:p>
        </w:tc>
        <w:tc>
          <w:tcPr>
            <w:tcW w:w="5700" w:type="dxa"/>
            <w:tcBorders>
              <w:tl2br w:val="nil"/>
              <w:tr2bl w:val="nil"/>
            </w:tcBorders>
            <w:noWrap w:val="0"/>
            <w:vAlign w:val="center"/>
          </w:tcPr>
          <w:p w14:paraId="17B71E5D">
            <w:pPr>
              <w:spacing w:line="360" w:lineRule="auto"/>
              <w:jc w:val="left"/>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highlight w:val="none"/>
                <w:lang w:val="en-US" w:eastAsia="zh-CN"/>
              </w:rPr>
              <w:t>本项目无需提供保证金</w:t>
            </w:r>
          </w:p>
        </w:tc>
      </w:tr>
      <w:tr w14:paraId="67BFE6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62287D25">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3</w:t>
            </w:r>
          </w:p>
        </w:tc>
        <w:tc>
          <w:tcPr>
            <w:tcW w:w="3240" w:type="dxa"/>
            <w:tcBorders>
              <w:tl2br w:val="nil"/>
              <w:tr2bl w:val="nil"/>
            </w:tcBorders>
            <w:noWrap w:val="0"/>
            <w:vAlign w:val="center"/>
          </w:tcPr>
          <w:p w14:paraId="1425ADFF">
            <w:pPr>
              <w:tabs>
                <w:tab w:val="center" w:pos="4153"/>
                <w:tab w:val="right" w:pos="8306"/>
              </w:tabs>
              <w:snapToGrid w:val="0"/>
              <w:spacing w:before="62" w:beforeLines="20"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w:t>
            </w:r>
            <w:r>
              <w:rPr>
                <w:rFonts w:hint="eastAsia" w:ascii="宋体" w:hAnsi="宋体" w:eastAsia="宋体" w:cs="宋体"/>
                <w:color w:val="auto"/>
                <w:highlight w:val="none"/>
              </w:rPr>
              <w:t>文件的签章</w:t>
            </w:r>
          </w:p>
        </w:tc>
        <w:tc>
          <w:tcPr>
            <w:tcW w:w="5700" w:type="dxa"/>
            <w:tcBorders>
              <w:tl2br w:val="nil"/>
              <w:tr2bl w:val="nil"/>
            </w:tcBorders>
            <w:noWrap w:val="0"/>
            <w:vAlign w:val="center"/>
          </w:tcPr>
          <w:p w14:paraId="35A33CDA">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按</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要求签署、</w:t>
            </w:r>
            <w:r>
              <w:rPr>
                <w:rFonts w:hint="eastAsia" w:ascii="宋体" w:hAnsi="宋体" w:cs="宋体"/>
                <w:color w:val="auto"/>
                <w:highlight w:val="none"/>
                <w:lang w:val="en-US" w:eastAsia="zh-CN"/>
              </w:rPr>
              <w:t>盖章</w:t>
            </w:r>
          </w:p>
        </w:tc>
      </w:tr>
      <w:tr w14:paraId="30CEFB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E1987A6">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4</w:t>
            </w:r>
          </w:p>
        </w:tc>
        <w:tc>
          <w:tcPr>
            <w:tcW w:w="3240" w:type="dxa"/>
            <w:tcBorders>
              <w:tl2br w:val="nil"/>
              <w:tr2bl w:val="nil"/>
            </w:tcBorders>
            <w:noWrap w:val="0"/>
            <w:vAlign w:val="center"/>
          </w:tcPr>
          <w:p w14:paraId="0B25A522">
            <w:pPr>
              <w:adjustRightInd w:val="0"/>
              <w:snapToGrid w:val="0"/>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响应文件的完整性</w:t>
            </w:r>
          </w:p>
        </w:tc>
        <w:tc>
          <w:tcPr>
            <w:tcW w:w="5700" w:type="dxa"/>
            <w:tcBorders>
              <w:tl2br w:val="nil"/>
              <w:tr2bl w:val="nil"/>
            </w:tcBorders>
            <w:noWrap w:val="0"/>
            <w:vAlign w:val="center"/>
          </w:tcPr>
          <w:p w14:paraId="52B79FC7">
            <w:pPr>
              <w:spacing w:line="360" w:lineRule="auto"/>
              <w:jc w:val="left"/>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w:t>
            </w:r>
            <w:r>
              <w:rPr>
                <w:rFonts w:hint="default" w:ascii="宋体" w:hAnsi="宋体" w:eastAsia="宋体" w:cs="宋体"/>
                <w:color w:val="auto"/>
                <w:kern w:val="2"/>
                <w:sz w:val="21"/>
                <w:szCs w:val="21"/>
                <w:highlight w:val="none"/>
                <w:lang w:val="en-US" w:eastAsia="zh-CN" w:bidi="ar-SA"/>
              </w:rPr>
              <w:t>文件</w:t>
            </w:r>
            <w:r>
              <w:rPr>
                <w:rFonts w:hint="eastAsia" w:ascii="宋体" w:hAnsi="宋体" w:cs="宋体"/>
                <w:color w:val="auto"/>
                <w:kern w:val="2"/>
                <w:sz w:val="21"/>
                <w:szCs w:val="21"/>
                <w:highlight w:val="none"/>
                <w:lang w:val="en-US" w:eastAsia="zh-CN" w:bidi="ar-SA"/>
              </w:rPr>
              <w:t>内容</w:t>
            </w:r>
            <w:r>
              <w:rPr>
                <w:rFonts w:hint="default" w:ascii="宋体" w:hAnsi="宋体" w:eastAsia="宋体" w:cs="宋体"/>
                <w:color w:val="auto"/>
                <w:kern w:val="2"/>
                <w:sz w:val="21"/>
                <w:szCs w:val="21"/>
                <w:highlight w:val="none"/>
                <w:lang w:val="en-US" w:eastAsia="zh-CN" w:bidi="ar-SA"/>
              </w:rPr>
              <w:t>符合</w:t>
            </w:r>
            <w:r>
              <w:rPr>
                <w:rFonts w:hint="eastAsia" w:ascii="宋体" w:hAnsi="宋体" w:eastAsia="宋体" w:cs="宋体"/>
                <w:color w:val="auto"/>
                <w:kern w:val="2"/>
                <w:sz w:val="21"/>
                <w:szCs w:val="21"/>
                <w:highlight w:val="none"/>
                <w:lang w:val="en-US" w:eastAsia="zh-CN" w:bidi="ar-SA"/>
              </w:rPr>
              <w:t>磋商</w:t>
            </w:r>
            <w:r>
              <w:rPr>
                <w:rFonts w:hint="default" w:ascii="宋体" w:hAnsi="宋体" w:eastAsia="宋体" w:cs="宋体"/>
                <w:color w:val="auto"/>
                <w:kern w:val="2"/>
                <w:sz w:val="21"/>
                <w:szCs w:val="21"/>
                <w:highlight w:val="none"/>
                <w:lang w:val="en-US" w:eastAsia="zh-CN" w:bidi="ar-SA"/>
              </w:rPr>
              <w:t>文件要求</w:t>
            </w:r>
          </w:p>
        </w:tc>
      </w:tr>
      <w:tr w14:paraId="3AEAB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E46967B">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5</w:t>
            </w:r>
          </w:p>
        </w:tc>
        <w:tc>
          <w:tcPr>
            <w:tcW w:w="3240" w:type="dxa"/>
            <w:tcBorders>
              <w:tl2br w:val="nil"/>
              <w:tr2bl w:val="nil"/>
            </w:tcBorders>
            <w:noWrap w:val="0"/>
            <w:vAlign w:val="center"/>
          </w:tcPr>
          <w:p w14:paraId="3C837CF3">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 xml:space="preserve">采购内容  </w:t>
            </w:r>
          </w:p>
        </w:tc>
        <w:tc>
          <w:tcPr>
            <w:tcW w:w="5700" w:type="dxa"/>
            <w:tcBorders>
              <w:tl2br w:val="nil"/>
              <w:tr2bl w:val="nil"/>
            </w:tcBorders>
            <w:noWrap w:val="0"/>
            <w:vAlign w:val="center"/>
          </w:tcPr>
          <w:p w14:paraId="2835105D">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须知前附表”第1.3.1项规定</w:t>
            </w:r>
          </w:p>
        </w:tc>
      </w:tr>
      <w:tr w14:paraId="0D5683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D0914AD">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6</w:t>
            </w:r>
          </w:p>
        </w:tc>
        <w:tc>
          <w:tcPr>
            <w:tcW w:w="3240" w:type="dxa"/>
            <w:tcBorders>
              <w:tl2br w:val="nil"/>
              <w:tr2bl w:val="nil"/>
            </w:tcBorders>
            <w:noWrap w:val="0"/>
            <w:vAlign w:val="center"/>
          </w:tcPr>
          <w:p w14:paraId="14B249ED">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highlight w:val="none"/>
                <w:lang w:eastAsia="zh-CN"/>
              </w:rPr>
              <w:t>工期</w:t>
            </w:r>
          </w:p>
        </w:tc>
        <w:tc>
          <w:tcPr>
            <w:tcW w:w="5700" w:type="dxa"/>
            <w:tcBorders>
              <w:tl2br w:val="nil"/>
              <w:tr2bl w:val="nil"/>
            </w:tcBorders>
            <w:noWrap w:val="0"/>
            <w:vAlign w:val="center"/>
          </w:tcPr>
          <w:p w14:paraId="7828B37F">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须知前附表”第1.3.</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项规定</w:t>
            </w:r>
          </w:p>
        </w:tc>
      </w:tr>
      <w:tr w14:paraId="6E6E0B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4F157C0">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7</w:t>
            </w:r>
          </w:p>
        </w:tc>
        <w:tc>
          <w:tcPr>
            <w:tcW w:w="3240" w:type="dxa"/>
            <w:tcBorders>
              <w:tl2br w:val="nil"/>
              <w:tr2bl w:val="nil"/>
            </w:tcBorders>
            <w:noWrap w:val="0"/>
            <w:vAlign w:val="center"/>
          </w:tcPr>
          <w:p w14:paraId="5EFB6219">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eastAsia="zh-CN"/>
              </w:rPr>
              <w:t>质量要求</w:t>
            </w:r>
          </w:p>
        </w:tc>
        <w:tc>
          <w:tcPr>
            <w:tcW w:w="5700" w:type="dxa"/>
            <w:tcBorders>
              <w:tl2br w:val="nil"/>
              <w:tr2bl w:val="nil"/>
            </w:tcBorders>
            <w:noWrap w:val="0"/>
            <w:vAlign w:val="center"/>
          </w:tcPr>
          <w:p w14:paraId="793A4C7E">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须知前附表”第1.3.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项规定</w:t>
            </w:r>
          </w:p>
        </w:tc>
      </w:tr>
      <w:tr w14:paraId="4753F5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000D975C">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8</w:t>
            </w:r>
          </w:p>
        </w:tc>
        <w:tc>
          <w:tcPr>
            <w:tcW w:w="3240" w:type="dxa"/>
            <w:tcBorders>
              <w:tl2br w:val="nil"/>
              <w:tr2bl w:val="nil"/>
            </w:tcBorders>
            <w:noWrap w:val="0"/>
            <w:vAlign w:val="center"/>
          </w:tcPr>
          <w:p w14:paraId="14AD8225">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highlight w:val="none"/>
                <w:lang w:eastAsia="zh-CN"/>
              </w:rPr>
              <w:t>磋商</w:t>
            </w:r>
            <w:r>
              <w:rPr>
                <w:rFonts w:hint="eastAsia" w:ascii="宋体" w:hAnsi="宋体" w:eastAsia="宋体" w:cs="宋体"/>
                <w:color w:val="auto"/>
                <w:highlight w:val="none"/>
              </w:rPr>
              <w:t>有效期</w:t>
            </w:r>
          </w:p>
        </w:tc>
        <w:tc>
          <w:tcPr>
            <w:tcW w:w="5700" w:type="dxa"/>
            <w:tcBorders>
              <w:tl2br w:val="nil"/>
              <w:tr2bl w:val="nil"/>
            </w:tcBorders>
            <w:noWrap w:val="0"/>
            <w:vAlign w:val="center"/>
          </w:tcPr>
          <w:p w14:paraId="0AE27398">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highlight w:val="none"/>
                <w:lang w:val="en-US" w:eastAsia="zh-CN"/>
              </w:rPr>
              <w:t>90日历天</w:t>
            </w:r>
            <w:r>
              <w:rPr>
                <w:rFonts w:hint="eastAsia" w:ascii="宋体" w:hAnsi="宋体" w:eastAsia="宋体" w:cs="宋体"/>
                <w:color w:val="auto"/>
                <w:highlight w:val="none"/>
              </w:rPr>
              <w:t xml:space="preserve">                       </w:t>
            </w:r>
          </w:p>
        </w:tc>
      </w:tr>
      <w:tr w14:paraId="634B86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B9CA6C0">
            <w:pPr>
              <w:adjustRightInd w:val="0"/>
              <w:snapToGrid w:val="0"/>
              <w:spacing w:line="360" w:lineRule="auto"/>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3240" w:type="dxa"/>
            <w:tcBorders>
              <w:tl2br w:val="nil"/>
              <w:tr2bl w:val="nil"/>
            </w:tcBorders>
            <w:noWrap w:val="0"/>
            <w:vAlign w:val="center"/>
          </w:tcPr>
          <w:p w14:paraId="475E701C">
            <w:pPr>
              <w:widowControl/>
              <w:spacing w:line="360" w:lineRule="auto"/>
              <w:jc w:val="center"/>
              <w:rPr>
                <w:rFonts w:hint="eastAsia" w:ascii="宋体" w:hAnsi="宋体" w:cs="宋体"/>
                <w:color w:val="auto"/>
                <w:highlight w:val="none"/>
                <w:lang w:eastAsia="zh-CN"/>
              </w:rPr>
            </w:pPr>
            <w:r>
              <w:rPr>
                <w:rFonts w:hint="eastAsia" w:ascii="宋体" w:hAnsi="宋体" w:cs="宋体"/>
                <w:color w:val="auto"/>
                <w:highlight w:val="none"/>
                <w:lang w:eastAsia="zh-CN"/>
              </w:rPr>
              <w:t>招标控制价</w:t>
            </w:r>
          </w:p>
        </w:tc>
        <w:tc>
          <w:tcPr>
            <w:tcW w:w="5700" w:type="dxa"/>
            <w:tcBorders>
              <w:tl2br w:val="nil"/>
              <w:tr2bl w:val="nil"/>
            </w:tcBorders>
            <w:noWrap w:val="0"/>
            <w:vAlign w:val="center"/>
          </w:tcPr>
          <w:p w14:paraId="1E3A0B2C">
            <w:pPr>
              <w:widowControl/>
              <w:spacing w:line="360" w:lineRule="auto"/>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磋商报价不得超过招标控制价</w:t>
            </w:r>
          </w:p>
        </w:tc>
      </w:tr>
      <w:tr w14:paraId="7E9AE6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448AFB4">
            <w:pPr>
              <w:adjustRightInd w:val="0"/>
              <w:snapToGrid w:val="0"/>
              <w:spacing w:line="360" w:lineRule="auto"/>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10</w:t>
            </w:r>
          </w:p>
        </w:tc>
        <w:tc>
          <w:tcPr>
            <w:tcW w:w="3240" w:type="dxa"/>
            <w:tcBorders>
              <w:tl2br w:val="nil"/>
              <w:tr2bl w:val="nil"/>
            </w:tcBorders>
            <w:noWrap w:val="0"/>
            <w:vAlign w:val="center"/>
          </w:tcPr>
          <w:p w14:paraId="0D341AE4">
            <w:pPr>
              <w:widowControl/>
              <w:spacing w:line="360" w:lineRule="auto"/>
              <w:jc w:val="center"/>
              <w:rPr>
                <w:rFonts w:hint="eastAsia" w:ascii="宋体" w:hAnsi="宋体" w:cs="宋体"/>
                <w:color w:val="auto"/>
                <w:highlight w:val="none"/>
                <w:lang w:eastAsia="zh-CN"/>
              </w:rPr>
            </w:pPr>
            <w:r>
              <w:rPr>
                <w:rFonts w:hint="eastAsia" w:ascii="宋体" w:hAnsi="宋体" w:cs="宋体"/>
                <w:color w:val="auto"/>
                <w:highlight w:val="none"/>
                <w:lang w:eastAsia="zh-CN"/>
              </w:rPr>
              <w:t>工程量清单一致</w:t>
            </w:r>
          </w:p>
        </w:tc>
        <w:tc>
          <w:tcPr>
            <w:tcW w:w="5700" w:type="dxa"/>
            <w:tcBorders>
              <w:tl2br w:val="nil"/>
              <w:tr2bl w:val="nil"/>
            </w:tcBorders>
            <w:noWrap w:val="0"/>
            <w:vAlign w:val="center"/>
          </w:tcPr>
          <w:p w14:paraId="083AD645">
            <w:pPr>
              <w:widowControl/>
              <w:spacing w:line="360" w:lineRule="auto"/>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与采购人提供的工程量清单中项目名称、项目特征、计量单位和工程量完全一致</w:t>
            </w:r>
          </w:p>
        </w:tc>
      </w:tr>
      <w:tr w14:paraId="22F23B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C8E9561">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11</w:t>
            </w:r>
          </w:p>
        </w:tc>
        <w:tc>
          <w:tcPr>
            <w:tcW w:w="3240" w:type="dxa"/>
            <w:tcBorders>
              <w:tl2br w:val="nil"/>
              <w:tr2bl w:val="nil"/>
            </w:tcBorders>
            <w:noWrap w:val="0"/>
            <w:vAlign w:val="center"/>
          </w:tcPr>
          <w:p w14:paraId="7F387A99">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其他要求</w:t>
            </w:r>
          </w:p>
        </w:tc>
        <w:tc>
          <w:tcPr>
            <w:tcW w:w="5700" w:type="dxa"/>
            <w:tcBorders>
              <w:tl2br w:val="nil"/>
              <w:tr2bl w:val="nil"/>
            </w:tcBorders>
            <w:noWrap w:val="0"/>
            <w:vAlign w:val="center"/>
          </w:tcPr>
          <w:p w14:paraId="454B627D">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（1）响应文件未含有采购人不能接受的内容或附加条件；</w:t>
            </w:r>
          </w:p>
          <w:p w14:paraId="7864F916">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（2）无串通投标或弄虚作假或其他违法行为；</w:t>
            </w:r>
          </w:p>
          <w:p w14:paraId="3E1654B7">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（3）磋商小组要求澄清、说明或补正的。供应商的澄清、说明或者补正未超出采购文件的范围或者改变响应文件的实质性内容。</w:t>
            </w:r>
          </w:p>
        </w:tc>
      </w:tr>
    </w:tbl>
    <w:p w14:paraId="222CA754">
      <w:pPr>
        <w:spacing w:line="360" w:lineRule="auto"/>
        <w:rPr>
          <w:rFonts w:hint="eastAsia"/>
          <w:color w:val="auto"/>
          <w:highlight w:val="none"/>
        </w:rPr>
      </w:pPr>
      <w:r>
        <w:rPr>
          <w:rFonts w:hint="eastAsia" w:asciiTheme="minorEastAsia" w:hAnsiTheme="minorEastAsia" w:eastAsiaTheme="minorEastAsia" w:cstheme="minorEastAsia"/>
          <w:b/>
          <w:bCs/>
          <w:color w:val="auto"/>
          <w:sz w:val="24"/>
          <w:szCs w:val="24"/>
          <w:highlight w:val="none"/>
          <w:lang w:eastAsia="zh-CN"/>
        </w:rPr>
        <w:t>（三）</w:t>
      </w:r>
      <w:r>
        <w:rPr>
          <w:rFonts w:hint="eastAsia" w:ascii="宋体" w:hAnsi="宋体" w:cs="宋体"/>
          <w:b/>
          <w:bCs/>
          <w:color w:val="auto"/>
          <w:sz w:val="24"/>
          <w:highlight w:val="none"/>
        </w:rPr>
        <w:t>详细评审</w:t>
      </w:r>
    </w:p>
    <w:tbl>
      <w:tblPr>
        <w:tblStyle w:val="23"/>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310"/>
        <w:gridCol w:w="1350"/>
        <w:gridCol w:w="1124"/>
        <w:gridCol w:w="5286"/>
      </w:tblGrid>
      <w:tr w14:paraId="2506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1A1551ED">
            <w:pPr>
              <w:pStyle w:val="46"/>
              <w:numPr>
                <w:ilvl w:val="0"/>
                <w:numId w:val="0"/>
              </w:numPr>
              <w:snapToGrid w:val="0"/>
              <w:jc w:val="center"/>
              <w:rPr>
                <w:rFonts w:cs="宋体"/>
                <w:b/>
                <w:bCs/>
                <w:color w:val="auto"/>
                <w:highlight w:val="none"/>
              </w:rPr>
            </w:pPr>
            <w:r>
              <w:rPr>
                <w:rFonts w:hint="eastAsia" w:cs="宋体"/>
                <w:b/>
                <w:bCs/>
                <w:color w:val="auto"/>
                <w:highlight w:val="none"/>
              </w:rPr>
              <w:t>评 分 因 素</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B3723F">
            <w:pPr>
              <w:pStyle w:val="46"/>
              <w:numPr>
                <w:ilvl w:val="0"/>
                <w:numId w:val="0"/>
              </w:numPr>
              <w:snapToGrid w:val="0"/>
              <w:jc w:val="center"/>
              <w:rPr>
                <w:rFonts w:cs="宋体"/>
                <w:b/>
                <w:bCs/>
                <w:color w:val="auto"/>
                <w:highlight w:val="none"/>
              </w:rPr>
            </w:pPr>
            <w:r>
              <w:rPr>
                <w:rFonts w:hint="eastAsia" w:cs="宋体"/>
                <w:b/>
                <w:bCs/>
                <w:color w:val="auto"/>
                <w:highlight w:val="none"/>
              </w:rPr>
              <w:t>分 值 分 配</w:t>
            </w:r>
          </w:p>
        </w:tc>
      </w:tr>
      <w:tr w14:paraId="4911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19E88CA0">
            <w:pPr>
              <w:pStyle w:val="46"/>
              <w:numPr>
                <w:ilvl w:val="0"/>
                <w:numId w:val="0"/>
              </w:numPr>
              <w:snapToGrid w:val="0"/>
              <w:jc w:val="center"/>
              <w:rPr>
                <w:rFonts w:cs="宋体"/>
                <w:color w:val="auto"/>
                <w:highlight w:val="none"/>
              </w:rPr>
            </w:pPr>
            <w:r>
              <w:rPr>
                <w:rFonts w:hint="eastAsia" w:cs="宋体"/>
                <w:color w:val="auto"/>
                <w:highlight w:val="none"/>
                <w:lang w:val="zh-CN" w:eastAsia="zh-CN"/>
              </w:rPr>
              <w:t>最后磋商报价</w:t>
            </w:r>
            <w:r>
              <w:rPr>
                <w:rFonts w:hint="eastAsia" w:cs="宋体"/>
                <w:color w:val="auto"/>
                <w:highlight w:val="none"/>
              </w:rPr>
              <w:t>部分得分</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B2FAD1">
            <w:pPr>
              <w:pStyle w:val="46"/>
              <w:numPr>
                <w:ilvl w:val="0"/>
                <w:numId w:val="0"/>
              </w:numPr>
              <w:snapToGrid w:val="0"/>
              <w:jc w:val="center"/>
              <w:rPr>
                <w:rFonts w:cs="宋体"/>
                <w:color w:val="auto"/>
                <w:highlight w:val="none"/>
              </w:rPr>
            </w:pPr>
            <w:r>
              <w:rPr>
                <w:rFonts w:hint="eastAsia" w:cs="宋体"/>
                <w:color w:val="auto"/>
                <w:highlight w:val="none"/>
              </w:rPr>
              <w:t>30</w:t>
            </w:r>
          </w:p>
        </w:tc>
      </w:tr>
      <w:tr w14:paraId="66B2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629B3E61">
            <w:pPr>
              <w:pStyle w:val="46"/>
              <w:numPr>
                <w:ilvl w:val="0"/>
                <w:numId w:val="0"/>
              </w:numPr>
              <w:snapToGrid w:val="0"/>
              <w:jc w:val="center"/>
              <w:rPr>
                <w:rFonts w:cs="宋体"/>
                <w:color w:val="auto"/>
                <w:highlight w:val="none"/>
              </w:rPr>
            </w:pPr>
            <w:r>
              <w:rPr>
                <w:rFonts w:hint="eastAsia" w:cs="宋体"/>
                <w:color w:val="auto"/>
                <w:highlight w:val="none"/>
                <w:lang w:val="en-US" w:eastAsia="zh-CN"/>
              </w:rPr>
              <w:t>技术</w:t>
            </w:r>
            <w:r>
              <w:rPr>
                <w:rFonts w:hint="eastAsia" w:cs="宋体"/>
                <w:color w:val="auto"/>
                <w:highlight w:val="none"/>
              </w:rPr>
              <w:t>部分得分</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F2135C">
            <w:pPr>
              <w:pStyle w:val="46"/>
              <w:numPr>
                <w:ilvl w:val="0"/>
                <w:numId w:val="0"/>
              </w:numPr>
              <w:snapToGrid w:val="0"/>
              <w:jc w:val="center"/>
              <w:rPr>
                <w:rFonts w:cs="宋体"/>
                <w:color w:val="auto"/>
                <w:highlight w:val="none"/>
              </w:rPr>
            </w:pPr>
            <w:r>
              <w:rPr>
                <w:rFonts w:hint="eastAsia" w:cs="宋体"/>
                <w:color w:val="auto"/>
                <w:highlight w:val="none"/>
              </w:rPr>
              <w:t>70</w:t>
            </w:r>
          </w:p>
        </w:tc>
      </w:tr>
      <w:tr w14:paraId="670D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3FFF210B">
            <w:pPr>
              <w:pStyle w:val="46"/>
              <w:numPr>
                <w:ilvl w:val="0"/>
                <w:numId w:val="0"/>
              </w:numPr>
              <w:snapToGrid w:val="0"/>
              <w:jc w:val="center"/>
              <w:rPr>
                <w:rFonts w:cs="宋体"/>
                <w:color w:val="auto"/>
                <w:highlight w:val="none"/>
              </w:rPr>
            </w:pPr>
            <w:r>
              <w:rPr>
                <w:rFonts w:hint="eastAsia" w:cs="宋体"/>
                <w:color w:val="auto"/>
                <w:highlight w:val="none"/>
              </w:rPr>
              <w:t>合计</w:t>
            </w:r>
          </w:p>
        </w:tc>
        <w:tc>
          <w:tcPr>
            <w:tcW w:w="5286"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AE01EF">
            <w:pPr>
              <w:pStyle w:val="46"/>
              <w:numPr>
                <w:ilvl w:val="0"/>
                <w:numId w:val="0"/>
              </w:numPr>
              <w:snapToGrid w:val="0"/>
              <w:jc w:val="center"/>
              <w:rPr>
                <w:rFonts w:cs="宋体"/>
                <w:color w:val="auto"/>
                <w:highlight w:val="none"/>
              </w:rPr>
            </w:pPr>
            <w:r>
              <w:rPr>
                <w:rFonts w:hint="eastAsia" w:cs="宋体"/>
                <w:color w:val="auto"/>
                <w:highlight w:val="none"/>
              </w:rPr>
              <w:t>100</w:t>
            </w:r>
          </w:p>
        </w:tc>
      </w:tr>
      <w:tr w14:paraId="6E61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A0607CF">
            <w:pPr>
              <w:pStyle w:val="46"/>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31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E7C1C92">
            <w:pPr>
              <w:pStyle w:val="46"/>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评分内容及分值</w:t>
            </w:r>
          </w:p>
        </w:tc>
        <w:tc>
          <w:tcPr>
            <w:tcW w:w="7760"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1D14E4E">
            <w:pPr>
              <w:pStyle w:val="46"/>
              <w:numPr>
                <w:ilvl w:val="0"/>
                <w:numId w:val="0"/>
              </w:numPr>
              <w:snapToGrid w:val="0"/>
              <w:jc w:val="center"/>
              <w:rPr>
                <w:rFonts w:cs="宋体"/>
                <w:b/>
                <w:bCs/>
                <w:color w:val="auto"/>
                <w:highlight w:val="none"/>
              </w:rPr>
            </w:pPr>
            <w:r>
              <w:rPr>
                <w:rFonts w:hint="eastAsia" w:cs="宋体"/>
                <w:b/>
                <w:bCs/>
                <w:color w:val="auto"/>
                <w:highlight w:val="none"/>
              </w:rPr>
              <w:t>评分标准</w:t>
            </w:r>
          </w:p>
        </w:tc>
      </w:tr>
      <w:tr w14:paraId="1825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44AA4BE">
            <w:pPr>
              <w:pStyle w:val="21"/>
              <w:spacing w:line="44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1</w:t>
            </w:r>
          </w:p>
        </w:tc>
        <w:tc>
          <w:tcPr>
            <w:tcW w:w="131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DACA110">
            <w:pPr>
              <w:pStyle w:val="21"/>
              <w:spacing w:line="440" w:lineRule="exact"/>
              <w:ind w:left="0" w:leftChars="0" w:firstLine="0" w:firstLineChars="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zh-CN" w:eastAsia="zh-CN"/>
              </w:rPr>
              <w:t>最后</w:t>
            </w:r>
            <w:r>
              <w:rPr>
                <w:rFonts w:hint="eastAsia" w:ascii="宋体" w:hAnsi="宋体" w:eastAsia="宋体" w:cs="宋体"/>
                <w:b/>
                <w:bCs/>
                <w:color w:val="auto"/>
                <w:sz w:val="21"/>
                <w:szCs w:val="21"/>
                <w:highlight w:val="none"/>
                <w:lang w:val="zh-CN" w:eastAsia="zh-CN"/>
              </w:rPr>
              <w:t>磋商报价</w:t>
            </w:r>
            <w:r>
              <w:rPr>
                <w:rFonts w:hint="eastAsia" w:ascii="宋体" w:hAnsi="宋体" w:eastAsia="宋体" w:cs="宋体"/>
                <w:b/>
                <w:bCs/>
                <w:color w:val="auto"/>
                <w:sz w:val="21"/>
                <w:szCs w:val="21"/>
                <w:highlight w:val="none"/>
                <w:lang w:eastAsia="zh-CN"/>
              </w:rPr>
              <w:t>评分</w:t>
            </w:r>
          </w:p>
          <w:p w14:paraId="0FAE5A72">
            <w:pPr>
              <w:pStyle w:val="21"/>
              <w:spacing w:line="44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eastAsia="zh-CN"/>
              </w:rPr>
              <w:t>（30分）</w:t>
            </w:r>
          </w:p>
        </w:tc>
        <w:tc>
          <w:tcPr>
            <w:tcW w:w="7760"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BF4FD12">
            <w:pPr>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最后磋商</w:t>
            </w:r>
            <w:r>
              <w:rPr>
                <w:rFonts w:hint="eastAsia" w:ascii="宋体" w:hAnsi="宋体" w:eastAsia="宋体" w:cs="宋体"/>
                <w:color w:val="auto"/>
                <w:highlight w:val="none"/>
                <w:lang w:eastAsia="zh-CN"/>
              </w:rPr>
              <w:t>报价评分采用低价优先法计算，即满足磋商文件要求且最后磋商价格最低的报价为磋商基准价，满足磋商基准价得满分；其他供应商的报价得分按照下列公式计算：</w:t>
            </w:r>
          </w:p>
          <w:p w14:paraId="55EBB392">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最后磋商报价得分=（磋商基准价/最后磋商报价）×30分</w:t>
            </w:r>
          </w:p>
          <w:p w14:paraId="38DE49C0">
            <w:pPr>
              <w:spacing w:line="360" w:lineRule="auto"/>
              <w:jc w:val="left"/>
              <w:rPr>
                <w:rFonts w:hint="eastAsia" w:ascii="宋体" w:hAnsi="宋体" w:cs="宋体"/>
                <w:color w:val="auto"/>
                <w:sz w:val="21"/>
                <w:szCs w:val="24"/>
                <w:highlight w:val="none"/>
                <w:lang w:val="en-US" w:eastAsia="zh-CN"/>
              </w:rPr>
            </w:pPr>
            <w:r>
              <w:rPr>
                <w:rFonts w:hint="eastAsia" w:ascii="宋体" w:hAnsi="宋体" w:cs="宋体"/>
                <w:color w:val="auto"/>
                <w:sz w:val="21"/>
                <w:szCs w:val="24"/>
                <w:highlight w:val="none"/>
                <w:lang w:val="en-US" w:eastAsia="zh-CN"/>
              </w:rPr>
              <w:t>注：</w:t>
            </w:r>
          </w:p>
          <w:p w14:paraId="7E65D476">
            <w:pPr>
              <w:spacing w:line="360" w:lineRule="auto"/>
              <w:jc w:val="left"/>
              <w:rPr>
                <w:rFonts w:hint="eastAsia" w:ascii="宋体" w:hAnsi="宋体" w:cs="宋体"/>
                <w:color w:val="auto"/>
                <w:sz w:val="21"/>
                <w:szCs w:val="24"/>
                <w:highlight w:val="none"/>
                <w:lang w:val="en-US" w:eastAsia="zh-CN"/>
              </w:rPr>
            </w:pPr>
            <w:r>
              <w:rPr>
                <w:rFonts w:hint="eastAsia" w:ascii="宋体" w:hAnsi="宋体" w:cs="宋体"/>
                <w:color w:val="auto"/>
                <w:sz w:val="21"/>
                <w:szCs w:val="24"/>
                <w:highlight w:val="none"/>
                <w:lang w:val="en-US" w:eastAsia="zh-CN"/>
              </w:rPr>
              <w:t>1.满足磋商文件要求且最后报价最低的供应商的价格为磋商基准价，其价格分为满分；</w:t>
            </w:r>
          </w:p>
          <w:p w14:paraId="7075CED8">
            <w:pPr>
              <w:spacing w:line="360" w:lineRule="auto"/>
              <w:jc w:val="left"/>
              <w:rPr>
                <w:rFonts w:hint="eastAsia" w:ascii="宋体" w:hAnsi="宋体" w:cs="宋体"/>
                <w:color w:val="auto"/>
                <w:sz w:val="21"/>
                <w:szCs w:val="24"/>
                <w:highlight w:val="none"/>
                <w:lang w:val="en-US" w:eastAsia="zh-CN"/>
              </w:rPr>
            </w:pPr>
            <w:r>
              <w:rPr>
                <w:rFonts w:hint="eastAsia" w:ascii="宋体" w:hAnsi="宋体" w:cs="宋体"/>
                <w:color w:val="auto"/>
                <w:sz w:val="21"/>
                <w:szCs w:val="24"/>
                <w:highlight w:val="none"/>
                <w:lang w:val="en-US" w:eastAsia="zh-CN"/>
              </w:rPr>
              <w:t>2.计算结果保留小数点后两位，第三位四舍五入。</w:t>
            </w:r>
          </w:p>
          <w:p w14:paraId="45E1046F">
            <w:pPr>
              <w:pStyle w:val="21"/>
              <w:keepNext w:val="0"/>
              <w:keepLines w:val="0"/>
              <w:pageBreakBefore w:val="0"/>
              <w:kinsoku/>
              <w:wordWrap/>
              <w:topLinePunct w:val="0"/>
              <w:bidi w:val="0"/>
              <w:snapToGrid/>
              <w:spacing w:after="0" w:line="440" w:lineRule="exact"/>
              <w:ind w:left="0" w:leftChars="0" w:firstLine="0" w:firstLineChars="0"/>
              <w:rPr>
                <w:rFonts w:hint="default"/>
                <w:lang w:val="en-US" w:eastAsia="zh-CN"/>
              </w:rPr>
            </w:pPr>
            <w:r>
              <w:rPr>
                <w:rFonts w:hint="eastAsia" w:ascii="宋体" w:hAnsi="宋体" w:cs="宋体"/>
                <w:color w:val="auto"/>
                <w:sz w:val="21"/>
                <w:szCs w:val="24"/>
                <w:highlight w:val="none"/>
                <w:lang w:val="en-US" w:eastAsia="zh-CN"/>
              </w:rPr>
              <w:t>3.</w:t>
            </w:r>
            <w:r>
              <w:rPr>
                <w:rFonts w:hint="eastAsia" w:ascii="宋体" w:hAnsi="宋体" w:cs="宋体"/>
                <w:color w:val="auto"/>
                <w:sz w:val="21"/>
                <w:szCs w:val="21"/>
                <w:highlight w:val="none"/>
                <w:lang w:val="en-US" w:eastAsia="zh-CN"/>
              </w:rPr>
              <w:t>本项目非专门面向中小微企业采购，监狱企业、残疾人福利性单位视同小型、微型企业，小微企业价格扣除优惠比例:3%</w:t>
            </w:r>
            <w:r>
              <w:rPr>
                <w:rFonts w:hint="eastAsia" w:ascii="宋体" w:hAnsi="宋体" w:eastAsia="宋体" w:cs="宋体"/>
                <w:color w:val="auto"/>
                <w:sz w:val="21"/>
                <w:szCs w:val="21"/>
                <w:highlight w:val="none"/>
                <w:lang w:val="en-US" w:eastAsia="zh-CN"/>
              </w:rPr>
              <w:t>；</w:t>
            </w:r>
          </w:p>
        </w:tc>
      </w:tr>
      <w:tr w14:paraId="3884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576431E9">
            <w:pPr>
              <w:ind w:firstLine="210" w:firstLineChars="1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2</w:t>
            </w:r>
          </w:p>
        </w:tc>
        <w:tc>
          <w:tcPr>
            <w:tcW w:w="1310"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02CED4F9">
            <w:pPr>
              <w:jc w:val="both"/>
              <w:rPr>
                <w:rFonts w:hint="eastAsia" w:ascii="宋体" w:hAnsi="宋体" w:cs="宋体"/>
                <w:b/>
                <w:color w:val="auto"/>
                <w:szCs w:val="21"/>
              </w:rPr>
            </w:pPr>
          </w:p>
          <w:p w14:paraId="503A7B24">
            <w:pPr>
              <w:jc w:val="center"/>
              <w:rPr>
                <w:rFonts w:hint="eastAsia" w:ascii="宋体" w:hAnsi="宋体" w:cs="宋体"/>
                <w:b/>
                <w:color w:val="auto"/>
                <w:szCs w:val="21"/>
                <w:lang w:val="en-US" w:eastAsia="zh-CN"/>
              </w:rPr>
            </w:pPr>
            <w:r>
              <w:rPr>
                <w:rFonts w:hint="eastAsia" w:ascii="宋体" w:hAnsi="宋体" w:cs="宋体"/>
                <w:b/>
                <w:color w:val="auto"/>
                <w:szCs w:val="21"/>
                <w:lang w:val="en-US" w:eastAsia="zh-CN"/>
              </w:rPr>
              <w:t>技</w:t>
            </w:r>
          </w:p>
          <w:p w14:paraId="3C19C0C3">
            <w:pPr>
              <w:jc w:val="center"/>
              <w:rPr>
                <w:rFonts w:hint="eastAsia" w:ascii="宋体" w:hAnsi="宋体" w:cs="宋体"/>
                <w:b/>
                <w:color w:val="auto"/>
                <w:szCs w:val="21"/>
                <w:lang w:val="en-US" w:eastAsia="zh-CN"/>
              </w:rPr>
            </w:pPr>
            <w:r>
              <w:rPr>
                <w:rFonts w:hint="eastAsia" w:ascii="宋体" w:hAnsi="宋体" w:cs="宋体"/>
                <w:b/>
                <w:color w:val="auto"/>
                <w:szCs w:val="21"/>
                <w:lang w:val="en-US" w:eastAsia="zh-CN"/>
              </w:rPr>
              <w:t>术</w:t>
            </w:r>
          </w:p>
          <w:p w14:paraId="45DC73F7">
            <w:pPr>
              <w:jc w:val="center"/>
              <w:rPr>
                <w:rFonts w:hint="eastAsia" w:ascii="宋体" w:hAnsi="宋体" w:cs="宋体"/>
                <w:b/>
                <w:color w:val="auto"/>
                <w:szCs w:val="21"/>
              </w:rPr>
            </w:pPr>
            <w:r>
              <w:rPr>
                <w:rFonts w:hint="eastAsia" w:ascii="宋体" w:hAnsi="宋体" w:cs="宋体"/>
                <w:b/>
                <w:color w:val="auto"/>
                <w:szCs w:val="21"/>
              </w:rPr>
              <w:t>部</w:t>
            </w:r>
          </w:p>
          <w:p w14:paraId="6D4F473D">
            <w:pPr>
              <w:jc w:val="center"/>
              <w:rPr>
                <w:rFonts w:hint="eastAsia" w:ascii="宋体" w:hAnsi="宋体" w:cs="宋体"/>
                <w:b/>
                <w:color w:val="auto"/>
                <w:szCs w:val="21"/>
              </w:rPr>
            </w:pPr>
            <w:r>
              <w:rPr>
                <w:rFonts w:hint="eastAsia" w:ascii="宋体" w:hAnsi="宋体" w:cs="宋体"/>
                <w:b/>
                <w:color w:val="auto"/>
                <w:szCs w:val="21"/>
              </w:rPr>
              <w:t>分</w:t>
            </w:r>
          </w:p>
          <w:p w14:paraId="61EF355C">
            <w:pPr>
              <w:jc w:val="center"/>
              <w:rPr>
                <w:rFonts w:ascii="宋体" w:hAnsi="宋体" w:cs="宋体"/>
                <w:b/>
                <w:color w:val="auto"/>
                <w:szCs w:val="21"/>
              </w:rPr>
            </w:pPr>
            <w:r>
              <w:rPr>
                <w:rFonts w:hint="eastAsia" w:ascii="宋体" w:hAnsi="宋体" w:cs="宋体"/>
                <w:b/>
                <w:color w:val="auto"/>
                <w:szCs w:val="21"/>
              </w:rPr>
              <w:t>评</w:t>
            </w:r>
          </w:p>
          <w:p w14:paraId="7E0730D7">
            <w:pPr>
              <w:jc w:val="center"/>
              <w:rPr>
                <w:rFonts w:ascii="宋体" w:hAnsi="宋体" w:cs="宋体"/>
                <w:b/>
                <w:color w:val="auto"/>
                <w:szCs w:val="21"/>
              </w:rPr>
            </w:pPr>
            <w:r>
              <w:rPr>
                <w:rFonts w:hint="eastAsia" w:ascii="宋体" w:hAnsi="宋体" w:cs="宋体"/>
                <w:b/>
                <w:color w:val="auto"/>
                <w:szCs w:val="21"/>
              </w:rPr>
              <w:t>分</w:t>
            </w:r>
          </w:p>
          <w:p w14:paraId="6632E322">
            <w:pPr>
              <w:jc w:val="center"/>
              <w:rPr>
                <w:rFonts w:ascii="宋体" w:hAnsi="宋体" w:cs="宋体"/>
                <w:b/>
                <w:color w:val="auto"/>
                <w:szCs w:val="21"/>
              </w:rPr>
            </w:pPr>
          </w:p>
          <w:p w14:paraId="325DF519">
            <w:pPr>
              <w:jc w:val="center"/>
              <w:rPr>
                <w:rFonts w:hint="eastAsia" w:ascii="宋体" w:hAnsi="宋体" w:eastAsia="宋体" w:cs="宋体"/>
                <w:b/>
                <w:color w:val="auto"/>
                <w:kern w:val="2"/>
                <w:sz w:val="21"/>
                <w:szCs w:val="21"/>
                <w:highlight w:val="none"/>
                <w:lang w:val="en-US" w:eastAsia="zh-CN" w:bidi="ar-SA"/>
              </w:rPr>
            </w:pPr>
            <w:r>
              <w:rPr>
                <w:rFonts w:hint="eastAsia" w:ascii="宋体" w:hAnsi="宋体" w:cs="宋体"/>
                <w:b/>
                <w:color w:val="auto"/>
                <w:szCs w:val="21"/>
              </w:rPr>
              <w:t>（70分）</w:t>
            </w: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F98CA74">
            <w:pPr>
              <w:pStyle w:val="34"/>
              <w:jc w:val="center"/>
              <w:rPr>
                <w:rFonts w:hint="eastAsia" w:ascii="宋体" w:hAnsi="宋体" w:eastAsia="宋体" w:cs="宋体"/>
                <w:color w:val="auto"/>
                <w:sz w:val="21"/>
                <w:szCs w:val="21"/>
              </w:rPr>
            </w:pPr>
            <w:r>
              <w:rPr>
                <w:rFonts w:hint="eastAsia" w:ascii="宋体" w:hAnsi="宋体" w:eastAsia="宋体" w:cs="宋体"/>
                <w:color w:val="auto"/>
                <w:sz w:val="21"/>
                <w:szCs w:val="21"/>
              </w:rPr>
              <w:t>施工方案与技术措施评审</w:t>
            </w:r>
          </w:p>
          <w:p w14:paraId="1C10C876">
            <w:pPr>
              <w:pStyle w:val="34"/>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（1</w:t>
            </w:r>
            <w:r>
              <w:rPr>
                <w:rFonts w:hint="eastAsia" w:cs="宋体"/>
                <w:color w:val="auto"/>
                <w:sz w:val="21"/>
                <w:szCs w:val="21"/>
                <w:lang w:val="en-US" w:eastAsia="zh-CN"/>
              </w:rPr>
              <w:t>0</w:t>
            </w:r>
            <w:r>
              <w:rPr>
                <w:rFonts w:hint="eastAsia" w:ascii="宋体" w:hAnsi="宋体" w:eastAsia="宋体" w:cs="宋体"/>
                <w:color w:val="auto"/>
                <w:sz w:val="21"/>
                <w:szCs w:val="21"/>
              </w:rPr>
              <w:t>分）</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B793F61">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）对项目总体概况表述清晰、完整；部署及措施先进、可靠，采用了四新技术；对项目主要及关键方案有深入的表述，对重点、难点分析透彻，解决方案切实可行；切合环保、安全、文明生产要求的得1</w:t>
            </w:r>
            <w:r>
              <w:rPr>
                <w:rFonts w:hint="eastAsia" w:ascii="宋体" w:hAnsi="宋体" w:cs="宋体"/>
                <w:color w:val="auto"/>
                <w:highlight w:val="none"/>
                <w:lang w:val="en-US" w:eastAsia="zh-CN"/>
              </w:rPr>
              <w:t>0</w:t>
            </w:r>
            <w:r>
              <w:rPr>
                <w:rFonts w:hint="eastAsia" w:ascii="宋体" w:hAnsi="宋体" w:eastAsia="宋体" w:cs="宋体"/>
                <w:color w:val="auto"/>
                <w:highlight w:val="none"/>
                <w:lang w:eastAsia="zh-CN"/>
              </w:rPr>
              <w:t>分；</w:t>
            </w:r>
          </w:p>
          <w:p w14:paraId="6F3D1C66">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）对项目总体概况、部署及措施表述较清晰、完整；对项目主要及关键方案表述符合要求，对项目重点、难点的解决方案符合可行；符合环保、安全、文明生产要求的得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w:t>
            </w:r>
          </w:p>
          <w:p w14:paraId="3EBFB7F8">
            <w:pPr>
              <w:spacing w:line="360" w:lineRule="auto"/>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）对项目总体概况、部署及措施表述基本清晰；对项目主要及关键方案表述基本符合要求，对项目重点、难点的解决方案基本清晰可行；基本符合环保、安全、文明生产要求的得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分；</w:t>
            </w:r>
          </w:p>
          <w:p w14:paraId="139F0387">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）对项目总体概况表述不够清晰；部署及措施不够具体；对项目主要及关键方案表述不够清晰、可行性不强的得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分；</w:t>
            </w:r>
          </w:p>
          <w:p w14:paraId="5BDE2820">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）对项目总体概况表述模糊；部署及措施不具体；对项目主要及关键方案表述不完整的得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47116768">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施工方案与技术措施不满足采购需求或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p>
        </w:tc>
      </w:tr>
      <w:tr w14:paraId="69B3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22CAD11">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6BD0FB43">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EF3F5D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质量管理体系与措施评审</w:t>
            </w:r>
          </w:p>
          <w:p w14:paraId="27328B6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（10分）</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091ABAD">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）质量目标符合竞争性磋商文件要求且目标明确；管理机构健全，职责分工明确；管理制度齐全；实施与监控措施全面、有效的得10分；</w:t>
            </w:r>
          </w:p>
          <w:p w14:paraId="11DED8FE">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）质量目标符合竞争性磋商文件要求且目标明确；管理机构健全，职责分工较明确，管理制度较齐全，实施与监控措施较完整的得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eastAsia="zh-CN"/>
              </w:rPr>
              <w:t>分；</w:t>
            </w:r>
          </w:p>
          <w:p w14:paraId="2EA069A5">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）质量目标符合竞争性磋商文件要求且目标基本明确；管理机构基本健全，职责分工基本明确，管理制度基本齐全，实施与监控措施基本完整的得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eastAsia="zh-CN"/>
              </w:rPr>
              <w:t>分；</w:t>
            </w:r>
          </w:p>
          <w:p w14:paraId="69B499F2">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eastAsia="zh-CN"/>
              </w:rPr>
              <w:t>）质量目标基本符合竞争性磋商文件要求且目标基本明确；管理机构不够健全，职责分工不够明确，管理制度不够齐全，实施与监控措施不够完整的得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eastAsia="zh-CN"/>
              </w:rPr>
              <w:t>分；</w:t>
            </w:r>
          </w:p>
          <w:p w14:paraId="1187C59E">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）质量目标基本符合竞争性磋商文件要求且目标基本明确；</w:t>
            </w:r>
            <w:r>
              <w:rPr>
                <w:rFonts w:hint="eastAsia" w:ascii="宋体" w:hAnsi="宋体" w:cs="宋体"/>
                <w:color w:val="auto"/>
                <w:highlight w:val="none"/>
                <w:lang w:eastAsia="zh-CN"/>
              </w:rPr>
              <w:t>但</w:t>
            </w:r>
            <w:r>
              <w:rPr>
                <w:rFonts w:hint="eastAsia" w:ascii="宋体" w:hAnsi="宋体" w:eastAsia="宋体" w:cs="宋体"/>
                <w:color w:val="auto"/>
                <w:highlight w:val="none"/>
                <w:lang w:eastAsia="zh-CN"/>
              </w:rPr>
              <w:t>管理机构不健全，职责分工</w:t>
            </w:r>
            <w:r>
              <w:rPr>
                <w:rFonts w:hint="eastAsia" w:ascii="宋体" w:hAnsi="宋体" w:cs="宋体"/>
                <w:color w:val="auto"/>
                <w:highlight w:val="none"/>
                <w:lang w:eastAsia="zh-CN"/>
              </w:rPr>
              <w:t>模糊</w:t>
            </w:r>
            <w:r>
              <w:rPr>
                <w:rFonts w:hint="eastAsia" w:ascii="宋体" w:hAnsi="宋体" w:eastAsia="宋体" w:cs="宋体"/>
                <w:color w:val="auto"/>
                <w:highlight w:val="none"/>
                <w:lang w:eastAsia="zh-CN"/>
              </w:rPr>
              <w:t>，管理制度</w:t>
            </w:r>
            <w:r>
              <w:rPr>
                <w:rFonts w:hint="eastAsia" w:ascii="宋体" w:hAnsi="宋体" w:cs="宋体"/>
                <w:color w:val="auto"/>
                <w:highlight w:val="none"/>
                <w:lang w:eastAsia="zh-CN"/>
              </w:rPr>
              <w:t>缺失</w:t>
            </w:r>
            <w:r>
              <w:rPr>
                <w:rFonts w:hint="eastAsia" w:ascii="宋体" w:hAnsi="宋体" w:eastAsia="宋体" w:cs="宋体"/>
                <w:color w:val="auto"/>
                <w:highlight w:val="none"/>
                <w:lang w:eastAsia="zh-CN"/>
              </w:rPr>
              <w:t>不齐全，实施与监控措施</w:t>
            </w:r>
            <w:r>
              <w:rPr>
                <w:rFonts w:hint="eastAsia" w:ascii="宋体" w:hAnsi="宋体" w:cs="宋体"/>
                <w:color w:val="auto"/>
                <w:highlight w:val="none"/>
                <w:lang w:eastAsia="zh-CN"/>
              </w:rPr>
              <w:t>模糊、表述不完整</w:t>
            </w:r>
            <w:r>
              <w:rPr>
                <w:rFonts w:hint="eastAsia" w:ascii="宋体" w:hAnsi="宋体" w:eastAsia="宋体" w:cs="宋体"/>
                <w:color w:val="auto"/>
                <w:highlight w:val="none"/>
                <w:lang w:eastAsia="zh-CN"/>
              </w:rPr>
              <w:t>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分</w:t>
            </w:r>
            <w:r>
              <w:rPr>
                <w:rFonts w:hint="eastAsia" w:ascii="宋体" w:hAnsi="宋体" w:cs="宋体"/>
                <w:color w:val="auto"/>
                <w:highlight w:val="none"/>
                <w:lang w:eastAsia="zh-CN"/>
              </w:rPr>
              <w:t>；</w:t>
            </w:r>
          </w:p>
          <w:p w14:paraId="7F68EA8C">
            <w:pPr>
              <w:spacing w:line="360" w:lineRule="auto"/>
              <w:jc w:val="left"/>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sz w:val="21"/>
                <w:szCs w:val="21"/>
                <w:highlight w:val="none"/>
                <w:lang w:val="en-US" w:eastAsia="zh-CN"/>
              </w:rPr>
              <w:t>质量管理体系与措施不满足采购需求或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r>
              <w:rPr>
                <w:rFonts w:hint="eastAsia" w:ascii="宋体" w:hAnsi="宋体" w:eastAsia="宋体" w:cs="宋体"/>
                <w:color w:val="auto"/>
                <w:highlight w:val="none"/>
                <w:lang w:eastAsia="zh-CN"/>
              </w:rPr>
              <w:t>。</w:t>
            </w:r>
          </w:p>
        </w:tc>
      </w:tr>
      <w:tr w14:paraId="4755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F8919E6">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CAEB943">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699B44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安全管理</w:t>
            </w:r>
          </w:p>
          <w:p w14:paraId="61A07BA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体系与措</w:t>
            </w:r>
          </w:p>
          <w:p w14:paraId="5255174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施评审</w:t>
            </w:r>
          </w:p>
          <w:p w14:paraId="7E377B4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（10分）</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ABCFF62">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）安全目标符合竞争性磋商文件的要求；安全管理机构健全，职责分工明确；管理制度齐全；实施与监控措施全面、有效的得10分；</w:t>
            </w:r>
          </w:p>
          <w:p w14:paraId="5630D533">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）安全目标符合竞争性磋商文件要求；管理机构健全，职责分工较明确；管理制度较齐全；实施与监控措施较完整的得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eastAsia="zh-CN"/>
              </w:rPr>
              <w:t>分；</w:t>
            </w:r>
          </w:p>
          <w:p w14:paraId="1D7B46A8">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）安全目标符合竞争性磋商文件要求；管理机构基本健全，职责分工基本明确；管理制度基本齐全；实施与监控措施基本完整的得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eastAsia="zh-CN"/>
              </w:rPr>
              <w:t>分；</w:t>
            </w:r>
          </w:p>
          <w:p w14:paraId="72161551">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eastAsia="zh-CN"/>
              </w:rPr>
              <w:t>）安全目标符合竞争性磋商文件要求；管理机构不够健全，职责分工不够明确；管理制度不够齐全；实施与监控措施不够完整的得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eastAsia="zh-CN"/>
              </w:rPr>
              <w:t>分；</w:t>
            </w:r>
          </w:p>
          <w:p w14:paraId="4E9C0DCE">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）安全目标符合竞争性磋商文件要求；</w:t>
            </w:r>
            <w:r>
              <w:rPr>
                <w:rFonts w:hint="eastAsia" w:ascii="宋体" w:hAnsi="宋体" w:cs="宋体"/>
                <w:color w:val="auto"/>
                <w:highlight w:val="none"/>
                <w:lang w:eastAsia="zh-CN"/>
              </w:rPr>
              <w:t>但</w:t>
            </w:r>
            <w:r>
              <w:rPr>
                <w:rFonts w:hint="eastAsia" w:ascii="宋体" w:hAnsi="宋体" w:eastAsia="宋体" w:cs="宋体"/>
                <w:color w:val="auto"/>
                <w:highlight w:val="none"/>
                <w:lang w:eastAsia="zh-CN"/>
              </w:rPr>
              <w:t>管理机构不健全，职责分工</w:t>
            </w:r>
            <w:r>
              <w:rPr>
                <w:rFonts w:hint="eastAsia" w:ascii="宋体" w:hAnsi="宋体" w:cs="宋体"/>
                <w:color w:val="auto"/>
                <w:highlight w:val="none"/>
                <w:lang w:eastAsia="zh-CN"/>
              </w:rPr>
              <w:t>模糊</w:t>
            </w:r>
            <w:r>
              <w:rPr>
                <w:rFonts w:hint="eastAsia" w:ascii="宋体" w:hAnsi="宋体" w:eastAsia="宋体" w:cs="宋体"/>
                <w:color w:val="auto"/>
                <w:highlight w:val="none"/>
                <w:lang w:eastAsia="zh-CN"/>
              </w:rPr>
              <w:t>，管理制度</w:t>
            </w:r>
            <w:r>
              <w:rPr>
                <w:rFonts w:hint="eastAsia" w:ascii="宋体" w:hAnsi="宋体" w:cs="宋体"/>
                <w:color w:val="auto"/>
                <w:highlight w:val="none"/>
                <w:lang w:eastAsia="zh-CN"/>
              </w:rPr>
              <w:t>缺失</w:t>
            </w:r>
            <w:r>
              <w:rPr>
                <w:rFonts w:hint="eastAsia" w:ascii="宋体" w:hAnsi="宋体" w:eastAsia="宋体" w:cs="宋体"/>
                <w:color w:val="auto"/>
                <w:highlight w:val="none"/>
                <w:lang w:eastAsia="zh-CN"/>
              </w:rPr>
              <w:t>不齐全，实施与监控措施</w:t>
            </w:r>
            <w:r>
              <w:rPr>
                <w:rFonts w:hint="eastAsia" w:ascii="宋体" w:hAnsi="宋体" w:cs="宋体"/>
                <w:color w:val="auto"/>
                <w:highlight w:val="none"/>
                <w:lang w:eastAsia="zh-CN"/>
              </w:rPr>
              <w:t>模糊、表述不完整</w:t>
            </w:r>
            <w:r>
              <w:rPr>
                <w:rFonts w:hint="eastAsia" w:ascii="宋体" w:hAnsi="宋体" w:eastAsia="宋体" w:cs="宋体"/>
                <w:color w:val="auto"/>
                <w:highlight w:val="none"/>
                <w:lang w:eastAsia="zh-CN"/>
              </w:rPr>
              <w:t>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分；</w:t>
            </w:r>
          </w:p>
          <w:p w14:paraId="61F07F43">
            <w:pPr>
              <w:spacing w:line="360" w:lineRule="auto"/>
              <w:jc w:val="left"/>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sz w:val="21"/>
                <w:szCs w:val="21"/>
                <w:highlight w:val="none"/>
                <w:lang w:val="en-US" w:eastAsia="zh-CN"/>
              </w:rPr>
              <w:t>安全管理体系与措施不满足采购需求或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r>
              <w:rPr>
                <w:rFonts w:hint="eastAsia" w:ascii="宋体" w:hAnsi="宋体" w:eastAsia="宋体" w:cs="宋体"/>
                <w:color w:val="auto"/>
                <w:highlight w:val="none"/>
                <w:lang w:eastAsia="zh-CN"/>
              </w:rPr>
              <w:t>。</w:t>
            </w:r>
          </w:p>
        </w:tc>
      </w:tr>
      <w:tr w14:paraId="39C7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07149643">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DF989B3">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1E61A13">
            <w:pP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工程进度计划与保证措施评审</w:t>
            </w:r>
          </w:p>
          <w:p w14:paraId="6372A6F9">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10</w:t>
            </w:r>
            <w:r>
              <w:rPr>
                <w:rFonts w:hint="eastAsia" w:ascii="宋体" w:hAnsi="宋体" w:eastAsia="宋体" w:cs="宋体"/>
                <w:color w:val="auto"/>
                <w:highlight w:val="none"/>
                <w:lang w:eastAsia="zh-CN"/>
              </w:rPr>
              <w:t>分）</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D883E7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）总工期及节点工期满足竞争性磋商文件要求；施工进度计划内容全面，线路清晰、准确、完整，计划编制合理、可行；措施有力、合理、可行的得</w:t>
            </w:r>
            <w:r>
              <w:rPr>
                <w:rFonts w:hint="eastAsia" w:ascii="宋体" w:hAnsi="宋体" w:eastAsia="宋体" w:cs="宋体"/>
                <w:color w:val="auto"/>
                <w:highlight w:val="none"/>
                <w:lang w:val="en-US" w:eastAsia="zh-CN"/>
              </w:rPr>
              <w:t>10分；</w:t>
            </w:r>
          </w:p>
          <w:p w14:paraId="2B850FD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）总工期及节点工期满足竞争性磋商文件要求；施工进度计划内容</w:t>
            </w:r>
            <w:r>
              <w:rPr>
                <w:rFonts w:hint="default" w:ascii="宋体" w:hAnsi="宋体" w:eastAsia="宋体" w:cs="宋体"/>
                <w:color w:val="auto"/>
                <w:highlight w:val="none"/>
                <w:lang w:val="en-US" w:eastAsia="zh-CN"/>
              </w:rPr>
              <w:t>较</w:t>
            </w:r>
            <w:r>
              <w:rPr>
                <w:rFonts w:hint="eastAsia" w:ascii="宋体" w:hAnsi="宋体" w:eastAsia="宋体" w:cs="宋体"/>
                <w:color w:val="auto"/>
                <w:highlight w:val="none"/>
                <w:lang w:eastAsia="zh-CN"/>
              </w:rPr>
              <w:t>全面，线路</w:t>
            </w:r>
            <w:r>
              <w:rPr>
                <w:rFonts w:hint="default" w:ascii="宋体" w:hAnsi="宋体" w:eastAsia="宋体" w:cs="宋体"/>
                <w:color w:val="auto"/>
                <w:highlight w:val="none"/>
                <w:lang w:val="en-US" w:eastAsia="zh-CN"/>
              </w:rPr>
              <w:t>较</w:t>
            </w:r>
            <w:r>
              <w:rPr>
                <w:rFonts w:hint="eastAsia" w:ascii="宋体" w:hAnsi="宋体" w:eastAsia="宋体" w:cs="宋体"/>
                <w:color w:val="auto"/>
                <w:highlight w:val="none"/>
                <w:lang w:eastAsia="zh-CN"/>
              </w:rPr>
              <w:t>清晰，计划编制较合理；措施较合理、可行的得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w:t>
            </w:r>
          </w:p>
          <w:p w14:paraId="2BC9938E">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）总工期及节点工期满足竞争性磋商文件要求；施工进度计划内容</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全面，线路</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清晰，计划编制</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合理；措施</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合理、可行的得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分；</w:t>
            </w:r>
          </w:p>
          <w:p w14:paraId="3692FD6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）总工期及节点工期满足竞争性磋商文件要求；施工进度计划内容</w:t>
            </w:r>
            <w:r>
              <w:rPr>
                <w:rFonts w:hint="eastAsia" w:ascii="宋体" w:hAnsi="宋体" w:eastAsia="宋体" w:cs="宋体"/>
                <w:color w:val="auto"/>
                <w:highlight w:val="none"/>
                <w:lang w:val="en-US" w:eastAsia="zh-CN"/>
              </w:rPr>
              <w:t>不够</w:t>
            </w:r>
            <w:r>
              <w:rPr>
                <w:rFonts w:hint="eastAsia" w:ascii="宋体" w:hAnsi="宋体" w:eastAsia="宋体" w:cs="宋体"/>
                <w:color w:val="auto"/>
                <w:highlight w:val="none"/>
                <w:lang w:eastAsia="zh-CN"/>
              </w:rPr>
              <w:t>全面，计划编制</w:t>
            </w:r>
            <w:r>
              <w:rPr>
                <w:rFonts w:hint="eastAsia" w:ascii="宋体" w:hAnsi="宋体" w:eastAsia="宋体" w:cs="宋体"/>
                <w:color w:val="auto"/>
                <w:highlight w:val="none"/>
                <w:lang w:val="en-US" w:eastAsia="zh-CN"/>
              </w:rPr>
              <w:t>不够</w:t>
            </w:r>
            <w:r>
              <w:rPr>
                <w:rFonts w:hint="eastAsia" w:ascii="宋体" w:hAnsi="宋体" w:eastAsia="宋体" w:cs="宋体"/>
                <w:color w:val="auto"/>
                <w:highlight w:val="none"/>
                <w:lang w:eastAsia="zh-CN"/>
              </w:rPr>
              <w:t>合理；措施</w:t>
            </w:r>
            <w:r>
              <w:rPr>
                <w:rFonts w:hint="eastAsia" w:ascii="宋体" w:hAnsi="宋体" w:eastAsia="宋体" w:cs="宋体"/>
                <w:color w:val="auto"/>
                <w:highlight w:val="none"/>
                <w:lang w:val="en-US" w:eastAsia="zh-CN"/>
              </w:rPr>
              <w:t>不够</w:t>
            </w:r>
            <w:r>
              <w:rPr>
                <w:rFonts w:hint="eastAsia" w:ascii="宋体" w:hAnsi="宋体" w:eastAsia="宋体" w:cs="宋体"/>
                <w:color w:val="auto"/>
                <w:highlight w:val="none"/>
                <w:lang w:eastAsia="zh-CN"/>
              </w:rPr>
              <w:t>合理、可行的得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分；</w:t>
            </w:r>
          </w:p>
          <w:p w14:paraId="7B4C2B5F">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）总工期及节点工期满足竞争性磋商文件要求；施工进度计划内容</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lang w:eastAsia="zh-CN"/>
              </w:rPr>
              <w:t>全面，计划编制</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lang w:eastAsia="zh-CN"/>
              </w:rPr>
              <w:t>合理；措施</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lang w:eastAsia="zh-CN"/>
              </w:rPr>
              <w:t>合理、模糊的得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6084172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）总工期及节点工期不满足竞争性磋商文件要求或未提供本项的得</w:t>
            </w:r>
            <w:r>
              <w:rPr>
                <w:rFonts w:hint="eastAsia" w:ascii="宋体" w:hAnsi="宋体" w:eastAsia="宋体" w:cs="宋体"/>
                <w:color w:val="auto"/>
                <w:highlight w:val="none"/>
                <w:lang w:val="en-US" w:eastAsia="zh-CN"/>
              </w:rPr>
              <w:t>0分。</w:t>
            </w:r>
          </w:p>
        </w:tc>
      </w:tr>
      <w:tr w14:paraId="2878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45F99D3">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F669A69">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86E2BF5">
            <w:pPr>
              <w:pStyle w:val="34"/>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环境保护管理体系与措施</w:t>
            </w:r>
            <w:r>
              <w:rPr>
                <w:rFonts w:hint="eastAsia" w:ascii="宋体" w:hAnsi="宋体" w:eastAsia="宋体" w:cs="宋体"/>
                <w:color w:val="auto"/>
                <w:sz w:val="21"/>
                <w:szCs w:val="21"/>
                <w:lang w:eastAsia="zh-CN"/>
              </w:rPr>
              <w:t>评审</w:t>
            </w:r>
          </w:p>
          <w:p w14:paraId="3AF0726C">
            <w:pPr>
              <w:pStyle w:val="34"/>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9BC59E1">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）环境管理目标符合竞争性磋商文件及国家相关执行标准的要求；管理机构健全，职责分工明确；管理制度齐全；实施与监控措施全面、有效的得</w:t>
            </w:r>
            <w:r>
              <w:rPr>
                <w:rFonts w:hint="eastAsia" w:ascii="宋体" w:hAnsi="宋体" w:eastAsia="宋体" w:cs="宋体"/>
                <w:color w:val="auto"/>
                <w:highlight w:val="none"/>
                <w:lang w:val="en-US" w:eastAsia="zh-CN"/>
              </w:rPr>
              <w:t>10分；</w:t>
            </w:r>
          </w:p>
          <w:p w14:paraId="4ECBA8EC">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）环境管理目标符合竞争性磋商文件及国家相关执行标准的要求；管理机构较健全，职责分工较明确；管理制度较齐全；实施与监控措施合理、可行的得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w:t>
            </w:r>
          </w:p>
          <w:p w14:paraId="0282784F">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）环境管理目标基本符合竞争性磋商文件及国家相关执行标准的要求；管理机构基本健全，职责分工基本明确；管理制度基本齐全；实施与监控措施基本完整的得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分；</w:t>
            </w:r>
          </w:p>
          <w:p w14:paraId="37A53C32">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）环境管理目标基本符合竞争性磋商文件及国家相关执行标准的要求；管理机构不够健全，职责分工不够明确；管理制度不够齐全；实施与监控措施不够完整的得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分；</w:t>
            </w:r>
          </w:p>
          <w:p w14:paraId="2A775315">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）环境管理目标基本符合竞争性磋商文件及国家相关执行标准的要求；管理机构不健全，职责分工模糊；管理制度不齐全；实施与监控措施模糊、表述不完整的得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030B7329">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）环境管理目标不符合竞争性磋商文件及国家相关执行标准的要求或</w:t>
            </w:r>
            <w:r>
              <w:rPr>
                <w:rFonts w:hint="eastAsia" w:ascii="宋体" w:hAnsi="宋体" w:cs="宋体"/>
                <w:color w:val="auto"/>
                <w:highlight w:val="none"/>
                <w:lang w:val="en-US" w:eastAsia="zh-CN"/>
              </w:rPr>
              <w:t>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p>
        </w:tc>
      </w:tr>
      <w:tr w14:paraId="2BEB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BDA130B">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F1BC328">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CB8E90F">
            <w:pPr>
              <w:pStyle w:val="34"/>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"https://baike.baidu.com/item/%E7%94%9F%E4%BA%A7%E5%AE%89%E5%85%A8%E4%BA%8B%E6%95%85%E5%BA%94%E6%80%A5%E9%A2%84%E6%A1%88%E7%AE%A1%E7%90%86%E5%8A%9E%E6%B3%95/4752455" \t "https://baike.baidu.com/item/%E5%BA%94%E6%80%A5%E9%A2%84%E6%A1%88%E8%AF%84%E5%AE%A1%E6%8C%87%E5%8D%97/_blank"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1"/>
                <w:szCs w:val="21"/>
                <w:lang w:val="en-US" w:eastAsia="zh-CN" w:bidi="ar-SA"/>
              </w:rPr>
              <w:t>生产安全事故应急预案</w:t>
            </w:r>
            <w:r>
              <w:rPr>
                <w:rFonts w:hint="eastAsia" w:cs="宋体"/>
                <w:color w:val="auto"/>
                <w:sz w:val="21"/>
                <w:szCs w:val="21"/>
                <w:lang w:val="en-US" w:eastAsia="zh-CN" w:bidi="ar-SA"/>
              </w:rPr>
              <w:t>评</w:t>
            </w:r>
            <w:r>
              <w:rPr>
                <w:rFonts w:hint="eastAsia" w:ascii="宋体" w:hAnsi="宋体" w:eastAsia="宋体" w:cs="宋体"/>
                <w:color w:val="auto"/>
                <w:sz w:val="21"/>
                <w:szCs w:val="21"/>
                <w:lang w:val="en-US" w:eastAsia="zh-CN" w:bidi="ar-SA"/>
              </w:rPr>
              <w:fldChar w:fldCharType="end"/>
            </w:r>
            <w:r>
              <w:rPr>
                <w:rFonts w:hint="eastAsia" w:cs="宋体"/>
                <w:color w:val="auto"/>
                <w:sz w:val="21"/>
                <w:szCs w:val="21"/>
                <w:lang w:val="en-US" w:eastAsia="zh-CN" w:bidi="ar-SA"/>
              </w:rPr>
              <w:t xml:space="preserve">审      </w:t>
            </w:r>
            <w:r>
              <w:rPr>
                <w:rFonts w:hint="eastAsia"/>
                <w:color w:val="auto"/>
                <w:sz w:val="21"/>
                <w:szCs w:val="21"/>
              </w:rPr>
              <w:t>(</w:t>
            </w:r>
            <w:r>
              <w:rPr>
                <w:rFonts w:hint="eastAsia"/>
                <w:color w:val="auto"/>
                <w:sz w:val="21"/>
                <w:szCs w:val="21"/>
                <w:lang w:val="en-US" w:eastAsia="zh-CN"/>
              </w:rPr>
              <w:t>10分</w:t>
            </w:r>
            <w:r>
              <w:rPr>
                <w:rFonts w:hint="eastAsia"/>
                <w:color w:val="auto"/>
                <w:sz w:val="21"/>
                <w:szCs w:val="21"/>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47A78B1">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的要求，结合本项目应急预案内容合法、完整全面，操作性、针对性、实用性强，有科学性、衔接性，且</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"https://baike.baidu.com/item/%E4%B8%93%E9%A1%B9%E5%BA%94%E6%80%A5%E9%A2%84%E6%A1%88/4060388"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专项应急预案</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和现场处置方案形成体系，并与相关部门或单位应急预案相互衔接</w:t>
            </w:r>
            <w:r>
              <w:rPr>
                <w:rFonts w:hint="eastAsia" w:ascii="宋体" w:hAnsi="宋体" w:eastAsia="宋体" w:cs="宋体"/>
                <w:color w:val="auto"/>
                <w:highlight w:val="none"/>
                <w:lang w:val="en-US" w:eastAsia="zh-CN"/>
              </w:rPr>
              <w:t>的得10分；</w:t>
            </w:r>
          </w:p>
          <w:p w14:paraId="224BFD76">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的要求，结合本项目应急预案内容合法、完整的得9分；</w:t>
            </w:r>
          </w:p>
          <w:p w14:paraId="1CADEF36">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的要求，结合本项目应急预案内容基本完整，有操作性，但针对性、实用性欠佳的得8分；</w:t>
            </w:r>
          </w:p>
          <w:p w14:paraId="488B2CAA">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的要求，结合本项目应急预案内容不够完整，缺乏操作性、针对性的得7分；</w:t>
            </w:r>
          </w:p>
          <w:p w14:paraId="42C07A49">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的要求，但结合本项目应急预案内容模糊不完整的得6分；</w:t>
            </w:r>
          </w:p>
          <w:p w14:paraId="66FEA1B0">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val="en-US" w:eastAsia="zh-CN"/>
              </w:rPr>
              <w:t>（6）不符合《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的要求或与不满足项目需求，或未提供本项的得0分。</w:t>
            </w:r>
          </w:p>
        </w:tc>
      </w:tr>
      <w:tr w14:paraId="196C8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72AA456D">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62E3DAE">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67A0C75">
            <w:pPr>
              <w:keepNext w:val="0"/>
              <w:keepLines w:val="0"/>
              <w:widowControl/>
              <w:suppressLineNumbers w:val="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风险防范处理措施</w:t>
            </w:r>
            <w:r>
              <w:rPr>
                <w:rFonts w:hint="eastAsia" w:ascii="宋体" w:hAnsi="宋体" w:cs="宋体"/>
                <w:color w:val="auto"/>
                <w:sz w:val="21"/>
                <w:szCs w:val="21"/>
                <w:lang w:val="en-US" w:eastAsia="zh-CN"/>
              </w:rPr>
              <w:t>评审</w:t>
            </w:r>
          </w:p>
          <w:p w14:paraId="7277843B">
            <w:pPr>
              <w:pStyle w:val="34"/>
              <w:jc w:val="center"/>
              <w:rPr>
                <w:rFonts w:hint="eastAsia" w:ascii="宋体" w:hAnsi="宋体" w:eastAsia="宋体" w:cs="宋体"/>
                <w:color w:val="auto"/>
                <w:sz w:val="21"/>
                <w:szCs w:val="21"/>
                <w:lang w:val="en-US" w:eastAsia="zh-CN" w:bidi="ar-SA"/>
              </w:rPr>
            </w:pPr>
            <w:r>
              <w:rPr>
                <w:rFonts w:hint="eastAsia"/>
                <w:color w:val="auto"/>
                <w:sz w:val="21"/>
                <w:szCs w:val="21"/>
              </w:rPr>
              <w:t>(</w:t>
            </w:r>
            <w:r>
              <w:rPr>
                <w:rFonts w:hint="eastAsia"/>
                <w:color w:val="auto"/>
                <w:sz w:val="21"/>
                <w:szCs w:val="21"/>
                <w:lang w:val="en-US" w:eastAsia="zh-CN"/>
              </w:rPr>
              <w:t>5分</w:t>
            </w:r>
            <w:r>
              <w:rPr>
                <w:rFonts w:hint="eastAsia"/>
                <w:color w:val="auto"/>
                <w:sz w:val="21"/>
                <w:szCs w:val="21"/>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3EF7424D">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（1）对劳动纠纷、安全事故等方面的风险点分析到位，风险防范处理措施详细具体、合理可行、针对性强的得5分； </w:t>
            </w:r>
          </w:p>
          <w:p w14:paraId="7FAAD671">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（2）对劳动纠纷、安全事故等方面的风险点分析到位，风险防范处理措施基本完整，但针对性、可行性不强的得4分； </w:t>
            </w:r>
          </w:p>
          <w:p w14:paraId="59EF75A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（3）对劳动纠纷、安全事故等方面的风险点分析基本到位，风险 </w:t>
            </w:r>
          </w:p>
          <w:p w14:paraId="2795CFD3">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防范处理措施基本完整，合理但缺乏针对性、可行性的得3分； </w:t>
            </w:r>
          </w:p>
          <w:p w14:paraId="367986B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（4）对劳动纠纷、安全事故等方面的风险点分析不够到位，风险 </w:t>
            </w:r>
          </w:p>
          <w:p w14:paraId="6656C11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防范处理措施不够完整，缺乏合理性、针对性的得2分；</w:t>
            </w:r>
          </w:p>
          <w:p w14:paraId="60A3D2CB">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（5）对劳动纠纷、安全事故等方面的风险点分析内容简单、缺项，无风险防范处理措施的得1分；</w:t>
            </w:r>
          </w:p>
          <w:p w14:paraId="55616C06">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p>
        </w:tc>
      </w:tr>
      <w:tr w14:paraId="1FF9C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40D1B8E6">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4B5A9D42">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7987259">
            <w:pPr>
              <w:pStyle w:val="34"/>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施工总平面布置图</w:t>
            </w:r>
            <w:r>
              <w:rPr>
                <w:rFonts w:hint="eastAsia" w:ascii="宋体" w:hAnsi="宋体" w:eastAsia="宋体" w:cs="宋体"/>
                <w:color w:val="auto"/>
                <w:sz w:val="21"/>
                <w:szCs w:val="21"/>
                <w:lang w:eastAsia="zh-CN"/>
              </w:rPr>
              <w:t>评审</w:t>
            </w:r>
            <w:r>
              <w:rPr>
                <w:rFonts w:hint="eastAsia"/>
                <w:color w:val="auto"/>
                <w:sz w:val="21"/>
                <w:szCs w:val="21"/>
                <w:lang w:eastAsia="zh-CN"/>
              </w:rPr>
              <w:t>（</w:t>
            </w:r>
            <w:r>
              <w:rPr>
                <w:rFonts w:hint="eastAsia"/>
                <w:color w:val="auto"/>
                <w:sz w:val="21"/>
                <w:szCs w:val="21"/>
                <w:lang w:val="en-US" w:eastAsia="zh-CN"/>
              </w:rPr>
              <w:t>5分</w:t>
            </w:r>
            <w:r>
              <w:rPr>
                <w:rFonts w:hint="eastAsia"/>
                <w:color w:val="auto"/>
                <w:sz w:val="21"/>
                <w:szCs w:val="21"/>
                <w:lang w:eastAsia="zh-CN"/>
              </w:rPr>
              <w:t>）</w:t>
            </w:r>
          </w:p>
        </w:tc>
        <w:tc>
          <w:tcPr>
            <w:tcW w:w="641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2EDC9A2">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（1）施工总平面图布置科学、全面、合理，图示标识全面、准确，且针对本工程实际现场勘探后或全面理解、了解本工程设计施工图纸后所布置的得5分；</w:t>
            </w:r>
          </w:p>
          <w:p w14:paraId="2E13DD8E">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（2）施工总平面图布置合理，图示标识准确，且针对本工程实际布置的得4分；</w:t>
            </w:r>
          </w:p>
          <w:p w14:paraId="6CC8DBD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（3）施工总平面图布置基本合理，图示标识准确，基本针对本工程实际布置的得3分；</w:t>
            </w:r>
          </w:p>
          <w:p w14:paraId="43EF4B8A">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（4）施工总平面图布置基不够合理，图示标识</w:t>
            </w:r>
            <w:r>
              <w:rPr>
                <w:rFonts w:hint="default" w:ascii="宋体" w:hAnsi="宋体" w:eastAsia="宋体" w:cs="宋体"/>
                <w:color w:val="auto"/>
                <w:highlight w:val="none"/>
                <w:lang w:val="en-US" w:eastAsia="zh-CN"/>
              </w:rPr>
              <w:t>不够清楚、</w:t>
            </w:r>
            <w:r>
              <w:rPr>
                <w:rFonts w:hint="eastAsia" w:ascii="宋体" w:hAnsi="宋体" w:eastAsia="宋体" w:cs="宋体"/>
                <w:color w:val="auto"/>
                <w:highlight w:val="none"/>
                <w:lang w:val="en-US" w:eastAsia="zh-CN"/>
              </w:rPr>
              <w:t>准确、</w:t>
            </w:r>
            <w:r>
              <w:rPr>
                <w:rFonts w:hint="default" w:ascii="宋体" w:hAnsi="宋体" w:eastAsia="宋体" w:cs="宋体"/>
                <w:color w:val="auto"/>
                <w:highlight w:val="none"/>
                <w:lang w:val="en-US" w:eastAsia="zh-CN"/>
              </w:rPr>
              <w:t>缺乏针对性</w:t>
            </w:r>
            <w:r>
              <w:rPr>
                <w:rFonts w:hint="eastAsia" w:ascii="宋体" w:hAnsi="宋体" w:eastAsia="宋体" w:cs="宋体"/>
                <w:color w:val="auto"/>
                <w:highlight w:val="none"/>
                <w:lang w:val="en-US" w:eastAsia="zh-CN"/>
              </w:rPr>
              <w:t>，未针对本工程实际布置的得2分；</w:t>
            </w:r>
          </w:p>
          <w:p w14:paraId="548B9C13">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（5）施工总平面图布置基不合理，图示标识不准确，未针对本工程实际布置的得1分；</w:t>
            </w:r>
          </w:p>
          <w:p w14:paraId="0CA39A2A">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val="en-US" w:eastAsia="zh-CN"/>
              </w:rPr>
              <w:t>（6）未提供本项的得0分。</w:t>
            </w:r>
          </w:p>
        </w:tc>
      </w:tr>
    </w:tbl>
    <w:p w14:paraId="7011F940">
      <w:pPr>
        <w:spacing w:line="360" w:lineRule="auto"/>
        <w:rPr>
          <w:rFonts w:hint="eastAsia"/>
          <w:color w:val="auto"/>
          <w:highlight w:val="none"/>
        </w:rPr>
      </w:pPr>
    </w:p>
    <w:bookmarkEnd w:id="215"/>
    <w:bookmarkEnd w:id="216"/>
    <w:bookmarkEnd w:id="217"/>
    <w:p w14:paraId="1A2BEC8C">
      <w:pPr>
        <w:pStyle w:val="2"/>
        <w:rPr>
          <w:rFonts w:ascii="宋体" w:hAnsi="宋体" w:cs="宋体"/>
          <w:b/>
          <w:bCs/>
          <w:color w:val="auto"/>
          <w:sz w:val="32"/>
          <w:szCs w:val="40"/>
          <w:highlight w:val="none"/>
        </w:rPr>
        <w:sectPr>
          <w:pgSz w:w="11906" w:h="16838"/>
          <w:pgMar w:top="1440" w:right="1080" w:bottom="1440" w:left="1080" w:header="851" w:footer="992" w:gutter="0"/>
          <w:pgNumType w:fmt="decimal"/>
          <w:cols w:space="720" w:num="1"/>
          <w:titlePg/>
          <w:docGrid w:type="lines" w:linePitch="312" w:charSpace="0"/>
        </w:sectPr>
      </w:pPr>
    </w:p>
    <w:p w14:paraId="155B985E">
      <w:pPr>
        <w:pStyle w:val="3"/>
        <w:tabs>
          <w:tab w:val="left" w:pos="0"/>
        </w:tabs>
        <w:autoSpaceDE w:val="0"/>
        <w:autoSpaceDN w:val="0"/>
        <w:adjustRightInd w:val="0"/>
        <w:spacing w:before="0" w:after="0" w:line="24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第五章 合同条款及格式</w:t>
      </w:r>
    </w:p>
    <w:p w14:paraId="4F83D874">
      <w:pPr>
        <w:jc w:val="center"/>
        <w:rPr>
          <w:rFonts w:hint="eastAsia" w:ascii="宋体" w:hAnsi="宋体"/>
          <w:color w:val="auto"/>
          <w:sz w:val="24"/>
          <w:highlight w:val="none"/>
        </w:rPr>
      </w:pPr>
    </w:p>
    <w:p w14:paraId="7F97B741">
      <w:pPr>
        <w:jc w:val="center"/>
        <w:rPr>
          <w:rFonts w:hint="eastAsia" w:ascii="宋体" w:hAnsi="宋体"/>
          <w:color w:val="auto"/>
          <w:sz w:val="24"/>
          <w:highlight w:val="none"/>
        </w:rPr>
      </w:pPr>
    </w:p>
    <w:p w14:paraId="09FD275B">
      <w:pPr>
        <w:jc w:val="center"/>
        <w:rPr>
          <w:rFonts w:hint="eastAsia" w:ascii="宋体" w:hAnsi="宋体"/>
          <w:b/>
          <w:bCs/>
          <w:color w:val="auto"/>
          <w:sz w:val="24"/>
          <w:highlight w:val="none"/>
        </w:rPr>
      </w:pPr>
      <w:r>
        <w:rPr>
          <w:rFonts w:hint="eastAsia" w:ascii="宋体" w:hAnsi="宋体"/>
          <w:b/>
          <w:bCs/>
          <w:color w:val="auto"/>
          <w:sz w:val="24"/>
          <w:highlight w:val="none"/>
        </w:rPr>
        <w:t>（仅供参考，具体内容与实际签订合同为准）</w:t>
      </w:r>
    </w:p>
    <w:p w14:paraId="6C6A0D50">
      <w:pPr>
        <w:pStyle w:val="20"/>
        <w:ind w:left="0" w:leftChars="0" w:firstLine="0" w:firstLineChars="0"/>
        <w:rPr>
          <w:rFonts w:hint="eastAsia" w:ascii="宋体" w:hAnsi="宋体"/>
          <w:b/>
          <w:bCs/>
          <w:color w:val="auto"/>
          <w:sz w:val="24"/>
          <w:highlight w:val="none"/>
        </w:rPr>
      </w:pPr>
    </w:p>
    <w:p w14:paraId="1049BD38">
      <w:pPr>
        <w:rPr>
          <w:rFonts w:hint="eastAsia"/>
          <w:color w:val="auto"/>
          <w:highlight w:val="none"/>
        </w:rPr>
      </w:pPr>
    </w:p>
    <w:p w14:paraId="2A3E21B0">
      <w:pPr>
        <w:ind w:firstLine="240" w:firstLineChars="100"/>
        <w:rPr>
          <w:rFonts w:ascii="宋体" w:hAnsi="宋体" w:cs="Arial"/>
          <w:color w:val="auto"/>
          <w:sz w:val="24"/>
          <w:highlight w:val="none"/>
        </w:rPr>
      </w:pPr>
      <w:r>
        <w:rPr>
          <w:rFonts w:hint="eastAsia" w:ascii="宋体" w:hAnsi="宋体" w:cs="Arial"/>
          <w:color w:val="auto"/>
          <w:sz w:val="24"/>
          <w:highlight w:val="none"/>
        </w:rPr>
        <w:t xml:space="preserve">合同编号：                    合同自编号：                项目编号： </w:t>
      </w:r>
    </w:p>
    <w:p w14:paraId="44A9235F">
      <w:pPr>
        <w:spacing w:after="240"/>
        <w:ind w:firstLine="240" w:firstLineChars="100"/>
        <w:rPr>
          <w:rFonts w:ascii="宋体" w:hAnsi="宋体" w:cs="Arial"/>
          <w:color w:val="auto"/>
          <w:sz w:val="24"/>
          <w:highlight w:val="none"/>
        </w:rPr>
      </w:pPr>
      <w:r>
        <w:rPr>
          <w:rFonts w:hint="eastAsia" w:ascii="宋体" w:hAnsi="宋体" w:cs="Arial"/>
          <w:color w:val="auto"/>
          <w:sz w:val="24"/>
          <w:highlight w:val="none"/>
        </w:rPr>
        <w:t>●本合同须加盖甲乙双方骑缝章有效</w:t>
      </w:r>
    </w:p>
    <w:p w14:paraId="5188ECB2">
      <w:pPr>
        <w:keepNext w:val="0"/>
        <w:keepLines w:val="0"/>
        <w:pageBreakBefore w:val="0"/>
        <w:widowControl w:val="0"/>
        <w:kinsoku/>
        <w:wordWrap/>
        <w:overflowPunct/>
        <w:topLinePunct w:val="0"/>
        <w:autoSpaceDE/>
        <w:autoSpaceDN/>
        <w:bidi w:val="0"/>
        <w:adjustRightInd/>
        <w:snapToGrid w:val="0"/>
        <w:spacing w:after="240" w:line="400" w:lineRule="exact"/>
        <w:textAlignment w:val="auto"/>
        <w:rPr>
          <w:rFonts w:ascii="宋体" w:hAnsi="宋体"/>
          <w:color w:val="auto"/>
          <w:sz w:val="39"/>
          <w:szCs w:val="39"/>
          <w:highlight w:val="none"/>
        </w:rPr>
      </w:pPr>
    </w:p>
    <w:p w14:paraId="2D5176A2">
      <w:pPr>
        <w:pStyle w:val="38"/>
        <w:ind w:left="0" w:leftChars="0" w:firstLine="0" w:firstLineChars="0"/>
        <w:jc w:val="center"/>
        <w:rPr>
          <w:color w:val="auto"/>
          <w:highlight w:val="none"/>
        </w:rPr>
      </w:pPr>
      <w:r>
        <w:rPr>
          <w:rFonts w:hint="eastAsia" w:hAnsi="宋体"/>
          <w:b/>
          <w:bCs/>
          <w:color w:val="auto"/>
          <w:sz w:val="48"/>
          <w:szCs w:val="48"/>
          <w:highlight w:val="none"/>
          <w:lang w:eastAsia="zh-CN"/>
        </w:rPr>
        <w:t>梁河县中心敬老院消防安全标准化提升工程</w:t>
      </w:r>
    </w:p>
    <w:p w14:paraId="1601C6B1">
      <w:pPr>
        <w:snapToGrid w:val="0"/>
        <w:spacing w:after="240" w:line="900" w:lineRule="exact"/>
        <w:jc w:val="center"/>
        <w:rPr>
          <w:rFonts w:hint="eastAsia" w:ascii="宋体" w:hAnsi="宋体"/>
          <w:color w:val="auto"/>
          <w:sz w:val="63"/>
          <w:szCs w:val="63"/>
          <w:highlight w:val="none"/>
        </w:rPr>
      </w:pPr>
    </w:p>
    <w:p w14:paraId="3C1A07F6">
      <w:pPr>
        <w:snapToGrid w:val="0"/>
        <w:spacing w:after="240" w:line="900" w:lineRule="exact"/>
        <w:jc w:val="center"/>
        <w:rPr>
          <w:rFonts w:ascii="宋体" w:hAnsi="宋体"/>
          <w:color w:val="auto"/>
          <w:sz w:val="18"/>
          <w:szCs w:val="18"/>
          <w:highlight w:val="none"/>
        </w:rPr>
      </w:pPr>
      <w:r>
        <w:rPr>
          <w:rFonts w:hint="eastAsia" w:ascii="宋体" w:hAnsi="宋体"/>
          <w:color w:val="auto"/>
          <w:sz w:val="63"/>
          <w:szCs w:val="63"/>
          <w:highlight w:val="none"/>
        </w:rPr>
        <w:t>合</w:t>
      </w:r>
    </w:p>
    <w:p w14:paraId="4FE85E1D">
      <w:pPr>
        <w:snapToGrid w:val="0"/>
        <w:jc w:val="center"/>
        <w:rPr>
          <w:rFonts w:ascii="宋体" w:hAnsi="宋体"/>
          <w:color w:val="auto"/>
          <w:sz w:val="24"/>
          <w:highlight w:val="none"/>
        </w:rPr>
      </w:pPr>
    </w:p>
    <w:p w14:paraId="060C1933">
      <w:pPr>
        <w:snapToGrid w:val="0"/>
        <w:spacing w:after="240" w:line="900" w:lineRule="exact"/>
        <w:jc w:val="center"/>
        <w:rPr>
          <w:rFonts w:ascii="宋体" w:hAnsi="宋体"/>
          <w:color w:val="auto"/>
          <w:sz w:val="63"/>
          <w:szCs w:val="63"/>
          <w:highlight w:val="none"/>
        </w:rPr>
      </w:pPr>
      <w:r>
        <w:rPr>
          <w:rFonts w:hint="eastAsia" w:ascii="宋体" w:hAnsi="宋体"/>
          <w:color w:val="auto"/>
          <w:sz w:val="63"/>
          <w:szCs w:val="63"/>
          <w:highlight w:val="none"/>
        </w:rPr>
        <w:t>同</w:t>
      </w:r>
    </w:p>
    <w:p w14:paraId="72DE42DB">
      <w:pPr>
        <w:snapToGrid w:val="0"/>
        <w:jc w:val="center"/>
        <w:rPr>
          <w:rFonts w:ascii="宋体" w:hAnsi="宋体"/>
          <w:color w:val="auto"/>
          <w:sz w:val="24"/>
          <w:highlight w:val="none"/>
        </w:rPr>
      </w:pPr>
    </w:p>
    <w:p w14:paraId="245BB14A">
      <w:pPr>
        <w:snapToGrid w:val="0"/>
        <w:spacing w:after="240" w:line="900" w:lineRule="exact"/>
        <w:jc w:val="center"/>
        <w:rPr>
          <w:rFonts w:ascii="宋体" w:hAnsi="宋体"/>
          <w:color w:val="auto"/>
          <w:sz w:val="18"/>
          <w:szCs w:val="18"/>
          <w:highlight w:val="none"/>
        </w:rPr>
      </w:pPr>
      <w:r>
        <w:rPr>
          <w:rFonts w:hint="eastAsia" w:ascii="宋体" w:hAnsi="宋体"/>
          <w:color w:val="auto"/>
          <w:sz w:val="63"/>
          <w:szCs w:val="63"/>
          <w:highlight w:val="none"/>
        </w:rPr>
        <w:t>书</w:t>
      </w:r>
    </w:p>
    <w:p w14:paraId="0188D31A">
      <w:pPr>
        <w:pStyle w:val="38"/>
        <w:rPr>
          <w:color w:val="auto"/>
          <w:highlight w:val="none"/>
        </w:rPr>
      </w:pPr>
    </w:p>
    <w:p w14:paraId="5E901D00">
      <w:pPr>
        <w:pStyle w:val="38"/>
        <w:rPr>
          <w:color w:val="auto"/>
          <w:highlight w:val="none"/>
        </w:rPr>
      </w:pPr>
    </w:p>
    <w:p w14:paraId="4EF3FBD9">
      <w:pPr>
        <w:snapToGrid w:val="0"/>
        <w:spacing w:after="240"/>
        <w:jc w:val="center"/>
        <w:rPr>
          <w:rFonts w:ascii="宋体" w:hAnsi="宋体"/>
          <w:b/>
          <w:bCs/>
          <w:color w:val="auto"/>
          <w:sz w:val="27"/>
          <w:szCs w:val="27"/>
          <w:highlight w:val="none"/>
        </w:rPr>
      </w:pPr>
    </w:p>
    <w:p w14:paraId="17F767A7">
      <w:pPr>
        <w:pStyle w:val="21"/>
        <w:rPr>
          <w:color w:val="auto"/>
          <w:highlight w:val="none"/>
        </w:rPr>
      </w:pPr>
    </w:p>
    <w:p w14:paraId="1F8D2486">
      <w:pPr>
        <w:snapToGrid w:val="0"/>
        <w:spacing w:after="240"/>
        <w:ind w:firstLine="1620" w:firstLineChars="600"/>
        <w:jc w:val="left"/>
        <w:rPr>
          <w:rFonts w:ascii="宋体" w:hAnsi="宋体"/>
          <w:b w:val="0"/>
          <w:bCs w:val="0"/>
          <w:color w:val="auto"/>
          <w:sz w:val="18"/>
          <w:szCs w:val="18"/>
          <w:highlight w:val="none"/>
        </w:rPr>
      </w:pPr>
      <w:r>
        <w:rPr>
          <w:rFonts w:hint="eastAsia" w:ascii="宋体" w:hAnsi="宋体"/>
          <w:b w:val="0"/>
          <w:bCs w:val="0"/>
          <w:color w:val="auto"/>
          <w:sz w:val="27"/>
          <w:szCs w:val="27"/>
          <w:highlight w:val="none"/>
        </w:rPr>
        <w:t xml:space="preserve">签订地点： </w:t>
      </w:r>
    </w:p>
    <w:p w14:paraId="07FD133B">
      <w:pPr>
        <w:rPr>
          <w:rFonts w:hint="eastAsia" w:ascii="宋体" w:hAnsi="宋体" w:eastAsia="宋体" w:cs="Times New Roman"/>
          <w:b w:val="0"/>
          <w:bCs w:val="0"/>
          <w:color w:val="auto"/>
          <w:sz w:val="27"/>
          <w:szCs w:val="27"/>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b w:val="0"/>
          <w:bCs w:val="0"/>
          <w:color w:val="auto"/>
          <w:sz w:val="27"/>
          <w:szCs w:val="27"/>
          <w:highlight w:val="none"/>
        </w:rPr>
        <w:t xml:space="preserve"> </w:t>
      </w:r>
      <w:r>
        <w:rPr>
          <w:rFonts w:hint="eastAsia" w:ascii="宋体" w:hAnsi="宋体" w:eastAsia="宋体" w:cs="Times New Roman"/>
          <w:b w:val="0"/>
          <w:bCs w:val="0"/>
          <w:color w:val="auto"/>
          <w:sz w:val="27"/>
          <w:szCs w:val="27"/>
          <w:highlight w:val="none"/>
        </w:rPr>
        <w:t xml:space="preserve"> </w:t>
      </w:r>
      <w:r>
        <w:rPr>
          <w:rFonts w:hint="eastAsia" w:ascii="宋体" w:hAnsi="宋体" w:eastAsia="宋体" w:cs="Times New Roman"/>
          <w:b w:val="0"/>
          <w:bCs w:val="0"/>
          <w:color w:val="auto"/>
          <w:sz w:val="27"/>
          <w:szCs w:val="27"/>
          <w:highlight w:val="none"/>
          <w:lang w:val="en-US" w:eastAsia="zh-CN"/>
        </w:rPr>
        <w:t xml:space="preserve">          </w:t>
      </w:r>
      <w:r>
        <w:rPr>
          <w:rFonts w:hint="eastAsia" w:ascii="宋体" w:hAnsi="宋体" w:eastAsia="宋体" w:cs="Times New Roman"/>
          <w:b w:val="0"/>
          <w:bCs w:val="0"/>
          <w:color w:val="auto"/>
          <w:sz w:val="27"/>
          <w:szCs w:val="27"/>
          <w:highlight w:val="none"/>
        </w:rPr>
        <w:t>签订日期：      年   月   日</w:t>
      </w:r>
    </w:p>
    <w:p w14:paraId="452913A8">
      <w:pPr>
        <w:spacing w:line="360" w:lineRule="auto"/>
        <w:ind w:firstLine="422" w:firstLineChars="200"/>
        <w:rPr>
          <w:rFonts w:ascii="宋体" w:hAnsi="宋体"/>
          <w:color w:val="auto"/>
          <w:sz w:val="21"/>
          <w:szCs w:val="21"/>
          <w:highlight w:val="none"/>
        </w:rPr>
      </w:pPr>
      <w:r>
        <w:rPr>
          <w:rFonts w:hint="eastAsia" w:ascii="宋体" w:hAnsi="宋体"/>
          <w:b/>
          <w:color w:val="auto"/>
          <w:sz w:val="21"/>
          <w:szCs w:val="21"/>
          <w:highlight w:val="none"/>
        </w:rPr>
        <w:t>合同签订：</w:t>
      </w:r>
      <w:r>
        <w:rPr>
          <w:rFonts w:hint="eastAsia" w:ascii="宋体" w:hAnsi="宋体"/>
          <w:color w:val="auto"/>
          <w:sz w:val="21"/>
          <w:szCs w:val="21"/>
          <w:highlight w:val="none"/>
        </w:rPr>
        <w:t>依据《</w:t>
      </w:r>
      <w:r>
        <w:rPr>
          <w:rFonts w:hint="eastAsia" w:ascii="宋体" w:hAnsi="宋体"/>
          <w:color w:val="auto"/>
          <w:sz w:val="21"/>
          <w:szCs w:val="21"/>
          <w:highlight w:val="none"/>
          <w:lang w:val="en-US" w:eastAsia="zh-CN"/>
        </w:rPr>
        <w:t>竞争性磋商</w:t>
      </w:r>
      <w:r>
        <w:rPr>
          <w:rFonts w:hint="eastAsia" w:ascii="宋体" w:hAnsi="宋体"/>
          <w:color w:val="auto"/>
          <w:sz w:val="21"/>
          <w:szCs w:val="21"/>
          <w:highlight w:val="none"/>
        </w:rPr>
        <w:t>文件》、《</w:t>
      </w:r>
      <w:r>
        <w:rPr>
          <w:rFonts w:hint="eastAsia" w:ascii="宋体" w:hAnsi="宋体"/>
          <w:color w:val="auto"/>
          <w:sz w:val="21"/>
          <w:szCs w:val="21"/>
          <w:highlight w:val="none"/>
          <w:lang w:val="en-US" w:eastAsia="zh-CN"/>
        </w:rPr>
        <w:t>竞争性</w:t>
      </w:r>
      <w:r>
        <w:rPr>
          <w:rFonts w:hint="eastAsia" w:ascii="宋体" w:hAnsi="宋体"/>
          <w:color w:val="auto"/>
          <w:sz w:val="21"/>
          <w:szCs w:val="21"/>
          <w:highlight w:val="none"/>
          <w:lang w:eastAsia="zh-CN"/>
        </w:rPr>
        <w:t>磋商</w:t>
      </w:r>
      <w:r>
        <w:rPr>
          <w:rFonts w:hint="eastAsia" w:ascii="宋体" w:hAnsi="宋体"/>
          <w:color w:val="auto"/>
          <w:sz w:val="21"/>
          <w:szCs w:val="21"/>
          <w:highlight w:val="none"/>
        </w:rPr>
        <w:t>响应文件》、以及</w:t>
      </w:r>
      <w:r>
        <w:rPr>
          <w:rFonts w:hint="eastAsia" w:ascii="宋体" w:hAnsi="宋体"/>
          <w:color w:val="auto"/>
          <w:sz w:val="21"/>
          <w:szCs w:val="21"/>
          <w:highlight w:val="none"/>
          <w:lang w:val="en-US" w:eastAsia="zh-CN"/>
        </w:rPr>
        <w:t>磋商</w:t>
      </w:r>
      <w:r>
        <w:rPr>
          <w:rFonts w:hint="eastAsia" w:ascii="宋体" w:hAnsi="宋体"/>
          <w:color w:val="auto"/>
          <w:sz w:val="21"/>
          <w:szCs w:val="21"/>
          <w:highlight w:val="none"/>
        </w:rPr>
        <w:t>过程中所承诺的内容进行签订合同文本采用中华人民共和国建设部和国家工商行政管理局联合制定的《建设工程施工合同》</w:t>
      </w:r>
      <w:r>
        <w:rPr>
          <w:rFonts w:hint="eastAsia" w:ascii="宋体" w:hAnsi="宋体"/>
          <w:b/>
          <w:color w:val="auto"/>
          <w:sz w:val="21"/>
          <w:szCs w:val="21"/>
          <w:highlight w:val="none"/>
        </w:rPr>
        <w:t>（示范文本）（GF－2017－0201）</w:t>
      </w:r>
      <w:r>
        <w:rPr>
          <w:rFonts w:hint="eastAsia" w:ascii="宋体" w:hAnsi="宋体"/>
          <w:color w:val="auto"/>
          <w:sz w:val="21"/>
          <w:szCs w:val="21"/>
          <w:highlight w:val="none"/>
        </w:rPr>
        <w:t>。合同文本由第一部分“协议书”、第二部分“通用条款”、第三部分“专用条款”共三部分组成，通用合同条款直接引用示范文本第二部分“通用条款”，其余主要条款及格式以如下内容为基础进行</w:t>
      </w:r>
      <w:r>
        <w:rPr>
          <w:rFonts w:hint="eastAsia" w:ascii="宋体" w:hAnsi="宋体"/>
          <w:color w:val="auto"/>
          <w:sz w:val="21"/>
          <w:szCs w:val="21"/>
          <w:highlight w:val="none"/>
          <w:lang w:val="en-US" w:eastAsia="zh-CN"/>
        </w:rPr>
        <w:t>磋商</w:t>
      </w:r>
      <w:r>
        <w:rPr>
          <w:rFonts w:hint="eastAsia" w:ascii="宋体" w:hAnsi="宋体"/>
          <w:color w:val="auto"/>
          <w:sz w:val="21"/>
          <w:szCs w:val="21"/>
          <w:highlight w:val="none"/>
        </w:rPr>
        <w:t>和签订。</w:t>
      </w:r>
    </w:p>
    <w:p w14:paraId="43320C7F">
      <w:pPr>
        <w:pStyle w:val="21"/>
        <w:ind w:left="0" w:leftChars="0" w:firstLine="0" w:firstLineChars="0"/>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34B90480">
      <w:pPr>
        <w:pStyle w:val="5"/>
        <w:ind w:firstLine="0" w:firstLineChars="0"/>
        <w:rPr>
          <w:rFonts w:ascii="宋体" w:hAnsi="宋体"/>
          <w:b w:val="0"/>
          <w:bCs/>
          <w:color w:val="auto"/>
          <w:sz w:val="21"/>
          <w:szCs w:val="21"/>
          <w:highlight w:val="none"/>
        </w:rPr>
      </w:pPr>
      <w:r>
        <w:rPr>
          <w:rFonts w:hAnsi="宋体"/>
          <w:color w:val="auto"/>
          <w:sz w:val="30"/>
          <w:szCs w:val="30"/>
          <w:highlight w:val="none"/>
        </w:rPr>
        <w:t>第一部分 合同协议书</w:t>
      </w:r>
    </w:p>
    <w:p w14:paraId="120B5572">
      <w:pPr>
        <w:pageBreakBefore w:val="0"/>
        <w:tabs>
          <w:tab w:val="left" w:pos="7027"/>
        </w:tabs>
        <w:kinsoku/>
        <w:wordWrap/>
        <w:topLinePunct w:val="0"/>
        <w:bidi w:val="0"/>
        <w:snapToGrid/>
        <w:spacing w:line="440" w:lineRule="exact"/>
        <w:rPr>
          <w:rFonts w:hint="eastAsia" w:ascii="宋体" w:hAnsi="宋体" w:eastAsia="宋体"/>
          <w:b w:val="0"/>
          <w:bCs/>
          <w:color w:val="auto"/>
          <w:sz w:val="21"/>
          <w:szCs w:val="21"/>
          <w:highlight w:val="none"/>
          <w:u w:val="single"/>
          <w:lang w:val="en-US" w:eastAsia="zh-CN"/>
        </w:rPr>
      </w:pPr>
      <w:r>
        <w:rPr>
          <w:rFonts w:ascii="宋体" w:hAnsi="宋体"/>
          <w:b w:val="0"/>
          <w:bCs/>
          <w:color w:val="auto"/>
          <w:sz w:val="21"/>
          <w:szCs w:val="21"/>
          <w:highlight w:val="none"/>
        </w:rPr>
        <w:t>发包人（全称）：</w:t>
      </w:r>
      <w:r>
        <w:rPr>
          <w:rFonts w:ascii="宋体" w:hAnsi="宋体"/>
          <w:b w:val="0"/>
          <w:bCs/>
          <w:color w:val="auto"/>
          <w:sz w:val="21"/>
          <w:szCs w:val="21"/>
          <w:highlight w:val="none"/>
          <w:u w:val="single"/>
        </w:rPr>
        <w:t xml:space="preserve"> </w:t>
      </w:r>
      <w:r>
        <w:rPr>
          <w:rFonts w:hint="eastAsia" w:ascii="宋体" w:hAnsi="宋体"/>
          <w:b w:val="0"/>
          <w:bCs/>
          <w:color w:val="auto"/>
          <w:sz w:val="21"/>
          <w:szCs w:val="21"/>
          <w:highlight w:val="none"/>
          <w:u w:val="single"/>
        </w:rPr>
        <w:t xml:space="preserve">                                </w:t>
      </w:r>
    </w:p>
    <w:p w14:paraId="618C1D3B">
      <w:pPr>
        <w:pageBreakBefore w:val="0"/>
        <w:kinsoku/>
        <w:wordWrap/>
        <w:topLinePunct w:val="0"/>
        <w:bidi w:val="0"/>
        <w:snapToGrid/>
        <w:spacing w:line="440" w:lineRule="exact"/>
        <w:rPr>
          <w:rFonts w:ascii="宋体" w:hAnsi="宋体"/>
          <w:b w:val="0"/>
          <w:bCs/>
          <w:color w:val="auto"/>
          <w:sz w:val="21"/>
          <w:szCs w:val="21"/>
          <w:highlight w:val="none"/>
          <w:u w:val="single"/>
        </w:rPr>
      </w:pPr>
      <w:r>
        <w:rPr>
          <w:rFonts w:ascii="宋体" w:hAnsi="宋体"/>
          <w:b w:val="0"/>
          <w:bCs/>
          <w:color w:val="auto"/>
          <w:sz w:val="21"/>
          <w:szCs w:val="21"/>
          <w:highlight w:val="none"/>
        </w:rPr>
        <w:t>承包人（全称）：</w:t>
      </w:r>
      <w:r>
        <w:rPr>
          <w:rFonts w:ascii="宋体" w:hAnsi="宋体"/>
          <w:b w:val="0"/>
          <w:bCs/>
          <w:color w:val="auto"/>
          <w:sz w:val="21"/>
          <w:szCs w:val="21"/>
          <w:highlight w:val="none"/>
          <w:u w:val="single"/>
        </w:rPr>
        <w:t xml:space="preserve"> </w:t>
      </w:r>
      <w:r>
        <w:rPr>
          <w:rFonts w:hint="eastAsia" w:ascii="宋体" w:hAnsi="宋体"/>
          <w:b w:val="0"/>
          <w:bCs/>
          <w:color w:val="auto"/>
          <w:sz w:val="21"/>
          <w:szCs w:val="21"/>
          <w:highlight w:val="none"/>
          <w:u w:val="single"/>
        </w:rPr>
        <w:t xml:space="preserve">                                </w:t>
      </w:r>
    </w:p>
    <w:p w14:paraId="1D029DBB">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ascii="宋体" w:hAnsi="宋体"/>
          <w:color w:val="auto"/>
          <w:sz w:val="21"/>
          <w:szCs w:val="21"/>
          <w:highlight w:val="none"/>
        </w:rPr>
        <w:t>根据《中华人民共和国</w:t>
      </w:r>
      <w:r>
        <w:rPr>
          <w:rFonts w:hint="eastAsia" w:ascii="宋体" w:hAnsi="宋体"/>
          <w:color w:val="auto"/>
          <w:sz w:val="21"/>
          <w:szCs w:val="21"/>
          <w:highlight w:val="none"/>
          <w:lang w:val="en-US" w:eastAsia="zh-CN"/>
        </w:rPr>
        <w:t>民</w:t>
      </w:r>
      <w:r>
        <w:rPr>
          <w:rFonts w:ascii="宋体" w:hAnsi="宋体"/>
          <w:color w:val="auto"/>
          <w:sz w:val="21"/>
          <w:szCs w:val="21"/>
          <w:highlight w:val="none"/>
        </w:rPr>
        <w:t>法</w:t>
      </w:r>
      <w:r>
        <w:rPr>
          <w:rFonts w:hint="eastAsia" w:ascii="宋体" w:hAnsi="宋体"/>
          <w:color w:val="auto"/>
          <w:sz w:val="21"/>
          <w:szCs w:val="21"/>
          <w:highlight w:val="none"/>
          <w:lang w:val="en-US" w:eastAsia="zh-CN"/>
        </w:rPr>
        <w:t>典</w:t>
      </w:r>
      <w:r>
        <w:rPr>
          <w:rFonts w:ascii="宋体" w:hAnsi="宋体"/>
          <w:color w:val="auto"/>
          <w:sz w:val="21"/>
          <w:szCs w:val="21"/>
          <w:highlight w:val="none"/>
        </w:rPr>
        <w:t>》及有关法律规定，遵循平等、自愿、公平和诚实信用的原则，双方就</w:t>
      </w:r>
      <w:r>
        <w:rPr>
          <w:rFonts w:hint="eastAsia" w:ascii="宋体" w:hAnsi="宋体"/>
          <w:color w:val="auto"/>
          <w:sz w:val="21"/>
          <w:szCs w:val="21"/>
          <w:highlight w:val="none"/>
          <w:lang w:eastAsia="zh-CN"/>
        </w:rPr>
        <w:t>梁河县中心敬老院消防安全标准化提升工程</w:t>
      </w:r>
      <w:r>
        <w:rPr>
          <w:rFonts w:ascii="宋体" w:hAnsi="宋体"/>
          <w:color w:val="auto"/>
          <w:sz w:val="21"/>
          <w:szCs w:val="21"/>
          <w:highlight w:val="none"/>
        </w:rPr>
        <w:t>工程施工及有关事项协商一致</w:t>
      </w:r>
      <w:r>
        <w:rPr>
          <w:rFonts w:hint="eastAsia" w:ascii="宋体" w:hAnsi="宋体"/>
          <w:color w:val="auto"/>
          <w:sz w:val="21"/>
          <w:szCs w:val="21"/>
          <w:highlight w:val="none"/>
        </w:rPr>
        <w:t>，</w:t>
      </w:r>
      <w:r>
        <w:rPr>
          <w:rFonts w:ascii="宋体" w:hAnsi="宋体"/>
          <w:color w:val="auto"/>
          <w:sz w:val="21"/>
          <w:szCs w:val="21"/>
          <w:highlight w:val="none"/>
        </w:rPr>
        <w:t>共同达成如下协议：</w:t>
      </w:r>
    </w:p>
    <w:p w14:paraId="3CA34C5D">
      <w:pPr>
        <w:pStyle w:val="6"/>
        <w:pageBreakBefore w:val="0"/>
        <w:kinsoku/>
        <w:wordWrap/>
        <w:topLinePunct w:val="0"/>
        <w:bidi w:val="0"/>
        <w:snapToGrid/>
        <w:spacing w:before="0" w:after="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bookmarkStart w:id="218" w:name="_Toc351203481"/>
      <w:r>
        <w:rPr>
          <w:rFonts w:ascii="宋体" w:hAnsi="宋体" w:eastAsia="宋体"/>
          <w:bCs w:val="0"/>
          <w:color w:val="auto"/>
          <w:sz w:val="21"/>
          <w:szCs w:val="21"/>
          <w:highlight w:val="none"/>
        </w:rPr>
        <w:t>一、工程概况</w:t>
      </w:r>
      <w:bookmarkEnd w:id="218"/>
    </w:p>
    <w:p w14:paraId="7656281F">
      <w:pPr>
        <w:pageBreakBefore w:val="0"/>
        <w:kinsoku/>
        <w:wordWrap/>
        <w:topLinePunct w:val="0"/>
        <w:bidi w:val="0"/>
        <w:snapToGrid/>
        <w:spacing w:line="440" w:lineRule="exact"/>
        <w:ind w:firstLine="411" w:firstLineChars="196"/>
        <w:rPr>
          <w:rFonts w:ascii="宋体" w:hAnsi="宋体"/>
          <w:color w:val="auto"/>
          <w:sz w:val="21"/>
          <w:szCs w:val="21"/>
          <w:highlight w:val="none"/>
          <w:u w:val="single"/>
        </w:rPr>
      </w:pPr>
      <w:r>
        <w:rPr>
          <w:rFonts w:ascii="宋体" w:hAnsi="宋体"/>
          <w:bCs/>
          <w:color w:val="auto"/>
          <w:sz w:val="21"/>
          <w:szCs w:val="21"/>
          <w:highlight w:val="none"/>
        </w:rPr>
        <w:t>1.工程名称</w:t>
      </w:r>
      <w:r>
        <w:rPr>
          <w:rFonts w:ascii="宋体" w:hAnsi="宋体"/>
          <w:b w:val="0"/>
          <w:bCs w:val="0"/>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b w:val="0"/>
          <w:bCs w:val="0"/>
          <w:color w:val="auto"/>
          <w:sz w:val="21"/>
          <w:szCs w:val="21"/>
          <w:highlight w:val="none"/>
        </w:rPr>
        <w:t>。</w:t>
      </w:r>
      <w:r>
        <w:rPr>
          <w:rFonts w:hint="eastAsia" w:ascii="宋体" w:hAnsi="宋体"/>
          <w:color w:val="auto"/>
          <w:sz w:val="21"/>
          <w:szCs w:val="21"/>
          <w:highlight w:val="none"/>
        </w:rPr>
        <w:t xml:space="preserve">               </w:t>
      </w:r>
    </w:p>
    <w:p w14:paraId="52605EB2">
      <w:pPr>
        <w:pageBreakBefore w:val="0"/>
        <w:kinsoku/>
        <w:wordWrap/>
        <w:topLinePunct w:val="0"/>
        <w:bidi w:val="0"/>
        <w:snapToGrid/>
        <w:spacing w:line="440" w:lineRule="exact"/>
        <w:ind w:firstLine="411" w:firstLineChars="196"/>
        <w:rPr>
          <w:rFonts w:ascii="宋体" w:hAnsi="宋体"/>
          <w:color w:val="auto"/>
          <w:sz w:val="21"/>
          <w:szCs w:val="21"/>
          <w:highlight w:val="none"/>
          <w:u w:val="single"/>
        </w:rPr>
      </w:pPr>
      <w:r>
        <w:rPr>
          <w:rFonts w:ascii="宋体" w:hAnsi="宋体"/>
          <w:bCs/>
          <w:color w:val="auto"/>
          <w:sz w:val="21"/>
          <w:szCs w:val="21"/>
          <w:highlight w:val="none"/>
        </w:rPr>
        <w:t>2.工程地点：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w:t>
      </w:r>
    </w:p>
    <w:p w14:paraId="21A7070C">
      <w:pPr>
        <w:pageBreakBefore w:val="0"/>
        <w:kinsoku/>
        <w:wordWrap/>
        <w:topLinePunct w:val="0"/>
        <w:bidi w:val="0"/>
        <w:snapToGrid/>
        <w:spacing w:line="440" w:lineRule="exact"/>
        <w:ind w:firstLine="411" w:firstLineChars="196"/>
        <w:rPr>
          <w:rFonts w:ascii="宋体" w:hAnsi="宋体"/>
          <w:bCs/>
          <w:color w:val="auto"/>
          <w:sz w:val="21"/>
          <w:szCs w:val="21"/>
          <w:highlight w:val="none"/>
        </w:rPr>
      </w:pPr>
      <w:r>
        <w:rPr>
          <w:rFonts w:ascii="宋体" w:hAnsi="宋体"/>
          <w:bCs/>
          <w:color w:val="auto"/>
          <w:sz w:val="21"/>
          <w:szCs w:val="21"/>
          <w:highlight w:val="none"/>
        </w:rPr>
        <w:t>3.工程立项批准文号：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w:t>
      </w:r>
    </w:p>
    <w:p w14:paraId="337A4066">
      <w:pPr>
        <w:pageBreakBefore w:val="0"/>
        <w:kinsoku/>
        <w:wordWrap/>
        <w:topLinePunct w:val="0"/>
        <w:bidi w:val="0"/>
        <w:snapToGrid/>
        <w:spacing w:line="440" w:lineRule="exact"/>
        <w:ind w:firstLine="411" w:firstLineChars="196"/>
        <w:rPr>
          <w:rFonts w:ascii="宋体" w:hAnsi="宋体"/>
          <w:bCs/>
          <w:color w:val="auto"/>
          <w:sz w:val="21"/>
          <w:szCs w:val="21"/>
          <w:highlight w:val="none"/>
        </w:rPr>
      </w:pPr>
      <w:r>
        <w:rPr>
          <w:rFonts w:ascii="宋体" w:hAnsi="宋体"/>
          <w:bCs/>
          <w:color w:val="auto"/>
          <w:sz w:val="21"/>
          <w:szCs w:val="21"/>
          <w:highlight w:val="none"/>
        </w:rPr>
        <w:t>4.资金来源：</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w:t>
      </w:r>
    </w:p>
    <w:p w14:paraId="37A56DCB">
      <w:pPr>
        <w:pageBreakBefore w:val="0"/>
        <w:kinsoku/>
        <w:wordWrap/>
        <w:topLinePunct w:val="0"/>
        <w:bidi w:val="0"/>
        <w:snapToGrid/>
        <w:spacing w:line="440" w:lineRule="exact"/>
        <w:ind w:firstLine="411" w:firstLineChars="196"/>
        <w:rPr>
          <w:rFonts w:ascii="宋体" w:hAnsi="宋体"/>
          <w:bCs/>
          <w:color w:val="auto"/>
          <w:sz w:val="21"/>
          <w:szCs w:val="21"/>
          <w:highlight w:val="none"/>
          <w:u w:val="single"/>
        </w:rPr>
      </w:pPr>
      <w:r>
        <w:rPr>
          <w:rFonts w:hint="eastAsia" w:ascii="宋体" w:hAnsi="宋体"/>
          <w:bCs/>
          <w:color w:val="auto"/>
          <w:sz w:val="21"/>
          <w:szCs w:val="21"/>
          <w:highlight w:val="none"/>
        </w:rPr>
        <w:t>5.工程内容：</w:t>
      </w:r>
      <w:r>
        <w:rPr>
          <w:rFonts w:hint="eastAsia" w:ascii="宋体" w:hAnsi="宋体"/>
          <w:color w:val="auto"/>
          <w:sz w:val="21"/>
          <w:szCs w:val="21"/>
          <w:highlight w:val="none"/>
          <w:u w:val="single"/>
        </w:rPr>
        <w:t xml:space="preserve">                </w:t>
      </w:r>
      <w:r>
        <w:rPr>
          <w:rFonts w:hint="eastAsia" w:ascii="宋体" w:hAnsi="宋体"/>
          <w:bCs/>
          <w:color w:val="auto"/>
          <w:sz w:val="21"/>
          <w:szCs w:val="21"/>
          <w:highlight w:val="none"/>
          <w:u w:val="none"/>
          <w:lang w:val="en-US" w:eastAsia="zh-CN"/>
        </w:rPr>
        <w:t>。</w:t>
      </w:r>
    </w:p>
    <w:p w14:paraId="47B2486D">
      <w:pPr>
        <w:pStyle w:val="38"/>
        <w:pageBreakBefore w:val="0"/>
        <w:kinsoku/>
        <w:wordWrap/>
        <w:topLinePunct w:val="0"/>
        <w:bidi w:val="0"/>
        <w:snapToGrid/>
        <w:spacing w:line="440" w:lineRule="exact"/>
        <w:ind w:firstLine="528"/>
        <w:rPr>
          <w:color w:val="auto"/>
          <w:sz w:val="21"/>
          <w:szCs w:val="21"/>
          <w:highlight w:val="none"/>
        </w:rPr>
      </w:pPr>
      <w:r>
        <w:rPr>
          <w:color w:val="auto"/>
          <w:sz w:val="21"/>
          <w:szCs w:val="21"/>
          <w:highlight w:val="none"/>
        </w:rPr>
        <w:t>群体工程应附《承包人承揽工程项目一览表</w:t>
      </w:r>
      <w:r>
        <w:rPr>
          <w:rFonts w:hint="eastAsia"/>
          <w:color w:val="auto"/>
          <w:sz w:val="21"/>
          <w:szCs w:val="21"/>
          <w:highlight w:val="none"/>
        </w:rPr>
        <w:t>》。</w:t>
      </w:r>
    </w:p>
    <w:p w14:paraId="690DF331">
      <w:pPr>
        <w:pageBreakBefore w:val="0"/>
        <w:numPr>
          <w:ilvl w:val="0"/>
          <w:numId w:val="5"/>
        </w:numPr>
        <w:kinsoku/>
        <w:wordWrap/>
        <w:topLinePunct w:val="0"/>
        <w:bidi w:val="0"/>
        <w:snapToGrid/>
        <w:spacing w:line="440" w:lineRule="exact"/>
        <w:ind w:firstLine="420" w:firstLineChars="200"/>
        <w:rPr>
          <w:rFonts w:ascii="宋体" w:hAnsi="宋体"/>
          <w:bCs/>
          <w:color w:val="auto"/>
          <w:sz w:val="21"/>
          <w:szCs w:val="21"/>
          <w:highlight w:val="none"/>
        </w:rPr>
      </w:pPr>
      <w:r>
        <w:rPr>
          <w:rFonts w:ascii="宋体" w:hAnsi="宋体"/>
          <w:bCs/>
          <w:color w:val="auto"/>
          <w:sz w:val="21"/>
          <w:szCs w:val="21"/>
          <w:highlight w:val="none"/>
        </w:rPr>
        <w:t>工程承包范围：</w:t>
      </w:r>
    </w:p>
    <w:p w14:paraId="73A0D1FB">
      <w:pPr>
        <w:pStyle w:val="34"/>
        <w:pageBreakBefore w:val="0"/>
        <w:kinsoku/>
        <w:wordWrap/>
        <w:topLinePunct w:val="0"/>
        <w:bidi w:val="0"/>
        <w:snapToGrid/>
        <w:spacing w:line="440" w:lineRule="exact"/>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lang w:val="en-US" w:eastAsia="zh-CN"/>
        </w:rPr>
        <w:t xml:space="preserve">  </w:t>
      </w:r>
      <w:r>
        <w:rPr>
          <w:rFonts w:hint="eastAsia"/>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w:t>
      </w:r>
    </w:p>
    <w:p w14:paraId="4576BDBB">
      <w:pPr>
        <w:pStyle w:val="6"/>
        <w:pageBreakBefore w:val="0"/>
        <w:kinsoku/>
        <w:wordWrap/>
        <w:topLinePunct w:val="0"/>
        <w:bidi w:val="0"/>
        <w:snapToGrid/>
        <w:spacing w:before="0" w:after="0" w:line="440" w:lineRule="exact"/>
        <w:rPr>
          <w:rFonts w:ascii="宋体" w:hAnsi="宋体" w:eastAsia="宋体"/>
          <w:bCs w:val="0"/>
          <w:color w:val="auto"/>
          <w:sz w:val="21"/>
          <w:szCs w:val="21"/>
          <w:highlight w:val="none"/>
        </w:rPr>
      </w:pPr>
      <w:bookmarkStart w:id="219" w:name="_Toc351203482"/>
      <w:r>
        <w:rPr>
          <w:rFonts w:ascii="宋体" w:hAnsi="宋体" w:eastAsia="宋体"/>
          <w:bCs w:val="0"/>
          <w:color w:val="auto"/>
          <w:sz w:val="21"/>
          <w:szCs w:val="21"/>
          <w:highlight w:val="none"/>
        </w:rPr>
        <w:t xml:space="preserve">    二、合同工期</w:t>
      </w:r>
      <w:bookmarkEnd w:id="219"/>
    </w:p>
    <w:p w14:paraId="5A09CC0A">
      <w:pPr>
        <w:pageBreakBefore w:val="0"/>
        <w:kinsoku/>
        <w:wordWrap/>
        <w:topLinePunct w:val="0"/>
        <w:bidi w:val="0"/>
        <w:snapToGrid/>
        <w:spacing w:line="440" w:lineRule="exact"/>
        <w:ind w:firstLine="459"/>
        <w:rPr>
          <w:rFonts w:ascii="宋体" w:hAnsi="宋体"/>
          <w:color w:val="auto"/>
          <w:sz w:val="21"/>
          <w:szCs w:val="21"/>
          <w:highlight w:val="none"/>
        </w:rPr>
      </w:pPr>
      <w:r>
        <w:rPr>
          <w:rFonts w:ascii="宋体" w:hAnsi="宋体"/>
          <w:color w:val="auto"/>
          <w:sz w:val="21"/>
          <w:szCs w:val="21"/>
          <w:highlight w:val="none"/>
        </w:rPr>
        <w:t>计划开工日期：</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ascii="宋体" w:hAnsi="宋体"/>
          <w:color w:val="auto"/>
          <w:sz w:val="21"/>
          <w:szCs w:val="21"/>
          <w:highlight w:val="none"/>
        </w:rPr>
        <w:t>日</w:t>
      </w:r>
      <w:r>
        <w:rPr>
          <w:rFonts w:hint="eastAsia" w:hAnsi="宋体"/>
          <w:color w:val="auto"/>
          <w:sz w:val="21"/>
          <w:szCs w:val="21"/>
          <w:highlight w:val="none"/>
        </w:rPr>
        <w:t>（</w:t>
      </w:r>
      <w:r>
        <w:rPr>
          <w:rFonts w:hint="eastAsia" w:hAnsi="宋体"/>
          <w:color w:val="auto"/>
          <w:sz w:val="21"/>
          <w:szCs w:val="21"/>
          <w:highlight w:val="none"/>
          <w:lang w:eastAsia="zh-CN"/>
        </w:rPr>
        <w:t>以</w:t>
      </w:r>
      <w:r>
        <w:rPr>
          <w:rFonts w:hint="eastAsia" w:hAnsi="宋体"/>
          <w:color w:val="auto"/>
          <w:sz w:val="21"/>
          <w:szCs w:val="21"/>
          <w:highlight w:val="none"/>
        </w:rPr>
        <w:t>监理发出开工令日期为准）。</w:t>
      </w:r>
    </w:p>
    <w:p w14:paraId="340D0D84">
      <w:pPr>
        <w:pageBreakBefore w:val="0"/>
        <w:kinsoku/>
        <w:wordWrap/>
        <w:topLinePunct w:val="0"/>
        <w:bidi w:val="0"/>
        <w:snapToGrid/>
        <w:spacing w:line="440" w:lineRule="exact"/>
        <w:ind w:firstLine="459"/>
        <w:rPr>
          <w:color w:val="auto"/>
          <w:sz w:val="21"/>
          <w:szCs w:val="21"/>
          <w:highlight w:val="none"/>
        </w:rPr>
      </w:pPr>
      <w:r>
        <w:rPr>
          <w:rFonts w:ascii="宋体" w:hAnsi="宋体"/>
          <w:color w:val="auto"/>
          <w:sz w:val="21"/>
          <w:szCs w:val="21"/>
          <w:highlight w:val="none"/>
        </w:rPr>
        <w:t>计划竣工日期：</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ascii="宋体" w:hAnsi="宋体"/>
          <w:color w:val="auto"/>
          <w:sz w:val="21"/>
          <w:szCs w:val="21"/>
          <w:highlight w:val="none"/>
        </w:rPr>
        <w:t>日</w:t>
      </w:r>
      <w:r>
        <w:rPr>
          <w:rFonts w:hint="eastAsia" w:hAnsi="宋体"/>
          <w:color w:val="auto"/>
          <w:sz w:val="21"/>
          <w:szCs w:val="21"/>
          <w:highlight w:val="none"/>
        </w:rPr>
        <w:t>（</w:t>
      </w:r>
      <w:r>
        <w:rPr>
          <w:rFonts w:hint="eastAsia" w:hAnsi="宋体"/>
          <w:color w:val="auto"/>
          <w:sz w:val="21"/>
          <w:szCs w:val="21"/>
          <w:highlight w:val="none"/>
          <w:lang w:eastAsia="zh-CN"/>
        </w:rPr>
        <w:t>以</w:t>
      </w:r>
      <w:r>
        <w:rPr>
          <w:rFonts w:hint="eastAsia" w:hAnsi="宋体"/>
          <w:color w:val="auto"/>
          <w:sz w:val="21"/>
          <w:szCs w:val="21"/>
          <w:highlight w:val="none"/>
        </w:rPr>
        <w:t>监理发出开工令日期为准）。</w:t>
      </w:r>
    </w:p>
    <w:p w14:paraId="783EFE23">
      <w:pPr>
        <w:pageBreakBefore w:val="0"/>
        <w:kinsoku/>
        <w:wordWrap/>
        <w:topLinePunct w:val="0"/>
        <w:bidi w:val="0"/>
        <w:snapToGrid/>
        <w:spacing w:line="440" w:lineRule="exact"/>
        <w:ind w:firstLine="459"/>
        <w:rPr>
          <w:rFonts w:ascii="宋体" w:hAnsi="宋体"/>
          <w:color w:val="auto"/>
          <w:sz w:val="21"/>
          <w:szCs w:val="21"/>
          <w:highlight w:val="none"/>
        </w:rPr>
      </w:pPr>
      <w:r>
        <w:rPr>
          <w:rFonts w:ascii="宋体" w:hAnsi="宋体"/>
          <w:color w:val="auto"/>
          <w:sz w:val="21"/>
          <w:szCs w:val="21"/>
          <w:highlight w:val="none"/>
        </w:rPr>
        <w:t>工期总日历天数：</w:t>
      </w:r>
      <w:r>
        <w:rPr>
          <w:rFonts w:hint="eastAsia" w:ascii="宋体" w:hAnsi="宋体"/>
          <w:color w:val="auto"/>
          <w:sz w:val="21"/>
          <w:szCs w:val="21"/>
          <w:highlight w:val="none"/>
          <w:u w:val="single"/>
        </w:rPr>
        <w:t xml:space="preserve">      </w:t>
      </w:r>
      <w:r>
        <w:rPr>
          <w:rFonts w:ascii="宋体" w:hAnsi="宋体"/>
          <w:color w:val="auto"/>
          <w:sz w:val="21"/>
          <w:szCs w:val="21"/>
          <w:highlight w:val="none"/>
        </w:rPr>
        <w:t>天。工期总日历天数与根据前述计划开竣工日期计算的工期天数不一致的，以工期总日历天数为准。</w:t>
      </w:r>
    </w:p>
    <w:p w14:paraId="291FF965">
      <w:pPr>
        <w:pStyle w:val="6"/>
        <w:pageBreakBefore w:val="0"/>
        <w:kinsoku/>
        <w:wordWrap/>
        <w:topLinePunct w:val="0"/>
        <w:bidi w:val="0"/>
        <w:snapToGrid/>
        <w:spacing w:before="0" w:after="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bookmarkStart w:id="220" w:name="_Toc351203483"/>
      <w:r>
        <w:rPr>
          <w:rFonts w:ascii="宋体" w:hAnsi="宋体" w:eastAsia="宋体"/>
          <w:b w:val="0"/>
          <w:color w:val="auto"/>
          <w:sz w:val="21"/>
          <w:szCs w:val="21"/>
          <w:highlight w:val="none"/>
        </w:rPr>
        <w:t>三、质量标准</w:t>
      </w:r>
      <w:bookmarkEnd w:id="220"/>
    </w:p>
    <w:p w14:paraId="0128EE5E">
      <w:pPr>
        <w:pageBreakBefore w:val="0"/>
        <w:kinsoku/>
        <w:wordWrap/>
        <w:topLinePunct w:val="0"/>
        <w:bidi w:val="0"/>
        <w:snapToGrid/>
        <w:spacing w:line="440" w:lineRule="exact"/>
        <w:ind w:firstLine="459"/>
        <w:rPr>
          <w:rFonts w:hint="default" w:ascii="宋体" w:hAnsi="宋体"/>
          <w:color w:val="auto"/>
          <w:sz w:val="21"/>
          <w:szCs w:val="21"/>
          <w:highlight w:val="none"/>
          <w:lang w:val="en-US"/>
        </w:rPr>
      </w:pPr>
      <w:r>
        <w:rPr>
          <w:rFonts w:ascii="宋体" w:hAnsi="宋体"/>
          <w:color w:val="auto"/>
          <w:sz w:val="21"/>
          <w:szCs w:val="21"/>
          <w:highlight w:val="none"/>
        </w:rPr>
        <w:t>工程质量符合</w:t>
      </w:r>
      <w:r>
        <w:rPr>
          <w:rFonts w:hint="eastAsia" w:ascii="宋体" w:hAnsi="宋体"/>
          <w:b/>
          <w:bCs/>
          <w:color w:val="auto"/>
          <w:sz w:val="21"/>
          <w:szCs w:val="21"/>
          <w:highlight w:val="none"/>
          <w:u w:val="single"/>
          <w:lang w:val="en-US" w:eastAsia="zh-CN"/>
        </w:rPr>
        <w:t xml:space="preserve">                                                    。</w:t>
      </w:r>
    </w:p>
    <w:p w14:paraId="67C2E817">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r>
        <w:rPr>
          <w:rFonts w:ascii="宋体" w:hAnsi="宋体" w:eastAsia="宋体"/>
          <w:b w:val="0"/>
          <w:color w:val="auto"/>
          <w:sz w:val="21"/>
          <w:szCs w:val="21"/>
          <w:highlight w:val="none"/>
        </w:rPr>
        <w:t xml:space="preserve"> </w:t>
      </w:r>
      <w:bookmarkStart w:id="221" w:name="_Toc351203484"/>
      <w:r>
        <w:rPr>
          <w:rFonts w:ascii="宋体" w:hAnsi="宋体" w:eastAsia="宋体"/>
          <w:b w:val="0"/>
          <w:color w:val="auto"/>
          <w:sz w:val="21"/>
          <w:szCs w:val="21"/>
          <w:highlight w:val="none"/>
        </w:rPr>
        <w:t>四、签约合同价与合同价格形式</w:t>
      </w:r>
      <w:bookmarkEnd w:id="221"/>
      <w:r>
        <w:rPr>
          <w:rFonts w:ascii="宋体" w:hAnsi="宋体" w:eastAsia="宋体"/>
          <w:b w:val="0"/>
          <w:color w:val="auto"/>
          <w:sz w:val="21"/>
          <w:szCs w:val="21"/>
          <w:highlight w:val="none"/>
        </w:rPr>
        <w:tab/>
      </w:r>
    </w:p>
    <w:p w14:paraId="310C63BA">
      <w:pPr>
        <w:pageBreakBefore w:val="0"/>
        <w:kinsoku/>
        <w:wordWrap/>
        <w:topLinePunct w:val="0"/>
        <w:bidi w:val="0"/>
        <w:snapToGrid/>
        <w:spacing w:line="440" w:lineRule="exact"/>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1.签约合同价为：</w:t>
      </w:r>
    </w:p>
    <w:p w14:paraId="01FAE7C4">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p>
    <w:p w14:paraId="2EDE2373">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其中：</w:t>
      </w:r>
    </w:p>
    <w:p w14:paraId="5B7662AC">
      <w:pPr>
        <w:pageBreakBefore w:val="0"/>
        <w:kinsoku/>
        <w:wordWrap/>
        <w:topLinePunct w:val="0"/>
        <w:bidi w:val="0"/>
        <w:snapToGrid/>
        <w:spacing w:line="440" w:lineRule="exact"/>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（1）安全文明施工费：</w:t>
      </w:r>
    </w:p>
    <w:p w14:paraId="2CE8B4CF">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p>
    <w:p w14:paraId="11C6D4E9">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（2）材料和工程设备暂估价金额：</w:t>
      </w:r>
    </w:p>
    <w:p w14:paraId="3682DDCC">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p>
    <w:p w14:paraId="772E1672">
      <w:pPr>
        <w:pageBreakBefore w:val="0"/>
        <w:kinsoku/>
        <w:wordWrap/>
        <w:topLinePunct w:val="0"/>
        <w:bidi w:val="0"/>
        <w:snapToGrid/>
        <w:spacing w:line="440" w:lineRule="exact"/>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（3）专业工程暂估价金额：</w:t>
      </w:r>
    </w:p>
    <w:p w14:paraId="3E4E969E">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p>
    <w:p w14:paraId="2B8A5142">
      <w:pPr>
        <w:pageBreakBefore w:val="0"/>
        <w:kinsoku/>
        <w:wordWrap/>
        <w:topLinePunct w:val="0"/>
        <w:bidi w:val="0"/>
        <w:snapToGrid/>
        <w:spacing w:line="440" w:lineRule="exact"/>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（4）暂列金额：</w:t>
      </w:r>
    </w:p>
    <w:p w14:paraId="22A30511">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p>
    <w:p w14:paraId="4436D8DD">
      <w:pPr>
        <w:pageBreakBefore w:val="0"/>
        <w:kinsoku/>
        <w:wordWrap/>
        <w:topLinePunct w:val="0"/>
        <w:bidi w:val="0"/>
        <w:snapToGrid/>
        <w:spacing w:line="44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2.合同价格形式：</w:t>
      </w:r>
      <w:r>
        <w:rPr>
          <w:rFonts w:hint="eastAsia" w:ascii="宋体" w:hAnsi="宋体"/>
          <w:color w:val="auto"/>
          <w:sz w:val="21"/>
          <w:szCs w:val="21"/>
          <w:highlight w:val="none"/>
          <w:u w:val="single"/>
          <w:lang w:val="en-US" w:eastAsia="zh-CN"/>
        </w:rPr>
        <w:t xml:space="preserve"> </w:t>
      </w:r>
      <w:r>
        <w:rPr>
          <w:rFonts w:hint="eastAsia" w:ascii="宋体" w:hAnsi="宋体"/>
          <w:b/>
          <w:bCs/>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7B91B0B">
      <w:pPr>
        <w:pStyle w:val="6"/>
        <w:pageBreakBefore w:val="0"/>
        <w:kinsoku/>
        <w:wordWrap/>
        <w:topLinePunct w:val="0"/>
        <w:bidi w:val="0"/>
        <w:snapToGrid/>
        <w:spacing w:before="120" w:after="120" w:line="440" w:lineRule="exact"/>
        <w:rPr>
          <w:rFonts w:ascii="宋体" w:hAnsi="宋体" w:eastAsia="宋体"/>
          <w:b w:val="0"/>
          <w:color w:val="auto"/>
          <w:sz w:val="21"/>
          <w:szCs w:val="21"/>
          <w:highlight w:val="none"/>
        </w:rPr>
      </w:pPr>
      <w:r>
        <w:rPr>
          <w:rFonts w:ascii="宋体" w:hAnsi="宋体" w:eastAsia="宋体"/>
          <w:bCs w:val="0"/>
          <w:color w:val="auto"/>
          <w:sz w:val="21"/>
          <w:szCs w:val="21"/>
          <w:highlight w:val="none"/>
        </w:rPr>
        <w:t xml:space="preserve">   </w:t>
      </w:r>
      <w:r>
        <w:rPr>
          <w:rFonts w:ascii="宋体" w:hAnsi="宋体" w:eastAsia="宋体"/>
          <w:b w:val="0"/>
          <w:color w:val="auto"/>
          <w:sz w:val="21"/>
          <w:szCs w:val="21"/>
          <w:highlight w:val="none"/>
        </w:rPr>
        <w:t xml:space="preserve"> </w:t>
      </w:r>
      <w:bookmarkStart w:id="222" w:name="_Toc351203485"/>
      <w:r>
        <w:rPr>
          <w:rFonts w:ascii="宋体" w:hAnsi="宋体" w:eastAsia="宋体"/>
          <w:b w:val="0"/>
          <w:color w:val="auto"/>
          <w:sz w:val="21"/>
          <w:szCs w:val="21"/>
          <w:highlight w:val="none"/>
        </w:rPr>
        <w:t>五、</w:t>
      </w:r>
      <w:bookmarkEnd w:id="222"/>
      <w:r>
        <w:rPr>
          <w:rFonts w:ascii="宋体" w:hAnsi="宋体" w:eastAsia="宋体"/>
          <w:b w:val="0"/>
          <w:color w:val="auto"/>
          <w:sz w:val="21"/>
          <w:szCs w:val="21"/>
          <w:highlight w:val="none"/>
        </w:rPr>
        <w:t>项目经理</w:t>
      </w:r>
    </w:p>
    <w:p w14:paraId="58C5DD87">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ascii="宋体" w:hAnsi="宋体"/>
          <w:color w:val="auto"/>
          <w:sz w:val="21"/>
          <w:szCs w:val="21"/>
          <w:highlight w:val="none"/>
        </w:rPr>
        <w:t>承包人项目经理：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C340D21">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r>
        <w:rPr>
          <w:rFonts w:ascii="宋体" w:hAnsi="宋体" w:eastAsia="宋体"/>
          <w:b w:val="0"/>
          <w:color w:val="auto"/>
          <w:sz w:val="21"/>
          <w:szCs w:val="21"/>
          <w:highlight w:val="none"/>
        </w:rPr>
        <w:t xml:space="preserve"> </w:t>
      </w:r>
      <w:bookmarkStart w:id="223" w:name="_Toc351203486"/>
      <w:r>
        <w:rPr>
          <w:rFonts w:ascii="宋体" w:hAnsi="宋体" w:eastAsia="宋体"/>
          <w:b w:val="0"/>
          <w:color w:val="auto"/>
          <w:sz w:val="21"/>
          <w:szCs w:val="21"/>
          <w:highlight w:val="none"/>
        </w:rPr>
        <w:t>六、合同文件构成</w:t>
      </w:r>
      <w:bookmarkEnd w:id="223"/>
    </w:p>
    <w:p w14:paraId="45EA0EA5">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本协议书与下列文件一起构成合同文件：</w:t>
      </w:r>
    </w:p>
    <w:p w14:paraId="75DA2BA6">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（1）中标（成交）通知书（如果有）；</w:t>
      </w:r>
    </w:p>
    <w:p w14:paraId="4CFD3627">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lang w:eastAsia="zh-CN"/>
        </w:rPr>
        <w:t>磋商</w:t>
      </w:r>
      <w:r>
        <w:rPr>
          <w:rFonts w:hint="eastAsia" w:ascii="宋体" w:hAnsi="宋体"/>
          <w:color w:val="auto"/>
          <w:sz w:val="21"/>
          <w:szCs w:val="21"/>
          <w:highlight w:val="none"/>
        </w:rPr>
        <w:t xml:space="preserve">函及其附录（如果有）； </w:t>
      </w:r>
    </w:p>
    <w:p w14:paraId="44AED9DA">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（3）专用合同条款及其附件；</w:t>
      </w:r>
    </w:p>
    <w:p w14:paraId="791D43E4">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（4）通用合同条款；</w:t>
      </w:r>
    </w:p>
    <w:p w14:paraId="1E40AD50">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（5）技术标准和要求；</w:t>
      </w:r>
    </w:p>
    <w:p w14:paraId="1F629FAC">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（6）图纸；</w:t>
      </w:r>
    </w:p>
    <w:p w14:paraId="03AE662B">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（7）已标价工程量清单或预算书；</w:t>
      </w:r>
    </w:p>
    <w:p w14:paraId="6AC82CCF">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（8）其他合同文件。</w:t>
      </w:r>
    </w:p>
    <w:p w14:paraId="5422AE78">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在合同订立及履行过程中形成的与合同有关的文件均构成合同文件组成部分。</w:t>
      </w:r>
    </w:p>
    <w:p w14:paraId="4D601CBE">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7E9B0103">
      <w:pPr>
        <w:pStyle w:val="6"/>
        <w:pageBreakBefore w:val="0"/>
        <w:kinsoku/>
        <w:wordWrap/>
        <w:topLinePunct w:val="0"/>
        <w:bidi w:val="0"/>
        <w:snapToGrid/>
        <w:spacing w:before="120" w:after="120" w:line="440" w:lineRule="exact"/>
        <w:rPr>
          <w:rFonts w:ascii="宋体" w:hAnsi="宋体" w:eastAsia="宋体"/>
          <w:b w:val="0"/>
          <w:bCs w:val="0"/>
          <w:color w:val="auto"/>
          <w:sz w:val="21"/>
          <w:szCs w:val="21"/>
          <w:highlight w:val="none"/>
        </w:rPr>
      </w:pPr>
      <w:r>
        <w:rPr>
          <w:rFonts w:ascii="宋体" w:hAnsi="宋体" w:eastAsia="宋体"/>
          <w:b w:val="0"/>
          <w:bCs w:val="0"/>
          <w:color w:val="auto"/>
          <w:sz w:val="21"/>
          <w:szCs w:val="21"/>
          <w:highlight w:val="none"/>
        </w:rPr>
        <w:t xml:space="preserve">   </w:t>
      </w:r>
      <w:r>
        <w:rPr>
          <w:rFonts w:ascii="宋体" w:hAnsi="宋体" w:eastAsia="宋体"/>
          <w:b w:val="0"/>
          <w:color w:val="auto"/>
          <w:sz w:val="21"/>
          <w:szCs w:val="21"/>
          <w:highlight w:val="none"/>
        </w:rPr>
        <w:t xml:space="preserve"> </w:t>
      </w:r>
      <w:bookmarkStart w:id="224" w:name="_Toc351203487"/>
      <w:r>
        <w:rPr>
          <w:rFonts w:ascii="宋体" w:hAnsi="宋体" w:eastAsia="宋体"/>
          <w:b w:val="0"/>
          <w:color w:val="auto"/>
          <w:sz w:val="21"/>
          <w:szCs w:val="21"/>
          <w:highlight w:val="none"/>
        </w:rPr>
        <w:t>七、承诺</w:t>
      </w:r>
      <w:bookmarkEnd w:id="224"/>
    </w:p>
    <w:p w14:paraId="22BD2DA6">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1.发包人承诺按照法律规定履行项目审批手续、筹集工程建设资金并按照合同约定的期限和方式支付合同价款。</w:t>
      </w:r>
    </w:p>
    <w:p w14:paraId="1EE8559C">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7CB9DB5B">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3.发包人和承包人通过招投标形式签订合同的，双方理解并承诺不再就同一工程另行签订与合同实质性内容相背离的协议。</w:t>
      </w:r>
    </w:p>
    <w:p w14:paraId="7855A855">
      <w:pPr>
        <w:pStyle w:val="6"/>
        <w:pageBreakBefore w:val="0"/>
        <w:kinsoku/>
        <w:wordWrap/>
        <w:topLinePunct w:val="0"/>
        <w:bidi w:val="0"/>
        <w:snapToGrid/>
        <w:spacing w:before="120" w:after="120" w:line="440" w:lineRule="exact"/>
        <w:rPr>
          <w:rFonts w:ascii="宋体" w:hAnsi="宋体" w:eastAsia="宋体"/>
          <w:b w:val="0"/>
          <w:bCs w:val="0"/>
          <w:color w:val="auto"/>
          <w:sz w:val="21"/>
          <w:szCs w:val="21"/>
          <w:highlight w:val="none"/>
        </w:rPr>
      </w:pPr>
      <w:bookmarkStart w:id="225" w:name="_Toc351203488"/>
      <w:r>
        <w:rPr>
          <w:rFonts w:ascii="宋体" w:hAnsi="宋体" w:eastAsia="宋体"/>
          <w:b w:val="0"/>
          <w:bCs w:val="0"/>
          <w:color w:val="auto"/>
          <w:sz w:val="21"/>
          <w:szCs w:val="21"/>
          <w:highlight w:val="none"/>
        </w:rPr>
        <w:t xml:space="preserve">    八、词语含义</w:t>
      </w:r>
      <w:bookmarkEnd w:id="225"/>
    </w:p>
    <w:p w14:paraId="5312E2EA">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ascii="宋体" w:hAnsi="宋体"/>
          <w:bCs/>
          <w:color w:val="auto"/>
          <w:sz w:val="21"/>
          <w:szCs w:val="21"/>
          <w:highlight w:val="none"/>
        </w:rPr>
        <w:t>本协议书中词语含义与第二部分通用合同条款中赋予的含义相同。</w:t>
      </w:r>
    </w:p>
    <w:p w14:paraId="53450EB6">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r>
        <w:rPr>
          <w:rFonts w:ascii="宋体" w:hAnsi="宋体" w:eastAsia="宋体"/>
          <w:b w:val="0"/>
          <w:color w:val="auto"/>
          <w:sz w:val="21"/>
          <w:szCs w:val="21"/>
          <w:highlight w:val="none"/>
        </w:rPr>
        <w:t xml:space="preserve">  </w:t>
      </w:r>
      <w:bookmarkStart w:id="226" w:name="_Toc351203489"/>
      <w:r>
        <w:rPr>
          <w:rFonts w:ascii="宋体" w:hAnsi="宋体" w:eastAsia="宋体"/>
          <w:b w:val="0"/>
          <w:color w:val="auto"/>
          <w:sz w:val="21"/>
          <w:szCs w:val="21"/>
          <w:highlight w:val="none"/>
        </w:rPr>
        <w:t>九、签订时间</w:t>
      </w:r>
      <w:bookmarkEnd w:id="226"/>
    </w:p>
    <w:p w14:paraId="35E79108">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ascii="宋体" w:hAnsi="宋体"/>
          <w:bCs/>
          <w:color w:val="auto"/>
          <w:sz w:val="21"/>
          <w:szCs w:val="21"/>
          <w:highlight w:val="none"/>
        </w:rPr>
        <w:t>本合同于</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ascii="宋体" w:hAnsi="宋体"/>
          <w:bCs/>
          <w:color w:val="auto"/>
          <w:sz w:val="21"/>
          <w:szCs w:val="21"/>
          <w:highlight w:val="none"/>
        </w:rPr>
        <w:t>年</w:t>
      </w:r>
      <w:r>
        <w:rPr>
          <w:rFonts w:ascii="宋体" w:hAnsi="宋体"/>
          <w:bCs/>
          <w:color w:val="auto"/>
          <w:sz w:val="21"/>
          <w:szCs w:val="21"/>
          <w:highlight w:val="none"/>
          <w:u w:val="single"/>
        </w:rPr>
        <w:t xml:space="preserve">    </w:t>
      </w:r>
      <w:r>
        <w:rPr>
          <w:rFonts w:ascii="宋体" w:hAnsi="宋体"/>
          <w:bCs/>
          <w:color w:val="auto"/>
          <w:sz w:val="21"/>
          <w:szCs w:val="21"/>
          <w:highlight w:val="none"/>
        </w:rPr>
        <w:t>月</w:t>
      </w:r>
      <w:r>
        <w:rPr>
          <w:rFonts w:ascii="宋体" w:hAnsi="宋体"/>
          <w:bCs/>
          <w:color w:val="auto"/>
          <w:sz w:val="21"/>
          <w:szCs w:val="21"/>
          <w:highlight w:val="none"/>
          <w:u w:val="single"/>
        </w:rPr>
        <w:t xml:space="preserve">    </w:t>
      </w:r>
      <w:r>
        <w:rPr>
          <w:rFonts w:ascii="宋体" w:hAnsi="宋体"/>
          <w:bCs/>
          <w:color w:val="auto"/>
          <w:sz w:val="21"/>
          <w:szCs w:val="21"/>
          <w:highlight w:val="none"/>
        </w:rPr>
        <w:t>日签订。</w:t>
      </w:r>
    </w:p>
    <w:p w14:paraId="437543A6">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bookmarkStart w:id="227" w:name="_Toc351203490"/>
      <w:r>
        <w:rPr>
          <w:rFonts w:ascii="宋体" w:hAnsi="宋体" w:eastAsia="宋体"/>
          <w:b w:val="0"/>
          <w:color w:val="auto"/>
          <w:sz w:val="21"/>
          <w:szCs w:val="21"/>
          <w:highlight w:val="none"/>
        </w:rPr>
        <w:t>十、签订地点</w:t>
      </w:r>
      <w:bookmarkEnd w:id="227"/>
    </w:p>
    <w:p w14:paraId="6E7EDDD3">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ascii="宋体" w:hAnsi="宋体"/>
          <w:bCs/>
          <w:color w:val="auto"/>
          <w:sz w:val="21"/>
          <w:szCs w:val="21"/>
          <w:highlight w:val="none"/>
        </w:rPr>
        <w:t>本合同在</w:t>
      </w:r>
      <w:r>
        <w:rPr>
          <w:rFonts w:ascii="宋体" w:hAnsi="宋体"/>
          <w:bCs/>
          <w:color w:val="auto"/>
          <w:sz w:val="21"/>
          <w:szCs w:val="21"/>
          <w:highlight w:val="none"/>
          <w:u w:val="single"/>
        </w:rPr>
        <w:t xml:space="preserve">   </w:t>
      </w:r>
      <w:r>
        <w:rPr>
          <w:rFonts w:hint="eastAsia" w:ascii="宋体" w:hAnsi="宋体"/>
          <w:b/>
          <w:bCs w:val="0"/>
          <w:color w:val="auto"/>
          <w:sz w:val="21"/>
          <w:szCs w:val="21"/>
          <w:highlight w:val="none"/>
          <w:u w:val="single"/>
          <w:lang w:val="en-US" w:eastAsia="zh-CN"/>
        </w:rPr>
        <w:t xml:space="preserve">     </w:t>
      </w:r>
      <w:r>
        <w:rPr>
          <w:rFonts w:ascii="宋体" w:hAnsi="宋体"/>
          <w:bCs/>
          <w:color w:val="auto"/>
          <w:sz w:val="21"/>
          <w:szCs w:val="21"/>
          <w:highlight w:val="none"/>
          <w:u w:val="single"/>
        </w:rPr>
        <w:t xml:space="preserve">   </w:t>
      </w:r>
      <w:r>
        <w:rPr>
          <w:rFonts w:ascii="宋体" w:hAnsi="宋体"/>
          <w:bCs/>
          <w:color w:val="auto"/>
          <w:sz w:val="21"/>
          <w:szCs w:val="21"/>
          <w:highlight w:val="none"/>
        </w:rPr>
        <w:t>签订。</w:t>
      </w:r>
    </w:p>
    <w:p w14:paraId="6C2DB540">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bookmarkStart w:id="228" w:name="_Toc351203491"/>
      <w:r>
        <w:rPr>
          <w:rFonts w:ascii="宋体" w:hAnsi="宋体" w:eastAsia="宋体"/>
          <w:b w:val="0"/>
          <w:color w:val="auto"/>
          <w:sz w:val="21"/>
          <w:szCs w:val="21"/>
          <w:highlight w:val="none"/>
        </w:rPr>
        <w:t>十一、补充协议</w:t>
      </w:r>
      <w:bookmarkEnd w:id="228"/>
    </w:p>
    <w:p w14:paraId="73671329">
      <w:pPr>
        <w:pageBreakBefore w:val="0"/>
        <w:kinsoku/>
        <w:wordWrap/>
        <w:topLinePunct w:val="0"/>
        <w:bidi w:val="0"/>
        <w:snapToGrid/>
        <w:spacing w:line="440" w:lineRule="exact"/>
        <w:ind w:firstLine="420" w:firstLineChars="200"/>
        <w:rPr>
          <w:rFonts w:ascii="宋体" w:hAnsi="宋体"/>
          <w:b/>
          <w:bCs/>
          <w:color w:val="auto"/>
          <w:sz w:val="21"/>
          <w:szCs w:val="21"/>
          <w:highlight w:val="none"/>
        </w:rPr>
      </w:pPr>
      <w:r>
        <w:rPr>
          <w:rFonts w:ascii="宋体" w:hAnsi="宋体"/>
          <w:bCs/>
          <w:color w:val="auto"/>
          <w:sz w:val="21"/>
          <w:szCs w:val="21"/>
          <w:highlight w:val="none"/>
        </w:rPr>
        <w:t>合同未尽事宜，合同当事人另行签订补充协议</w:t>
      </w:r>
      <w:r>
        <w:rPr>
          <w:rFonts w:hint="eastAsia" w:ascii="宋体" w:hAnsi="宋体"/>
          <w:bCs/>
          <w:color w:val="auto"/>
          <w:sz w:val="21"/>
          <w:szCs w:val="21"/>
          <w:highlight w:val="none"/>
        </w:rPr>
        <w:t>，</w:t>
      </w:r>
      <w:r>
        <w:rPr>
          <w:rFonts w:ascii="宋体" w:hAnsi="宋体"/>
          <w:bCs/>
          <w:color w:val="auto"/>
          <w:sz w:val="21"/>
          <w:szCs w:val="21"/>
          <w:highlight w:val="none"/>
        </w:rPr>
        <w:t>补充协议是合同的组成部分。</w:t>
      </w:r>
    </w:p>
    <w:p w14:paraId="58E5041D">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bookmarkStart w:id="229" w:name="_Toc351203492"/>
      <w:r>
        <w:rPr>
          <w:rFonts w:ascii="宋体" w:hAnsi="宋体" w:eastAsia="宋体"/>
          <w:b w:val="0"/>
          <w:color w:val="auto"/>
          <w:sz w:val="21"/>
          <w:szCs w:val="21"/>
          <w:highlight w:val="none"/>
        </w:rPr>
        <w:t>十二、合同生效</w:t>
      </w:r>
      <w:bookmarkEnd w:id="229"/>
    </w:p>
    <w:p w14:paraId="61F26FED">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ascii="宋体" w:hAnsi="宋体"/>
          <w:bCs/>
          <w:color w:val="auto"/>
          <w:sz w:val="21"/>
          <w:szCs w:val="21"/>
          <w:highlight w:val="none"/>
        </w:rPr>
        <w:t>本合同自</w:t>
      </w:r>
      <w:r>
        <w:rPr>
          <w:rFonts w:hint="eastAsia" w:ascii="宋体" w:hAnsi="宋体"/>
          <w:bCs/>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bCs/>
          <w:color w:val="auto"/>
          <w:sz w:val="21"/>
          <w:szCs w:val="21"/>
          <w:highlight w:val="none"/>
          <w:u w:val="single"/>
        </w:rPr>
        <w:t xml:space="preserve"> </w:t>
      </w:r>
      <w:r>
        <w:rPr>
          <w:rFonts w:ascii="宋体" w:hAnsi="宋体"/>
          <w:bCs/>
          <w:color w:val="auto"/>
          <w:sz w:val="21"/>
          <w:szCs w:val="21"/>
          <w:highlight w:val="none"/>
        </w:rPr>
        <w:t>生效。</w:t>
      </w:r>
    </w:p>
    <w:p w14:paraId="52AA1B55">
      <w:pPr>
        <w:pStyle w:val="6"/>
        <w:pageBreakBefore w:val="0"/>
        <w:kinsoku/>
        <w:wordWrap/>
        <w:topLinePunct w:val="0"/>
        <w:bidi w:val="0"/>
        <w:snapToGrid/>
        <w:spacing w:before="120" w:after="120" w:line="44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    </w:t>
      </w:r>
      <w:bookmarkStart w:id="230" w:name="_Toc351203493"/>
      <w:r>
        <w:rPr>
          <w:rFonts w:ascii="宋体" w:hAnsi="宋体" w:eastAsia="宋体"/>
          <w:b w:val="0"/>
          <w:color w:val="auto"/>
          <w:sz w:val="21"/>
          <w:szCs w:val="21"/>
          <w:highlight w:val="none"/>
        </w:rPr>
        <w:t>十三、合同份数</w:t>
      </w:r>
      <w:bookmarkEnd w:id="230"/>
    </w:p>
    <w:p w14:paraId="59FD03EB">
      <w:pPr>
        <w:pageBreakBefore w:val="0"/>
        <w:kinsoku/>
        <w:wordWrap/>
        <w:topLinePunct w:val="0"/>
        <w:bidi w:val="0"/>
        <w:snapToGrid/>
        <w:spacing w:line="440" w:lineRule="exact"/>
        <w:ind w:firstLine="420" w:firstLineChars="200"/>
        <w:rPr>
          <w:rFonts w:ascii="宋体" w:hAnsi="宋体"/>
          <w:bCs/>
          <w:color w:val="auto"/>
          <w:sz w:val="21"/>
          <w:szCs w:val="21"/>
          <w:highlight w:val="none"/>
        </w:rPr>
      </w:pPr>
      <w:r>
        <w:rPr>
          <w:rFonts w:ascii="宋体" w:hAnsi="宋体"/>
          <w:bCs/>
          <w:color w:val="auto"/>
          <w:sz w:val="21"/>
          <w:szCs w:val="21"/>
          <w:highlight w:val="none"/>
        </w:rPr>
        <w:t>本合同一式</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ascii="宋体" w:hAnsi="宋体"/>
          <w:bCs/>
          <w:color w:val="auto"/>
          <w:sz w:val="21"/>
          <w:szCs w:val="21"/>
          <w:highlight w:val="none"/>
        </w:rPr>
        <w:t>份，均具有同等法律效力，发包人执</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ascii="宋体" w:hAnsi="宋体"/>
          <w:bCs/>
          <w:color w:val="auto"/>
          <w:sz w:val="21"/>
          <w:szCs w:val="21"/>
          <w:highlight w:val="none"/>
        </w:rPr>
        <w:t>份，承包人执</w:t>
      </w:r>
      <w:r>
        <w:rPr>
          <w:rFonts w:ascii="宋体" w:hAnsi="宋体"/>
          <w:bCs/>
          <w:color w:val="auto"/>
          <w:sz w:val="21"/>
          <w:szCs w:val="21"/>
          <w:highlight w:val="none"/>
          <w:u w:val="single"/>
        </w:rPr>
        <w:t xml:space="preserve">  </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u w:val="single"/>
        </w:rPr>
        <w:t xml:space="preserve"> </w:t>
      </w:r>
      <w:r>
        <w:rPr>
          <w:rFonts w:ascii="宋体" w:hAnsi="宋体"/>
          <w:bCs/>
          <w:color w:val="auto"/>
          <w:sz w:val="21"/>
          <w:szCs w:val="21"/>
          <w:highlight w:val="none"/>
        </w:rPr>
        <w:t>份。</w:t>
      </w:r>
    </w:p>
    <w:p w14:paraId="516AFB61">
      <w:pPr>
        <w:pStyle w:val="34"/>
        <w:pageBreakBefore w:val="0"/>
        <w:kinsoku/>
        <w:wordWrap/>
        <w:topLinePunct w:val="0"/>
        <w:bidi w:val="0"/>
        <w:snapToGrid/>
        <w:spacing w:line="440" w:lineRule="exact"/>
        <w:rPr>
          <w:bCs/>
          <w:color w:val="auto"/>
          <w:sz w:val="21"/>
          <w:szCs w:val="21"/>
          <w:highlight w:val="none"/>
        </w:rPr>
      </w:pPr>
    </w:p>
    <w:p w14:paraId="0F0B88D9">
      <w:pPr>
        <w:pStyle w:val="34"/>
        <w:pageBreakBefore w:val="0"/>
        <w:kinsoku/>
        <w:wordWrap/>
        <w:topLinePunct w:val="0"/>
        <w:bidi w:val="0"/>
        <w:snapToGrid/>
        <w:spacing w:line="440" w:lineRule="exact"/>
        <w:rPr>
          <w:bCs/>
          <w:color w:val="auto"/>
          <w:sz w:val="21"/>
          <w:szCs w:val="21"/>
          <w:highlight w:val="none"/>
        </w:rPr>
      </w:pPr>
    </w:p>
    <w:p w14:paraId="23787CE4">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ascii="宋体" w:hAnsi="宋体"/>
          <w:color w:val="auto"/>
          <w:sz w:val="21"/>
          <w:szCs w:val="21"/>
          <w:highlight w:val="none"/>
        </w:rPr>
        <w:t>发包人</w:t>
      </w:r>
      <w:r>
        <w:rPr>
          <w:rFonts w:hint="eastAsia" w:ascii="宋体" w:hAnsi="宋体"/>
          <w:color w:val="auto"/>
          <w:sz w:val="21"/>
          <w:szCs w:val="21"/>
          <w:highlight w:val="none"/>
        </w:rPr>
        <w:t xml:space="preserve">：  </w:t>
      </w:r>
      <w:r>
        <w:rPr>
          <w:rFonts w:ascii="宋体" w:hAnsi="宋体"/>
          <w:color w:val="auto"/>
          <w:sz w:val="21"/>
          <w:szCs w:val="21"/>
          <w:highlight w:val="none"/>
        </w:rPr>
        <w:t>(公章)</w:t>
      </w:r>
      <w:r>
        <w:rPr>
          <w:rFonts w:hint="eastAsia" w:ascii="宋体" w:hAnsi="宋体"/>
          <w:color w:val="auto"/>
          <w:sz w:val="21"/>
          <w:szCs w:val="21"/>
          <w:highlight w:val="none"/>
        </w:rPr>
        <w:t xml:space="preserve">             </w:t>
      </w:r>
      <w:r>
        <w:rPr>
          <w:rFonts w:ascii="宋体" w:hAnsi="宋体"/>
          <w:color w:val="auto"/>
          <w:sz w:val="21"/>
          <w:szCs w:val="21"/>
          <w:highlight w:val="none"/>
        </w:rPr>
        <w:t>承包人</w:t>
      </w:r>
      <w:r>
        <w:rPr>
          <w:rFonts w:hint="eastAsia" w:ascii="宋体" w:hAnsi="宋体"/>
          <w:color w:val="auto"/>
          <w:sz w:val="21"/>
          <w:szCs w:val="21"/>
          <w:highlight w:val="none"/>
        </w:rPr>
        <w:t xml:space="preserve">：  </w:t>
      </w:r>
      <w:r>
        <w:rPr>
          <w:rFonts w:ascii="宋体" w:hAnsi="宋体"/>
          <w:color w:val="auto"/>
          <w:sz w:val="21"/>
          <w:szCs w:val="21"/>
          <w:highlight w:val="none"/>
        </w:rPr>
        <w:t>(公章)</w:t>
      </w:r>
      <w:r>
        <w:rPr>
          <w:rFonts w:hint="eastAsia" w:ascii="宋体" w:hAnsi="宋体"/>
          <w:color w:val="auto"/>
          <w:sz w:val="21"/>
          <w:szCs w:val="21"/>
          <w:highlight w:val="none"/>
        </w:rPr>
        <w:t xml:space="preserve">  </w:t>
      </w:r>
    </w:p>
    <w:p w14:paraId="399770F2">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hint="eastAsia" w:ascii="宋体" w:hAnsi="宋体"/>
          <w:color w:val="auto"/>
          <w:sz w:val="21"/>
          <w:szCs w:val="21"/>
          <w:highlight w:val="none"/>
        </w:rPr>
        <w:t>法定代表人或其委托代理人：  法定代表人或其委托代理人：</w:t>
      </w:r>
    </w:p>
    <w:p w14:paraId="0CA836F1">
      <w:pPr>
        <w:pageBreakBefore w:val="0"/>
        <w:kinsoku/>
        <w:wordWrap/>
        <w:topLinePunct w:val="0"/>
        <w:bidi w:val="0"/>
        <w:snapToGrid/>
        <w:spacing w:line="440" w:lineRule="exact"/>
        <w:ind w:firstLine="420" w:firstLineChars="200"/>
        <w:rPr>
          <w:rFonts w:ascii="宋体" w:hAnsi="宋体"/>
          <w:color w:val="auto"/>
          <w:sz w:val="21"/>
          <w:szCs w:val="21"/>
          <w:highlight w:val="none"/>
        </w:rPr>
      </w:pPr>
      <w:r>
        <w:rPr>
          <w:rFonts w:hint="eastAsia" w:ascii="宋体" w:hAnsi="宋体"/>
          <w:color w:val="auto"/>
          <w:sz w:val="21"/>
          <w:szCs w:val="21"/>
          <w:highlight w:val="none"/>
        </w:rPr>
        <w:t>（签字）                    （签字）</w:t>
      </w:r>
    </w:p>
    <w:p w14:paraId="30CDC63A">
      <w:pPr>
        <w:pageBreakBefore w:val="0"/>
        <w:tabs>
          <w:tab w:val="left" w:pos="4410"/>
        </w:tabs>
        <w:kinsoku/>
        <w:wordWrap/>
        <w:topLinePunct w:val="0"/>
        <w:bidi w:val="0"/>
        <w:snapToGrid/>
        <w:spacing w:line="440" w:lineRule="exact"/>
        <w:ind w:firstLine="210" w:firstLineChars="100"/>
        <w:rPr>
          <w:rFonts w:ascii="宋体" w:hAnsi="宋体"/>
          <w:color w:val="auto"/>
          <w:sz w:val="21"/>
          <w:szCs w:val="21"/>
          <w:highlight w:val="none"/>
        </w:rPr>
      </w:pPr>
      <w:r>
        <w:rPr>
          <w:rFonts w:hint="eastAsia" w:ascii="宋体" w:hAnsi="宋体"/>
          <w:color w:val="auto"/>
          <w:sz w:val="21"/>
          <w:szCs w:val="21"/>
          <w:highlight w:val="none"/>
        </w:rPr>
        <w:t>组织机构代码：</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组织机构代码：</w:t>
      </w:r>
      <w:r>
        <w:rPr>
          <w:rFonts w:hint="eastAsia" w:ascii="宋体" w:hAnsi="宋体"/>
          <w:color w:val="auto"/>
          <w:sz w:val="21"/>
          <w:szCs w:val="21"/>
          <w:highlight w:val="none"/>
          <w:u w:val="single"/>
        </w:rPr>
        <w:t xml:space="preserve">                     </w:t>
      </w:r>
    </w:p>
    <w:p w14:paraId="1F56A7D2">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地  址：</w:t>
      </w:r>
      <w:r>
        <w:rPr>
          <w:rFonts w:hint="eastAsia" w:ascii="宋体" w:hAnsi="宋体"/>
          <w:color w:val="auto"/>
          <w:sz w:val="21"/>
          <w:szCs w:val="21"/>
          <w:highlight w:val="none"/>
          <w:u w:val="single"/>
        </w:rPr>
        <w:t xml:space="preserve">                           </w:t>
      </w:r>
      <w:r>
        <w:rPr>
          <w:rFonts w:ascii="宋体" w:hAnsi="宋体"/>
          <w:color w:val="auto"/>
          <w:sz w:val="21"/>
          <w:szCs w:val="21"/>
          <w:highlight w:val="none"/>
        </w:rPr>
        <w:t>地  址：</w:t>
      </w:r>
      <w:r>
        <w:rPr>
          <w:rFonts w:hint="eastAsia" w:ascii="宋体" w:hAnsi="宋体"/>
          <w:color w:val="auto"/>
          <w:sz w:val="21"/>
          <w:szCs w:val="21"/>
          <w:highlight w:val="none"/>
          <w:u w:val="single"/>
        </w:rPr>
        <w:t xml:space="preserve">                           </w:t>
      </w:r>
    </w:p>
    <w:p w14:paraId="287126B3">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邮政编码：</w:t>
      </w:r>
      <w:r>
        <w:rPr>
          <w:rFonts w:hint="eastAsia" w:ascii="宋体" w:hAnsi="宋体"/>
          <w:color w:val="auto"/>
          <w:sz w:val="21"/>
          <w:szCs w:val="21"/>
          <w:highlight w:val="none"/>
          <w:u w:val="single"/>
        </w:rPr>
        <w:t xml:space="preserve">                         </w:t>
      </w:r>
      <w:r>
        <w:rPr>
          <w:rFonts w:ascii="宋体" w:hAnsi="宋体"/>
          <w:color w:val="auto"/>
          <w:sz w:val="21"/>
          <w:szCs w:val="21"/>
          <w:highlight w:val="none"/>
        </w:rPr>
        <w:t>邮政编码：</w:t>
      </w:r>
      <w:r>
        <w:rPr>
          <w:rFonts w:hint="eastAsia" w:ascii="宋体" w:hAnsi="宋体"/>
          <w:color w:val="auto"/>
          <w:sz w:val="21"/>
          <w:szCs w:val="21"/>
          <w:highlight w:val="none"/>
          <w:u w:val="single"/>
        </w:rPr>
        <w:t xml:space="preserve">                         </w:t>
      </w:r>
    </w:p>
    <w:p w14:paraId="1839E855">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法定代表人：</w:t>
      </w:r>
      <w:r>
        <w:rPr>
          <w:rFonts w:hint="eastAsia" w:ascii="宋体" w:hAnsi="宋体"/>
          <w:color w:val="auto"/>
          <w:sz w:val="21"/>
          <w:szCs w:val="21"/>
          <w:highlight w:val="none"/>
          <w:u w:val="single"/>
        </w:rPr>
        <w:t xml:space="preserve">                       </w:t>
      </w:r>
      <w:r>
        <w:rPr>
          <w:rFonts w:ascii="宋体" w:hAnsi="宋体"/>
          <w:color w:val="auto"/>
          <w:sz w:val="21"/>
          <w:szCs w:val="21"/>
          <w:highlight w:val="none"/>
        </w:rPr>
        <w:t>法定代表人：</w:t>
      </w:r>
      <w:r>
        <w:rPr>
          <w:rFonts w:hint="eastAsia" w:ascii="宋体" w:hAnsi="宋体"/>
          <w:color w:val="auto"/>
          <w:sz w:val="21"/>
          <w:szCs w:val="21"/>
          <w:highlight w:val="none"/>
          <w:u w:val="single"/>
        </w:rPr>
        <w:t xml:space="preserve">                       </w:t>
      </w:r>
    </w:p>
    <w:p w14:paraId="2E2C430C">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委托代理人：</w:t>
      </w:r>
      <w:r>
        <w:rPr>
          <w:rFonts w:hint="eastAsia" w:ascii="宋体" w:hAnsi="宋体"/>
          <w:color w:val="auto"/>
          <w:sz w:val="21"/>
          <w:szCs w:val="21"/>
          <w:highlight w:val="none"/>
          <w:u w:val="single"/>
        </w:rPr>
        <w:t xml:space="preserve">                       </w:t>
      </w:r>
      <w:r>
        <w:rPr>
          <w:rFonts w:ascii="宋体" w:hAnsi="宋体"/>
          <w:color w:val="auto"/>
          <w:sz w:val="21"/>
          <w:szCs w:val="21"/>
          <w:highlight w:val="none"/>
        </w:rPr>
        <w:t>委托代理人：</w:t>
      </w:r>
      <w:r>
        <w:rPr>
          <w:rFonts w:hint="eastAsia" w:ascii="宋体" w:hAnsi="宋体"/>
          <w:color w:val="auto"/>
          <w:sz w:val="21"/>
          <w:szCs w:val="21"/>
          <w:highlight w:val="none"/>
          <w:u w:val="single"/>
        </w:rPr>
        <w:t xml:space="preserve">                       </w:t>
      </w:r>
    </w:p>
    <w:p w14:paraId="4FE24109">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电  话：</w:t>
      </w:r>
      <w:r>
        <w:rPr>
          <w:rFonts w:hint="eastAsia" w:ascii="宋体" w:hAnsi="宋体"/>
          <w:color w:val="auto"/>
          <w:sz w:val="21"/>
          <w:szCs w:val="21"/>
          <w:highlight w:val="none"/>
          <w:u w:val="single"/>
        </w:rPr>
        <w:t xml:space="preserve">                           </w:t>
      </w:r>
      <w:r>
        <w:rPr>
          <w:rFonts w:ascii="宋体" w:hAnsi="宋体"/>
          <w:color w:val="auto"/>
          <w:sz w:val="21"/>
          <w:szCs w:val="21"/>
          <w:highlight w:val="none"/>
        </w:rPr>
        <w:t>电  话：</w:t>
      </w:r>
      <w:r>
        <w:rPr>
          <w:rFonts w:hint="eastAsia" w:ascii="宋体" w:hAnsi="宋体"/>
          <w:color w:val="auto"/>
          <w:sz w:val="21"/>
          <w:szCs w:val="21"/>
          <w:highlight w:val="none"/>
          <w:u w:val="single"/>
        </w:rPr>
        <w:t xml:space="preserve">                           </w:t>
      </w:r>
    </w:p>
    <w:p w14:paraId="7686ECB3">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传  真：</w:t>
      </w:r>
      <w:r>
        <w:rPr>
          <w:rFonts w:hint="eastAsia" w:ascii="宋体" w:hAnsi="宋体"/>
          <w:color w:val="auto"/>
          <w:sz w:val="21"/>
          <w:szCs w:val="21"/>
          <w:highlight w:val="none"/>
          <w:u w:val="single"/>
        </w:rPr>
        <w:t xml:space="preserve">                           </w:t>
      </w:r>
      <w:r>
        <w:rPr>
          <w:rFonts w:ascii="宋体" w:hAnsi="宋体"/>
          <w:color w:val="auto"/>
          <w:sz w:val="21"/>
          <w:szCs w:val="21"/>
          <w:highlight w:val="none"/>
        </w:rPr>
        <w:t>传  真：</w:t>
      </w:r>
      <w:r>
        <w:rPr>
          <w:rFonts w:hint="eastAsia" w:ascii="宋体" w:hAnsi="宋体"/>
          <w:color w:val="auto"/>
          <w:sz w:val="21"/>
          <w:szCs w:val="21"/>
          <w:highlight w:val="none"/>
          <w:u w:val="single"/>
        </w:rPr>
        <w:t xml:space="preserve">                           </w:t>
      </w:r>
    </w:p>
    <w:p w14:paraId="2014EEC4">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电子信箱：</w:t>
      </w:r>
      <w:r>
        <w:rPr>
          <w:rFonts w:hint="eastAsia" w:ascii="宋体" w:hAnsi="宋体"/>
          <w:color w:val="auto"/>
          <w:sz w:val="21"/>
          <w:szCs w:val="21"/>
          <w:highlight w:val="none"/>
          <w:u w:val="single"/>
        </w:rPr>
        <w:t xml:space="preserve">                         </w:t>
      </w:r>
      <w:r>
        <w:rPr>
          <w:rFonts w:ascii="宋体" w:hAnsi="宋体"/>
          <w:color w:val="auto"/>
          <w:sz w:val="21"/>
          <w:szCs w:val="21"/>
          <w:highlight w:val="none"/>
        </w:rPr>
        <w:t>电子信箱：</w:t>
      </w:r>
      <w:r>
        <w:rPr>
          <w:rFonts w:hint="eastAsia" w:ascii="宋体" w:hAnsi="宋体"/>
          <w:color w:val="auto"/>
          <w:sz w:val="21"/>
          <w:szCs w:val="21"/>
          <w:highlight w:val="none"/>
          <w:u w:val="single"/>
        </w:rPr>
        <w:t xml:space="preserve">                         </w:t>
      </w:r>
    </w:p>
    <w:p w14:paraId="2BE50BF3">
      <w:pPr>
        <w:pageBreakBefore w:val="0"/>
        <w:kinsoku/>
        <w:wordWrap/>
        <w:topLinePunct w:val="0"/>
        <w:bidi w:val="0"/>
        <w:snapToGrid/>
        <w:spacing w:line="440" w:lineRule="exact"/>
        <w:ind w:firstLine="210" w:firstLineChars="100"/>
        <w:rPr>
          <w:rFonts w:ascii="宋体" w:hAnsi="宋体"/>
          <w:color w:val="auto"/>
          <w:sz w:val="21"/>
          <w:szCs w:val="21"/>
          <w:highlight w:val="none"/>
        </w:rPr>
      </w:pPr>
      <w:r>
        <w:rPr>
          <w:rFonts w:ascii="宋体" w:hAnsi="宋体"/>
          <w:color w:val="auto"/>
          <w:sz w:val="21"/>
          <w:szCs w:val="21"/>
          <w:highlight w:val="none"/>
        </w:rPr>
        <w:t>开户银行：</w:t>
      </w:r>
      <w:r>
        <w:rPr>
          <w:rFonts w:hint="eastAsia" w:ascii="宋体" w:hAnsi="宋体"/>
          <w:color w:val="auto"/>
          <w:sz w:val="21"/>
          <w:szCs w:val="21"/>
          <w:highlight w:val="none"/>
          <w:u w:val="single"/>
        </w:rPr>
        <w:t xml:space="preserve">                         </w:t>
      </w:r>
      <w:r>
        <w:rPr>
          <w:rFonts w:ascii="宋体" w:hAnsi="宋体"/>
          <w:color w:val="auto"/>
          <w:sz w:val="21"/>
          <w:szCs w:val="21"/>
          <w:highlight w:val="none"/>
        </w:rPr>
        <w:t>开户银行：</w:t>
      </w:r>
      <w:r>
        <w:rPr>
          <w:rFonts w:hint="eastAsia" w:ascii="宋体" w:hAnsi="宋体"/>
          <w:color w:val="auto"/>
          <w:sz w:val="21"/>
          <w:szCs w:val="21"/>
          <w:highlight w:val="none"/>
          <w:u w:val="single"/>
        </w:rPr>
        <w:t xml:space="preserve">                         </w:t>
      </w:r>
    </w:p>
    <w:p w14:paraId="121E777A">
      <w:pPr>
        <w:pageBreakBefore w:val="0"/>
        <w:kinsoku/>
        <w:wordWrap/>
        <w:topLinePunct w:val="0"/>
        <w:bidi w:val="0"/>
        <w:snapToGrid/>
        <w:spacing w:line="440" w:lineRule="exact"/>
        <w:ind w:firstLine="210" w:firstLineChars="100"/>
        <w:rPr>
          <w:rFonts w:ascii="宋体" w:hAnsi="宋体"/>
          <w:color w:val="auto"/>
          <w:sz w:val="21"/>
          <w:szCs w:val="21"/>
          <w:highlight w:val="none"/>
          <w:u w:val="single"/>
        </w:rPr>
      </w:pPr>
      <w:r>
        <w:rPr>
          <w:rFonts w:ascii="宋体" w:hAnsi="宋体"/>
          <w:color w:val="auto"/>
          <w:sz w:val="21"/>
          <w:szCs w:val="21"/>
          <w:highlight w:val="none"/>
        </w:rPr>
        <w:t>账  号：</w:t>
      </w:r>
      <w:r>
        <w:rPr>
          <w:rFonts w:hint="eastAsia" w:ascii="宋体" w:hAnsi="宋体"/>
          <w:color w:val="auto"/>
          <w:sz w:val="21"/>
          <w:szCs w:val="21"/>
          <w:highlight w:val="none"/>
          <w:u w:val="single"/>
        </w:rPr>
        <w:t xml:space="preserve">                           </w:t>
      </w:r>
      <w:r>
        <w:rPr>
          <w:rFonts w:ascii="宋体" w:hAnsi="宋体"/>
          <w:color w:val="auto"/>
          <w:sz w:val="21"/>
          <w:szCs w:val="21"/>
          <w:highlight w:val="none"/>
        </w:rPr>
        <w:t>账</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号：</w:t>
      </w:r>
      <w:bookmarkStart w:id="231" w:name="_Toc351203632"/>
      <w:r>
        <w:rPr>
          <w:rFonts w:hint="eastAsia" w:ascii="宋体" w:hAnsi="宋体"/>
          <w:color w:val="auto"/>
          <w:sz w:val="21"/>
          <w:szCs w:val="21"/>
          <w:highlight w:val="none"/>
          <w:u w:val="single"/>
        </w:rPr>
        <w:t xml:space="preserve">                           </w:t>
      </w:r>
    </w:p>
    <w:p w14:paraId="6BFD6E45">
      <w:pPr>
        <w:spacing w:line="360" w:lineRule="auto"/>
        <w:rPr>
          <w:rFonts w:ascii="宋体" w:hAnsi="宋体"/>
          <w:color w:val="auto"/>
          <w:sz w:val="21"/>
          <w:szCs w:val="21"/>
          <w:highlight w:val="none"/>
        </w:rPr>
      </w:pPr>
    </w:p>
    <w:p w14:paraId="29434610">
      <w:pPr>
        <w:spacing w:line="360" w:lineRule="auto"/>
        <w:rPr>
          <w:rFonts w:ascii="宋体" w:hAnsi="宋体"/>
          <w:color w:val="auto"/>
          <w:sz w:val="21"/>
          <w:szCs w:val="21"/>
          <w:highlight w:val="none"/>
        </w:rPr>
      </w:pPr>
    </w:p>
    <w:p w14:paraId="0C8F440E">
      <w:pPr>
        <w:rPr>
          <w:rFonts w:hAnsi="宋体"/>
          <w:color w:val="auto"/>
          <w:sz w:val="21"/>
          <w:szCs w:val="21"/>
          <w:highlight w:val="none"/>
        </w:rPr>
      </w:pPr>
      <w:bookmarkStart w:id="232" w:name="_Toc495488671"/>
      <w:bookmarkStart w:id="233" w:name="_Toc493593787"/>
      <w:bookmarkStart w:id="234" w:name="_Toc15824625"/>
      <w:bookmarkStart w:id="235" w:name="_Toc405056342"/>
    </w:p>
    <w:p w14:paraId="3D2C2244">
      <w:pPr>
        <w:pStyle w:val="38"/>
        <w:ind w:firstLine="468"/>
        <w:rPr>
          <w:rFonts w:hAnsi="宋体"/>
          <w:color w:val="auto"/>
          <w:sz w:val="21"/>
          <w:szCs w:val="21"/>
          <w:highlight w:val="none"/>
        </w:rPr>
      </w:pPr>
    </w:p>
    <w:p w14:paraId="0F548482">
      <w:pPr>
        <w:pStyle w:val="5"/>
        <w:ind w:firstLine="0" w:firstLineChars="0"/>
        <w:rPr>
          <w:rFonts w:hAnsi="宋体"/>
          <w:color w:val="auto"/>
          <w:sz w:val="30"/>
          <w:szCs w:val="30"/>
          <w:highlight w:val="none"/>
        </w:rPr>
      </w:pPr>
      <w:r>
        <w:rPr>
          <w:rFonts w:hAnsi="宋体"/>
          <w:color w:val="auto"/>
          <w:sz w:val="30"/>
          <w:szCs w:val="30"/>
          <w:highlight w:val="none"/>
        </w:rPr>
        <w:t xml:space="preserve">第二部分 </w:t>
      </w:r>
      <w:r>
        <w:rPr>
          <w:rFonts w:hint="eastAsia" w:hAnsi="宋体"/>
          <w:color w:val="auto"/>
          <w:sz w:val="30"/>
          <w:szCs w:val="30"/>
          <w:highlight w:val="none"/>
        </w:rPr>
        <w:t>通用合同条款</w:t>
      </w:r>
      <w:bookmarkEnd w:id="231"/>
      <w:bookmarkEnd w:id="232"/>
      <w:bookmarkEnd w:id="233"/>
      <w:bookmarkEnd w:id="234"/>
      <w:bookmarkEnd w:id="235"/>
    </w:p>
    <w:p w14:paraId="68D2AEED">
      <w:pPr>
        <w:rPr>
          <w:color w:val="auto"/>
          <w:sz w:val="21"/>
          <w:szCs w:val="21"/>
          <w:highlight w:val="none"/>
        </w:rPr>
      </w:pPr>
    </w:p>
    <w:p w14:paraId="2E27FAAA">
      <w:pPr>
        <w:jc w:val="center"/>
        <w:rPr>
          <w:color w:val="auto"/>
          <w:sz w:val="21"/>
          <w:szCs w:val="21"/>
          <w:highlight w:val="none"/>
        </w:rPr>
      </w:pPr>
      <w:r>
        <w:rPr>
          <w:rFonts w:hint="eastAsia"/>
          <w:color w:val="auto"/>
          <w:sz w:val="21"/>
          <w:szCs w:val="21"/>
          <w:highlight w:val="none"/>
        </w:rPr>
        <w:t>详(GF-2017-0201）建设工程施工合同（示范文本）</w:t>
      </w:r>
    </w:p>
    <w:p w14:paraId="145C709D">
      <w:pPr>
        <w:pStyle w:val="5"/>
        <w:ind w:firstLine="0" w:firstLineChars="0"/>
        <w:rPr>
          <w:rFonts w:hAnsi="宋体"/>
          <w:color w:val="auto"/>
          <w:sz w:val="21"/>
          <w:szCs w:val="21"/>
          <w:highlight w:val="none"/>
        </w:rPr>
      </w:pPr>
    </w:p>
    <w:p w14:paraId="743D147E">
      <w:pPr>
        <w:pStyle w:val="5"/>
        <w:ind w:firstLine="0" w:firstLineChars="0"/>
        <w:rPr>
          <w:rFonts w:hAnsi="宋体"/>
          <w:color w:val="auto"/>
          <w:sz w:val="21"/>
          <w:szCs w:val="21"/>
          <w:highlight w:val="none"/>
        </w:rPr>
      </w:pPr>
    </w:p>
    <w:p w14:paraId="39A787C5">
      <w:pPr>
        <w:pStyle w:val="5"/>
        <w:ind w:firstLine="0" w:firstLineChars="0"/>
        <w:rPr>
          <w:rFonts w:hAnsi="宋体"/>
          <w:color w:val="auto"/>
          <w:sz w:val="21"/>
          <w:szCs w:val="21"/>
          <w:highlight w:val="none"/>
        </w:rPr>
      </w:pPr>
    </w:p>
    <w:p w14:paraId="3369E478">
      <w:pPr>
        <w:pStyle w:val="5"/>
        <w:ind w:firstLine="0" w:firstLineChars="0"/>
        <w:rPr>
          <w:rFonts w:hAnsi="宋体"/>
          <w:color w:val="auto"/>
          <w:sz w:val="21"/>
          <w:szCs w:val="21"/>
          <w:highlight w:val="none"/>
        </w:rPr>
      </w:pPr>
    </w:p>
    <w:p w14:paraId="4C7D8888">
      <w:pPr>
        <w:pStyle w:val="5"/>
        <w:ind w:firstLine="0" w:firstLineChars="0"/>
        <w:rPr>
          <w:rFonts w:hAnsi="宋体"/>
          <w:color w:val="auto"/>
          <w:sz w:val="21"/>
          <w:szCs w:val="21"/>
          <w:highlight w:val="none"/>
        </w:rPr>
      </w:pPr>
    </w:p>
    <w:p w14:paraId="24A49C6C">
      <w:pPr>
        <w:pStyle w:val="5"/>
        <w:ind w:firstLine="0" w:firstLineChars="0"/>
        <w:rPr>
          <w:rFonts w:hAnsi="宋体"/>
          <w:color w:val="auto"/>
          <w:sz w:val="21"/>
          <w:szCs w:val="21"/>
          <w:highlight w:val="none"/>
        </w:rPr>
      </w:pPr>
    </w:p>
    <w:p w14:paraId="2B52BFDF">
      <w:pPr>
        <w:pStyle w:val="5"/>
        <w:ind w:firstLine="0" w:firstLineChars="0"/>
        <w:rPr>
          <w:rFonts w:hAnsi="宋体"/>
          <w:color w:val="auto"/>
          <w:sz w:val="21"/>
          <w:szCs w:val="21"/>
          <w:highlight w:val="none"/>
        </w:rPr>
      </w:pPr>
    </w:p>
    <w:p w14:paraId="3DE8AC7E">
      <w:pPr>
        <w:pStyle w:val="5"/>
        <w:ind w:firstLine="0" w:firstLineChars="0"/>
        <w:rPr>
          <w:rFonts w:hAnsi="宋体"/>
          <w:color w:val="auto"/>
          <w:sz w:val="21"/>
          <w:szCs w:val="21"/>
          <w:highlight w:val="none"/>
        </w:rPr>
      </w:pPr>
    </w:p>
    <w:p w14:paraId="2C884AC7">
      <w:pPr>
        <w:pStyle w:val="5"/>
        <w:ind w:firstLine="0" w:firstLineChars="0"/>
        <w:rPr>
          <w:rFonts w:hAnsi="宋体"/>
          <w:color w:val="auto"/>
          <w:sz w:val="21"/>
          <w:szCs w:val="21"/>
          <w:highlight w:val="none"/>
        </w:rPr>
      </w:pPr>
    </w:p>
    <w:p w14:paraId="70F1568F">
      <w:pPr>
        <w:pStyle w:val="5"/>
        <w:ind w:firstLine="0" w:firstLineChars="0"/>
        <w:rPr>
          <w:rFonts w:hAnsi="宋体"/>
          <w:color w:val="auto"/>
          <w:sz w:val="21"/>
          <w:szCs w:val="21"/>
          <w:highlight w:val="none"/>
        </w:rPr>
      </w:pPr>
    </w:p>
    <w:p w14:paraId="1632547F">
      <w:pPr>
        <w:pStyle w:val="5"/>
        <w:ind w:firstLine="0" w:firstLineChars="0"/>
        <w:rPr>
          <w:rFonts w:hAnsi="宋体"/>
          <w:color w:val="auto"/>
          <w:sz w:val="21"/>
          <w:szCs w:val="21"/>
          <w:highlight w:val="none"/>
        </w:rPr>
      </w:pPr>
    </w:p>
    <w:p w14:paraId="7CCA6318">
      <w:pPr>
        <w:pStyle w:val="5"/>
        <w:ind w:firstLine="0" w:firstLineChars="0"/>
        <w:rPr>
          <w:rFonts w:hAnsi="宋体"/>
          <w:color w:val="auto"/>
          <w:sz w:val="21"/>
          <w:szCs w:val="21"/>
          <w:highlight w:val="none"/>
        </w:rPr>
      </w:pPr>
    </w:p>
    <w:p w14:paraId="1348E9B7">
      <w:pPr>
        <w:pStyle w:val="5"/>
        <w:ind w:firstLine="0" w:firstLineChars="0"/>
        <w:rPr>
          <w:rFonts w:hAnsi="宋体"/>
          <w:color w:val="auto"/>
          <w:sz w:val="21"/>
          <w:szCs w:val="21"/>
          <w:highlight w:val="none"/>
        </w:rPr>
      </w:pPr>
    </w:p>
    <w:p w14:paraId="1BD9F54A">
      <w:pPr>
        <w:pStyle w:val="5"/>
        <w:ind w:firstLine="0" w:firstLineChars="0"/>
        <w:rPr>
          <w:rFonts w:hAnsi="宋体"/>
          <w:color w:val="auto"/>
          <w:sz w:val="21"/>
          <w:szCs w:val="21"/>
          <w:highlight w:val="none"/>
        </w:rPr>
      </w:pPr>
    </w:p>
    <w:p w14:paraId="064E484F">
      <w:pPr>
        <w:pStyle w:val="5"/>
        <w:ind w:firstLine="0" w:firstLineChars="0"/>
        <w:rPr>
          <w:rFonts w:hAnsi="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p>
    <w:p w14:paraId="23A89DBD">
      <w:pPr>
        <w:pStyle w:val="54"/>
        <w:numPr>
          <w:ilvl w:val="2"/>
          <w:numId w:val="0"/>
        </w:numPr>
        <w:spacing w:before="0" w:after="0" w:line="480" w:lineRule="auto"/>
        <w:rPr>
          <w:rFonts w:ascii="宋体" w:hAnsi="宋体"/>
          <w:color w:val="auto"/>
          <w:sz w:val="30"/>
          <w:szCs w:val="30"/>
          <w:highlight w:val="none"/>
        </w:rPr>
      </w:pPr>
      <w:r>
        <w:rPr>
          <w:rFonts w:ascii="宋体" w:hAnsi="宋体"/>
          <w:color w:val="auto"/>
          <w:sz w:val="30"/>
          <w:szCs w:val="30"/>
          <w:highlight w:val="none"/>
        </w:rPr>
        <w:t xml:space="preserve">第三部分 </w:t>
      </w:r>
      <w:r>
        <w:rPr>
          <w:rFonts w:hint="eastAsia" w:ascii="宋体" w:hAnsi="宋体"/>
          <w:color w:val="auto"/>
          <w:sz w:val="30"/>
          <w:szCs w:val="30"/>
          <w:highlight w:val="none"/>
        </w:rPr>
        <w:t>专用合同条款</w:t>
      </w:r>
    </w:p>
    <w:p w14:paraId="7E38C025">
      <w:pPr>
        <w:pStyle w:val="53"/>
        <w:pageBreakBefore w:val="0"/>
        <w:widowControl w:val="0"/>
        <w:kinsoku/>
        <w:wordWrap/>
        <w:overflowPunct/>
        <w:topLinePunct w:val="0"/>
        <w:bidi w:val="0"/>
        <w:snapToGrid/>
        <w:spacing w:after="200" w:line="440" w:lineRule="exact"/>
        <w:textAlignment w:val="auto"/>
        <w:rPr>
          <w:rFonts w:ascii="宋体" w:hAnsi="宋体"/>
          <w:bCs/>
          <w:color w:val="auto"/>
          <w:sz w:val="21"/>
          <w:szCs w:val="21"/>
          <w:highlight w:val="none"/>
        </w:rPr>
      </w:pPr>
      <w:bookmarkStart w:id="236" w:name="_Toc351203633"/>
      <w:r>
        <w:rPr>
          <w:rFonts w:ascii="宋体" w:hAnsi="宋体"/>
          <w:b/>
          <w:bCs/>
          <w:color w:val="auto"/>
          <w:sz w:val="21"/>
          <w:szCs w:val="21"/>
          <w:highlight w:val="none"/>
        </w:rPr>
        <w:t>1</w:t>
      </w:r>
      <w:bookmarkStart w:id="237" w:name="_Toc297048342"/>
      <w:bookmarkStart w:id="238" w:name="_Toc296346657"/>
      <w:bookmarkStart w:id="239" w:name="_Toc296347155"/>
      <w:bookmarkStart w:id="240" w:name="_Toc292559361"/>
      <w:bookmarkStart w:id="241" w:name="_Toc296944495"/>
      <w:bookmarkStart w:id="242" w:name="_Toc296891196"/>
      <w:bookmarkStart w:id="243" w:name="_Toc297120456"/>
      <w:bookmarkStart w:id="244" w:name="_Toc296503156"/>
      <w:bookmarkStart w:id="245" w:name="_Toc292559866"/>
      <w:bookmarkStart w:id="246" w:name="_Toc296890984"/>
      <w:r>
        <w:rPr>
          <w:rFonts w:ascii="宋体" w:hAnsi="宋体"/>
          <w:b/>
          <w:bCs/>
          <w:color w:val="auto"/>
          <w:sz w:val="21"/>
          <w:szCs w:val="21"/>
          <w:highlight w:val="none"/>
        </w:rPr>
        <w:t>. 一般约定</w:t>
      </w:r>
      <w:bookmarkEnd w:id="236"/>
    </w:p>
    <w:bookmarkEnd w:id="237"/>
    <w:bookmarkEnd w:id="238"/>
    <w:bookmarkEnd w:id="239"/>
    <w:bookmarkEnd w:id="240"/>
    <w:bookmarkEnd w:id="241"/>
    <w:bookmarkEnd w:id="242"/>
    <w:bookmarkEnd w:id="243"/>
    <w:bookmarkEnd w:id="244"/>
    <w:bookmarkEnd w:id="245"/>
    <w:bookmarkEnd w:id="246"/>
    <w:p w14:paraId="0B76439B">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 词语定义</w:t>
      </w:r>
    </w:p>
    <w:p w14:paraId="3A1F154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1.1.1合同</w:t>
      </w:r>
    </w:p>
    <w:p w14:paraId="2B2FC43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bCs/>
          <w:color w:val="auto"/>
          <w:sz w:val="21"/>
          <w:szCs w:val="21"/>
          <w:highlight w:val="none"/>
        </w:rPr>
      </w:pPr>
      <w:r>
        <w:rPr>
          <w:rFonts w:ascii="宋体" w:hAnsi="宋体"/>
          <w:color w:val="auto"/>
          <w:kern w:val="0"/>
          <w:sz w:val="21"/>
          <w:szCs w:val="21"/>
          <w:highlight w:val="none"/>
        </w:rPr>
        <w:t>1.1.1.10其他合同文件包括：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5E774F9">
      <w:pPr>
        <w:pStyle w:val="53"/>
        <w:pageBreakBefore w:val="0"/>
        <w:widowControl w:val="0"/>
        <w:kinsoku/>
        <w:wordWrap/>
        <w:overflowPunct/>
        <w:topLinePunct w:val="0"/>
        <w:bidi w:val="0"/>
        <w:snapToGrid/>
        <w:spacing w:after="200" w:line="440" w:lineRule="exact"/>
        <w:ind w:left="1320" w:hanging="1155" w:hangingChars="550"/>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1.1.2 合同当事人及其他相关方</w:t>
      </w:r>
    </w:p>
    <w:p w14:paraId="1AF1BCC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1.1.2.4监理人：</w:t>
      </w:r>
    </w:p>
    <w:p w14:paraId="04F96D5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名    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457923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资质类别和等级</w:t>
      </w:r>
      <w:r>
        <w:rPr>
          <w:rFonts w:hint="eastAsia"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2C1050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联系电话：</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917B5F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电子信箱：</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D22970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通信地址：</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CF4B11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1.1.2.5 设计人：</w:t>
      </w:r>
      <w:r>
        <w:rPr>
          <w:rFonts w:hint="eastAsia" w:ascii="宋体" w:hAnsi="宋体"/>
          <w:color w:val="auto"/>
          <w:sz w:val="21"/>
          <w:szCs w:val="21"/>
          <w:highlight w:val="none"/>
        </w:rPr>
        <w:t xml:space="preserve"> </w:t>
      </w:r>
    </w:p>
    <w:p w14:paraId="76D636D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名    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517B66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资质类别和等级：</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9EF504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项目负责人：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C3D531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联系电话：</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8D5864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电子信箱：</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D6419F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通信地址：</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2C06AE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1.1.3 工程和设备</w:t>
      </w:r>
    </w:p>
    <w:p w14:paraId="34AE9D80">
      <w:pPr>
        <w:pStyle w:val="53"/>
        <w:pageBreakBefore w:val="0"/>
        <w:widowControl w:val="0"/>
        <w:kinsoku/>
        <w:wordWrap/>
        <w:overflowPunct/>
        <w:topLinePunct w:val="0"/>
        <w:bidi w:val="0"/>
        <w:snapToGrid/>
        <w:spacing w:after="200" w:line="440" w:lineRule="exact"/>
        <w:textAlignment w:val="auto"/>
        <w:rPr>
          <w:rFonts w:ascii="宋体" w:hAnsi="宋体"/>
          <w:b/>
          <w:bCs/>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1.1.3.7 作为施工现场组成部分的其他场所包括：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C572F63">
      <w:pPr>
        <w:pStyle w:val="53"/>
        <w:pageBreakBefore w:val="0"/>
        <w:widowControl w:val="0"/>
        <w:kinsoku/>
        <w:wordWrap/>
        <w:overflowPunct/>
        <w:topLinePunct w:val="0"/>
        <w:bidi w:val="0"/>
        <w:snapToGrid/>
        <w:spacing w:after="200" w:line="440" w:lineRule="exact"/>
        <w:ind w:firstLine="411" w:firstLineChars="196"/>
        <w:textAlignment w:val="auto"/>
        <w:rPr>
          <w:rFonts w:ascii="宋体" w:hAnsi="宋体" w:cs="宋体"/>
          <w:bCs/>
          <w:color w:val="auto"/>
          <w:sz w:val="21"/>
          <w:szCs w:val="21"/>
          <w:highlight w:val="none"/>
          <w:u w:val="single"/>
        </w:rPr>
      </w:pPr>
      <w:r>
        <w:rPr>
          <w:rFonts w:ascii="宋体" w:hAnsi="宋体"/>
          <w:color w:val="auto"/>
          <w:kern w:val="0"/>
          <w:sz w:val="21"/>
          <w:szCs w:val="21"/>
          <w:highlight w:val="none"/>
        </w:rPr>
        <w:t>1.1.3.9 永久占地包括：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A95FD6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1.1.3.10 临时占地包括：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36F851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 xml:space="preserve">1.3法律 </w:t>
      </w:r>
    </w:p>
    <w:p w14:paraId="06185068">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适用于合同的其他规范性文件：</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FA99ED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1.4 标准和规范</w:t>
      </w:r>
    </w:p>
    <w:p w14:paraId="59E7AAD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1.4.1适用于工程的标准规范包括：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3F0C8F9">
      <w:pPr>
        <w:pStyle w:val="53"/>
        <w:pageBreakBefore w:val="0"/>
        <w:widowControl w:val="0"/>
        <w:kinsoku/>
        <w:wordWrap/>
        <w:overflowPunct/>
        <w:topLinePunct w:val="0"/>
        <w:bidi w:val="0"/>
        <w:snapToGrid/>
        <w:spacing w:after="200" w:line="440" w:lineRule="exact"/>
        <w:textAlignment w:val="auto"/>
        <w:rPr>
          <w:rFonts w:ascii="宋体" w:hAnsi="宋体"/>
          <w:b/>
          <w:bCs/>
          <w:color w:val="auto"/>
          <w:sz w:val="21"/>
          <w:szCs w:val="21"/>
          <w:highlight w:val="none"/>
          <w:u w:val="singl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1.4.2 发包人提供国外标准、规范的名称：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E27DF7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发包人提供国外标准、规范的份数：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801D1F6">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kern w:val="0"/>
          <w:sz w:val="21"/>
          <w:szCs w:val="21"/>
          <w:highlight w:val="none"/>
        </w:rPr>
        <w:t>发包人提供国外标准、规范的名称：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8D3CC5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1.4.3发包人对工程的技术标准和功能要求的特殊要求：</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136C8C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1.5 合同文件的优先顺序</w:t>
      </w:r>
    </w:p>
    <w:p w14:paraId="726E1196">
      <w:pPr>
        <w:pStyle w:val="53"/>
        <w:pageBreakBefore w:val="0"/>
        <w:widowControl w:val="0"/>
        <w:kinsoku/>
        <w:wordWrap/>
        <w:overflowPunct/>
        <w:topLinePunct w:val="0"/>
        <w:bidi w:val="0"/>
        <w:snapToGrid/>
        <w:spacing w:after="200" w:line="440" w:lineRule="exact"/>
        <w:ind w:firstLine="420" w:firstLineChars="200"/>
        <w:textAlignment w:val="auto"/>
        <w:rPr>
          <w:rStyle w:val="25"/>
          <w:rFonts w:ascii="宋体" w:hAnsi="宋体"/>
          <w:color w:val="auto"/>
          <w:sz w:val="21"/>
          <w:szCs w:val="21"/>
          <w:highlight w:val="none"/>
        </w:rPr>
      </w:pPr>
      <w:r>
        <w:rPr>
          <w:rFonts w:ascii="宋体" w:hAnsi="宋体"/>
          <w:color w:val="auto"/>
          <w:sz w:val="21"/>
          <w:szCs w:val="21"/>
          <w:highlight w:val="none"/>
        </w:rPr>
        <w:t>合同文件组成及优先顺序为：</w:t>
      </w:r>
      <w:r>
        <w:rPr>
          <w:rFonts w:hint="eastAsia" w:ascii="宋体" w:hAnsi="宋体"/>
          <w:color w:val="auto"/>
          <w:kern w:val="0"/>
          <w:sz w:val="21"/>
          <w:szCs w:val="21"/>
          <w:highlight w:val="none"/>
          <w:u w:val="single"/>
        </w:rPr>
        <w:t xml:space="preserve">                       </w:t>
      </w:r>
      <w:r>
        <w:rPr>
          <w:rStyle w:val="25"/>
          <w:rFonts w:hint="eastAsia" w:ascii="宋体" w:hAnsi="宋体"/>
          <w:b/>
          <w:bCs/>
          <w:color w:val="auto"/>
          <w:sz w:val="21"/>
          <w:szCs w:val="21"/>
          <w:highlight w:val="none"/>
          <w:u w:val="single"/>
        </w:rPr>
        <w:t>。</w:t>
      </w:r>
    </w:p>
    <w:p w14:paraId="1CC0452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1.6 图纸和承包人文件</w:t>
      </w:r>
    </w:p>
    <w:p w14:paraId="297427A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1.6.1 图纸的提供</w:t>
      </w:r>
    </w:p>
    <w:p w14:paraId="0AF9FAE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发包人向承包人提供图纸的期限：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4F6005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发包人向承包人提供图纸的数量：</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428A41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发包人向承包人提供图纸的内容：</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E1B6966">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1.6.4 承包人文件</w:t>
      </w:r>
    </w:p>
    <w:p w14:paraId="08155DD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需要由承包人提供的文件，包括：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898AC3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承包人提供的文件的期限为：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1F60AA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color w:val="auto"/>
          <w:sz w:val="21"/>
          <w:szCs w:val="21"/>
          <w:highlight w:val="none"/>
          <w:u w:val="single"/>
        </w:rPr>
      </w:pPr>
      <w:r>
        <w:rPr>
          <w:rFonts w:ascii="宋体" w:hAnsi="宋体"/>
          <w:color w:val="auto"/>
          <w:sz w:val="21"/>
          <w:szCs w:val="21"/>
          <w:highlight w:val="none"/>
        </w:rPr>
        <w:t>承包人提供的文件的数量为：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B19ACF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承包人提供的文件的形式为：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71467C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发包人</w:t>
      </w:r>
      <w:r>
        <w:rPr>
          <w:rFonts w:hint="eastAsia" w:ascii="宋体" w:hAnsi="宋体"/>
          <w:color w:val="auto"/>
          <w:sz w:val="21"/>
          <w:szCs w:val="21"/>
          <w:highlight w:val="none"/>
        </w:rPr>
        <w:t>审批</w:t>
      </w:r>
      <w:r>
        <w:rPr>
          <w:rFonts w:ascii="宋体" w:hAnsi="宋体"/>
          <w:color w:val="auto"/>
          <w:sz w:val="21"/>
          <w:szCs w:val="21"/>
          <w:highlight w:val="none"/>
        </w:rPr>
        <w:t>承包人文件的期限：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D40B41B">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1.6.5 现场图纸准备</w:t>
      </w:r>
    </w:p>
    <w:p w14:paraId="160D935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关于现场图纸准备的约定：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495A09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1.7 联络</w:t>
      </w:r>
    </w:p>
    <w:p w14:paraId="21A4715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1.7.1发包人和承包人应当在</w:t>
      </w:r>
      <w:r>
        <w:rPr>
          <w:rFonts w:hint="eastAsia" w:ascii="宋体" w:hAnsi="宋体"/>
          <w:color w:val="auto"/>
          <w:kern w:val="0"/>
          <w:sz w:val="21"/>
          <w:szCs w:val="21"/>
          <w:highlight w:val="none"/>
          <w:u w:val="single"/>
        </w:rPr>
        <w:t xml:space="preserve">   </w:t>
      </w:r>
      <w:r>
        <w:rPr>
          <w:rFonts w:hint="eastAsia" w:ascii="宋体" w:hAnsi="宋体"/>
          <w:b/>
          <w:bCs/>
          <w:color w:val="auto"/>
          <w:kern w:val="0"/>
          <w:sz w:val="21"/>
          <w:szCs w:val="21"/>
          <w:highlight w:val="none"/>
          <w:u w:val="single"/>
          <w:lang w:val="en-US" w:eastAsia="zh-CN"/>
        </w:rPr>
        <w:t xml:space="preserve">  </w:t>
      </w:r>
      <w:r>
        <w:rPr>
          <w:rFonts w:hint="eastAsia" w:ascii="宋体" w:hAnsi="宋体"/>
          <w:b/>
          <w:bCs/>
          <w:color w:val="auto"/>
          <w:kern w:val="0"/>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kern w:val="0"/>
          <w:sz w:val="21"/>
          <w:szCs w:val="21"/>
          <w:highlight w:val="none"/>
        </w:rPr>
        <w:t>天内将与合同有关的通知、批准、证明、证书、指示、指令、要求、请求、同意、意见、确定和决定等书面函件送达对方当事人</w:t>
      </w:r>
      <w:r>
        <w:rPr>
          <w:rFonts w:hint="eastAsia" w:ascii="宋体" w:hAnsi="宋体"/>
          <w:color w:val="auto"/>
          <w:kern w:val="0"/>
          <w:sz w:val="21"/>
          <w:szCs w:val="21"/>
          <w:highlight w:val="none"/>
        </w:rPr>
        <w:t>。</w:t>
      </w:r>
    </w:p>
    <w:p w14:paraId="2324FFF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1.7.2 发包人接收文件的地点：</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80DC0A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kern w:val="0"/>
          <w:sz w:val="21"/>
          <w:szCs w:val="21"/>
          <w:highlight w:val="none"/>
        </w:rPr>
        <w:t>发包人指定的接收人为：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31E8C5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承包人接收文件的地点：</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55621C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承包人指定的接收人为：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24640FB">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kern w:val="0"/>
          <w:sz w:val="21"/>
          <w:szCs w:val="21"/>
          <w:highlight w:val="none"/>
        </w:rPr>
        <w:t>监理人接收文件的地点：</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DA55F5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监理人指定的接收人为：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3D9A5C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1.10 交通运输</w:t>
      </w:r>
    </w:p>
    <w:p w14:paraId="1AD5920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w:t>
      </w:r>
      <w:bookmarkStart w:id="247" w:name="_Toc300934943"/>
      <w:bookmarkStart w:id="248" w:name="_Toc318581155"/>
      <w:bookmarkStart w:id="249" w:name="_Toc303539100"/>
      <w:bookmarkStart w:id="250" w:name="_Toc304295521"/>
      <w:bookmarkStart w:id="251" w:name="_Toc312677986"/>
      <w:r>
        <w:rPr>
          <w:rFonts w:ascii="宋体" w:hAnsi="宋体"/>
          <w:color w:val="auto"/>
          <w:sz w:val="21"/>
          <w:szCs w:val="21"/>
          <w:highlight w:val="none"/>
        </w:rPr>
        <w:t>.10.1 出入现场的权利</w:t>
      </w:r>
    </w:p>
    <w:p w14:paraId="10DBB2FA">
      <w:pPr>
        <w:pStyle w:val="53"/>
        <w:pageBreakBefore w:val="0"/>
        <w:widowControl w:val="0"/>
        <w:kinsoku/>
        <w:wordWrap/>
        <w:overflowPunct/>
        <w:topLinePunct w:val="0"/>
        <w:bidi w:val="0"/>
        <w:snapToGrid/>
        <w:spacing w:after="200" w:line="440" w:lineRule="exact"/>
        <w:textAlignment w:val="auto"/>
        <w:rPr>
          <w:rFonts w:ascii="宋体" w:hAnsi="宋体"/>
          <w:color w:val="auto"/>
          <w:sz w:val="21"/>
          <w:szCs w:val="21"/>
          <w:highlight w:val="none"/>
        </w:rPr>
      </w:pPr>
      <w:r>
        <w:rPr>
          <w:rFonts w:ascii="宋体" w:hAnsi="宋体"/>
          <w:color w:val="auto"/>
          <w:sz w:val="21"/>
          <w:szCs w:val="21"/>
          <w:highlight w:val="none"/>
        </w:rPr>
        <w:t>关于出入现场的权利的约定：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bookmarkEnd w:id="247"/>
    <w:bookmarkEnd w:id="248"/>
    <w:bookmarkEnd w:id="249"/>
    <w:bookmarkEnd w:id="250"/>
    <w:bookmarkEnd w:id="251"/>
    <w:p w14:paraId="1626D31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w:t>
      </w:r>
      <w:bookmarkStart w:id="252" w:name="_Toc303539101"/>
      <w:bookmarkStart w:id="253" w:name="_Toc300934944"/>
      <w:bookmarkStart w:id="254" w:name="_Toc312677987"/>
      <w:bookmarkStart w:id="255" w:name="_Toc318581156"/>
      <w:bookmarkStart w:id="256" w:name="_Toc304295522"/>
      <w:r>
        <w:rPr>
          <w:rFonts w:ascii="宋体" w:hAnsi="宋体"/>
          <w:color w:val="auto"/>
          <w:sz w:val="21"/>
          <w:szCs w:val="21"/>
          <w:highlight w:val="none"/>
        </w:rPr>
        <w:t>.10.3 场内交通</w:t>
      </w:r>
    </w:p>
    <w:p w14:paraId="392F7C0C">
      <w:pPr>
        <w:pStyle w:val="53"/>
        <w:pageBreakBefore w:val="0"/>
        <w:widowControl w:val="0"/>
        <w:kinsoku/>
        <w:wordWrap/>
        <w:overflowPunct/>
        <w:topLinePunct w:val="0"/>
        <w:bidi w:val="0"/>
        <w:snapToGrid/>
        <w:spacing w:after="200" w:line="440" w:lineRule="exact"/>
        <w:ind w:left="479" w:leftChars="228"/>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关于场外交通和场内交通的边界的约定：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0C043EF">
      <w:pPr>
        <w:pStyle w:val="53"/>
        <w:pageBreakBefore w:val="0"/>
        <w:widowControl w:val="0"/>
        <w:kinsoku/>
        <w:wordWrap/>
        <w:overflowPunct/>
        <w:topLinePunct w:val="0"/>
        <w:bidi w:val="0"/>
        <w:snapToGrid/>
        <w:spacing w:after="200" w:line="440" w:lineRule="exact"/>
        <w:ind w:left="479" w:leftChars="228"/>
        <w:jc w:val="left"/>
        <w:textAlignment w:val="auto"/>
        <w:rPr>
          <w:rFonts w:ascii="宋体" w:hAnsi="宋体"/>
          <w:color w:val="auto"/>
          <w:sz w:val="21"/>
          <w:szCs w:val="21"/>
          <w:highlight w:val="none"/>
        </w:rPr>
      </w:pPr>
      <w:r>
        <w:rPr>
          <w:rFonts w:ascii="宋体" w:hAnsi="宋体"/>
          <w:color w:val="auto"/>
          <w:sz w:val="21"/>
          <w:szCs w:val="21"/>
          <w:highlight w:val="none"/>
        </w:rPr>
        <w:t>关于发包人向承包人免费提供满足工程施工需要的场内道路和交通设施的约</w:t>
      </w:r>
      <w:bookmarkEnd w:id="252"/>
      <w:bookmarkEnd w:id="253"/>
      <w:bookmarkEnd w:id="254"/>
      <w:bookmarkEnd w:id="255"/>
      <w:bookmarkEnd w:id="256"/>
      <w:bookmarkStart w:id="257" w:name="_Toc318581157"/>
      <w:r>
        <w:rPr>
          <w:rFonts w:hint="eastAsia" w:ascii="宋体" w:hAnsi="宋体"/>
          <w:color w:val="auto"/>
          <w:sz w:val="21"/>
          <w:szCs w:val="21"/>
          <w:highlight w:val="none"/>
        </w:rPr>
        <w:t>定；</w:t>
      </w:r>
    </w:p>
    <w:p w14:paraId="156E9DC4">
      <w:pPr>
        <w:pStyle w:val="53"/>
        <w:pageBreakBefore w:val="0"/>
        <w:widowControl w:val="0"/>
        <w:kinsoku/>
        <w:wordWrap/>
        <w:overflowPunct/>
        <w:topLinePunct w:val="0"/>
        <w:bidi w:val="0"/>
        <w:snapToGrid/>
        <w:spacing w:after="200" w:line="440" w:lineRule="exact"/>
        <w:ind w:left="479" w:leftChars="228"/>
        <w:jc w:val="left"/>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AD1CC8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1.10.4超大件和超重件的运输</w:t>
      </w:r>
    </w:p>
    <w:p w14:paraId="0B8A3FF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运输超大件或超重件所需的道路和桥梁临时加固改造费用和其他有关费用</w:t>
      </w:r>
    </w:p>
    <w:p w14:paraId="7262B67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由</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承担。</w:t>
      </w:r>
    </w:p>
    <w:bookmarkEnd w:id="257"/>
    <w:p w14:paraId="6D4CF116">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1.11 知识产权</w:t>
      </w:r>
    </w:p>
    <w:p w14:paraId="75821EC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b/>
          <w:color w:val="auto"/>
          <w:sz w:val="21"/>
          <w:szCs w:val="21"/>
          <w:highlight w:val="none"/>
          <w:u w:val="single"/>
        </w:rPr>
      </w:pPr>
      <w:r>
        <w:rPr>
          <w:rFonts w:ascii="宋体" w:hAnsi="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4F1FE0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关于发包人提供的上述文件的使用限制的要求：</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D6D086A">
      <w:pPr>
        <w:pStyle w:val="53"/>
        <w:pageBreakBefore w:val="0"/>
        <w:widowControl w:val="0"/>
        <w:kinsoku/>
        <w:wordWrap/>
        <w:overflowPunct/>
        <w:topLinePunct w:val="0"/>
        <w:bidi w:val="0"/>
        <w:snapToGrid/>
        <w:spacing w:after="200" w:line="440" w:lineRule="exact"/>
        <w:textAlignment w:val="auto"/>
        <w:rPr>
          <w:rFonts w:ascii="宋体" w:hAnsi="宋体"/>
          <w:b/>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1.11.2 关于承包人为实施工程所编制文件的著作权的归属：</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743F91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关于承包人提供的上述文件的使用限制的要求：</w:t>
      </w:r>
    </w:p>
    <w:p w14:paraId="14F21EF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1.11.4 承包人在施工过程中所采用的专利、专有技术、技术秘密的使用费的承担方式：</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8D04A1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1.13工程量清单错误的修正</w:t>
      </w:r>
    </w:p>
    <w:p w14:paraId="473FB5A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出现工程量清单错误时，是否调整合同价格：</w:t>
      </w:r>
      <w:r>
        <w:rPr>
          <w:rFonts w:hint="eastAsia" w:ascii="宋体" w:hAnsi="宋体"/>
          <w:b/>
          <w:bCs/>
          <w:color w:val="auto"/>
          <w:kern w:val="0"/>
          <w:sz w:val="21"/>
          <w:szCs w:val="21"/>
          <w:highlight w:val="none"/>
          <w:u w:val="single"/>
        </w:rPr>
        <w:t xml:space="preserve"> </w:t>
      </w:r>
      <w:r>
        <w:rPr>
          <w:rFonts w:hint="eastAsia" w:ascii="宋体" w:hAnsi="宋体"/>
          <w:b/>
          <w:bCs/>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270C78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color w:val="auto"/>
          <w:sz w:val="21"/>
          <w:szCs w:val="21"/>
          <w:highlight w:val="none"/>
          <w:u w:val="single"/>
        </w:rPr>
      </w:pPr>
      <w:r>
        <w:rPr>
          <w:rFonts w:ascii="宋体" w:hAnsi="宋体"/>
          <w:color w:val="auto"/>
          <w:sz w:val="21"/>
          <w:szCs w:val="21"/>
          <w:highlight w:val="none"/>
        </w:rPr>
        <w:t>允许调整合同价格的工程量偏差范围：</w:t>
      </w:r>
      <w:bookmarkStart w:id="258" w:name="_Toc351203634"/>
      <w:r>
        <w:rPr>
          <w:rFonts w:hint="eastAsia" w:ascii="宋体" w:hAnsi="宋体"/>
          <w:color w:val="auto"/>
          <w:kern w:val="0"/>
          <w:sz w:val="21"/>
          <w:szCs w:val="21"/>
          <w:highlight w:val="none"/>
          <w:u w:val="single"/>
        </w:rPr>
        <w:t xml:space="preserve"> </w:t>
      </w:r>
      <w:r>
        <w:rPr>
          <w:rFonts w:hint="eastAsia" w:ascii="宋体" w:hAnsi="宋体"/>
          <w:b/>
          <w:bCs/>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54423FA">
      <w:pPr>
        <w:pStyle w:val="53"/>
        <w:pageBreakBefore w:val="0"/>
        <w:widowControl w:val="0"/>
        <w:kinsoku/>
        <w:wordWrap/>
        <w:overflowPunct/>
        <w:topLinePunct w:val="0"/>
        <w:bidi w:val="0"/>
        <w:snapToGrid/>
        <w:spacing w:after="200" w:line="440" w:lineRule="exact"/>
        <w:textAlignment w:val="auto"/>
        <w:rPr>
          <w:rFonts w:ascii="宋体" w:hAnsi="宋体"/>
          <w:b/>
          <w:bCs/>
          <w:color w:val="auto"/>
          <w:sz w:val="21"/>
          <w:szCs w:val="21"/>
          <w:highlight w:val="none"/>
        </w:rPr>
      </w:pPr>
      <w:r>
        <w:rPr>
          <w:rFonts w:ascii="宋体" w:hAnsi="宋体"/>
          <w:b/>
          <w:bCs/>
          <w:color w:val="auto"/>
          <w:sz w:val="21"/>
          <w:szCs w:val="21"/>
          <w:highlight w:val="none"/>
        </w:rPr>
        <w:t>2</w:t>
      </w:r>
      <w:bookmarkStart w:id="259" w:name="_Toc292559362"/>
      <w:bookmarkStart w:id="260" w:name="_Toc297048343"/>
      <w:bookmarkStart w:id="261" w:name="_Toc296346658"/>
      <w:bookmarkStart w:id="262" w:name="_Toc296503157"/>
      <w:bookmarkStart w:id="263" w:name="_Toc297120457"/>
      <w:bookmarkStart w:id="264" w:name="_Toc296890985"/>
      <w:bookmarkStart w:id="265" w:name="_Toc296891197"/>
      <w:bookmarkStart w:id="266" w:name="_Toc296347156"/>
      <w:bookmarkStart w:id="267" w:name="_Toc296944496"/>
      <w:bookmarkStart w:id="268" w:name="_Toc292559867"/>
      <w:r>
        <w:rPr>
          <w:rFonts w:ascii="宋体" w:hAnsi="宋体"/>
          <w:b/>
          <w:bCs/>
          <w:color w:val="auto"/>
          <w:sz w:val="21"/>
          <w:szCs w:val="21"/>
          <w:highlight w:val="none"/>
        </w:rPr>
        <w:t>. 发包人</w:t>
      </w:r>
      <w:bookmarkEnd w:id="258"/>
    </w:p>
    <w:bookmarkEnd w:id="259"/>
    <w:bookmarkEnd w:id="260"/>
    <w:bookmarkEnd w:id="261"/>
    <w:bookmarkEnd w:id="262"/>
    <w:bookmarkEnd w:id="263"/>
    <w:bookmarkEnd w:id="264"/>
    <w:bookmarkEnd w:id="265"/>
    <w:bookmarkEnd w:id="266"/>
    <w:bookmarkEnd w:id="267"/>
    <w:bookmarkEnd w:id="268"/>
    <w:p w14:paraId="08B47D5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2.2 发包人代表</w:t>
      </w:r>
    </w:p>
    <w:p w14:paraId="206693A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发包人代表：</w:t>
      </w:r>
    </w:p>
    <w:p w14:paraId="628F733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姓    名：</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971396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身份证号：</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8C3334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职    务：</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52374D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联系电话：</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2030D9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电子信箱：</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EE6403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通信地址：</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30B74F0">
      <w:pPr>
        <w:pStyle w:val="53"/>
        <w:pageBreakBefore w:val="0"/>
        <w:widowControl w:val="0"/>
        <w:kinsoku/>
        <w:wordWrap/>
        <w:overflowPunct/>
        <w:topLinePunct w:val="0"/>
        <w:bidi w:val="0"/>
        <w:snapToGrid/>
        <w:spacing w:after="200" w:line="440" w:lineRule="exact"/>
        <w:textAlignment w:val="auto"/>
        <w:rPr>
          <w:rFonts w:ascii="宋体" w:hAnsi="宋体"/>
          <w:b/>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发包人对发包人代表的授权范围如下：</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F506D6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2.4 施工现场、施工条件和基础资料的提供</w:t>
      </w:r>
    </w:p>
    <w:p w14:paraId="6D40768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2.4.1 提供施工现场</w:t>
      </w:r>
    </w:p>
    <w:p w14:paraId="26CCF23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关于发包人移交施工现场的期限要求：</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10B8A1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2.4.2 提供施工条件</w:t>
      </w:r>
    </w:p>
    <w:p w14:paraId="2296B81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关于发包人应负责提供施工</w:t>
      </w:r>
      <w:r>
        <w:rPr>
          <w:rFonts w:hint="eastAsia" w:ascii="宋体" w:hAnsi="宋体"/>
          <w:color w:val="auto"/>
          <w:sz w:val="21"/>
          <w:szCs w:val="21"/>
          <w:highlight w:val="none"/>
        </w:rPr>
        <w:t>所需要的条件，</w:t>
      </w:r>
      <w:r>
        <w:rPr>
          <w:rFonts w:ascii="宋体" w:hAnsi="宋体"/>
          <w:color w:val="auto"/>
          <w:sz w:val="21"/>
          <w:szCs w:val="21"/>
          <w:highlight w:val="none"/>
        </w:rPr>
        <w:t>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C411B7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2.5 资金来源证明及支付担保</w:t>
      </w:r>
    </w:p>
    <w:p w14:paraId="1A349A2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发包人提供资金来源证明的期限要求：</w:t>
      </w:r>
      <w:r>
        <w:rPr>
          <w:rFonts w:hint="eastAsia" w:ascii="宋体" w:hAnsi="宋体"/>
          <w:color w:val="auto"/>
          <w:kern w:val="0"/>
          <w:sz w:val="21"/>
          <w:szCs w:val="21"/>
          <w:highlight w:val="none"/>
          <w:u w:val="single"/>
        </w:rPr>
        <w:t xml:space="preserve">                        </w:t>
      </w:r>
    </w:p>
    <w:p w14:paraId="515EC8B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发包人是否提供支付担保</w:t>
      </w:r>
      <w:r>
        <w:rPr>
          <w:rFonts w:hint="eastAsia"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7637A9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发包人提供支付担保的形式</w:t>
      </w:r>
      <w:bookmarkStart w:id="269" w:name="_Toc351203635"/>
      <w:r>
        <w:rPr>
          <w:rFonts w:hint="eastAsia"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905E997">
      <w:pPr>
        <w:pStyle w:val="53"/>
        <w:pageBreakBefore w:val="0"/>
        <w:widowControl w:val="0"/>
        <w:kinsoku/>
        <w:wordWrap/>
        <w:overflowPunct/>
        <w:topLinePunct w:val="0"/>
        <w:bidi w:val="0"/>
        <w:snapToGrid/>
        <w:spacing w:after="200" w:line="440" w:lineRule="exact"/>
        <w:textAlignment w:val="auto"/>
        <w:rPr>
          <w:rFonts w:ascii="宋体" w:hAnsi="宋体"/>
          <w:color w:val="auto"/>
          <w:sz w:val="21"/>
          <w:szCs w:val="21"/>
          <w:highlight w:val="none"/>
        </w:rPr>
      </w:pPr>
      <w:r>
        <w:rPr>
          <w:rFonts w:ascii="宋体" w:hAnsi="宋体"/>
          <w:color w:val="auto"/>
          <w:sz w:val="21"/>
          <w:szCs w:val="21"/>
          <w:highlight w:val="none"/>
        </w:rPr>
        <w:t>3</w:t>
      </w:r>
      <w:bookmarkStart w:id="270" w:name="_Toc296347157"/>
      <w:bookmarkStart w:id="271" w:name="_Toc297048344"/>
      <w:bookmarkStart w:id="272" w:name="_Toc296890986"/>
      <w:bookmarkStart w:id="273" w:name="_Toc296346659"/>
      <w:bookmarkStart w:id="274" w:name="_Toc296944497"/>
      <w:bookmarkStart w:id="275" w:name="_Toc297120458"/>
      <w:bookmarkStart w:id="276" w:name="_Toc292559868"/>
      <w:bookmarkStart w:id="277" w:name="_Toc296503158"/>
      <w:bookmarkStart w:id="278" w:name="_Toc296891198"/>
      <w:bookmarkStart w:id="279" w:name="_Toc292559363"/>
      <w:r>
        <w:rPr>
          <w:rFonts w:ascii="宋体" w:hAnsi="宋体"/>
          <w:color w:val="auto"/>
          <w:sz w:val="21"/>
          <w:szCs w:val="21"/>
          <w:highlight w:val="none"/>
        </w:rPr>
        <w:t>. 承包人</w:t>
      </w:r>
      <w:bookmarkEnd w:id="269"/>
    </w:p>
    <w:bookmarkEnd w:id="270"/>
    <w:bookmarkEnd w:id="271"/>
    <w:bookmarkEnd w:id="272"/>
    <w:bookmarkEnd w:id="273"/>
    <w:bookmarkEnd w:id="274"/>
    <w:bookmarkEnd w:id="275"/>
    <w:bookmarkEnd w:id="276"/>
    <w:bookmarkEnd w:id="277"/>
    <w:bookmarkEnd w:id="278"/>
    <w:bookmarkEnd w:id="279"/>
    <w:p w14:paraId="36BCD9E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3.1 承包人的一般义务</w:t>
      </w:r>
    </w:p>
    <w:p w14:paraId="48179FF7">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kern w:val="0"/>
          <w:sz w:val="21"/>
          <w:szCs w:val="21"/>
          <w:highlight w:val="none"/>
        </w:rPr>
      </w:pPr>
      <w:r>
        <w:rPr>
          <w:rFonts w:ascii="宋体" w:hAnsi="宋体"/>
          <w:color w:val="auto"/>
          <w:sz w:val="21"/>
          <w:szCs w:val="21"/>
          <w:highlight w:val="none"/>
        </w:rPr>
        <w:t>承包人提交的竣工资料的内容：</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49A6CFB">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sz w:val="21"/>
          <w:szCs w:val="21"/>
          <w:highlight w:val="none"/>
        </w:rPr>
      </w:pPr>
      <w:r>
        <w:rPr>
          <w:rFonts w:ascii="宋体" w:hAnsi="宋体"/>
          <w:color w:val="auto"/>
          <w:sz w:val="21"/>
          <w:szCs w:val="21"/>
          <w:highlight w:val="none"/>
        </w:rPr>
        <w:t>承包人需要提交的竣工资料套数：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D09714D">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承包人提交的竣工资料的费用承担：</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B2DE84A">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承包人提交的竣工资料移交时间：</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CCCA30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承包人提交的竣工资料形式要求：</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9C357A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kern w:val="0"/>
          <w:sz w:val="21"/>
          <w:szCs w:val="21"/>
          <w:highlight w:val="none"/>
        </w:rPr>
        <w:t>（</w:t>
      </w:r>
      <w:r>
        <w:rPr>
          <w:rFonts w:hint="eastAsia" w:ascii="宋体" w:hAnsi="宋体"/>
          <w:color w:val="auto"/>
          <w:kern w:val="0"/>
          <w:sz w:val="21"/>
          <w:szCs w:val="21"/>
          <w:highlight w:val="none"/>
        </w:rPr>
        <w:t>6</w:t>
      </w:r>
      <w:r>
        <w:rPr>
          <w:rFonts w:ascii="宋体" w:hAnsi="宋体"/>
          <w:color w:val="auto"/>
          <w:kern w:val="0"/>
          <w:sz w:val="21"/>
          <w:szCs w:val="21"/>
          <w:highlight w:val="none"/>
        </w:rPr>
        <w:t>）承包人应履行的其他义务：</w:t>
      </w:r>
      <w:r>
        <w:rPr>
          <w:rFonts w:hint="eastAsia" w:ascii="宋体" w:hAnsi="宋体"/>
          <w:color w:val="auto"/>
          <w:kern w:val="0"/>
          <w:sz w:val="21"/>
          <w:szCs w:val="21"/>
          <w:highlight w:val="none"/>
          <w:u w:val="single"/>
        </w:rPr>
        <w:t xml:space="preserve">                         </w:t>
      </w:r>
      <w:r>
        <w:rPr>
          <w:rFonts w:hint="eastAsia" w:ascii="宋体" w:hAnsi="宋体"/>
          <w:b/>
          <w:bCs/>
          <w:color w:val="auto"/>
          <w:kern w:val="0"/>
          <w:sz w:val="21"/>
          <w:szCs w:val="21"/>
          <w:highlight w:val="none"/>
          <w:u w:val="single"/>
        </w:rPr>
        <w:t xml:space="preserve"> </w:t>
      </w:r>
      <w:r>
        <w:rPr>
          <w:rFonts w:hint="eastAsia" w:ascii="宋体" w:hAnsi="宋体"/>
          <w:color w:val="auto"/>
          <w:kern w:val="0"/>
          <w:sz w:val="21"/>
          <w:szCs w:val="21"/>
          <w:highlight w:val="none"/>
        </w:rPr>
        <w:t>。</w:t>
      </w:r>
    </w:p>
    <w:p w14:paraId="28606DA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color w:val="auto"/>
          <w:sz w:val="21"/>
          <w:szCs w:val="21"/>
          <w:highlight w:val="none"/>
        </w:rPr>
      </w:pPr>
      <w:r>
        <w:rPr>
          <w:rFonts w:ascii="宋体" w:hAnsi="宋体"/>
          <w:color w:val="auto"/>
          <w:sz w:val="21"/>
          <w:szCs w:val="21"/>
          <w:highlight w:val="none"/>
        </w:rPr>
        <w:t xml:space="preserve">3.2 </w:t>
      </w:r>
      <w:r>
        <w:rPr>
          <w:rFonts w:ascii="宋体" w:hAnsi="宋体"/>
          <w:b/>
          <w:color w:val="auto"/>
          <w:sz w:val="21"/>
          <w:szCs w:val="21"/>
          <w:highlight w:val="none"/>
        </w:rPr>
        <w:t>项目经理</w:t>
      </w:r>
    </w:p>
    <w:p w14:paraId="3E7F8BF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kern w:val="0"/>
          <w:sz w:val="21"/>
          <w:szCs w:val="21"/>
          <w:highlight w:val="none"/>
        </w:rPr>
        <w:t xml:space="preserve">3.2.1 </w:t>
      </w:r>
      <w:r>
        <w:rPr>
          <w:rFonts w:ascii="宋体" w:hAnsi="宋体"/>
          <w:color w:val="auto"/>
          <w:sz w:val="21"/>
          <w:szCs w:val="21"/>
          <w:highlight w:val="none"/>
        </w:rPr>
        <w:t>项目经理：</w:t>
      </w:r>
    </w:p>
    <w:p w14:paraId="4735ECD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姓    名：</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385D9E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身份证号：</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497C52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建造师执业资格等级：</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4FC570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建造师注册证书号：</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C52E7EF">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建造师执业印章号：</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9E5DC0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安全生产考核合格证书号：</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9D8B6B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bCs/>
          <w:color w:val="auto"/>
          <w:sz w:val="21"/>
          <w:szCs w:val="21"/>
          <w:highlight w:val="none"/>
          <w:u w:val="single"/>
        </w:rPr>
      </w:pPr>
      <w:r>
        <w:rPr>
          <w:rFonts w:ascii="宋体" w:hAnsi="宋体"/>
          <w:color w:val="auto"/>
          <w:sz w:val="21"/>
          <w:szCs w:val="21"/>
          <w:highlight w:val="none"/>
        </w:rPr>
        <w:t>联系电话</w:t>
      </w:r>
      <w:r>
        <w:rPr>
          <w:rFonts w:hint="eastAsia"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2AEA02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电子信箱：</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126C36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通信地址：</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70D363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承包人对项目经理的授权范围如下：</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96CD1C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kern w:val="0"/>
          <w:sz w:val="21"/>
          <w:szCs w:val="21"/>
          <w:highlight w:val="none"/>
        </w:rPr>
        <w:t>关于项目经理每月在施工现场的时间要求：</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2C760C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承包人未提交劳动合同，以及没有为项目经理缴纳社会保险证明的违约责任：</w:t>
      </w:r>
    </w:p>
    <w:p w14:paraId="2F49E49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C9367A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color w:val="auto"/>
          <w:sz w:val="21"/>
          <w:szCs w:val="21"/>
          <w:highlight w:val="none"/>
          <w:u w:val="single"/>
        </w:rPr>
      </w:pPr>
      <w:r>
        <w:rPr>
          <w:rFonts w:ascii="宋体" w:hAnsi="宋体"/>
          <w:color w:val="auto"/>
          <w:kern w:val="0"/>
          <w:sz w:val="21"/>
          <w:szCs w:val="21"/>
          <w:highlight w:val="none"/>
        </w:rPr>
        <w:t>项目经理未经批准，擅自离开施工现场的违约责任：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D05948C">
      <w:pPr>
        <w:pStyle w:val="53"/>
        <w:pageBreakBefore w:val="0"/>
        <w:widowControl w:val="0"/>
        <w:kinsoku/>
        <w:wordWrap/>
        <w:overflowPunct/>
        <w:topLinePunct w:val="0"/>
        <w:bidi w:val="0"/>
        <w:snapToGrid/>
        <w:spacing w:after="200" w:line="440" w:lineRule="exact"/>
        <w:ind w:firstLine="480"/>
        <w:textAlignment w:val="auto"/>
        <w:rPr>
          <w:rFonts w:ascii="宋体" w:hAnsi="宋体"/>
          <w:color w:val="auto"/>
          <w:kern w:val="0"/>
          <w:sz w:val="21"/>
          <w:szCs w:val="21"/>
          <w:highlight w:val="none"/>
        </w:rPr>
      </w:pPr>
      <w:r>
        <w:rPr>
          <w:rFonts w:ascii="宋体" w:hAnsi="宋体"/>
          <w:color w:val="auto"/>
          <w:sz w:val="21"/>
          <w:szCs w:val="21"/>
          <w:highlight w:val="none"/>
        </w:rPr>
        <w:t>3.2.3 承包人擅自更换项目经理的违约责任：</w:t>
      </w:r>
      <w:r>
        <w:rPr>
          <w:rStyle w:val="25"/>
          <w:rFonts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F9BC62D">
      <w:pPr>
        <w:pStyle w:val="53"/>
        <w:pageBreakBefore w:val="0"/>
        <w:widowControl w:val="0"/>
        <w:kinsoku/>
        <w:wordWrap/>
        <w:overflowPunct/>
        <w:topLinePunct w:val="0"/>
        <w:bidi w:val="0"/>
        <w:snapToGrid/>
        <w:spacing w:after="200" w:line="440" w:lineRule="exact"/>
        <w:ind w:firstLine="480"/>
        <w:textAlignment w:val="auto"/>
        <w:rPr>
          <w:rFonts w:ascii="宋体" w:hAnsi="宋体"/>
          <w:b/>
          <w:color w:val="auto"/>
          <w:sz w:val="21"/>
          <w:szCs w:val="21"/>
          <w:highlight w:val="none"/>
          <w:u w:val="single"/>
        </w:rPr>
      </w:pPr>
      <w:r>
        <w:rPr>
          <w:rFonts w:ascii="宋体" w:hAnsi="宋体"/>
          <w:color w:val="auto"/>
          <w:sz w:val="21"/>
          <w:szCs w:val="21"/>
          <w:highlight w:val="none"/>
        </w:rPr>
        <w:t>3.2.4 承包人无正当理由拒绝更换项目经理的违约责任：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492B88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3.3 承包人人员</w:t>
      </w:r>
    </w:p>
    <w:p w14:paraId="7591FD2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3.3.1 承包人提交项目管理机构及施工现场管理人员安排报告的期限：</w:t>
      </w:r>
    </w:p>
    <w:p w14:paraId="679B9FC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Style w:val="25"/>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1E41188A">
      <w:pPr>
        <w:pStyle w:val="53"/>
        <w:pageBreakBefore w:val="0"/>
        <w:widowControl w:val="0"/>
        <w:kinsoku/>
        <w:wordWrap/>
        <w:overflowPunct/>
        <w:topLinePunct w:val="0"/>
        <w:bidi w:val="0"/>
        <w:snapToGrid/>
        <w:spacing w:after="200" w:line="440" w:lineRule="exact"/>
        <w:ind w:firstLine="480"/>
        <w:textAlignment w:val="auto"/>
        <w:rPr>
          <w:rFonts w:ascii="宋体" w:hAnsi="宋体"/>
          <w:color w:val="auto"/>
          <w:sz w:val="21"/>
          <w:szCs w:val="21"/>
          <w:highlight w:val="none"/>
        </w:rPr>
      </w:pPr>
      <w:r>
        <w:rPr>
          <w:rFonts w:ascii="宋体" w:hAnsi="宋体"/>
          <w:color w:val="auto"/>
          <w:sz w:val="21"/>
          <w:szCs w:val="21"/>
          <w:highlight w:val="none"/>
        </w:rPr>
        <w:t>3.3.3 承包人无正当理由拒绝撤换主要施工管理人员的违约责任：</w:t>
      </w:r>
    </w:p>
    <w:p w14:paraId="239C141E">
      <w:pPr>
        <w:pStyle w:val="53"/>
        <w:pageBreakBefore w:val="0"/>
        <w:widowControl w:val="0"/>
        <w:kinsoku/>
        <w:wordWrap/>
        <w:overflowPunct/>
        <w:topLinePunct w:val="0"/>
        <w:bidi w:val="0"/>
        <w:snapToGrid/>
        <w:spacing w:after="200" w:line="440" w:lineRule="exact"/>
        <w:ind w:firstLine="480"/>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E896506">
      <w:pPr>
        <w:pStyle w:val="53"/>
        <w:pageBreakBefore w:val="0"/>
        <w:widowControl w:val="0"/>
        <w:kinsoku/>
        <w:wordWrap/>
        <w:overflowPunct/>
        <w:topLinePunct w:val="0"/>
        <w:bidi w:val="0"/>
        <w:snapToGrid/>
        <w:spacing w:after="200" w:line="440" w:lineRule="exact"/>
        <w:ind w:firstLine="480"/>
        <w:textAlignment w:val="auto"/>
        <w:rPr>
          <w:rFonts w:ascii="宋体" w:hAnsi="宋体"/>
          <w:b/>
          <w:color w:val="auto"/>
          <w:sz w:val="21"/>
          <w:szCs w:val="21"/>
          <w:highlight w:val="none"/>
        </w:rPr>
      </w:pPr>
      <w:r>
        <w:rPr>
          <w:rFonts w:ascii="宋体" w:hAnsi="宋体"/>
          <w:color w:val="auto"/>
          <w:sz w:val="21"/>
          <w:szCs w:val="21"/>
          <w:highlight w:val="none"/>
        </w:rPr>
        <w:t>3.3.4 承包人主要施工管理人员离开施工现场的批准要求：</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FED0637">
      <w:pPr>
        <w:pStyle w:val="53"/>
        <w:pageBreakBefore w:val="0"/>
        <w:widowControl w:val="0"/>
        <w:kinsoku/>
        <w:wordWrap/>
        <w:overflowPunct/>
        <w:topLinePunct w:val="0"/>
        <w:bidi w:val="0"/>
        <w:snapToGrid/>
        <w:spacing w:after="200" w:line="440" w:lineRule="exact"/>
        <w:textAlignment w:val="auto"/>
        <w:rPr>
          <w:rFonts w:ascii="宋体" w:hAnsi="宋体"/>
          <w:b/>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3.3.5承包人擅自更换主要施工管理人员的违约责任：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B3D2CC6">
      <w:pPr>
        <w:pStyle w:val="53"/>
        <w:pageBreakBefore w:val="0"/>
        <w:widowControl w:val="0"/>
        <w:kinsoku/>
        <w:wordWrap/>
        <w:overflowPunct/>
        <w:topLinePunct w:val="0"/>
        <w:bidi w:val="0"/>
        <w:snapToGrid/>
        <w:spacing w:after="200" w:line="440" w:lineRule="exact"/>
        <w:textAlignment w:val="auto"/>
        <w:rPr>
          <w:rFonts w:ascii="宋体" w:hAnsi="宋体"/>
          <w:b/>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承包人主要施工管理人员擅自离开施工现场的违约责任：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52A2A5B">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w:t>
      </w:r>
      <w:bookmarkStart w:id="280" w:name="_Toc292559364"/>
      <w:bookmarkStart w:id="281" w:name="_Toc312677988"/>
      <w:bookmarkStart w:id="282" w:name="_Toc300934945"/>
      <w:bookmarkStart w:id="283" w:name="_Toc296346660"/>
      <w:bookmarkStart w:id="284" w:name="_Toc297120459"/>
      <w:bookmarkStart w:id="285" w:name="_Toc304295523"/>
      <w:bookmarkStart w:id="286" w:name="_Toc296347158"/>
      <w:bookmarkStart w:id="287" w:name="_Toc297123492"/>
      <w:bookmarkStart w:id="288" w:name="_Toc303539102"/>
      <w:bookmarkStart w:id="289" w:name="_Toc296890987"/>
      <w:bookmarkStart w:id="290" w:name="_Toc296944498"/>
      <w:bookmarkStart w:id="291" w:name="_Toc297216151"/>
      <w:bookmarkStart w:id="292" w:name="_Toc297048345"/>
      <w:bookmarkStart w:id="293" w:name="_Toc296891199"/>
      <w:bookmarkStart w:id="294" w:name="_Toc292559869"/>
      <w:bookmarkStart w:id="295" w:name="_Toc296503159"/>
      <w:r>
        <w:rPr>
          <w:rFonts w:ascii="宋体" w:hAnsi="宋体"/>
          <w:color w:val="auto"/>
          <w:sz w:val="21"/>
          <w:szCs w:val="21"/>
          <w:highlight w:val="none"/>
        </w:rPr>
        <w:t>.5 分包</w:t>
      </w:r>
    </w:p>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14:paraId="161A521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w:t>
      </w:r>
      <w:bookmarkStart w:id="296" w:name="_Toc303539103"/>
      <w:bookmarkStart w:id="297" w:name="_Toc297216152"/>
      <w:bookmarkStart w:id="298" w:name="_Toc297123493"/>
      <w:bookmarkStart w:id="299" w:name="_Toc296503160"/>
      <w:bookmarkStart w:id="300" w:name="_Toc296890988"/>
      <w:bookmarkStart w:id="301" w:name="_Toc300934946"/>
      <w:bookmarkStart w:id="302" w:name="_Toc296891200"/>
      <w:bookmarkStart w:id="303" w:name="_Toc297120460"/>
      <w:bookmarkStart w:id="304" w:name="_Toc296347159"/>
      <w:bookmarkStart w:id="305" w:name="_Toc296944499"/>
      <w:bookmarkStart w:id="306" w:name="_Toc292559365"/>
      <w:bookmarkStart w:id="307" w:name="_Toc297048346"/>
      <w:bookmarkStart w:id="308" w:name="_Toc304295524"/>
      <w:bookmarkStart w:id="309" w:name="_Toc296346661"/>
      <w:bookmarkStart w:id="310" w:name="_Toc292559870"/>
      <w:bookmarkStart w:id="311" w:name="_Toc312677989"/>
      <w:bookmarkStart w:id="312" w:name="_Toc318581158"/>
      <w:r>
        <w:rPr>
          <w:rFonts w:ascii="宋体" w:hAnsi="宋体"/>
          <w:color w:val="auto"/>
          <w:sz w:val="21"/>
          <w:szCs w:val="21"/>
          <w:highlight w:val="none"/>
        </w:rPr>
        <w:t>.5.1 分包的一般约定</w:t>
      </w:r>
    </w:p>
    <w:p w14:paraId="3A6887A5">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禁止分包的工程包括：</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1E5F76E">
      <w:pPr>
        <w:pStyle w:val="53"/>
        <w:pageBreakBefore w:val="0"/>
        <w:widowControl w:val="0"/>
        <w:kinsoku/>
        <w:wordWrap/>
        <w:overflowPunct/>
        <w:topLinePunct w:val="0"/>
        <w:bidi w:val="0"/>
        <w:snapToGrid/>
        <w:spacing w:after="200" w:line="440" w:lineRule="exact"/>
        <w:jc w:val="left"/>
        <w:textAlignment w:val="auto"/>
        <w:rPr>
          <w:rFonts w:ascii="宋体" w:hAnsi="宋体"/>
          <w:b/>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主体结构、关键性工作的范围：</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Start w:id="313" w:name="_Toc296346662"/>
      <w:bookmarkStart w:id="314" w:name="_Toc296503161"/>
      <w:bookmarkStart w:id="315" w:name="_Toc303539104"/>
      <w:bookmarkStart w:id="316" w:name="_Toc296944500"/>
      <w:bookmarkStart w:id="317" w:name="_Toc297123494"/>
      <w:bookmarkStart w:id="318" w:name="_Toc297216153"/>
      <w:bookmarkStart w:id="319" w:name="_Toc304295525"/>
      <w:bookmarkStart w:id="320" w:name="_Toc296891201"/>
      <w:bookmarkStart w:id="321" w:name="_Toc296347160"/>
      <w:bookmarkStart w:id="322" w:name="_Toc296890989"/>
      <w:bookmarkStart w:id="323" w:name="_Toc297120461"/>
      <w:bookmarkStart w:id="324" w:name="_Toc297048347"/>
      <w:bookmarkStart w:id="325" w:name="_Toc300934947"/>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14:paraId="11D8F0DC">
      <w:pPr>
        <w:pStyle w:val="53"/>
        <w:pageBreakBefore w:val="0"/>
        <w:widowControl w:val="0"/>
        <w:kinsoku/>
        <w:wordWrap/>
        <w:overflowPunct/>
        <w:topLinePunct w:val="0"/>
        <w:bidi w:val="0"/>
        <w:snapToGrid/>
        <w:spacing w:after="200" w:line="440" w:lineRule="exact"/>
        <w:textAlignment w:val="auto"/>
        <w:rPr>
          <w:rFonts w:ascii="宋体" w:hAnsi="宋体"/>
          <w:color w:val="auto"/>
          <w:sz w:val="21"/>
          <w:szCs w:val="21"/>
          <w:highlight w:val="none"/>
        </w:rPr>
      </w:pPr>
      <w:r>
        <w:rPr>
          <w:rFonts w:ascii="宋体" w:hAnsi="宋体"/>
          <w:color w:val="auto"/>
          <w:sz w:val="21"/>
          <w:szCs w:val="21"/>
          <w:highlight w:val="none"/>
        </w:rPr>
        <w:t xml:space="preserve">    3</w:t>
      </w:r>
      <w:bookmarkStart w:id="326" w:name="_Toc312677990"/>
      <w:bookmarkStart w:id="327" w:name="_Toc318581159"/>
      <w:r>
        <w:rPr>
          <w:rFonts w:ascii="宋体" w:hAnsi="宋体"/>
          <w:color w:val="auto"/>
          <w:sz w:val="21"/>
          <w:szCs w:val="21"/>
          <w:highlight w:val="none"/>
        </w:rPr>
        <w:t>.5.2分包的确定</w:t>
      </w:r>
    </w:p>
    <w:p w14:paraId="5102382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color w:val="auto"/>
          <w:sz w:val="21"/>
          <w:szCs w:val="21"/>
          <w:highlight w:val="none"/>
          <w:u w:val="single"/>
        </w:rPr>
      </w:pPr>
      <w:r>
        <w:rPr>
          <w:rFonts w:ascii="宋体" w:hAnsi="宋体"/>
          <w:color w:val="auto"/>
          <w:sz w:val="21"/>
          <w:szCs w:val="21"/>
          <w:highlight w:val="none"/>
        </w:rPr>
        <w:t>允许分包的专业工程包括：</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93A2B66">
      <w:pPr>
        <w:pStyle w:val="53"/>
        <w:pageBreakBefore w:val="0"/>
        <w:widowControl w:val="0"/>
        <w:kinsoku/>
        <w:wordWrap/>
        <w:overflowPunct/>
        <w:topLinePunct w:val="0"/>
        <w:bidi w:val="0"/>
        <w:snapToGrid/>
        <w:spacing w:after="200" w:line="440" w:lineRule="exact"/>
        <w:textAlignment w:val="auto"/>
        <w:rPr>
          <w:rFonts w:ascii="宋体" w:hAnsi="宋体"/>
          <w:b/>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其他关于分包的约定：</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B3EEA0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3.5.4 分包合同价款</w:t>
      </w:r>
    </w:p>
    <w:p w14:paraId="64E4CC7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b/>
          <w:color w:val="auto"/>
          <w:sz w:val="21"/>
          <w:szCs w:val="21"/>
          <w:highlight w:val="none"/>
          <w:u w:val="single"/>
        </w:rPr>
      </w:pPr>
      <w:r>
        <w:rPr>
          <w:rFonts w:ascii="宋体" w:hAnsi="宋体"/>
          <w:color w:val="auto"/>
          <w:sz w:val="21"/>
          <w:szCs w:val="21"/>
          <w:highlight w:val="none"/>
        </w:rPr>
        <w:t>关于分包合同价款支付的约定</w:t>
      </w:r>
      <w:r>
        <w:rPr>
          <w:rFonts w:hint="eastAsia"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bookmarkEnd w:id="326"/>
    <w:bookmarkEnd w:id="327"/>
    <w:p w14:paraId="5D370F8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3.6 工程照管与成品、半成品保护</w:t>
      </w:r>
    </w:p>
    <w:p w14:paraId="5490A10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kern w:val="0"/>
          <w:sz w:val="21"/>
          <w:szCs w:val="21"/>
          <w:highlight w:val="none"/>
        </w:rPr>
        <w:t>承包人负责照管工程及工程相关的材料、工程设备的起始时间：</w:t>
      </w:r>
    </w:p>
    <w:p w14:paraId="04B9694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127A00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3.7 履约担保</w:t>
      </w:r>
    </w:p>
    <w:p w14:paraId="6C034113">
      <w:pPr>
        <w:pStyle w:val="53"/>
        <w:pageBreakBefore w:val="0"/>
        <w:widowControl w:val="0"/>
        <w:kinsoku/>
        <w:wordWrap/>
        <w:overflowPunct/>
        <w:topLinePunct w:val="0"/>
        <w:bidi w:val="0"/>
        <w:snapToGrid/>
        <w:spacing w:after="200" w:line="440" w:lineRule="exact"/>
        <w:ind w:firstLine="420" w:firstLineChars="200"/>
        <w:jc w:val="left"/>
        <w:textAlignment w:val="auto"/>
        <w:rPr>
          <w:rFonts w:hint="eastAsia" w:ascii="宋体" w:hAnsi="宋体"/>
          <w:color w:val="auto"/>
          <w:sz w:val="21"/>
          <w:szCs w:val="21"/>
          <w:highlight w:val="none"/>
        </w:rPr>
      </w:pPr>
      <w:r>
        <w:rPr>
          <w:rFonts w:hint="eastAsia" w:ascii="宋体" w:hAnsi="宋体"/>
          <w:color w:val="auto"/>
          <w:sz w:val="21"/>
          <w:szCs w:val="21"/>
          <w:highlight w:val="none"/>
        </w:rPr>
        <w:t>承包人是否提供履约担保：</w:t>
      </w:r>
    </w:p>
    <w:p w14:paraId="6A58048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承包人提供履约担保的形式</w:t>
      </w:r>
      <w:r>
        <w:rPr>
          <w:rFonts w:hint="eastAsia" w:ascii="宋体" w:hAnsi="宋体"/>
          <w:color w:val="auto"/>
          <w:sz w:val="21"/>
          <w:szCs w:val="21"/>
          <w:highlight w:val="none"/>
        </w:rPr>
        <w:t>、金额及期限的</w:t>
      </w:r>
      <w:r>
        <w:rPr>
          <w:rFonts w:ascii="宋体" w:hAnsi="宋体"/>
          <w:color w:val="auto"/>
          <w:sz w:val="21"/>
          <w:szCs w:val="21"/>
          <w:highlight w:val="none"/>
        </w:rPr>
        <w:t>：</w:t>
      </w:r>
    </w:p>
    <w:p w14:paraId="7D1DEBD6">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328" w:name="_Toc351203636"/>
      <w:r>
        <w:rPr>
          <w:rFonts w:ascii="宋体" w:hAnsi="宋体" w:eastAsia="宋体"/>
          <w:color w:val="auto"/>
          <w:sz w:val="21"/>
          <w:szCs w:val="21"/>
          <w:highlight w:val="none"/>
        </w:rPr>
        <w:t>4</w:t>
      </w:r>
      <w:bookmarkStart w:id="329" w:name="_Toc296944501"/>
      <w:bookmarkStart w:id="330" w:name="_Toc296890990"/>
      <w:bookmarkStart w:id="331" w:name="_Toc296891202"/>
      <w:bookmarkStart w:id="332" w:name="_Toc297048348"/>
      <w:bookmarkStart w:id="333" w:name="_Toc296346663"/>
      <w:bookmarkStart w:id="334" w:name="_Toc296503162"/>
      <w:bookmarkStart w:id="335" w:name="_Toc292559366"/>
      <w:bookmarkStart w:id="336" w:name="_Toc292559871"/>
      <w:bookmarkStart w:id="337" w:name="_Toc267251413"/>
      <w:bookmarkStart w:id="338" w:name="_Toc296347161"/>
      <w:bookmarkStart w:id="339" w:name="_Toc297120462"/>
      <w:r>
        <w:rPr>
          <w:rFonts w:ascii="宋体" w:hAnsi="宋体" w:eastAsia="宋体"/>
          <w:color w:val="auto"/>
          <w:sz w:val="21"/>
          <w:szCs w:val="21"/>
          <w:highlight w:val="none"/>
        </w:rPr>
        <w:t>. 监</w:t>
      </w:r>
      <w:bookmarkEnd w:id="329"/>
      <w:bookmarkEnd w:id="330"/>
      <w:bookmarkEnd w:id="331"/>
      <w:bookmarkEnd w:id="332"/>
      <w:bookmarkEnd w:id="333"/>
      <w:bookmarkEnd w:id="334"/>
      <w:bookmarkEnd w:id="335"/>
      <w:bookmarkEnd w:id="336"/>
      <w:bookmarkEnd w:id="337"/>
      <w:bookmarkEnd w:id="338"/>
      <w:bookmarkEnd w:id="339"/>
      <w:r>
        <w:rPr>
          <w:rFonts w:ascii="宋体" w:hAnsi="宋体" w:eastAsia="宋体"/>
          <w:color w:val="auto"/>
          <w:sz w:val="21"/>
          <w:szCs w:val="21"/>
          <w:highlight w:val="none"/>
        </w:rPr>
        <w:t>理人</w:t>
      </w:r>
      <w:bookmarkEnd w:id="328"/>
    </w:p>
    <w:p w14:paraId="1AE66023">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4.1监理人的一般规定</w:t>
      </w:r>
    </w:p>
    <w:p w14:paraId="42EE21A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关于监理人的监理内容：</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AADC71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关于监理人的监理权限：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3196465">
      <w:pPr>
        <w:pStyle w:val="53"/>
        <w:pageBreakBefore w:val="0"/>
        <w:widowControl w:val="0"/>
        <w:kinsoku/>
        <w:wordWrap/>
        <w:overflowPunct/>
        <w:topLinePunct w:val="0"/>
        <w:bidi w:val="0"/>
        <w:snapToGrid/>
        <w:spacing w:after="200" w:line="440" w:lineRule="exact"/>
        <w:textAlignment w:val="auto"/>
        <w:rPr>
          <w:rFonts w:ascii="宋体" w:hAnsi="宋体"/>
          <w:color w:val="auto"/>
          <w:sz w:val="21"/>
          <w:szCs w:val="21"/>
          <w:highlight w:val="none"/>
        </w:rPr>
      </w:pPr>
      <w:r>
        <w:rPr>
          <w:rFonts w:ascii="宋体" w:hAnsi="宋体"/>
          <w:color w:val="auto"/>
          <w:sz w:val="21"/>
          <w:szCs w:val="21"/>
          <w:highlight w:val="none"/>
        </w:rPr>
        <w:t>关于监理人在施工现场的办公场所、生活场所的提供和费用承担的约定：</w:t>
      </w:r>
    </w:p>
    <w:p w14:paraId="2F8C8D8A">
      <w:pPr>
        <w:pStyle w:val="53"/>
        <w:pageBreakBefore w:val="0"/>
        <w:widowControl w:val="0"/>
        <w:kinsoku/>
        <w:wordWrap/>
        <w:overflowPunct/>
        <w:topLinePunct w:val="0"/>
        <w:bidi w:val="0"/>
        <w:snapToGrid/>
        <w:spacing w:after="200" w:line="440" w:lineRule="exact"/>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137661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4.2 监理人员</w:t>
      </w:r>
    </w:p>
    <w:p w14:paraId="51EFCD1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总监理工程师：</w:t>
      </w:r>
    </w:p>
    <w:p w14:paraId="5306A91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姓    名：</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0605F4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职    务：</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A13314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监理工程师执业资格证书号：</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57050B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联系电话：</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A0713C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电子信箱：</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BD1724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通信地址：</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158F856">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关于监理人的其他约定：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4F7FB9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4.4 商定或确定</w:t>
      </w:r>
    </w:p>
    <w:p w14:paraId="4AE7AD4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bookmarkStart w:id="340" w:name="_Toc267251418"/>
      <w:r>
        <w:rPr>
          <w:rFonts w:ascii="宋体" w:hAnsi="宋体"/>
          <w:color w:val="auto"/>
          <w:sz w:val="21"/>
          <w:szCs w:val="21"/>
          <w:highlight w:val="none"/>
        </w:rPr>
        <w:t>在发包人和承包人不能通过协商达成一致意见时，发包人授权监理人对以下事项进行确定：</w:t>
      </w:r>
      <w:bookmarkStart w:id="341" w:name="_Toc351203637"/>
    </w:p>
    <w:p w14:paraId="3A8C8381">
      <w:pPr>
        <w:pageBreakBefore w:val="0"/>
        <w:widowControl w:val="0"/>
        <w:kinsoku/>
        <w:wordWrap/>
        <w:overflowPunct/>
        <w:topLinePunct w:val="0"/>
        <w:autoSpaceDE w:val="0"/>
        <w:autoSpaceDN w:val="0"/>
        <w:bidi w:val="0"/>
        <w:adjustRightInd w:val="0"/>
        <w:snapToGrid/>
        <w:spacing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17D8031F">
      <w:pPr>
        <w:pageBreakBefore w:val="0"/>
        <w:widowControl w:val="0"/>
        <w:kinsoku/>
        <w:wordWrap/>
        <w:overflowPunct/>
        <w:topLinePunct w:val="0"/>
        <w:autoSpaceDE w:val="0"/>
        <w:autoSpaceDN w:val="0"/>
        <w:bidi w:val="0"/>
        <w:adjustRightInd w:val="0"/>
        <w:snapToGrid/>
        <w:spacing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（2）</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4345CA22">
      <w:pPr>
        <w:pageBreakBefore w:val="0"/>
        <w:widowControl w:val="0"/>
        <w:kinsoku/>
        <w:wordWrap/>
        <w:overflowPunct/>
        <w:topLinePunct w:val="0"/>
        <w:autoSpaceDE w:val="0"/>
        <w:autoSpaceDN w:val="0"/>
        <w:bidi w:val="0"/>
        <w:adjustRightInd w:val="0"/>
        <w:snapToGrid/>
        <w:spacing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（3）</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64B519C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5</w:t>
      </w:r>
      <w:bookmarkEnd w:id="340"/>
      <w:bookmarkStart w:id="342" w:name="_Toc296890991"/>
      <w:bookmarkStart w:id="343" w:name="_Toc297048349"/>
      <w:bookmarkStart w:id="344" w:name="_Toc297120463"/>
      <w:bookmarkStart w:id="345" w:name="_Toc296347162"/>
      <w:bookmarkStart w:id="346" w:name="_Toc292559872"/>
      <w:bookmarkStart w:id="347" w:name="_Toc292559367"/>
      <w:bookmarkStart w:id="348" w:name="_Toc296346664"/>
      <w:bookmarkStart w:id="349" w:name="_Toc296503163"/>
      <w:bookmarkStart w:id="350" w:name="_Toc296944502"/>
      <w:bookmarkStart w:id="351" w:name="_Toc296891203"/>
      <w:r>
        <w:rPr>
          <w:rFonts w:ascii="宋体" w:hAnsi="宋体"/>
          <w:color w:val="auto"/>
          <w:sz w:val="21"/>
          <w:szCs w:val="21"/>
          <w:highlight w:val="none"/>
        </w:rPr>
        <w:t>. 工程质量</w:t>
      </w:r>
      <w:bookmarkEnd w:id="341"/>
    </w:p>
    <w:p w14:paraId="524DE25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5.1 质量要求</w:t>
      </w:r>
    </w:p>
    <w:p w14:paraId="1F4AC28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b/>
          <w:color w:val="auto"/>
          <w:sz w:val="21"/>
          <w:szCs w:val="21"/>
          <w:highlight w:val="none"/>
          <w:u w:val="single"/>
        </w:rPr>
      </w:pPr>
      <w:r>
        <w:rPr>
          <w:rFonts w:ascii="宋体" w:hAnsi="宋体"/>
          <w:color w:val="auto"/>
          <w:sz w:val="21"/>
          <w:szCs w:val="21"/>
          <w:highlight w:val="none"/>
        </w:rPr>
        <w:t>5</w:t>
      </w:r>
      <w:bookmarkStart w:id="352" w:name="_Toc300934949"/>
      <w:bookmarkStart w:id="353" w:name="_Toc303539106"/>
      <w:bookmarkStart w:id="354" w:name="_Toc312677997"/>
      <w:bookmarkStart w:id="355" w:name="_Toc297216155"/>
      <w:bookmarkStart w:id="356" w:name="_Toc318581164"/>
      <w:bookmarkStart w:id="357" w:name="_Toc304295527"/>
      <w:bookmarkStart w:id="358" w:name="_Toc297123496"/>
      <w:r>
        <w:rPr>
          <w:rFonts w:ascii="宋体" w:hAnsi="宋体"/>
          <w:color w:val="auto"/>
          <w:sz w:val="21"/>
          <w:szCs w:val="21"/>
          <w:highlight w:val="none"/>
        </w:rPr>
        <w:t>.1.1 特殊质量标准和要求：</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9E32AB2">
      <w:pPr>
        <w:pStyle w:val="53"/>
        <w:pageBreakBefore w:val="0"/>
        <w:widowControl w:val="0"/>
        <w:kinsoku/>
        <w:wordWrap/>
        <w:overflowPunct/>
        <w:topLinePunct w:val="0"/>
        <w:bidi w:val="0"/>
        <w:snapToGrid/>
        <w:spacing w:after="200" w:line="440" w:lineRule="exact"/>
        <w:jc w:val="left"/>
        <w:textAlignment w:val="auto"/>
        <w:rPr>
          <w:rFonts w:ascii="宋体" w:hAnsi="宋体"/>
          <w:b/>
          <w:color w:val="auto"/>
          <w:sz w:val="21"/>
          <w:szCs w:val="21"/>
          <w:highlight w:val="none"/>
        </w:rPr>
      </w:pPr>
      <w:r>
        <w:rPr>
          <w:rFonts w:ascii="宋体" w:hAnsi="宋体"/>
          <w:color w:val="auto"/>
          <w:sz w:val="21"/>
          <w:szCs w:val="21"/>
          <w:highlight w:val="none"/>
        </w:rPr>
        <w:t>关于工程奖项的约定：</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218155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5.3 隐蔽工程检查</w:t>
      </w:r>
    </w:p>
    <w:p w14:paraId="77ECB9E8">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5.3.2承包人提前通知监理人隐蔽工程检查的期限的约定：</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4EFD05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监理人不能按时进行检查时，应提前</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小时提交书面延期要求。</w:t>
      </w:r>
    </w:p>
    <w:p w14:paraId="408D40F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关于延期最长不得超过：</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小时。</w:t>
      </w:r>
    </w:p>
    <w:p w14:paraId="0DC9006A">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359" w:name="_Toc351203638"/>
      <w:r>
        <w:rPr>
          <w:rFonts w:ascii="宋体" w:hAnsi="宋体" w:eastAsia="宋体"/>
          <w:color w:val="auto"/>
          <w:sz w:val="21"/>
          <w:szCs w:val="21"/>
          <w:highlight w:val="none"/>
        </w:rPr>
        <w:t>6. 安全文明施工与环境保护</w:t>
      </w:r>
      <w:bookmarkEnd w:id="359"/>
    </w:p>
    <w:p w14:paraId="6599270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6.1安全文明施工</w:t>
      </w:r>
    </w:p>
    <w:p w14:paraId="79D382D7">
      <w:pPr>
        <w:pStyle w:val="22"/>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6.1.1 项目安全生产的达标目标及相应事项的约定：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723686F0">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sz w:val="21"/>
          <w:szCs w:val="21"/>
          <w:highlight w:val="none"/>
        </w:rPr>
      </w:pPr>
      <w:r>
        <w:rPr>
          <w:rFonts w:ascii="宋体" w:hAnsi="宋体"/>
          <w:color w:val="auto"/>
          <w:sz w:val="21"/>
          <w:szCs w:val="21"/>
          <w:highlight w:val="none"/>
        </w:rPr>
        <w:t>6.1.4 关于治安保卫的特别约定：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r>
        <w:rPr>
          <w:rFonts w:hint="eastAsia" w:ascii="宋体" w:hAnsi="宋体"/>
          <w:color w:val="auto"/>
          <w:sz w:val="21"/>
          <w:szCs w:val="21"/>
          <w:highlight w:val="none"/>
        </w:rPr>
        <w:t xml:space="preserve">    </w:t>
      </w:r>
    </w:p>
    <w:p w14:paraId="209C1CEA">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b/>
          <w:color w:val="auto"/>
          <w:sz w:val="21"/>
          <w:szCs w:val="21"/>
          <w:highlight w:val="none"/>
          <w:u w:val="single"/>
        </w:rPr>
      </w:pPr>
      <w:r>
        <w:rPr>
          <w:rFonts w:ascii="宋体" w:hAnsi="宋体"/>
          <w:color w:val="auto"/>
          <w:sz w:val="21"/>
          <w:szCs w:val="21"/>
          <w:highlight w:val="none"/>
        </w:rPr>
        <w:t>关于编制施工场地治安管理计划的约定：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67163D95">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6.1.5 文明施工</w:t>
      </w:r>
    </w:p>
    <w:p w14:paraId="3034D53B">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合同当事人对文明施工的要求：</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r>
        <w:rPr>
          <w:rFonts w:hint="eastAsia" w:ascii="宋体" w:hAnsi="宋体"/>
          <w:color w:val="auto"/>
          <w:sz w:val="21"/>
          <w:szCs w:val="21"/>
          <w:highlight w:val="none"/>
        </w:rPr>
        <w:t xml:space="preserve">    </w:t>
      </w:r>
    </w:p>
    <w:p w14:paraId="207C9018">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b/>
          <w:color w:val="auto"/>
          <w:sz w:val="21"/>
          <w:szCs w:val="21"/>
          <w:highlight w:val="none"/>
          <w:u w:val="single"/>
        </w:rPr>
      </w:pPr>
      <w:r>
        <w:rPr>
          <w:rFonts w:ascii="宋体" w:hAnsi="宋体"/>
          <w:color w:val="auto"/>
          <w:sz w:val="21"/>
          <w:szCs w:val="21"/>
          <w:highlight w:val="none"/>
        </w:rPr>
        <w:t>6.1.6 关于安全文明施工费支付比例和支付期限的约定：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bookmarkEnd w:id="352"/>
    <w:bookmarkEnd w:id="353"/>
    <w:bookmarkEnd w:id="354"/>
    <w:bookmarkEnd w:id="355"/>
    <w:bookmarkEnd w:id="356"/>
    <w:bookmarkEnd w:id="357"/>
    <w:bookmarkEnd w:id="358"/>
    <w:p w14:paraId="6440C663">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360" w:name="_Toc351203639"/>
      <w:r>
        <w:rPr>
          <w:rFonts w:ascii="宋体" w:hAnsi="宋体" w:eastAsia="宋体"/>
          <w:color w:val="auto"/>
          <w:sz w:val="21"/>
          <w:szCs w:val="21"/>
          <w:highlight w:val="none"/>
        </w:rPr>
        <w:t>7. 工期和进度</w:t>
      </w:r>
      <w:bookmarkEnd w:id="360"/>
    </w:p>
    <w:p w14:paraId="19B15DC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7.1 施工组织设计</w:t>
      </w:r>
    </w:p>
    <w:p w14:paraId="1BB3A9BF">
      <w:pPr>
        <w:pStyle w:val="53"/>
        <w:pageBreakBefore w:val="0"/>
        <w:widowControl w:val="0"/>
        <w:kinsoku/>
        <w:wordWrap/>
        <w:overflowPunct/>
        <w:topLinePunct w:val="0"/>
        <w:autoSpaceDE w:val="0"/>
        <w:autoSpaceDN w:val="0"/>
        <w:bidi w:val="0"/>
        <w:adjustRightInd w:val="0"/>
        <w:snapToGrid/>
        <w:spacing w:after="200" w:line="440" w:lineRule="exact"/>
        <w:jc w:val="left"/>
        <w:textAlignment w:val="auto"/>
        <w:rPr>
          <w:rFonts w:ascii="宋体" w:hAnsi="宋体"/>
          <w:b/>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7.1.</w:t>
      </w:r>
      <w:r>
        <w:rPr>
          <w:rFonts w:hint="eastAsia" w:ascii="宋体" w:hAnsi="宋体"/>
          <w:color w:val="auto"/>
          <w:sz w:val="21"/>
          <w:szCs w:val="21"/>
          <w:highlight w:val="none"/>
        </w:rPr>
        <w:t>1 合</w:t>
      </w:r>
      <w:r>
        <w:rPr>
          <w:rFonts w:hint="eastAsia" w:ascii="宋体" w:hAnsi="宋体"/>
          <w:color w:val="auto"/>
          <w:kern w:val="0"/>
          <w:sz w:val="21"/>
          <w:szCs w:val="21"/>
          <w:highlight w:val="none"/>
        </w:rPr>
        <w:t>同当事人约定的</w:t>
      </w:r>
      <w:r>
        <w:rPr>
          <w:rFonts w:ascii="宋体" w:hAnsi="宋体"/>
          <w:color w:val="auto"/>
          <w:kern w:val="0"/>
          <w:sz w:val="21"/>
          <w:szCs w:val="21"/>
          <w:highlight w:val="none"/>
        </w:rPr>
        <w:t>施工组织设计</w:t>
      </w:r>
      <w:r>
        <w:rPr>
          <w:rFonts w:hint="eastAsia" w:ascii="宋体" w:hAnsi="宋体"/>
          <w:color w:val="auto"/>
          <w:kern w:val="0"/>
          <w:sz w:val="21"/>
          <w:szCs w:val="21"/>
          <w:highlight w:val="none"/>
        </w:rPr>
        <w:t>应包括的其他内容</w:t>
      </w:r>
      <w:r>
        <w:rPr>
          <w:rFonts w:ascii="宋体" w:hAnsi="宋体"/>
          <w:color w:val="auto"/>
          <w:kern w:val="0"/>
          <w:sz w:val="21"/>
          <w:szCs w:val="21"/>
          <w:highlight w:val="none"/>
        </w:rPr>
        <w:t>：</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3BEC9EA4">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sz w:val="21"/>
          <w:szCs w:val="21"/>
          <w:highlight w:val="none"/>
        </w:rPr>
        <w:t xml:space="preserve">7.1.2 </w:t>
      </w:r>
      <w:r>
        <w:rPr>
          <w:rFonts w:ascii="宋体" w:hAnsi="宋体"/>
          <w:color w:val="auto"/>
          <w:kern w:val="0"/>
          <w:sz w:val="21"/>
          <w:szCs w:val="21"/>
          <w:highlight w:val="none"/>
        </w:rPr>
        <w:t>施工组织设计的提交和修改</w:t>
      </w:r>
    </w:p>
    <w:p w14:paraId="522542B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承包人提交详细施工组织设计的期限的约定：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E06BC4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发包人和监理人在收到</w:t>
      </w:r>
      <w:r>
        <w:rPr>
          <w:rFonts w:hint="eastAsia" w:ascii="宋体" w:hAnsi="宋体"/>
          <w:color w:val="auto"/>
          <w:sz w:val="21"/>
          <w:szCs w:val="21"/>
          <w:highlight w:val="none"/>
        </w:rPr>
        <w:t>详细的施工组织设计</w:t>
      </w:r>
      <w:r>
        <w:rPr>
          <w:rFonts w:ascii="宋体" w:hAnsi="宋体"/>
          <w:color w:val="auto"/>
          <w:sz w:val="21"/>
          <w:szCs w:val="21"/>
          <w:highlight w:val="none"/>
        </w:rPr>
        <w:t>后确认或提出修改意见的期限：</w:t>
      </w:r>
    </w:p>
    <w:p w14:paraId="04F1CB5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5DB440B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w:t>
      </w:r>
      <w:bookmarkStart w:id="361" w:name="_Toc297216173"/>
      <w:bookmarkStart w:id="362" w:name="_Toc303539123"/>
      <w:bookmarkStart w:id="363" w:name="_Toc297123514"/>
      <w:bookmarkStart w:id="364" w:name="_Toc312677479"/>
      <w:bookmarkStart w:id="365" w:name="_Toc312678005"/>
      <w:bookmarkStart w:id="366" w:name="_Toc300934966"/>
      <w:bookmarkStart w:id="367" w:name="_Toc304295541"/>
      <w:r>
        <w:rPr>
          <w:rFonts w:ascii="宋体" w:hAnsi="宋体"/>
          <w:color w:val="auto"/>
          <w:sz w:val="21"/>
          <w:szCs w:val="21"/>
          <w:highlight w:val="none"/>
        </w:rPr>
        <w:t>.2 施工进度计划</w:t>
      </w:r>
    </w:p>
    <w:p w14:paraId="561FCF7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7.2.2 施工进度计划的修订</w:t>
      </w:r>
    </w:p>
    <w:p w14:paraId="4DFF2A3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发包人和监理人在收到修订的施工进度计划后确认或提出修改意见的期限：</w:t>
      </w:r>
    </w:p>
    <w:p w14:paraId="1DEF659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155C101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7.3 开工</w:t>
      </w:r>
    </w:p>
    <w:p w14:paraId="31575AE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7.3.1 开工准备</w:t>
      </w:r>
    </w:p>
    <w:p w14:paraId="364F1F6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关于承包人提交</w:t>
      </w:r>
      <w:r>
        <w:rPr>
          <w:rFonts w:ascii="宋体" w:hAnsi="宋体"/>
          <w:color w:val="auto"/>
          <w:kern w:val="0"/>
          <w:sz w:val="21"/>
          <w:szCs w:val="21"/>
          <w:highlight w:val="none"/>
        </w:rPr>
        <w:t>工程开工报审表的期限：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5C88EF1C">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关于发包人应完成的其他开工准备工作及期限：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7F57DD27">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关于承包人应完成的其他开工准备工作及期限：</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5ADB8EF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7.3.2开工通知</w:t>
      </w:r>
    </w:p>
    <w:p w14:paraId="210913E5">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因发包人原因造成监理人未能在计划开工日期之日起</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b/>
          <w:bCs/>
          <w:color w:val="auto"/>
          <w:sz w:val="21"/>
          <w:szCs w:val="21"/>
          <w:highlight w:val="none"/>
          <w:u w:val="single"/>
        </w:rPr>
        <w:t xml:space="preserve"> </w:t>
      </w:r>
      <w:r>
        <w:rPr>
          <w:rFonts w:ascii="宋体" w:hAnsi="宋体"/>
          <w:color w:val="auto"/>
          <w:sz w:val="21"/>
          <w:szCs w:val="21"/>
          <w:highlight w:val="none"/>
        </w:rPr>
        <w:t>天内发出开工通知的，承包人有权提出价格调整要求，或者解除合同。</w:t>
      </w:r>
    </w:p>
    <w:bookmarkEnd w:id="361"/>
    <w:bookmarkEnd w:id="362"/>
    <w:bookmarkEnd w:id="363"/>
    <w:bookmarkEnd w:id="364"/>
    <w:bookmarkEnd w:id="365"/>
    <w:bookmarkEnd w:id="366"/>
    <w:bookmarkEnd w:id="367"/>
    <w:p w14:paraId="62AE475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7.4 测量放线</w:t>
      </w:r>
    </w:p>
    <w:p w14:paraId="79469C2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7.4.1发包人通过监理人向承包人提供测量基准点、基准线和水准点及其书面资料的期限：</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574C167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w:t>
      </w:r>
      <w:bookmarkStart w:id="368" w:name="_Toc297123516"/>
      <w:bookmarkStart w:id="369" w:name="_Toc297216175"/>
      <w:bookmarkStart w:id="370" w:name="_Toc300934968"/>
      <w:bookmarkStart w:id="371" w:name="_Toc303539125"/>
      <w:bookmarkStart w:id="372" w:name="_Toc312678010"/>
      <w:bookmarkStart w:id="373" w:name="_Toc312677484"/>
      <w:bookmarkStart w:id="374" w:name="_Toc304295546"/>
      <w:r>
        <w:rPr>
          <w:rFonts w:ascii="宋体" w:hAnsi="宋体"/>
          <w:color w:val="auto"/>
          <w:sz w:val="21"/>
          <w:szCs w:val="21"/>
          <w:highlight w:val="none"/>
        </w:rPr>
        <w:t>.5 工期延误</w:t>
      </w:r>
    </w:p>
    <w:bookmarkEnd w:id="368"/>
    <w:bookmarkEnd w:id="369"/>
    <w:bookmarkEnd w:id="370"/>
    <w:bookmarkEnd w:id="371"/>
    <w:bookmarkEnd w:id="372"/>
    <w:bookmarkEnd w:id="373"/>
    <w:bookmarkEnd w:id="374"/>
    <w:p w14:paraId="3CA6393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7.5.1 因发包人原因导致工期延误</w:t>
      </w:r>
    </w:p>
    <w:p w14:paraId="4B409964">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（7）因发包人原因导致工期延误的其他情形：</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3B7B984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7</w:t>
      </w:r>
      <w:bookmarkStart w:id="375" w:name="_Toc318581169"/>
      <w:bookmarkStart w:id="376" w:name="_Toc312678012"/>
      <w:bookmarkStart w:id="377" w:name="_Toc312677486"/>
      <w:bookmarkStart w:id="378" w:name="_Toc297123518"/>
      <w:bookmarkStart w:id="379" w:name="_Toc300934970"/>
      <w:bookmarkStart w:id="380" w:name="_Toc297216177"/>
      <w:bookmarkStart w:id="381" w:name="_Toc303539127"/>
      <w:bookmarkStart w:id="382" w:name="_Toc304295548"/>
      <w:r>
        <w:rPr>
          <w:rFonts w:ascii="宋体" w:hAnsi="宋体"/>
          <w:color w:val="auto"/>
          <w:sz w:val="21"/>
          <w:szCs w:val="21"/>
          <w:highlight w:val="none"/>
        </w:rPr>
        <w:t>.5.2 因承包人原因导致工期延误</w:t>
      </w:r>
    </w:p>
    <w:bookmarkEnd w:id="375"/>
    <w:bookmarkEnd w:id="376"/>
    <w:bookmarkEnd w:id="377"/>
    <w:p w14:paraId="3F3720B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因</w:t>
      </w:r>
      <w:bookmarkStart w:id="383" w:name="_Toc312677487"/>
      <w:bookmarkStart w:id="384" w:name="_Toc312678013"/>
      <w:bookmarkStart w:id="385" w:name="_Toc318581170"/>
      <w:r>
        <w:rPr>
          <w:rFonts w:ascii="宋体" w:hAnsi="宋体"/>
          <w:color w:val="auto"/>
          <w:sz w:val="21"/>
          <w:szCs w:val="21"/>
          <w:highlight w:val="none"/>
        </w:rPr>
        <w:t>承包人原因造成工期延误，逾期竣工违约金的计算方法为：</w:t>
      </w:r>
    </w:p>
    <w:bookmarkEnd w:id="378"/>
    <w:bookmarkEnd w:id="379"/>
    <w:bookmarkEnd w:id="380"/>
    <w:bookmarkEnd w:id="381"/>
    <w:bookmarkEnd w:id="382"/>
    <w:bookmarkEnd w:id="383"/>
    <w:bookmarkEnd w:id="384"/>
    <w:bookmarkEnd w:id="385"/>
    <w:p w14:paraId="70E38758">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5FE09DB8">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因承包人原因造成工期延误，逾</w:t>
      </w:r>
      <w:bookmarkStart w:id="386" w:name="_Toc318581171"/>
      <w:bookmarkStart w:id="387" w:name="_Toc312678014"/>
      <w:r>
        <w:rPr>
          <w:rFonts w:ascii="宋体" w:hAnsi="宋体"/>
          <w:color w:val="auto"/>
          <w:sz w:val="21"/>
          <w:szCs w:val="21"/>
          <w:highlight w:val="none"/>
        </w:rPr>
        <w:t>期竣工违约金的上限：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386"/>
    <w:bookmarkEnd w:id="387"/>
    <w:p w14:paraId="3B441C5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w:t>
      </w:r>
      <w:bookmarkStart w:id="388" w:name="_Toc297123519"/>
      <w:bookmarkStart w:id="389" w:name="_Toc304295549"/>
      <w:bookmarkStart w:id="390" w:name="_Toc312678015"/>
      <w:bookmarkStart w:id="391" w:name="_Toc303539128"/>
      <w:bookmarkStart w:id="392" w:name="_Toc300934971"/>
      <w:bookmarkStart w:id="393" w:name="_Toc297216178"/>
      <w:r>
        <w:rPr>
          <w:rFonts w:ascii="宋体" w:hAnsi="宋体"/>
          <w:color w:val="auto"/>
          <w:sz w:val="21"/>
          <w:szCs w:val="21"/>
          <w:highlight w:val="none"/>
        </w:rPr>
        <w:t>.6 不</w:t>
      </w:r>
      <w:bookmarkEnd w:id="388"/>
      <w:bookmarkEnd w:id="389"/>
      <w:bookmarkEnd w:id="390"/>
      <w:bookmarkEnd w:id="391"/>
      <w:bookmarkEnd w:id="392"/>
      <w:bookmarkEnd w:id="393"/>
      <w:r>
        <w:rPr>
          <w:rFonts w:ascii="宋体" w:hAnsi="宋体"/>
          <w:color w:val="auto"/>
          <w:sz w:val="21"/>
          <w:szCs w:val="21"/>
          <w:highlight w:val="none"/>
        </w:rPr>
        <w:t>利物质条件</w:t>
      </w:r>
    </w:p>
    <w:p w14:paraId="2ADDEB4F">
      <w:pPr>
        <w:pStyle w:val="53"/>
        <w:pageBreakBefore w:val="0"/>
        <w:widowControl w:val="0"/>
        <w:kinsoku/>
        <w:wordWrap/>
        <w:overflowPunct/>
        <w:topLinePunct w:val="0"/>
        <w:bidi w:val="0"/>
        <w:snapToGrid/>
        <w:spacing w:after="200" w:line="440" w:lineRule="exact"/>
        <w:jc w:val="left"/>
        <w:textAlignment w:val="auto"/>
        <w:rPr>
          <w:rFonts w:ascii="宋体" w:hAnsi="宋体"/>
          <w:b/>
          <w:color w:val="auto"/>
          <w:sz w:val="21"/>
          <w:szCs w:val="21"/>
          <w:highlight w:val="none"/>
          <w:u w:val="single"/>
        </w:rPr>
      </w:pPr>
      <w:bookmarkStart w:id="394" w:name="_Toc297123520"/>
      <w:bookmarkStart w:id="395" w:name="_Toc303539129"/>
      <w:bookmarkStart w:id="396" w:name="_Toc300934972"/>
      <w:bookmarkStart w:id="397" w:name="_Toc318581172"/>
      <w:bookmarkStart w:id="398" w:name="_Toc297216179"/>
      <w:bookmarkStart w:id="399" w:name="_Toc304295550"/>
      <w:bookmarkStart w:id="400" w:name="_Toc312678016"/>
      <w:r>
        <w:rPr>
          <w:rFonts w:hint="eastAsia" w:ascii="宋体" w:hAnsi="宋体"/>
          <w:color w:val="auto"/>
          <w:sz w:val="21"/>
          <w:szCs w:val="21"/>
          <w:highlight w:val="none"/>
        </w:rPr>
        <w:t xml:space="preserve">    </w:t>
      </w:r>
      <w:r>
        <w:rPr>
          <w:rFonts w:ascii="宋体" w:hAnsi="宋体"/>
          <w:color w:val="auto"/>
          <w:sz w:val="21"/>
          <w:szCs w:val="21"/>
          <w:highlight w:val="none"/>
        </w:rPr>
        <w:t>不利物质条件的其他情形和有关约定：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394"/>
    <w:bookmarkEnd w:id="395"/>
    <w:bookmarkEnd w:id="396"/>
    <w:bookmarkEnd w:id="397"/>
    <w:bookmarkEnd w:id="398"/>
    <w:bookmarkEnd w:id="399"/>
    <w:bookmarkEnd w:id="400"/>
    <w:p w14:paraId="13C8F19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w:t>
      </w:r>
      <w:bookmarkStart w:id="401" w:name="_Toc300934973"/>
      <w:bookmarkStart w:id="402" w:name="_Toc312678017"/>
      <w:bookmarkStart w:id="403" w:name="_Toc297123521"/>
      <w:bookmarkStart w:id="404" w:name="_Toc304295551"/>
      <w:bookmarkStart w:id="405" w:name="_Toc297216180"/>
      <w:bookmarkStart w:id="406" w:name="_Toc303539130"/>
      <w:r>
        <w:rPr>
          <w:rFonts w:ascii="宋体" w:hAnsi="宋体"/>
          <w:color w:val="auto"/>
          <w:sz w:val="21"/>
          <w:szCs w:val="21"/>
          <w:highlight w:val="none"/>
        </w:rPr>
        <w:t>.7异常恶劣的气候条件</w:t>
      </w:r>
    </w:p>
    <w:bookmarkEnd w:id="401"/>
    <w:bookmarkEnd w:id="402"/>
    <w:bookmarkEnd w:id="403"/>
    <w:bookmarkEnd w:id="404"/>
    <w:bookmarkEnd w:id="405"/>
    <w:bookmarkEnd w:id="406"/>
    <w:p w14:paraId="393D33E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b/>
          <w:color w:val="auto"/>
          <w:sz w:val="21"/>
          <w:szCs w:val="21"/>
          <w:highlight w:val="none"/>
          <w:u w:val="single"/>
        </w:rPr>
      </w:pPr>
      <w:r>
        <w:rPr>
          <w:rFonts w:ascii="宋体" w:hAnsi="宋体"/>
          <w:color w:val="auto"/>
          <w:sz w:val="21"/>
          <w:szCs w:val="21"/>
          <w:highlight w:val="none"/>
        </w:rPr>
        <w:t>发包人和承包人同意以下情形视为异常恶劣的气候条件：</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611A567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7.9 提前竣工的奖励</w:t>
      </w:r>
    </w:p>
    <w:p w14:paraId="6154EF0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b/>
          <w:color w:val="auto"/>
          <w:sz w:val="21"/>
          <w:szCs w:val="21"/>
          <w:highlight w:val="none"/>
          <w:u w:val="single"/>
        </w:rPr>
      </w:pPr>
      <w:r>
        <w:rPr>
          <w:rFonts w:ascii="宋体" w:hAnsi="宋体"/>
          <w:color w:val="auto"/>
          <w:sz w:val="21"/>
          <w:szCs w:val="21"/>
          <w:highlight w:val="none"/>
        </w:rPr>
        <w:t>7.9.2提前竣工的奖励：</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748135C3">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407" w:name="_Toc351203640"/>
      <w:r>
        <w:rPr>
          <w:rFonts w:ascii="宋体" w:hAnsi="宋体" w:eastAsia="宋体"/>
          <w:color w:val="auto"/>
          <w:sz w:val="21"/>
          <w:szCs w:val="21"/>
          <w:highlight w:val="none"/>
        </w:rPr>
        <w:t>8. 材料与设备</w:t>
      </w:r>
      <w:bookmarkEnd w:id="407"/>
    </w:p>
    <w:bookmarkEnd w:id="342"/>
    <w:bookmarkEnd w:id="343"/>
    <w:bookmarkEnd w:id="344"/>
    <w:bookmarkEnd w:id="345"/>
    <w:bookmarkEnd w:id="346"/>
    <w:bookmarkEnd w:id="347"/>
    <w:bookmarkEnd w:id="348"/>
    <w:bookmarkEnd w:id="349"/>
    <w:bookmarkEnd w:id="350"/>
    <w:bookmarkEnd w:id="351"/>
    <w:p w14:paraId="2464727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8</w:t>
      </w:r>
      <w:bookmarkStart w:id="408" w:name="_Toc292559372"/>
      <w:bookmarkStart w:id="409" w:name="_Toc297216186"/>
      <w:bookmarkStart w:id="410" w:name="_Toc296890995"/>
      <w:bookmarkStart w:id="411" w:name="_Toc297123527"/>
      <w:bookmarkStart w:id="412" w:name="_Toc296347166"/>
      <w:bookmarkStart w:id="413" w:name="_Toc296891207"/>
      <w:bookmarkStart w:id="414" w:name="_Toc296944506"/>
      <w:bookmarkStart w:id="415" w:name="_Toc303539136"/>
      <w:bookmarkStart w:id="416" w:name="_Toc296503167"/>
      <w:bookmarkStart w:id="417" w:name="_Toc292559877"/>
      <w:bookmarkStart w:id="418" w:name="_Toc297120467"/>
      <w:bookmarkStart w:id="419" w:name="_Toc300934979"/>
      <w:bookmarkStart w:id="420" w:name="_Toc312677493"/>
      <w:bookmarkStart w:id="421" w:name="_Toc296346668"/>
      <w:bookmarkStart w:id="422" w:name="_Toc312678019"/>
      <w:bookmarkStart w:id="423" w:name="_Toc297048353"/>
      <w:bookmarkStart w:id="424" w:name="_Toc280868654"/>
      <w:bookmarkStart w:id="425" w:name="_Toc304295556"/>
      <w:bookmarkStart w:id="426" w:name="_Toc280868656"/>
      <w:bookmarkStart w:id="427" w:name="_Toc267251424"/>
      <w:bookmarkStart w:id="428" w:name="_Toc280868655"/>
      <w:r>
        <w:rPr>
          <w:rFonts w:ascii="宋体" w:hAnsi="宋体"/>
          <w:color w:val="auto"/>
          <w:sz w:val="21"/>
          <w:szCs w:val="21"/>
          <w:highlight w:val="none"/>
        </w:rPr>
        <w:t>.4材料与工程设备的保管与使用</w:t>
      </w:r>
    </w:p>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14:paraId="5041128A">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8</w:t>
      </w:r>
      <w:bookmarkStart w:id="429" w:name="_Toc292559373"/>
      <w:bookmarkStart w:id="430" w:name="_Toc292559878"/>
      <w:bookmarkStart w:id="431" w:name="_Toc297120468"/>
      <w:bookmarkStart w:id="432" w:name="_Toc304295557"/>
      <w:bookmarkStart w:id="433" w:name="_Toc312678020"/>
      <w:bookmarkStart w:id="434" w:name="_Toc296890996"/>
      <w:bookmarkStart w:id="435" w:name="_Toc296944507"/>
      <w:bookmarkStart w:id="436" w:name="_Toc296503168"/>
      <w:bookmarkStart w:id="437" w:name="_Toc297048354"/>
      <w:bookmarkStart w:id="438" w:name="_Toc303539137"/>
      <w:bookmarkStart w:id="439" w:name="_Toc296346669"/>
      <w:bookmarkStart w:id="440" w:name="_Toc312677494"/>
      <w:bookmarkStart w:id="441" w:name="_Toc297216187"/>
      <w:bookmarkStart w:id="442" w:name="_Toc296891208"/>
      <w:bookmarkStart w:id="443" w:name="_Toc318581173"/>
      <w:bookmarkStart w:id="444" w:name="_Toc296347167"/>
      <w:bookmarkStart w:id="445" w:name="_Toc300934980"/>
      <w:bookmarkStart w:id="446" w:name="_Toc297123528"/>
      <w:r>
        <w:rPr>
          <w:rFonts w:ascii="宋体" w:hAnsi="宋体"/>
          <w:color w:val="auto"/>
          <w:sz w:val="21"/>
          <w:szCs w:val="21"/>
          <w:highlight w:val="none"/>
        </w:rPr>
        <w:t>.4.1发包人供应的材料设备的保管费用的承担：</w:t>
      </w:r>
      <w:bookmarkEnd w:id="429"/>
      <w:bookmarkEnd w:id="430"/>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0C793F1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8.6 样品</w:t>
      </w:r>
    </w:p>
    <w:p w14:paraId="3BE894B1">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8.6.1</w:t>
      </w:r>
      <w:r>
        <w:rPr>
          <w:rFonts w:ascii="宋体" w:hAnsi="宋体"/>
          <w:color w:val="auto"/>
          <w:kern w:val="0"/>
          <w:sz w:val="21"/>
          <w:szCs w:val="21"/>
          <w:highlight w:val="none"/>
        </w:rPr>
        <w:tab/>
      </w:r>
      <w:r>
        <w:rPr>
          <w:rFonts w:ascii="宋体" w:hAnsi="宋体"/>
          <w:color w:val="auto"/>
          <w:kern w:val="0"/>
          <w:sz w:val="21"/>
          <w:szCs w:val="21"/>
          <w:highlight w:val="none"/>
        </w:rPr>
        <w:t>样品的报送</w:t>
      </w:r>
      <w:r>
        <w:rPr>
          <w:rFonts w:hint="eastAsia" w:ascii="宋体" w:hAnsi="宋体"/>
          <w:color w:val="auto"/>
          <w:kern w:val="0"/>
          <w:sz w:val="21"/>
          <w:szCs w:val="21"/>
          <w:highlight w:val="none"/>
        </w:rPr>
        <w:t>与封存</w:t>
      </w:r>
    </w:p>
    <w:p w14:paraId="416B9B2F">
      <w:pPr>
        <w:pStyle w:val="53"/>
        <w:pageBreakBefore w:val="0"/>
        <w:widowControl w:val="0"/>
        <w:kinsoku/>
        <w:wordWrap/>
        <w:overflowPunct/>
        <w:topLinePunct w:val="0"/>
        <w:autoSpaceDE w:val="0"/>
        <w:autoSpaceDN w:val="0"/>
        <w:bidi w:val="0"/>
        <w:adjustRightInd w:val="0"/>
        <w:snapToGrid/>
        <w:spacing w:after="200" w:line="440" w:lineRule="exact"/>
        <w:ind w:firstLine="48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需要承包人报送样品的材料或工程设备，样品的种类、名称、规格、数量要求：</w:t>
      </w:r>
    </w:p>
    <w:p w14:paraId="5C2DE9D1">
      <w:pPr>
        <w:pStyle w:val="53"/>
        <w:pageBreakBefore w:val="0"/>
        <w:widowControl w:val="0"/>
        <w:kinsoku/>
        <w:wordWrap/>
        <w:overflowPunct/>
        <w:topLinePunct w:val="0"/>
        <w:autoSpaceDE w:val="0"/>
        <w:autoSpaceDN w:val="0"/>
        <w:bidi w:val="0"/>
        <w:adjustRightInd w:val="0"/>
        <w:snapToGrid/>
        <w:spacing w:after="200" w:line="440" w:lineRule="exact"/>
        <w:ind w:firstLine="480"/>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5EF5D2D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8.8 施工设备和临时设施</w:t>
      </w:r>
    </w:p>
    <w:p w14:paraId="0E2DC5FC">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8.8.1 承包人提供的施工设备和临时设施</w:t>
      </w:r>
    </w:p>
    <w:p w14:paraId="296C7925">
      <w:pPr>
        <w:pStyle w:val="53"/>
        <w:pageBreakBefore w:val="0"/>
        <w:widowControl w:val="0"/>
        <w:kinsoku/>
        <w:wordWrap/>
        <w:overflowPunct/>
        <w:topLinePunct w:val="0"/>
        <w:autoSpaceDE w:val="0"/>
        <w:autoSpaceDN w:val="0"/>
        <w:bidi w:val="0"/>
        <w:adjustRightInd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关于修建临时设施费用承担的约定：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7091FF4C">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447" w:name="_Toc351203641"/>
      <w:r>
        <w:rPr>
          <w:rFonts w:ascii="宋体" w:hAnsi="宋体" w:eastAsia="宋体"/>
          <w:color w:val="auto"/>
          <w:sz w:val="21"/>
          <w:szCs w:val="21"/>
          <w:highlight w:val="none"/>
        </w:rPr>
        <w:t>9</w:t>
      </w:r>
      <w:bookmarkEnd w:id="426"/>
      <w:bookmarkEnd w:id="427"/>
      <w:bookmarkEnd w:id="428"/>
      <w:bookmarkStart w:id="448" w:name="_Toc312678021"/>
      <w:bookmarkStart w:id="449" w:name="_Toc297123533"/>
      <w:bookmarkStart w:id="450" w:name="_Toc297216192"/>
      <w:bookmarkStart w:id="451" w:name="_Toc312677495"/>
      <w:bookmarkStart w:id="452" w:name="_Toc303539139"/>
      <w:bookmarkStart w:id="453" w:name="_Toc304295559"/>
      <w:bookmarkStart w:id="454" w:name="_Toc300934982"/>
      <w:bookmarkStart w:id="455" w:name="_Toc296347172"/>
      <w:bookmarkStart w:id="456" w:name="_Toc267251427"/>
      <w:bookmarkStart w:id="457" w:name="_Toc296944512"/>
      <w:bookmarkStart w:id="458" w:name="_Toc297048359"/>
      <w:bookmarkStart w:id="459" w:name="_Toc292559883"/>
      <w:bookmarkStart w:id="460" w:name="_Toc267251428"/>
      <w:bookmarkStart w:id="461" w:name="_Toc297120473"/>
      <w:bookmarkStart w:id="462" w:name="_Toc296503173"/>
      <w:bookmarkStart w:id="463" w:name="_Toc292559378"/>
      <w:bookmarkStart w:id="464" w:name="_Toc296891213"/>
      <w:bookmarkStart w:id="465" w:name="_Toc296891001"/>
      <w:bookmarkStart w:id="466" w:name="_Toc296346674"/>
      <w:r>
        <w:rPr>
          <w:rFonts w:ascii="宋体" w:hAnsi="宋体" w:eastAsia="宋体"/>
          <w:color w:val="auto"/>
          <w:sz w:val="21"/>
          <w:szCs w:val="21"/>
          <w:highlight w:val="none"/>
        </w:rPr>
        <w:t>. 试验与检验</w:t>
      </w:r>
      <w:bookmarkEnd w:id="447"/>
    </w:p>
    <w:bookmarkEnd w:id="448"/>
    <w:bookmarkEnd w:id="449"/>
    <w:bookmarkEnd w:id="450"/>
    <w:bookmarkEnd w:id="451"/>
    <w:bookmarkEnd w:id="452"/>
    <w:bookmarkEnd w:id="453"/>
    <w:bookmarkEnd w:id="454"/>
    <w:p w14:paraId="50F8679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w:t>
      </w:r>
      <w:bookmarkStart w:id="467" w:name="_Toc312678022"/>
      <w:bookmarkStart w:id="468" w:name="_Toc300934983"/>
      <w:bookmarkStart w:id="469" w:name="_Toc312677496"/>
      <w:bookmarkStart w:id="470" w:name="_Toc304295560"/>
      <w:bookmarkStart w:id="471" w:name="_Toc303539140"/>
      <w:bookmarkStart w:id="472" w:name="_Toc297123534"/>
      <w:bookmarkStart w:id="473" w:name="_Toc297216193"/>
      <w:r>
        <w:rPr>
          <w:rFonts w:ascii="宋体" w:hAnsi="宋体"/>
          <w:color w:val="auto"/>
          <w:sz w:val="21"/>
          <w:szCs w:val="21"/>
          <w:highlight w:val="none"/>
        </w:rPr>
        <w:t>.1试验设备与试验人员</w:t>
      </w:r>
    </w:p>
    <w:bookmarkEnd w:id="467"/>
    <w:bookmarkEnd w:id="468"/>
    <w:bookmarkEnd w:id="469"/>
    <w:bookmarkEnd w:id="470"/>
    <w:bookmarkEnd w:id="471"/>
    <w:bookmarkEnd w:id="472"/>
    <w:bookmarkEnd w:id="473"/>
    <w:p w14:paraId="19685BB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9</w:t>
      </w:r>
      <w:bookmarkStart w:id="474" w:name="_Toc312677497"/>
      <w:bookmarkStart w:id="475" w:name="_Toc304295561"/>
      <w:bookmarkStart w:id="476" w:name="_Toc297123535"/>
      <w:bookmarkStart w:id="477" w:name="_Toc312678023"/>
      <w:bookmarkStart w:id="478" w:name="_Toc300934984"/>
      <w:bookmarkStart w:id="479" w:name="_Toc297216194"/>
      <w:bookmarkStart w:id="480" w:name="_Toc303539141"/>
      <w:bookmarkStart w:id="481" w:name="_Toc318581174"/>
      <w:r>
        <w:rPr>
          <w:rFonts w:ascii="宋体" w:hAnsi="宋体"/>
          <w:color w:val="auto"/>
          <w:sz w:val="21"/>
          <w:szCs w:val="21"/>
          <w:highlight w:val="none"/>
        </w:rPr>
        <w:t>.1.2 试验设备</w:t>
      </w:r>
    </w:p>
    <w:p w14:paraId="3DAE7A83">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施工现场需要配置的试验场所：</w:t>
      </w:r>
      <w:bookmarkEnd w:id="474"/>
      <w:bookmarkEnd w:id="475"/>
      <w:bookmarkEnd w:id="476"/>
      <w:bookmarkEnd w:id="477"/>
      <w:bookmarkEnd w:id="478"/>
      <w:bookmarkEnd w:id="479"/>
      <w:bookmarkEnd w:id="480"/>
      <w:bookmarkStart w:id="482" w:name="_Toc312678024"/>
      <w:bookmarkStart w:id="483" w:name="_Toc304295562"/>
      <w:bookmarkStart w:id="484" w:name="_Toc297123536"/>
      <w:bookmarkStart w:id="485" w:name="_Toc297216195"/>
      <w:bookmarkStart w:id="486" w:name="_Toc312677498"/>
      <w:bookmarkStart w:id="487" w:name="_Toc300934985"/>
      <w:bookmarkStart w:id="488" w:name="_Toc303539142"/>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r>
        <w:rPr>
          <w:rFonts w:hint="eastAsia" w:ascii="宋体" w:hAnsi="宋体"/>
          <w:color w:val="auto"/>
          <w:sz w:val="21"/>
          <w:szCs w:val="21"/>
          <w:highlight w:val="none"/>
        </w:rPr>
        <w:t xml:space="preserve"> </w:t>
      </w:r>
    </w:p>
    <w:p w14:paraId="70543CF8">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施工现场需要配备的试验设备：</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089C2775">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施工现场需要具备的其他试验条件：</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6CE0AE1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9.4 现场工艺试验</w:t>
      </w:r>
      <w:r>
        <w:rPr>
          <w:rFonts w:hint="eastAsia" w:ascii="宋体" w:hAnsi="宋体"/>
          <w:color w:val="auto"/>
          <w:sz w:val="21"/>
          <w:szCs w:val="21"/>
          <w:highlight w:val="none"/>
        </w:rPr>
        <w:t xml:space="preserve"> </w:t>
      </w:r>
    </w:p>
    <w:p w14:paraId="2F6AEF67">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现场工艺试验的有关约定：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481"/>
    <w:bookmarkEnd w:id="482"/>
    <w:bookmarkEnd w:id="483"/>
    <w:bookmarkEnd w:id="484"/>
    <w:bookmarkEnd w:id="485"/>
    <w:bookmarkEnd w:id="486"/>
    <w:bookmarkEnd w:id="487"/>
    <w:bookmarkEnd w:id="488"/>
    <w:p w14:paraId="30AB03D5">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489" w:name="_Toc351203642"/>
      <w:r>
        <w:rPr>
          <w:rFonts w:ascii="宋体" w:hAnsi="宋体" w:eastAsia="宋体"/>
          <w:color w:val="auto"/>
          <w:sz w:val="21"/>
          <w:szCs w:val="21"/>
          <w:highlight w:val="none"/>
        </w:rPr>
        <w:t>1</w:t>
      </w:r>
      <w:bookmarkEnd w:id="455"/>
      <w:bookmarkEnd w:id="456"/>
      <w:bookmarkEnd w:id="457"/>
      <w:bookmarkEnd w:id="458"/>
      <w:bookmarkEnd w:id="459"/>
      <w:bookmarkEnd w:id="460"/>
      <w:bookmarkEnd w:id="461"/>
      <w:bookmarkEnd w:id="462"/>
      <w:bookmarkEnd w:id="463"/>
      <w:bookmarkEnd w:id="464"/>
      <w:bookmarkEnd w:id="465"/>
      <w:bookmarkEnd w:id="466"/>
      <w:bookmarkStart w:id="490" w:name="_Toc296346694"/>
      <w:bookmarkStart w:id="491" w:name="_Toc297120493"/>
      <w:bookmarkStart w:id="492" w:name="_Toc304295566"/>
      <w:bookmarkStart w:id="493" w:name="_Toc296503193"/>
      <w:bookmarkStart w:id="494" w:name="_Toc296944532"/>
      <w:bookmarkStart w:id="495" w:name="_Toc300934989"/>
      <w:bookmarkStart w:id="496" w:name="_Toc303539146"/>
      <w:bookmarkStart w:id="497" w:name="_Toc297216199"/>
      <w:bookmarkStart w:id="498" w:name="_Toc297048379"/>
      <w:bookmarkStart w:id="499" w:name="_Toc292559398"/>
      <w:bookmarkStart w:id="500" w:name="_Toc297123540"/>
      <w:bookmarkStart w:id="501" w:name="_Toc296891021"/>
      <w:bookmarkStart w:id="502" w:name="_Toc296891233"/>
      <w:bookmarkStart w:id="503" w:name="_Toc292559903"/>
      <w:bookmarkStart w:id="504" w:name="_Toc296347192"/>
      <w:bookmarkStart w:id="505" w:name="_Toc312678025"/>
      <w:bookmarkStart w:id="506" w:name="_Toc312677499"/>
      <w:bookmarkStart w:id="507" w:name="_Toc267251440"/>
      <w:bookmarkStart w:id="508" w:name="_Toc267251433"/>
      <w:bookmarkStart w:id="509" w:name="_Toc267251437"/>
      <w:bookmarkStart w:id="510" w:name="_Toc267251441"/>
      <w:bookmarkStart w:id="511" w:name="_Toc267251439"/>
      <w:bookmarkStart w:id="512" w:name="_Toc267251435"/>
      <w:bookmarkStart w:id="513" w:name="_Toc267251442"/>
      <w:r>
        <w:rPr>
          <w:rFonts w:ascii="宋体" w:hAnsi="宋体" w:eastAsia="宋体"/>
          <w:color w:val="auto"/>
          <w:sz w:val="21"/>
          <w:szCs w:val="21"/>
          <w:highlight w:val="none"/>
        </w:rPr>
        <w:t>0. 变更</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bookmarkEnd w:id="505"/>
    <w:bookmarkEnd w:id="506"/>
    <w:p w14:paraId="4BA68086">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w:t>
      </w:r>
      <w:bookmarkStart w:id="514" w:name="_Toc297048380"/>
      <w:bookmarkStart w:id="515" w:name="_Toc296891234"/>
      <w:bookmarkStart w:id="516" w:name="_Toc296503194"/>
      <w:bookmarkStart w:id="517" w:name="_Toc312677500"/>
      <w:bookmarkStart w:id="518" w:name="_Toc297216200"/>
      <w:bookmarkStart w:id="519" w:name="_Toc297120494"/>
      <w:bookmarkStart w:id="520" w:name="_Toc312678026"/>
      <w:bookmarkStart w:id="521" w:name="_Toc292559399"/>
      <w:bookmarkStart w:id="522" w:name="_Toc296891022"/>
      <w:bookmarkStart w:id="523" w:name="_Toc300934990"/>
      <w:bookmarkStart w:id="524" w:name="_Toc303539147"/>
      <w:bookmarkStart w:id="525" w:name="_Toc296347193"/>
      <w:bookmarkStart w:id="526" w:name="_Toc297123541"/>
      <w:bookmarkStart w:id="527" w:name="_Toc296346695"/>
      <w:bookmarkStart w:id="528" w:name="_Toc304295567"/>
      <w:bookmarkStart w:id="529" w:name="_Toc292559904"/>
      <w:bookmarkStart w:id="530" w:name="_Toc296944533"/>
      <w:r>
        <w:rPr>
          <w:rFonts w:ascii="宋体" w:hAnsi="宋体"/>
          <w:color w:val="auto"/>
          <w:sz w:val="21"/>
          <w:szCs w:val="21"/>
          <w:highlight w:val="none"/>
        </w:rPr>
        <w:t>0.1变更的范围</w:t>
      </w:r>
    </w:p>
    <w:p w14:paraId="3DC09738">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关于变更的范围的约定：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771315C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10.4 变更估价</w:t>
      </w:r>
    </w:p>
    <w:p w14:paraId="5C0B910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10.4.1 变更估价原则</w:t>
      </w:r>
    </w:p>
    <w:p w14:paraId="48CB5DCF">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关于变更估价的约定: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5B53C065">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Start w:id="531" w:name="_Toc296944536"/>
      <w:bookmarkStart w:id="532" w:name="_Toc297123544"/>
      <w:bookmarkStart w:id="533" w:name="_Toc300934993"/>
      <w:bookmarkStart w:id="534" w:name="_Toc296891025"/>
      <w:bookmarkStart w:id="535" w:name="_Toc303539150"/>
      <w:bookmarkStart w:id="536" w:name="_Toc297048383"/>
      <w:bookmarkStart w:id="537" w:name="_Toc296346698"/>
      <w:bookmarkStart w:id="538" w:name="_Toc296503197"/>
      <w:bookmarkStart w:id="539" w:name="_Toc297120497"/>
      <w:bookmarkStart w:id="540" w:name="_Toc296891237"/>
      <w:bookmarkStart w:id="541" w:name="_Toc292559907"/>
      <w:bookmarkStart w:id="542" w:name="_Toc292559402"/>
      <w:bookmarkStart w:id="543" w:name="_Toc296347196"/>
      <w:bookmarkStart w:id="544" w:name="_Toc297216203"/>
      <w:bookmarkStart w:id="545" w:name="_Toc312678029"/>
      <w:bookmarkStart w:id="546" w:name="_Toc312677503"/>
      <w:bookmarkStart w:id="547" w:name="_Toc304295570"/>
      <w:r>
        <w:rPr>
          <w:rFonts w:ascii="宋体" w:hAnsi="宋体"/>
          <w:color w:val="auto"/>
          <w:sz w:val="21"/>
          <w:szCs w:val="21"/>
          <w:highlight w:val="none"/>
        </w:rPr>
        <w:t>0.5承</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Start w:id="548" w:name="_Toc297120503"/>
      <w:bookmarkStart w:id="549" w:name="_Toc296347202"/>
      <w:bookmarkStart w:id="550" w:name="_Toc296891031"/>
      <w:bookmarkStart w:id="551" w:name="_Toc292559913"/>
      <w:bookmarkStart w:id="552" w:name="_Toc297216204"/>
      <w:bookmarkStart w:id="553" w:name="_Toc296503203"/>
      <w:bookmarkStart w:id="554" w:name="_Toc300934994"/>
      <w:bookmarkStart w:id="555" w:name="_Toc297123545"/>
      <w:bookmarkStart w:id="556" w:name="_Toc296944542"/>
      <w:bookmarkStart w:id="557" w:name="_Toc296891243"/>
      <w:bookmarkStart w:id="558" w:name="_Toc297048389"/>
      <w:bookmarkStart w:id="559" w:name="_Toc303539151"/>
      <w:bookmarkStart w:id="560" w:name="_Toc296346704"/>
      <w:bookmarkStart w:id="561" w:name="_Toc292559408"/>
      <w:r>
        <w:rPr>
          <w:rFonts w:ascii="宋体" w:hAnsi="宋体"/>
          <w:color w:val="auto"/>
          <w:sz w:val="21"/>
          <w:szCs w:val="21"/>
          <w:highlight w:val="none"/>
        </w:rPr>
        <w:t>包人的合理化建议</w:t>
      </w:r>
    </w:p>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14:paraId="04D44ED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监理人审查承包人合理化建议的期限：</w:t>
      </w:r>
    </w:p>
    <w:p w14:paraId="34628D8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发包人审批承包人合理化建议的期限：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4BC74F1">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承</w:t>
      </w:r>
      <w:bookmarkStart w:id="562" w:name="_Toc312678030"/>
      <w:bookmarkStart w:id="563" w:name="_Toc296503204"/>
      <w:bookmarkStart w:id="564" w:name="_Toc297048390"/>
      <w:bookmarkStart w:id="565" w:name="_Toc292559409"/>
      <w:bookmarkStart w:id="566" w:name="_Toc296944543"/>
      <w:bookmarkStart w:id="567" w:name="_Toc296891032"/>
      <w:bookmarkStart w:id="568" w:name="_Toc296891244"/>
      <w:bookmarkStart w:id="569" w:name="_Toc303539152"/>
      <w:bookmarkStart w:id="570" w:name="_Toc300934995"/>
      <w:bookmarkStart w:id="571" w:name="_Toc297120504"/>
      <w:bookmarkStart w:id="572" w:name="_Toc296347203"/>
      <w:bookmarkStart w:id="573" w:name="_Toc297123546"/>
      <w:bookmarkStart w:id="574" w:name="_Toc318581175"/>
      <w:bookmarkStart w:id="575" w:name="_Toc304295571"/>
      <w:bookmarkStart w:id="576" w:name="_Toc296346705"/>
      <w:bookmarkStart w:id="577" w:name="_Toc292559914"/>
      <w:bookmarkStart w:id="578" w:name="_Toc312677504"/>
      <w:bookmarkStart w:id="579" w:name="_Toc297216205"/>
      <w:r>
        <w:rPr>
          <w:rFonts w:ascii="宋体" w:hAnsi="宋体"/>
          <w:color w:val="auto"/>
          <w:sz w:val="21"/>
          <w:szCs w:val="21"/>
          <w:highlight w:val="none"/>
        </w:rPr>
        <w:t>包人提出的合理化建议降低了合同价格或者提高了工程经济效益的奖励的方法和金额为：</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14:paraId="4F74DAB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w:t>
      </w:r>
      <w:bookmarkStart w:id="580" w:name="_Toc296347198"/>
      <w:bookmarkStart w:id="581" w:name="_Toc296891239"/>
      <w:bookmarkStart w:id="582" w:name="_Toc296891027"/>
      <w:bookmarkStart w:id="583" w:name="_Toc297123548"/>
      <w:bookmarkStart w:id="584" w:name="_Toc296944538"/>
      <w:bookmarkStart w:id="585" w:name="_Toc297048385"/>
      <w:bookmarkStart w:id="586" w:name="_Toc297120499"/>
      <w:bookmarkStart w:id="587" w:name="_Toc292559909"/>
      <w:bookmarkStart w:id="588" w:name="_Toc296503199"/>
      <w:bookmarkStart w:id="589" w:name="_Toc303539154"/>
      <w:bookmarkStart w:id="590" w:name="_Toc297216207"/>
      <w:bookmarkStart w:id="591" w:name="_Toc296346700"/>
      <w:bookmarkStart w:id="592" w:name="_Toc312677507"/>
      <w:bookmarkStart w:id="593" w:name="_Toc304295574"/>
      <w:bookmarkStart w:id="594" w:name="_Toc300934997"/>
      <w:bookmarkStart w:id="595" w:name="_Toc312678033"/>
      <w:bookmarkStart w:id="596" w:name="_Toc292559404"/>
      <w:r>
        <w:rPr>
          <w:rFonts w:ascii="宋体" w:hAnsi="宋体"/>
          <w:color w:val="auto"/>
          <w:sz w:val="21"/>
          <w:szCs w:val="21"/>
          <w:highlight w:val="none"/>
        </w:rPr>
        <w:t>0.7 暂估价</w:t>
      </w:r>
    </w:p>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14:paraId="2140FFB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暂</w:t>
      </w:r>
      <w:bookmarkStart w:id="597" w:name="_Toc312677508"/>
      <w:bookmarkStart w:id="598" w:name="_Toc312678034"/>
      <w:bookmarkStart w:id="599" w:name="_Toc318581176"/>
      <w:r>
        <w:rPr>
          <w:rFonts w:ascii="宋体" w:hAnsi="宋体"/>
          <w:color w:val="auto"/>
          <w:kern w:val="0"/>
          <w:sz w:val="21"/>
          <w:szCs w:val="21"/>
          <w:highlight w:val="none"/>
        </w:rPr>
        <w:t>估价材料和工程设备的明细详见附件</w:t>
      </w:r>
      <w:r>
        <w:rPr>
          <w:rFonts w:hint="eastAsia" w:ascii="宋体" w:hAnsi="宋体"/>
          <w:color w:val="auto"/>
          <w:kern w:val="0"/>
          <w:sz w:val="21"/>
          <w:szCs w:val="21"/>
          <w:highlight w:val="none"/>
        </w:rPr>
        <w:t>11：《</w:t>
      </w:r>
      <w:r>
        <w:rPr>
          <w:rFonts w:ascii="宋体" w:hAnsi="宋体"/>
          <w:color w:val="auto"/>
          <w:sz w:val="21"/>
          <w:szCs w:val="21"/>
          <w:highlight w:val="none"/>
        </w:rPr>
        <w:t>暂估价一览表</w:t>
      </w:r>
      <w:r>
        <w:rPr>
          <w:rFonts w:hint="eastAsia" w:ascii="宋体" w:hAnsi="宋体"/>
          <w:color w:val="auto"/>
          <w:sz w:val="21"/>
          <w:szCs w:val="21"/>
          <w:highlight w:val="none"/>
        </w:rPr>
        <w:t>》</w:t>
      </w:r>
      <w:r>
        <w:rPr>
          <w:rFonts w:hint="eastAsia" w:ascii="宋体" w:hAnsi="宋体"/>
          <w:color w:val="auto"/>
          <w:kern w:val="0"/>
          <w:sz w:val="21"/>
          <w:szCs w:val="21"/>
          <w:highlight w:val="none"/>
        </w:rPr>
        <w:t>。</w:t>
      </w:r>
    </w:p>
    <w:bookmarkEnd w:id="597"/>
    <w:bookmarkEnd w:id="598"/>
    <w:bookmarkEnd w:id="599"/>
    <w:p w14:paraId="07DAC5C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w:t>
      </w:r>
      <w:bookmarkStart w:id="600" w:name="_Toc312677509"/>
      <w:bookmarkStart w:id="601" w:name="_Toc312678035"/>
      <w:bookmarkStart w:id="602" w:name="_Toc318581177"/>
      <w:r>
        <w:rPr>
          <w:rFonts w:ascii="宋体" w:hAnsi="宋体"/>
          <w:color w:val="auto"/>
          <w:sz w:val="21"/>
          <w:szCs w:val="21"/>
          <w:highlight w:val="none"/>
        </w:rPr>
        <w:t>0.7.1 依法必须招标的暂估价项目</w:t>
      </w:r>
    </w:p>
    <w:bookmarkEnd w:id="600"/>
    <w:bookmarkEnd w:id="601"/>
    <w:bookmarkEnd w:id="602"/>
    <w:p w14:paraId="3386D73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对于依法必须招标的暂估价项目的确认和批准采取第</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种方式确定。</w:t>
      </w:r>
    </w:p>
    <w:p w14:paraId="3932F3D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10.7.2 不属于依法必须招标的暂估价项目</w:t>
      </w:r>
    </w:p>
    <w:p w14:paraId="683AA8E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对于不属于依法必须招标的暂估价项目的确认和批准采取第</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种方式确定。</w:t>
      </w:r>
    </w:p>
    <w:p w14:paraId="42A2C2D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sz w:val="21"/>
          <w:szCs w:val="21"/>
          <w:highlight w:val="none"/>
        </w:rPr>
        <w:t>第3种方式：</w:t>
      </w:r>
      <w:r>
        <w:rPr>
          <w:rFonts w:ascii="宋体" w:hAnsi="宋体"/>
          <w:color w:val="auto"/>
          <w:kern w:val="0"/>
          <w:sz w:val="21"/>
          <w:szCs w:val="21"/>
          <w:highlight w:val="none"/>
        </w:rPr>
        <w:t>承包人直接实施的暂估价项目</w:t>
      </w:r>
    </w:p>
    <w:p w14:paraId="7171BBBB">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承包人直接实施的暂估价项目的约定：</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352C0A2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10.8 暂列金额</w:t>
      </w:r>
    </w:p>
    <w:p w14:paraId="08FB1A8A">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合同当事人关于暂列金额使用的约定：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197FA544">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603" w:name="_Toc351203643"/>
      <w:r>
        <w:rPr>
          <w:rFonts w:ascii="宋体" w:hAnsi="宋体" w:eastAsia="宋体"/>
          <w:color w:val="auto"/>
          <w:sz w:val="21"/>
          <w:szCs w:val="21"/>
          <w:highlight w:val="none"/>
        </w:rPr>
        <w:t>11. 价格调整</w:t>
      </w:r>
      <w:bookmarkEnd w:id="603"/>
    </w:p>
    <w:p w14:paraId="09E6289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bookmarkStart w:id="604" w:name="_Toc297216209"/>
      <w:bookmarkStart w:id="605" w:name="_Toc300935000"/>
      <w:bookmarkStart w:id="606" w:name="_Toc296944540"/>
      <w:bookmarkStart w:id="607" w:name="_Toc296347200"/>
      <w:bookmarkStart w:id="608" w:name="_Toc292559406"/>
      <w:bookmarkStart w:id="609" w:name="_Toc296891029"/>
      <w:bookmarkStart w:id="610" w:name="_Toc312678039"/>
      <w:bookmarkStart w:id="611" w:name="_Toc292559911"/>
      <w:bookmarkStart w:id="612" w:name="_Toc296346702"/>
      <w:bookmarkStart w:id="613" w:name="_Toc303539157"/>
      <w:bookmarkStart w:id="614" w:name="_Toc304295577"/>
      <w:bookmarkStart w:id="615" w:name="_Toc297120501"/>
      <w:bookmarkStart w:id="616" w:name="_Toc297123550"/>
      <w:bookmarkStart w:id="617" w:name="_Toc297048387"/>
      <w:bookmarkStart w:id="618" w:name="_Toc296503201"/>
      <w:bookmarkStart w:id="619" w:name="_Toc296891241"/>
      <w:r>
        <w:rPr>
          <w:rFonts w:ascii="宋体" w:hAnsi="宋体"/>
          <w:color w:val="auto"/>
          <w:sz w:val="21"/>
          <w:szCs w:val="21"/>
          <w:highlight w:val="none"/>
        </w:rPr>
        <w:t>11.1 市场价格波动引起的调整</w:t>
      </w:r>
    </w:p>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14:paraId="6B8C203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市场价格波动是否调整合同价格的约定：</w:t>
      </w:r>
      <w:r>
        <w:rPr>
          <w:rFonts w:ascii="宋体" w:hAnsi="宋体"/>
          <w:color w:val="auto"/>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45A947A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因市场价格波动调整合同价格，采用以下第</w:t>
      </w:r>
      <w:r>
        <w:rPr>
          <w:rFonts w:ascii="宋体" w:hAnsi="宋体"/>
          <w:color w:val="auto"/>
          <w:sz w:val="21"/>
          <w:szCs w:val="21"/>
          <w:highlight w:val="none"/>
          <w:u w:val="single"/>
        </w:rPr>
        <w:t xml:space="preserve"> </w:t>
      </w:r>
      <w:r>
        <w:rPr>
          <w:rFonts w:hint="eastAsia" w:ascii="宋体" w:hAnsi="宋体"/>
          <w:b/>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种方式对合同价格进行调整：</w:t>
      </w:r>
    </w:p>
    <w:p w14:paraId="0BD3DA7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第1种方式：采用价格指数</w:t>
      </w:r>
      <w:r>
        <w:rPr>
          <w:rFonts w:hint="eastAsia" w:ascii="宋体" w:hAnsi="宋体"/>
          <w:color w:val="auto"/>
          <w:sz w:val="21"/>
          <w:szCs w:val="21"/>
          <w:highlight w:val="none"/>
        </w:rPr>
        <w:t>进行价格</w:t>
      </w:r>
      <w:r>
        <w:rPr>
          <w:rFonts w:ascii="宋体" w:hAnsi="宋体"/>
          <w:color w:val="auto"/>
          <w:sz w:val="21"/>
          <w:szCs w:val="21"/>
          <w:highlight w:val="none"/>
        </w:rPr>
        <w:t>调整。</w:t>
      </w:r>
    </w:p>
    <w:p w14:paraId="54F24DF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关于各可调因子、定值和变值权重，以及基本价格指数及其来源的约定：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w:t>
      </w:r>
      <w:r>
        <w:rPr>
          <w:rFonts w:ascii="宋体" w:hAnsi="宋体"/>
          <w:color w:val="auto"/>
          <w:sz w:val="21"/>
          <w:szCs w:val="21"/>
          <w:highlight w:val="none"/>
        </w:rPr>
        <w:t xml:space="preserve">  </w:t>
      </w:r>
    </w:p>
    <w:p w14:paraId="445C17D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第2种方式：采用造价信息</w:t>
      </w:r>
      <w:r>
        <w:rPr>
          <w:rFonts w:hint="eastAsia" w:ascii="宋体" w:hAnsi="宋体"/>
          <w:color w:val="auto"/>
          <w:sz w:val="21"/>
          <w:szCs w:val="21"/>
          <w:highlight w:val="none"/>
        </w:rPr>
        <w:t>进行价格</w:t>
      </w:r>
      <w:r>
        <w:rPr>
          <w:rFonts w:ascii="宋体" w:hAnsi="宋体"/>
          <w:color w:val="auto"/>
          <w:sz w:val="21"/>
          <w:szCs w:val="21"/>
          <w:highlight w:val="none"/>
        </w:rPr>
        <w:t>调整。</w:t>
      </w:r>
    </w:p>
    <w:p w14:paraId="06BE29C6">
      <w:pPr>
        <w:pStyle w:val="53"/>
        <w:pageBreakBefore w:val="0"/>
        <w:widowControl w:val="0"/>
        <w:kinsoku/>
        <w:wordWrap/>
        <w:overflowPunct/>
        <w:topLinePunct w:val="0"/>
        <w:bidi w:val="0"/>
        <w:snapToGrid/>
        <w:spacing w:after="200" w:line="440" w:lineRule="exact"/>
        <w:ind w:firstLine="424" w:firstLineChars="200"/>
        <w:jc w:val="left"/>
        <w:textAlignment w:val="auto"/>
        <w:rPr>
          <w:rFonts w:ascii="宋体" w:hAnsi="宋体" w:cs="宋体"/>
          <w:color w:val="auto"/>
          <w:spacing w:val="1"/>
          <w:sz w:val="21"/>
          <w:szCs w:val="21"/>
          <w:highlight w:val="none"/>
        </w:rPr>
      </w:pPr>
      <w:r>
        <w:rPr>
          <w:rFonts w:hint="eastAsia" w:ascii="宋体" w:hAnsi="宋体" w:cs="宋体"/>
          <w:color w:val="auto"/>
          <w:spacing w:val="1"/>
          <w:sz w:val="21"/>
          <w:szCs w:val="21"/>
          <w:highlight w:val="none"/>
        </w:rPr>
        <w:t>材料、工程设备价格变化，由发承包双方约定的风险范围按下列规定调整合同价款：</w:t>
      </w:r>
    </w:p>
    <w:p w14:paraId="79BCB73A">
      <w:pPr>
        <w:pStyle w:val="53"/>
        <w:pageBreakBefore w:val="0"/>
        <w:widowControl w:val="0"/>
        <w:kinsoku/>
        <w:wordWrap/>
        <w:overflowPunct/>
        <w:topLinePunct w:val="0"/>
        <w:bidi w:val="0"/>
        <w:snapToGrid/>
        <w:spacing w:after="200" w:line="440" w:lineRule="exact"/>
        <w:ind w:firstLine="424" w:firstLineChars="200"/>
        <w:jc w:val="left"/>
        <w:textAlignment w:val="auto"/>
        <w:rPr>
          <w:rFonts w:ascii="宋体" w:hAnsi="宋体" w:cs="宋体"/>
          <w:color w:val="auto"/>
          <w:spacing w:val="1"/>
          <w:sz w:val="21"/>
          <w:szCs w:val="21"/>
          <w:highlight w:val="none"/>
        </w:rPr>
      </w:pPr>
      <w:r>
        <w:rPr>
          <w:rFonts w:hint="eastAsia" w:ascii="宋体" w:hAnsi="宋体" w:cs="宋体"/>
          <w:color w:val="auto"/>
          <w:spacing w:val="1"/>
          <w:sz w:val="21"/>
          <w:szCs w:val="21"/>
          <w:highlight w:val="none"/>
        </w:rPr>
        <w:t>①承包人在已标价工程量清单或预算书中载明的材料单价低于基准价格的：专用合同条款合同履行期间材料单价涨幅以基准价格为基础超过</w:t>
      </w:r>
      <w:r>
        <w:rPr>
          <w:rStyle w:val="25"/>
          <w:rFonts w:hint="eastAsia" w:ascii="宋体" w:hAnsi="宋体" w:cs="宋体"/>
          <w:color w:val="auto"/>
          <w:spacing w:val="1"/>
          <w:sz w:val="21"/>
          <w:szCs w:val="21"/>
          <w:highlight w:val="none"/>
          <w:lang w:val="en-US" w:eastAsia="zh-CN"/>
        </w:rPr>
        <w:t>5</w:t>
      </w:r>
      <w:r>
        <w:rPr>
          <w:rStyle w:val="25"/>
          <w:rFonts w:hint="eastAsia" w:ascii="宋体" w:hAnsi="宋体" w:cs="宋体"/>
          <w:color w:val="auto"/>
          <w:spacing w:val="1"/>
          <w:sz w:val="21"/>
          <w:szCs w:val="21"/>
          <w:highlight w:val="none"/>
        </w:rPr>
        <w:t>%</w:t>
      </w:r>
      <w:r>
        <w:rPr>
          <w:rFonts w:hint="eastAsia" w:ascii="宋体" w:hAnsi="宋体" w:cs="宋体"/>
          <w:color w:val="auto"/>
          <w:spacing w:val="1"/>
          <w:sz w:val="21"/>
          <w:szCs w:val="21"/>
          <w:highlight w:val="none"/>
        </w:rPr>
        <w:t>时，或材料单价跌幅以在已标价工程量清单或预算书中载明材料单价为基础超过</w:t>
      </w:r>
      <w:r>
        <w:rPr>
          <w:rStyle w:val="25"/>
          <w:rFonts w:hint="eastAsia" w:ascii="宋体" w:hAnsi="宋体" w:cs="宋体"/>
          <w:color w:val="auto"/>
          <w:spacing w:val="1"/>
          <w:sz w:val="21"/>
          <w:szCs w:val="21"/>
          <w:highlight w:val="none"/>
          <w:lang w:val="en-US" w:eastAsia="zh-CN"/>
        </w:rPr>
        <w:t>5</w:t>
      </w:r>
      <w:r>
        <w:rPr>
          <w:rStyle w:val="25"/>
          <w:rFonts w:hint="eastAsia" w:ascii="宋体" w:hAnsi="宋体" w:cs="宋体"/>
          <w:color w:val="auto"/>
          <w:spacing w:val="1"/>
          <w:sz w:val="21"/>
          <w:szCs w:val="21"/>
          <w:highlight w:val="none"/>
        </w:rPr>
        <w:t>%</w:t>
      </w:r>
      <w:r>
        <w:rPr>
          <w:rFonts w:hint="eastAsia" w:ascii="宋体" w:hAnsi="宋体" w:cs="宋体"/>
          <w:color w:val="auto"/>
          <w:spacing w:val="1"/>
          <w:sz w:val="21"/>
          <w:szCs w:val="21"/>
          <w:highlight w:val="none"/>
        </w:rPr>
        <w:t>时，其超过部分据实调整。</w:t>
      </w:r>
    </w:p>
    <w:p w14:paraId="77EF2963">
      <w:pPr>
        <w:pStyle w:val="53"/>
        <w:pageBreakBefore w:val="0"/>
        <w:widowControl w:val="0"/>
        <w:kinsoku/>
        <w:wordWrap/>
        <w:overflowPunct/>
        <w:topLinePunct w:val="0"/>
        <w:bidi w:val="0"/>
        <w:snapToGrid/>
        <w:spacing w:after="200" w:line="440" w:lineRule="exact"/>
        <w:ind w:firstLine="424" w:firstLineChars="200"/>
        <w:jc w:val="left"/>
        <w:textAlignment w:val="auto"/>
        <w:rPr>
          <w:rFonts w:ascii="宋体" w:hAnsi="宋体" w:cs="宋体"/>
          <w:color w:val="auto"/>
          <w:spacing w:val="1"/>
          <w:sz w:val="21"/>
          <w:szCs w:val="21"/>
          <w:highlight w:val="none"/>
        </w:rPr>
      </w:pPr>
      <w:r>
        <w:rPr>
          <w:rFonts w:hint="eastAsia" w:ascii="宋体" w:hAnsi="宋体" w:cs="宋体"/>
          <w:color w:val="auto"/>
          <w:spacing w:val="1"/>
          <w:sz w:val="21"/>
          <w:szCs w:val="21"/>
          <w:highlight w:val="none"/>
        </w:rPr>
        <w:t>②承包人在已标价工程量清单或预算书中载明的材料单价高于基准价格的：专用合同条款合同履行期间材料单价跌幅以基准价格为基础超过</w:t>
      </w:r>
      <w:r>
        <w:rPr>
          <w:rStyle w:val="25"/>
          <w:rFonts w:hint="eastAsia" w:ascii="宋体" w:hAnsi="宋体" w:cs="宋体"/>
          <w:color w:val="auto"/>
          <w:spacing w:val="1"/>
          <w:sz w:val="21"/>
          <w:szCs w:val="21"/>
          <w:highlight w:val="none"/>
          <w:lang w:val="en-US" w:eastAsia="zh-CN"/>
        </w:rPr>
        <w:t>5</w:t>
      </w:r>
      <w:r>
        <w:rPr>
          <w:rStyle w:val="25"/>
          <w:rFonts w:hint="eastAsia" w:ascii="宋体" w:hAnsi="宋体" w:cs="宋体"/>
          <w:color w:val="auto"/>
          <w:spacing w:val="1"/>
          <w:sz w:val="21"/>
          <w:szCs w:val="21"/>
          <w:highlight w:val="none"/>
        </w:rPr>
        <w:t>%</w:t>
      </w:r>
      <w:r>
        <w:rPr>
          <w:rFonts w:hint="eastAsia" w:ascii="宋体" w:hAnsi="宋体" w:cs="宋体"/>
          <w:color w:val="auto"/>
          <w:spacing w:val="1"/>
          <w:sz w:val="21"/>
          <w:szCs w:val="21"/>
          <w:highlight w:val="none"/>
        </w:rPr>
        <w:t>时，材料单价涨幅以已标价工程量清单或预算书中载明材料单价为基础超过</w:t>
      </w:r>
      <w:r>
        <w:rPr>
          <w:rStyle w:val="25"/>
          <w:rFonts w:hint="eastAsia" w:ascii="宋体" w:hAnsi="宋体" w:cs="宋体"/>
          <w:color w:val="auto"/>
          <w:spacing w:val="1"/>
          <w:sz w:val="21"/>
          <w:szCs w:val="21"/>
          <w:highlight w:val="none"/>
          <w:lang w:val="en-US" w:eastAsia="zh-CN"/>
        </w:rPr>
        <w:t>5</w:t>
      </w:r>
      <w:r>
        <w:rPr>
          <w:rStyle w:val="25"/>
          <w:rFonts w:hint="eastAsia" w:ascii="宋体" w:hAnsi="宋体" w:cs="宋体"/>
          <w:color w:val="auto"/>
          <w:spacing w:val="1"/>
          <w:sz w:val="21"/>
          <w:szCs w:val="21"/>
          <w:highlight w:val="none"/>
        </w:rPr>
        <w:t>%</w:t>
      </w:r>
      <w:r>
        <w:rPr>
          <w:rFonts w:hint="eastAsia" w:ascii="宋体" w:hAnsi="宋体" w:cs="宋体"/>
          <w:color w:val="auto"/>
          <w:spacing w:val="1"/>
          <w:sz w:val="21"/>
          <w:szCs w:val="21"/>
          <w:highlight w:val="none"/>
        </w:rPr>
        <w:t>时，其超过部分据实调整。</w:t>
      </w:r>
    </w:p>
    <w:p w14:paraId="0B0A0BFA">
      <w:pPr>
        <w:pStyle w:val="53"/>
        <w:pageBreakBefore w:val="0"/>
        <w:widowControl w:val="0"/>
        <w:kinsoku/>
        <w:wordWrap/>
        <w:overflowPunct/>
        <w:topLinePunct w:val="0"/>
        <w:bidi w:val="0"/>
        <w:snapToGrid/>
        <w:spacing w:after="200" w:line="440" w:lineRule="exact"/>
        <w:ind w:firstLine="424" w:firstLineChars="200"/>
        <w:jc w:val="left"/>
        <w:textAlignment w:val="auto"/>
        <w:rPr>
          <w:rFonts w:ascii="宋体" w:hAnsi="宋体" w:cs="宋体"/>
          <w:color w:val="auto"/>
          <w:spacing w:val="1"/>
          <w:sz w:val="21"/>
          <w:szCs w:val="21"/>
          <w:highlight w:val="none"/>
        </w:rPr>
      </w:pPr>
      <w:r>
        <w:rPr>
          <w:rFonts w:hint="eastAsia" w:ascii="宋体" w:hAnsi="宋体" w:cs="宋体"/>
          <w:color w:val="auto"/>
          <w:spacing w:val="1"/>
          <w:sz w:val="21"/>
          <w:szCs w:val="21"/>
          <w:highlight w:val="none"/>
        </w:rPr>
        <w:t>③承包人在已标价工程量清单或预算书中载明的材料单价等于基准单价的：专用合同条款合同履行期间材料单价涨跌幅以基准单价为基础超过±</w:t>
      </w:r>
      <w:r>
        <w:rPr>
          <w:rStyle w:val="25"/>
          <w:rFonts w:hint="eastAsia" w:ascii="宋体" w:hAnsi="宋体" w:cs="宋体"/>
          <w:color w:val="auto"/>
          <w:spacing w:val="1"/>
          <w:sz w:val="21"/>
          <w:szCs w:val="21"/>
          <w:highlight w:val="none"/>
          <w:lang w:val="en-US" w:eastAsia="zh-CN"/>
        </w:rPr>
        <w:t>5</w:t>
      </w:r>
      <w:r>
        <w:rPr>
          <w:rStyle w:val="25"/>
          <w:rFonts w:hint="eastAsia" w:ascii="宋体" w:hAnsi="宋体" w:cs="宋体"/>
          <w:color w:val="auto"/>
          <w:spacing w:val="1"/>
          <w:sz w:val="21"/>
          <w:szCs w:val="21"/>
          <w:highlight w:val="none"/>
        </w:rPr>
        <w:t>%</w:t>
      </w:r>
      <w:r>
        <w:rPr>
          <w:rFonts w:hint="eastAsia" w:ascii="宋体" w:hAnsi="宋体" w:cs="宋体"/>
          <w:color w:val="auto"/>
          <w:spacing w:val="1"/>
          <w:sz w:val="21"/>
          <w:szCs w:val="21"/>
          <w:highlight w:val="none"/>
        </w:rPr>
        <w:t>时，其超过部分据实调整。</w:t>
      </w:r>
    </w:p>
    <w:p w14:paraId="7D14C69E">
      <w:pPr>
        <w:pStyle w:val="53"/>
        <w:pageBreakBefore w:val="0"/>
        <w:widowControl w:val="0"/>
        <w:kinsoku/>
        <w:wordWrap/>
        <w:overflowPunct/>
        <w:topLinePunct w:val="0"/>
        <w:bidi w:val="0"/>
        <w:snapToGrid/>
        <w:spacing w:after="200" w:line="440" w:lineRule="exact"/>
        <w:ind w:firstLine="424" w:firstLineChars="200"/>
        <w:jc w:val="left"/>
        <w:textAlignment w:val="auto"/>
        <w:rPr>
          <w:rFonts w:ascii="宋体" w:hAnsi="宋体" w:cs="宋体"/>
          <w:b/>
          <w:color w:val="auto"/>
          <w:spacing w:val="1"/>
          <w:sz w:val="21"/>
          <w:szCs w:val="21"/>
          <w:highlight w:val="none"/>
          <w:u w:val="single"/>
        </w:rPr>
      </w:pPr>
      <w:r>
        <w:rPr>
          <w:rFonts w:hint="eastAsia" w:ascii="宋体" w:hAnsi="宋体" w:cs="宋体"/>
          <w:color w:val="auto"/>
          <w:spacing w:val="1"/>
          <w:sz w:val="21"/>
          <w:szCs w:val="21"/>
          <w:highlight w:val="none"/>
        </w:rPr>
        <w:t>发承包双方约定材料的风险范围：</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3557B94">
      <w:pPr>
        <w:pStyle w:val="53"/>
        <w:pageBreakBefore w:val="0"/>
        <w:widowControl w:val="0"/>
        <w:kinsoku/>
        <w:wordWrap/>
        <w:overflowPunct/>
        <w:topLinePunct w:val="0"/>
        <w:bidi w:val="0"/>
        <w:snapToGrid/>
        <w:spacing w:after="200" w:line="440" w:lineRule="exact"/>
        <w:ind w:firstLine="424" w:firstLineChars="200"/>
        <w:jc w:val="left"/>
        <w:textAlignment w:val="auto"/>
        <w:rPr>
          <w:rFonts w:ascii="宋体" w:hAnsi="宋体" w:cs="宋体"/>
          <w:b/>
          <w:color w:val="auto"/>
          <w:spacing w:val="1"/>
          <w:sz w:val="21"/>
          <w:szCs w:val="21"/>
          <w:highlight w:val="none"/>
        </w:rPr>
      </w:pPr>
      <w:r>
        <w:rPr>
          <w:rFonts w:hint="eastAsia" w:ascii="宋体" w:hAnsi="宋体" w:cs="宋体"/>
          <w:color w:val="auto"/>
          <w:spacing w:val="1"/>
          <w:sz w:val="21"/>
          <w:szCs w:val="21"/>
          <w:highlight w:val="none"/>
        </w:rPr>
        <w:t>发承包双方约定材料的风险幅度：</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B27C4AF">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第3种方式：其他价格调整方式：</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507"/>
    <w:bookmarkEnd w:id="508"/>
    <w:bookmarkEnd w:id="509"/>
    <w:bookmarkEnd w:id="510"/>
    <w:bookmarkEnd w:id="511"/>
    <w:bookmarkEnd w:id="512"/>
    <w:p w14:paraId="23AFEAF0">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620" w:name="_Toc296891033"/>
      <w:bookmarkStart w:id="621" w:name="_Toc292559915"/>
      <w:bookmarkStart w:id="622" w:name="_Toc292559410"/>
      <w:bookmarkStart w:id="623" w:name="_Toc296346706"/>
      <w:bookmarkStart w:id="624" w:name="_Toc296347204"/>
      <w:bookmarkStart w:id="625" w:name="_Toc296503205"/>
      <w:bookmarkStart w:id="626" w:name="_Toc296891245"/>
      <w:bookmarkStart w:id="627" w:name="_Toc297120505"/>
      <w:bookmarkStart w:id="628" w:name="_Toc296944544"/>
      <w:bookmarkStart w:id="629" w:name="_Toc297048391"/>
      <w:bookmarkStart w:id="630" w:name="_Toc351203644"/>
      <w:bookmarkStart w:id="631" w:name="_Toc304295579"/>
      <w:bookmarkStart w:id="632" w:name="_Toc312678040"/>
      <w:bookmarkStart w:id="633" w:name="_Toc297123552"/>
      <w:bookmarkStart w:id="634" w:name="_Toc297216211"/>
      <w:bookmarkStart w:id="635" w:name="_Toc303539159"/>
      <w:bookmarkStart w:id="636" w:name="_Toc300935002"/>
      <w:r>
        <w:rPr>
          <w:rFonts w:ascii="宋体" w:hAnsi="宋体" w:eastAsia="宋体"/>
          <w:color w:val="auto"/>
          <w:sz w:val="21"/>
          <w:szCs w:val="21"/>
          <w:highlight w:val="none"/>
        </w:rPr>
        <w:t xml:space="preserve">12. </w:t>
      </w:r>
      <w:bookmarkEnd w:id="620"/>
      <w:bookmarkEnd w:id="621"/>
      <w:bookmarkEnd w:id="622"/>
      <w:bookmarkEnd w:id="623"/>
      <w:bookmarkEnd w:id="624"/>
      <w:bookmarkEnd w:id="625"/>
      <w:bookmarkEnd w:id="626"/>
      <w:bookmarkEnd w:id="627"/>
      <w:bookmarkEnd w:id="628"/>
      <w:bookmarkEnd w:id="629"/>
      <w:r>
        <w:rPr>
          <w:rFonts w:ascii="宋体" w:hAnsi="宋体" w:eastAsia="宋体"/>
          <w:color w:val="auto"/>
          <w:sz w:val="21"/>
          <w:szCs w:val="21"/>
          <w:highlight w:val="none"/>
        </w:rPr>
        <w:t>合同价格、计量与支付</w:t>
      </w:r>
      <w:bookmarkEnd w:id="630"/>
    </w:p>
    <w:bookmarkEnd w:id="631"/>
    <w:bookmarkEnd w:id="632"/>
    <w:bookmarkEnd w:id="633"/>
    <w:bookmarkEnd w:id="634"/>
    <w:bookmarkEnd w:id="635"/>
    <w:bookmarkEnd w:id="636"/>
    <w:p w14:paraId="01ED05A4">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bookmarkStart w:id="637" w:name="_Toc267251461"/>
      <w:bookmarkStart w:id="638" w:name="_Toc292559411"/>
      <w:bookmarkStart w:id="639" w:name="_Toc292559916"/>
      <w:bookmarkStart w:id="640" w:name="_Toc296944545"/>
      <w:bookmarkStart w:id="641" w:name="_Toc296503206"/>
      <w:bookmarkStart w:id="642" w:name="_Toc297120506"/>
      <w:bookmarkStart w:id="643" w:name="_Toc296346707"/>
      <w:bookmarkStart w:id="644" w:name="_Toc296891246"/>
      <w:bookmarkStart w:id="645" w:name="_Toc296347205"/>
      <w:bookmarkStart w:id="646" w:name="_Toc297048392"/>
      <w:bookmarkStart w:id="647" w:name="_Toc296891034"/>
      <w:bookmarkStart w:id="648" w:name="_Toc303539160"/>
      <w:bookmarkStart w:id="649" w:name="_Toc312678041"/>
      <w:bookmarkStart w:id="650" w:name="_Toc297123553"/>
      <w:bookmarkStart w:id="651" w:name="_Toc304295580"/>
      <w:bookmarkStart w:id="652" w:name="_Toc300935003"/>
      <w:bookmarkStart w:id="653" w:name="_Toc297216212"/>
      <w:r>
        <w:rPr>
          <w:rFonts w:ascii="宋体" w:hAnsi="宋体"/>
          <w:color w:val="auto"/>
          <w:sz w:val="21"/>
          <w:szCs w:val="21"/>
          <w:highlight w:val="none"/>
        </w:rPr>
        <w:t>12.1 合</w:t>
      </w:r>
      <w:bookmarkEnd w:id="637"/>
      <w:bookmarkEnd w:id="638"/>
      <w:bookmarkEnd w:id="639"/>
      <w:r>
        <w:rPr>
          <w:rFonts w:ascii="宋体" w:hAnsi="宋体"/>
          <w:color w:val="auto"/>
          <w:sz w:val="21"/>
          <w:szCs w:val="21"/>
          <w:highlight w:val="none"/>
        </w:rPr>
        <w:t>同价</w:t>
      </w:r>
      <w:bookmarkEnd w:id="640"/>
      <w:bookmarkEnd w:id="641"/>
      <w:bookmarkEnd w:id="642"/>
      <w:bookmarkEnd w:id="643"/>
      <w:bookmarkEnd w:id="644"/>
      <w:bookmarkEnd w:id="645"/>
      <w:bookmarkEnd w:id="646"/>
      <w:bookmarkEnd w:id="647"/>
      <w:r>
        <w:rPr>
          <w:rFonts w:ascii="宋体" w:hAnsi="宋体"/>
          <w:color w:val="auto"/>
          <w:sz w:val="21"/>
          <w:szCs w:val="21"/>
          <w:highlight w:val="none"/>
        </w:rPr>
        <w:t>格形式</w:t>
      </w:r>
    </w:p>
    <w:bookmarkEnd w:id="648"/>
    <w:bookmarkEnd w:id="649"/>
    <w:bookmarkEnd w:id="650"/>
    <w:bookmarkEnd w:id="651"/>
    <w:bookmarkEnd w:id="652"/>
    <w:bookmarkEnd w:id="653"/>
    <w:p w14:paraId="7B9BE918">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1、单价合同。</w:t>
      </w:r>
    </w:p>
    <w:p w14:paraId="161E3E0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本合同采用</w:t>
      </w:r>
      <w:r>
        <w:rPr>
          <w:rFonts w:hint="eastAsia" w:ascii="宋体" w:hAnsi="宋体"/>
          <w:color w:val="auto"/>
          <w:sz w:val="21"/>
          <w:szCs w:val="21"/>
          <w:highlight w:val="none"/>
          <w:u w:val="single"/>
        </w:rPr>
        <w:t xml:space="preserve"> </w:t>
      </w:r>
      <w:r>
        <w:rPr>
          <w:rStyle w:val="25"/>
          <w:rFonts w:hint="eastAsia" w:ascii="宋体" w:hAnsi="宋体"/>
          <w:b/>
          <w:bCs/>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方式确定</w:t>
      </w:r>
    </w:p>
    <w:p w14:paraId="5DA31589">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kern w:val="0"/>
          <w:sz w:val="21"/>
          <w:szCs w:val="21"/>
          <w:highlight w:val="none"/>
        </w:rPr>
      </w:pPr>
      <w:r>
        <w:rPr>
          <w:rFonts w:ascii="宋体" w:hAnsi="宋体"/>
          <w:color w:val="auto"/>
          <w:sz w:val="21"/>
          <w:szCs w:val="21"/>
          <w:highlight w:val="none"/>
        </w:rPr>
        <w:t>综合单价包含的风险范围：</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2484323">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sz w:val="21"/>
          <w:szCs w:val="21"/>
          <w:highlight w:val="none"/>
        </w:rPr>
      </w:pPr>
      <w:r>
        <w:rPr>
          <w:rFonts w:ascii="宋体" w:hAnsi="宋体"/>
          <w:color w:val="auto"/>
          <w:sz w:val="21"/>
          <w:szCs w:val="21"/>
          <w:highlight w:val="none"/>
        </w:rPr>
        <w:t>风险费用的计算方法：</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30D7D031">
      <w:pPr>
        <w:pStyle w:val="22"/>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风险范围以外合同价格的调整方法：</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28097F0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2、总价合同。</w:t>
      </w:r>
    </w:p>
    <w:p w14:paraId="219F96D8">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总价包含的风险范围：</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5FEDA351">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风险费用的计算方法：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1CCE9F6C">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风险范围以外合同价格的调整方法：</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12DB1BB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3、</w:t>
      </w:r>
      <w:r>
        <w:rPr>
          <w:rFonts w:ascii="宋体" w:hAnsi="宋体"/>
          <w:color w:val="auto"/>
          <w:sz w:val="21"/>
          <w:szCs w:val="21"/>
          <w:highlight w:val="none"/>
        </w:rPr>
        <w:t>其他价格方式：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6AE593C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bookmarkStart w:id="654" w:name="_Toc312678042"/>
      <w:bookmarkStart w:id="655" w:name="_Toc297123554"/>
      <w:bookmarkStart w:id="656" w:name="_Toc297216213"/>
      <w:bookmarkStart w:id="657" w:name="_Toc300935004"/>
      <w:bookmarkStart w:id="658" w:name="_Toc303539161"/>
      <w:bookmarkStart w:id="659" w:name="_Toc304295581"/>
      <w:bookmarkStart w:id="660" w:name="_Toc292559917"/>
      <w:bookmarkStart w:id="661" w:name="_Toc296891035"/>
      <w:bookmarkStart w:id="662" w:name="_Toc296346708"/>
      <w:bookmarkStart w:id="663" w:name="_Toc296891247"/>
      <w:bookmarkStart w:id="664" w:name="_Toc296503207"/>
      <w:bookmarkStart w:id="665" w:name="_Toc296944546"/>
      <w:bookmarkStart w:id="666" w:name="_Toc292559412"/>
      <w:bookmarkStart w:id="667" w:name="_Toc297120507"/>
      <w:bookmarkStart w:id="668" w:name="_Toc296347206"/>
      <w:bookmarkStart w:id="669" w:name="_Toc297048393"/>
      <w:r>
        <w:rPr>
          <w:rFonts w:ascii="宋体" w:hAnsi="宋体"/>
          <w:color w:val="auto"/>
          <w:sz w:val="21"/>
          <w:szCs w:val="21"/>
          <w:highlight w:val="none"/>
        </w:rPr>
        <w:t>12.2 预付款</w:t>
      </w:r>
    </w:p>
    <w:bookmarkEnd w:id="654"/>
    <w:bookmarkEnd w:id="655"/>
    <w:bookmarkEnd w:id="656"/>
    <w:bookmarkEnd w:id="657"/>
    <w:bookmarkEnd w:id="658"/>
    <w:bookmarkEnd w:id="659"/>
    <w:p w14:paraId="578718A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12.2.1 预付款的支付</w:t>
      </w:r>
    </w:p>
    <w:p w14:paraId="0BFB2D5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预付款支付比例或金额：</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6BE4371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预付款支付期限：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324D6BE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预付款扣回的方式：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10AF8B3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12.2.2 预付款担保</w:t>
      </w:r>
    </w:p>
    <w:p w14:paraId="5A39A99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承包人提交预付款担保的期限：</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6AD0732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预付款担保的形式为：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bookmarkEnd w:id="660"/>
    <w:bookmarkEnd w:id="661"/>
    <w:bookmarkEnd w:id="662"/>
    <w:bookmarkEnd w:id="663"/>
    <w:bookmarkEnd w:id="664"/>
    <w:bookmarkEnd w:id="665"/>
    <w:bookmarkEnd w:id="666"/>
    <w:bookmarkEnd w:id="667"/>
    <w:bookmarkEnd w:id="668"/>
    <w:bookmarkEnd w:id="669"/>
    <w:p w14:paraId="05FC721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12.3 计量</w:t>
      </w:r>
    </w:p>
    <w:p w14:paraId="3E09E34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12.3.1 计量原则</w:t>
      </w:r>
    </w:p>
    <w:p w14:paraId="4D473FF7">
      <w:pPr>
        <w:pStyle w:val="53"/>
        <w:pageBreakBefore w:val="0"/>
        <w:widowControl w:val="0"/>
        <w:kinsoku/>
        <w:wordWrap/>
        <w:overflowPunct/>
        <w:topLinePunct w:val="0"/>
        <w:bidi w:val="0"/>
        <w:snapToGrid/>
        <w:spacing w:after="200" w:line="440" w:lineRule="exact"/>
        <w:ind w:firstLine="420" w:firstLineChars="200"/>
        <w:jc w:val="left"/>
        <w:textAlignment w:val="auto"/>
        <w:rPr>
          <w:rStyle w:val="25"/>
          <w:rFonts w:hint="eastAsia" w:ascii="宋体" w:hAnsi="宋体" w:eastAsia="宋体"/>
          <w:b w:val="0"/>
          <w:bCs/>
          <w:color w:val="auto"/>
          <w:sz w:val="21"/>
          <w:szCs w:val="21"/>
          <w:highlight w:val="none"/>
          <w:u w:val="none"/>
          <w:lang w:eastAsia="zh-CN"/>
        </w:rPr>
      </w:pPr>
      <w:r>
        <w:rPr>
          <w:rFonts w:ascii="宋体" w:hAnsi="宋体"/>
          <w:color w:val="auto"/>
          <w:sz w:val="21"/>
          <w:szCs w:val="21"/>
          <w:highlight w:val="none"/>
        </w:rPr>
        <w:t>工程量计算规则：</w:t>
      </w:r>
      <w:r>
        <w:rPr>
          <w:rFonts w:hint="eastAsia" w:ascii="宋体" w:hAnsi="宋体"/>
          <w:color w:val="auto"/>
          <w:kern w:val="0"/>
          <w:sz w:val="21"/>
          <w:szCs w:val="21"/>
          <w:highlight w:val="none"/>
          <w:u w:val="single"/>
        </w:rPr>
        <w:t xml:space="preserve">                        </w:t>
      </w:r>
      <w:r>
        <w:rPr>
          <w:rStyle w:val="25"/>
          <w:rFonts w:hint="eastAsia" w:ascii="宋体" w:hAnsi="宋体"/>
          <w:b w:val="0"/>
          <w:bCs/>
          <w:color w:val="auto"/>
          <w:sz w:val="21"/>
          <w:szCs w:val="21"/>
          <w:highlight w:val="none"/>
          <w:u w:val="none"/>
          <w:lang w:eastAsia="zh-CN"/>
        </w:rPr>
        <w:t>；</w:t>
      </w:r>
    </w:p>
    <w:p w14:paraId="2DA13B38">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12.3.2 计量周期</w:t>
      </w:r>
    </w:p>
    <w:p w14:paraId="5381608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关于计量周期的约定：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432482D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12.3.3 单价合同的计量</w:t>
      </w:r>
    </w:p>
    <w:p w14:paraId="1964AE0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关于单价合同计量的约定：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09F45C7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12.3.4 总价合同的计量</w:t>
      </w:r>
    </w:p>
    <w:p w14:paraId="0ED938E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关于总价合同计量的约定：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037AD10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12.3.5总价合同采用支付分解表计量支付的，是否适用第</w:t>
      </w:r>
      <w:r>
        <w:rPr>
          <w:rFonts w:ascii="宋体" w:hAnsi="宋体"/>
          <w:color w:val="auto"/>
          <w:kern w:val="0"/>
          <w:sz w:val="21"/>
          <w:szCs w:val="21"/>
          <w:highlight w:val="none"/>
        </w:rPr>
        <w:t xml:space="preserve">12.3.4 </w:t>
      </w:r>
      <w:r>
        <w:rPr>
          <w:rFonts w:ascii="宋体" w:hAnsi="宋体"/>
          <w:color w:val="auto"/>
          <w:sz w:val="21"/>
          <w:szCs w:val="21"/>
          <w:highlight w:val="none"/>
        </w:rPr>
        <w:t>项</w:t>
      </w:r>
      <w:r>
        <w:rPr>
          <w:rFonts w:hint="eastAsia" w:ascii="宋体" w:hAnsi="宋体"/>
          <w:color w:val="auto"/>
          <w:kern w:val="0"/>
          <w:sz w:val="21"/>
          <w:szCs w:val="21"/>
          <w:highlight w:val="none"/>
        </w:rPr>
        <w:t>〔</w:t>
      </w:r>
      <w:r>
        <w:rPr>
          <w:rFonts w:ascii="宋体" w:hAnsi="宋体"/>
          <w:color w:val="auto"/>
          <w:kern w:val="0"/>
          <w:sz w:val="21"/>
          <w:szCs w:val="21"/>
          <w:highlight w:val="none"/>
        </w:rPr>
        <w:t>总价合同的计量</w:t>
      </w:r>
      <w:r>
        <w:rPr>
          <w:rFonts w:hint="eastAsia" w:ascii="宋体" w:hAnsi="宋体"/>
          <w:color w:val="auto"/>
          <w:kern w:val="0"/>
          <w:sz w:val="21"/>
          <w:szCs w:val="21"/>
          <w:highlight w:val="none"/>
        </w:rPr>
        <w:t>〕</w:t>
      </w:r>
      <w:r>
        <w:rPr>
          <w:rFonts w:ascii="宋体" w:hAnsi="宋体"/>
          <w:color w:val="auto"/>
          <w:sz w:val="21"/>
          <w:szCs w:val="21"/>
          <w:highlight w:val="none"/>
        </w:rPr>
        <w:t>约定</w:t>
      </w:r>
      <w:r>
        <w:rPr>
          <w:rFonts w:hint="eastAsia" w:ascii="宋体" w:hAnsi="宋体"/>
          <w:color w:val="auto"/>
          <w:sz w:val="21"/>
          <w:szCs w:val="21"/>
          <w:highlight w:val="none"/>
        </w:rPr>
        <w:t>进行计量：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614C4EB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12.3.6 其他价格形式合同的计量</w:t>
      </w:r>
    </w:p>
    <w:p w14:paraId="36B9AEC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其他价格形式的计量方式和程序：</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5640FD9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s="楷体"/>
          <w:b/>
          <w:color w:val="auto"/>
          <w:sz w:val="21"/>
          <w:szCs w:val="21"/>
          <w:highlight w:val="none"/>
        </w:rPr>
      </w:pPr>
      <w:r>
        <w:rPr>
          <w:rFonts w:ascii="宋体" w:hAnsi="宋体"/>
          <w:color w:val="auto"/>
          <w:sz w:val="21"/>
          <w:szCs w:val="21"/>
          <w:highlight w:val="none"/>
        </w:rPr>
        <w:t>12.4 工程进度款支付</w:t>
      </w:r>
      <w:r>
        <w:rPr>
          <w:rFonts w:hint="eastAsia" w:ascii="宋体" w:hAnsi="宋体"/>
          <w:color w:val="auto"/>
          <w:sz w:val="21"/>
          <w:szCs w:val="21"/>
          <w:highlight w:val="none"/>
        </w:rPr>
        <w:t>：</w:t>
      </w:r>
      <w:bookmarkStart w:id="670" w:name="_Toc296891251"/>
      <w:bookmarkStart w:id="671" w:name="_Toc303539163"/>
      <w:bookmarkStart w:id="672" w:name="_Toc297048397"/>
      <w:bookmarkStart w:id="673" w:name="_Toc297123556"/>
      <w:bookmarkStart w:id="674" w:name="_Toc296944550"/>
      <w:bookmarkStart w:id="675" w:name="_Toc297216215"/>
      <w:bookmarkStart w:id="676" w:name="_Toc296891039"/>
      <w:bookmarkStart w:id="677" w:name="_Toc300935006"/>
      <w:bookmarkStart w:id="678" w:name="_Toc292559921"/>
      <w:bookmarkStart w:id="679" w:name="_Toc292559416"/>
      <w:bookmarkStart w:id="680" w:name="_Toc296347210"/>
      <w:bookmarkStart w:id="681" w:name="_Toc296503211"/>
      <w:bookmarkStart w:id="682" w:name="_Toc297120511"/>
      <w:bookmarkStart w:id="683" w:name="_Toc296346712"/>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74FB6EF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12.4.1 付款周期</w:t>
      </w:r>
    </w:p>
    <w:p w14:paraId="7424BD6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关于付款周期的约定：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7E5FFDF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12.4.2 进度付款申请单的编制</w:t>
      </w:r>
    </w:p>
    <w:p w14:paraId="6C344EC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关于进度付款申请单编制的约定：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3CBA102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ascii="宋体" w:hAnsi="宋体"/>
          <w:color w:val="auto"/>
          <w:sz w:val="21"/>
          <w:szCs w:val="21"/>
          <w:highlight w:val="none"/>
        </w:rPr>
        <w:t>2.4.3 进度付款申请单的提交</w:t>
      </w:r>
    </w:p>
    <w:p w14:paraId="29A8949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sz w:val="21"/>
          <w:szCs w:val="21"/>
          <w:highlight w:val="none"/>
        </w:rPr>
        <w:t>（1）单价合同进度付款申请单提交的约定</w:t>
      </w:r>
      <w:r>
        <w:rPr>
          <w:rFonts w:hint="eastAsia" w:ascii="宋体" w:hAnsi="宋体"/>
          <w:color w:val="auto"/>
          <w:sz w:val="21"/>
          <w:szCs w:val="21"/>
          <w:highlight w:val="none"/>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04CEA1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（2）总价合同进度付款申请单提交的约定</w:t>
      </w:r>
      <w:r>
        <w:rPr>
          <w:rFonts w:hint="eastAsia" w:ascii="宋体" w:hAnsi="宋体"/>
          <w:color w:val="auto"/>
          <w:sz w:val="21"/>
          <w:szCs w:val="21"/>
          <w:highlight w:val="none"/>
        </w:rPr>
        <w:t>：</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0C7CCC4D">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（3）其他价格形式合同进度付款申请单提交的约定：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7A6090F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12.4.4 进度款审核和支付</w:t>
      </w:r>
    </w:p>
    <w:p w14:paraId="7A0292A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ascii="宋体" w:hAnsi="宋体"/>
          <w:color w:val="auto"/>
          <w:sz w:val="21"/>
          <w:szCs w:val="21"/>
          <w:highlight w:val="none"/>
        </w:rPr>
        <w:t>（1）监理人审查并报送发包人的期限：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7039106">
      <w:pPr>
        <w:pStyle w:val="53"/>
        <w:pageBreakBefore w:val="0"/>
        <w:widowControl w:val="0"/>
        <w:kinsoku/>
        <w:wordWrap/>
        <w:overflowPunct/>
        <w:topLinePunct w:val="0"/>
        <w:bidi w:val="0"/>
        <w:snapToGrid/>
        <w:spacing w:after="200" w:line="440" w:lineRule="exact"/>
        <w:jc w:val="left"/>
        <w:textAlignment w:val="auto"/>
        <w:rPr>
          <w:rFonts w:ascii="宋体" w:hAnsi="宋体"/>
          <w:b/>
          <w:color w:val="auto"/>
          <w:sz w:val="21"/>
          <w:szCs w:val="21"/>
          <w:highlight w:val="none"/>
          <w:u w:val="single"/>
        </w:rPr>
      </w:pPr>
      <w:r>
        <w:rPr>
          <w:rFonts w:hint="eastAsia" w:ascii="宋体" w:hAnsi="宋体"/>
          <w:color w:val="auto"/>
          <w:sz w:val="21"/>
          <w:szCs w:val="21"/>
          <w:highlight w:val="none"/>
        </w:rPr>
        <w:t xml:space="preserve">     </w:t>
      </w:r>
      <w:r>
        <w:rPr>
          <w:rFonts w:ascii="宋体" w:hAnsi="宋体"/>
          <w:color w:val="auto"/>
          <w:sz w:val="21"/>
          <w:szCs w:val="21"/>
          <w:highlight w:val="none"/>
        </w:rPr>
        <w:t>发包人完成审批并签发进度款支付证书的期限：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6BA3C9C5">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（2）发包人支付进度款的期限：</w:t>
      </w:r>
      <w:r>
        <w:rPr>
          <w:rFonts w:hint="eastAsia"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rPr>
        <w:t xml:space="preserve"> </w:t>
      </w:r>
      <w:r>
        <w:rPr>
          <w:rFonts w:hint="eastAsia" w:ascii="宋体" w:hAnsi="宋体"/>
          <w:color w:val="auto"/>
          <w:kern w:val="0"/>
          <w:sz w:val="21"/>
          <w:szCs w:val="21"/>
          <w:highlight w:val="none"/>
        </w:rPr>
        <w:t>；</w:t>
      </w:r>
    </w:p>
    <w:p w14:paraId="43FB5C49">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u w:val="single"/>
        </w:rPr>
      </w:pPr>
      <w:r>
        <w:rPr>
          <w:rFonts w:ascii="宋体" w:hAnsi="宋体"/>
          <w:color w:val="auto"/>
          <w:sz w:val="21"/>
          <w:szCs w:val="21"/>
          <w:highlight w:val="none"/>
        </w:rPr>
        <w:t>发包人逾期支付进度款的违约金的计算方式：</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477174F6">
      <w:pPr>
        <w:pStyle w:val="53"/>
        <w:pageBreakBefore w:val="0"/>
        <w:widowControl w:val="0"/>
        <w:kinsoku/>
        <w:wordWrap/>
        <w:overflowPunct/>
        <w:topLinePunct w:val="0"/>
        <w:bidi w:val="0"/>
        <w:snapToGrid/>
        <w:spacing w:after="200" w:line="440" w:lineRule="exact"/>
        <w:ind w:firstLine="525" w:firstLineChars="250"/>
        <w:jc w:val="left"/>
        <w:textAlignment w:val="auto"/>
        <w:rPr>
          <w:rFonts w:ascii="宋体" w:hAnsi="宋体"/>
          <w:color w:val="auto"/>
          <w:sz w:val="21"/>
          <w:szCs w:val="21"/>
          <w:highlight w:val="none"/>
        </w:rPr>
      </w:pPr>
      <w:r>
        <w:rPr>
          <w:rFonts w:ascii="宋体" w:hAnsi="宋体"/>
          <w:color w:val="auto"/>
          <w:sz w:val="21"/>
          <w:szCs w:val="21"/>
          <w:highlight w:val="none"/>
        </w:rPr>
        <w:t>12.4.6 支付分解表的编制</w:t>
      </w:r>
    </w:p>
    <w:p w14:paraId="3DE1A6B3">
      <w:pPr>
        <w:pStyle w:val="53"/>
        <w:pageBreakBefore w:val="0"/>
        <w:widowControl w:val="0"/>
        <w:kinsoku/>
        <w:wordWrap/>
        <w:overflowPunct/>
        <w:topLinePunct w:val="0"/>
        <w:bidi w:val="0"/>
        <w:snapToGrid/>
        <w:spacing w:after="200" w:line="440" w:lineRule="exact"/>
        <w:ind w:left="4259" w:leftChars="228" w:hanging="3780" w:hangingChars="1800"/>
        <w:jc w:val="left"/>
        <w:textAlignment w:val="auto"/>
        <w:rPr>
          <w:rFonts w:ascii="宋体" w:hAnsi="宋体"/>
          <w:color w:val="auto"/>
          <w:sz w:val="21"/>
          <w:szCs w:val="21"/>
          <w:highlight w:val="none"/>
        </w:rPr>
      </w:pPr>
      <w:r>
        <w:rPr>
          <w:rFonts w:ascii="宋体" w:hAnsi="宋体"/>
          <w:color w:val="auto"/>
          <w:sz w:val="21"/>
          <w:szCs w:val="21"/>
          <w:highlight w:val="none"/>
        </w:rPr>
        <w:t>2、总价合同支付分解表的编制与审批：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7BA427B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3、单价合同的总价项目支付分解表的编制与审批：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bookmarkEnd w:id="513"/>
    <w:p w14:paraId="2618FA98">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684" w:name="_Toc351203645"/>
      <w:bookmarkStart w:id="685" w:name="_Toc296891047"/>
      <w:bookmarkStart w:id="686" w:name="_Toc304295593"/>
      <w:bookmarkStart w:id="687" w:name="_Toc297123564"/>
      <w:bookmarkStart w:id="688" w:name="_Toc296346720"/>
      <w:bookmarkStart w:id="689" w:name="_Toc297216223"/>
      <w:bookmarkStart w:id="690" w:name="_Toc300935015"/>
      <w:bookmarkStart w:id="691" w:name="_Toc297048405"/>
      <w:bookmarkStart w:id="692" w:name="_Toc296503219"/>
      <w:bookmarkStart w:id="693" w:name="_Toc297120519"/>
      <w:bookmarkStart w:id="694" w:name="_Toc296891259"/>
      <w:bookmarkStart w:id="695" w:name="_Toc296347218"/>
      <w:bookmarkStart w:id="696" w:name="_Toc312678053"/>
      <w:bookmarkStart w:id="697" w:name="_Toc292559424"/>
      <w:bookmarkStart w:id="698" w:name="_Toc292559929"/>
      <w:bookmarkStart w:id="699" w:name="_Toc303539172"/>
      <w:bookmarkStart w:id="700" w:name="_Toc296944558"/>
      <w:r>
        <w:rPr>
          <w:rFonts w:ascii="宋体" w:hAnsi="宋体" w:eastAsia="宋体"/>
          <w:color w:val="auto"/>
          <w:sz w:val="21"/>
          <w:szCs w:val="21"/>
          <w:highlight w:val="none"/>
        </w:rPr>
        <w:t>13.</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验收和工程试车</w:t>
      </w:r>
      <w:bookmarkEnd w:id="684"/>
    </w:p>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14:paraId="61B9DCDB">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13.1 分部分项工程验收</w:t>
      </w:r>
    </w:p>
    <w:p w14:paraId="4350815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13.1.2监理人不能按时进行验收时，应提前</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小时提交书面延期要求。</w:t>
      </w:r>
    </w:p>
    <w:p w14:paraId="7DDCEA28">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b/>
          <w:color w:val="auto"/>
          <w:sz w:val="21"/>
          <w:szCs w:val="21"/>
          <w:highlight w:val="none"/>
        </w:rPr>
      </w:pPr>
      <w:r>
        <w:rPr>
          <w:rFonts w:ascii="宋体" w:hAnsi="宋体"/>
          <w:color w:val="auto"/>
          <w:sz w:val="21"/>
          <w:szCs w:val="21"/>
          <w:highlight w:val="none"/>
        </w:rPr>
        <w:t>关于延期最长不得超过：</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小时。</w:t>
      </w:r>
    </w:p>
    <w:p w14:paraId="139C3487">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bookmarkStart w:id="701" w:name="_Toc297216224"/>
      <w:bookmarkStart w:id="702" w:name="_Toc300935016"/>
      <w:bookmarkStart w:id="703" w:name="_Toc296347222"/>
      <w:bookmarkStart w:id="704" w:name="_Toc296891051"/>
      <w:bookmarkStart w:id="705" w:name="_Toc296503223"/>
      <w:bookmarkStart w:id="706" w:name="_Toc292559933"/>
      <w:bookmarkStart w:id="707" w:name="_Toc296891263"/>
      <w:bookmarkStart w:id="708" w:name="_Toc304295596"/>
      <w:bookmarkStart w:id="709" w:name="_Toc292559428"/>
      <w:bookmarkStart w:id="710" w:name="_Toc297120523"/>
      <w:bookmarkStart w:id="711" w:name="_Toc297123565"/>
      <w:bookmarkStart w:id="712" w:name="_Toc296346724"/>
      <w:bookmarkStart w:id="713" w:name="_Toc303539173"/>
      <w:bookmarkStart w:id="714" w:name="_Toc312678056"/>
      <w:bookmarkStart w:id="715" w:name="_Toc296944562"/>
      <w:bookmarkStart w:id="716" w:name="_Toc297048409"/>
      <w:bookmarkStart w:id="717" w:name="_Toc267251471"/>
      <w:bookmarkStart w:id="718" w:name="_Toc267251473"/>
      <w:bookmarkStart w:id="719" w:name="_Toc267251474"/>
      <w:bookmarkStart w:id="720" w:name="_Toc267251470"/>
      <w:bookmarkStart w:id="721" w:name="_Toc267251475"/>
      <w:bookmarkStart w:id="722" w:name="_Toc267251472"/>
      <w:bookmarkStart w:id="723" w:name="_Toc267251476"/>
      <w:r>
        <w:rPr>
          <w:rFonts w:ascii="宋体" w:hAnsi="宋体"/>
          <w:color w:val="auto"/>
          <w:sz w:val="21"/>
          <w:szCs w:val="21"/>
          <w:highlight w:val="none"/>
        </w:rPr>
        <w:t>13.2 竣工验收</w:t>
      </w:r>
    </w:p>
    <w:p w14:paraId="6F1E3D8A">
      <w:pPr>
        <w:pStyle w:val="53"/>
        <w:pageBreakBefore w:val="0"/>
        <w:widowControl w:val="0"/>
        <w:kinsoku/>
        <w:wordWrap/>
        <w:overflowPunct/>
        <w:topLinePunct w:val="0"/>
        <w:bidi w:val="0"/>
        <w:snapToGrid/>
        <w:spacing w:after="200" w:line="440" w:lineRule="exact"/>
        <w:ind w:firstLine="420" w:firstLineChars="200"/>
        <w:textAlignment w:val="auto"/>
        <w:rPr>
          <w:rStyle w:val="25"/>
          <w:rFonts w:hint="eastAsia" w:ascii="宋体" w:hAnsi="宋体"/>
          <w:b/>
          <w:bCs/>
          <w:color w:val="auto"/>
          <w:sz w:val="21"/>
          <w:szCs w:val="21"/>
          <w:highlight w:val="none"/>
          <w:u w:val="single"/>
        </w:rPr>
      </w:pPr>
      <w:r>
        <w:rPr>
          <w:rFonts w:hint="eastAsia" w:ascii="宋体" w:hAnsi="宋体"/>
          <w:color w:val="auto"/>
          <w:kern w:val="0"/>
          <w:sz w:val="21"/>
          <w:szCs w:val="21"/>
          <w:highlight w:val="none"/>
          <w:u w:val="single"/>
        </w:rPr>
        <w:t xml:space="preserve">                        </w:t>
      </w:r>
      <w:r>
        <w:rPr>
          <w:rStyle w:val="25"/>
          <w:rFonts w:hint="eastAsia" w:ascii="宋体" w:hAnsi="宋体"/>
          <w:b w:val="0"/>
          <w:bCs w:val="0"/>
          <w:color w:val="auto"/>
          <w:sz w:val="21"/>
          <w:szCs w:val="21"/>
          <w:highlight w:val="none"/>
          <w:u w:val="single"/>
        </w:rPr>
        <w:t>。</w:t>
      </w:r>
    </w:p>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14:paraId="70DFA46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bookmarkStart w:id="724" w:name="_Toc280868704"/>
      <w:bookmarkStart w:id="725" w:name="_Toc280868705"/>
      <w:bookmarkStart w:id="726" w:name="_Toc280868706"/>
      <w:bookmarkStart w:id="727" w:name="_Toc280868707"/>
      <w:bookmarkStart w:id="728" w:name="_Toc280868708"/>
      <w:bookmarkStart w:id="729" w:name="_Toc280868709"/>
      <w:r>
        <w:rPr>
          <w:rFonts w:ascii="宋体" w:hAnsi="宋体"/>
          <w:color w:val="auto"/>
          <w:sz w:val="21"/>
          <w:szCs w:val="21"/>
          <w:highlight w:val="none"/>
        </w:rPr>
        <w:t>13.2.2竣工验收程序</w:t>
      </w:r>
    </w:p>
    <w:bookmarkEnd w:id="724"/>
    <w:p w14:paraId="060769FA">
      <w:pPr>
        <w:pStyle w:val="53"/>
        <w:pageBreakBefore w:val="0"/>
        <w:widowControl w:val="0"/>
        <w:kinsoku/>
        <w:wordWrap/>
        <w:overflowPunct/>
        <w:topLinePunct w:val="0"/>
        <w:bidi w:val="0"/>
        <w:snapToGrid/>
        <w:spacing w:after="200" w:line="440" w:lineRule="exact"/>
        <w:ind w:left="4800" w:hanging="4200" w:hangingChars="2000"/>
        <w:jc w:val="left"/>
        <w:textAlignment w:val="auto"/>
        <w:rPr>
          <w:rFonts w:ascii="宋体" w:hAnsi="宋体"/>
          <w:color w:val="auto"/>
          <w:sz w:val="21"/>
          <w:szCs w:val="21"/>
          <w:highlight w:val="non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关于竣工验收程序的约定：</w:t>
      </w:r>
      <w:r>
        <w:rPr>
          <w:rFonts w:hint="eastAsia" w:ascii="宋体" w:hAnsi="宋体"/>
          <w:color w:val="auto"/>
          <w:kern w:val="0"/>
          <w:sz w:val="21"/>
          <w:szCs w:val="21"/>
          <w:highlight w:val="none"/>
          <w:u w:val="single"/>
        </w:rPr>
        <w:t xml:space="preserve">                        </w:t>
      </w:r>
    </w:p>
    <w:p w14:paraId="21BB2692">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发包人不按照本项约定组织竣工验收、颁发工程接收证书的违约金的计算方法：</w:t>
      </w:r>
    </w:p>
    <w:p w14:paraId="054696C3">
      <w:pPr>
        <w:pStyle w:val="53"/>
        <w:pageBreakBefore w:val="0"/>
        <w:widowControl w:val="0"/>
        <w:kinsoku/>
        <w:wordWrap/>
        <w:overflowPunct/>
        <w:topLinePunct w:val="0"/>
        <w:bidi w:val="0"/>
        <w:snapToGrid/>
        <w:spacing w:after="200" w:line="440" w:lineRule="exact"/>
        <w:ind w:firstLine="480"/>
        <w:jc w:val="left"/>
        <w:textAlignment w:val="auto"/>
        <w:rPr>
          <w:rFonts w:ascii="宋体" w:hAnsi="宋体"/>
          <w:color w:val="auto"/>
          <w:kern w:val="0"/>
          <w:sz w:val="21"/>
          <w:szCs w:val="21"/>
          <w:highlight w:val="none"/>
        </w:rPr>
      </w:pP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bookmarkEnd w:id="725"/>
    <w:p w14:paraId="088DC58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13.2.5移交、接收全部与部分工程</w:t>
      </w:r>
    </w:p>
    <w:bookmarkEnd w:id="726"/>
    <w:p w14:paraId="6067454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u w:val="single"/>
        </w:rPr>
      </w:pPr>
      <w:r>
        <w:rPr>
          <w:rFonts w:hint="eastAsia" w:ascii="宋体" w:hAnsi="宋体"/>
          <w:color w:val="auto"/>
          <w:kern w:val="0"/>
          <w:sz w:val="21"/>
          <w:szCs w:val="21"/>
          <w:highlight w:val="none"/>
        </w:rPr>
        <w:t>承包人向发包人移交工程的期限：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EF88DC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发包人未按本合同约定接收全部或部分工程的，违约金的计算方法为：</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bookmarkEnd w:id="727"/>
    <w:p w14:paraId="3FE8426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承包人未按时移交工程的，违约金的计算方法为：</w:t>
      </w:r>
      <w:r>
        <w:rPr>
          <w:rStyle w:val="25"/>
          <w:rFonts w:hint="eastAsia" w:ascii="宋体" w:hAnsi="宋体"/>
          <w:b/>
          <w:color w:val="auto"/>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734311B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13.3 工程试车</w:t>
      </w:r>
    </w:p>
    <w:bookmarkEnd w:id="728"/>
    <w:p w14:paraId="2A434337">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13.3.1 试车程序</w:t>
      </w:r>
    </w:p>
    <w:p w14:paraId="288B1FE7">
      <w:pPr>
        <w:pStyle w:val="53"/>
        <w:pageBreakBefore w:val="0"/>
        <w:widowControl w:val="0"/>
        <w:kinsoku/>
        <w:wordWrap/>
        <w:overflowPunct/>
        <w:topLinePunct w:val="0"/>
        <w:bidi w:val="0"/>
        <w:snapToGrid/>
        <w:spacing w:after="200" w:line="440" w:lineRule="exact"/>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工程试车内容：</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09EEB18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（1）单机无负荷试车费用由</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kern w:val="0"/>
          <w:sz w:val="21"/>
          <w:szCs w:val="21"/>
          <w:highlight w:val="none"/>
        </w:rPr>
        <w:t>承担；</w:t>
      </w:r>
    </w:p>
    <w:p w14:paraId="24E5C88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（2）无负荷联动试车费用由</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kern w:val="0"/>
          <w:sz w:val="21"/>
          <w:szCs w:val="21"/>
          <w:highlight w:val="none"/>
        </w:rPr>
        <w:t>承担。</w:t>
      </w:r>
    </w:p>
    <w:p w14:paraId="65B77D0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13.3.3 投料试车</w:t>
      </w:r>
    </w:p>
    <w:p w14:paraId="6C08AD95">
      <w:pPr>
        <w:pStyle w:val="53"/>
        <w:pageBreakBefore w:val="0"/>
        <w:widowControl w:val="0"/>
        <w:kinsoku/>
        <w:wordWrap/>
        <w:overflowPunct/>
        <w:topLinePunct w:val="0"/>
        <w:bidi w:val="0"/>
        <w:snapToGrid/>
        <w:spacing w:after="200" w:line="440" w:lineRule="exact"/>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 xml:space="preserve">    关于投料试车相关事项的约定：</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1575FFD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13.6 竣工退场</w:t>
      </w:r>
    </w:p>
    <w:p w14:paraId="513397B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13.6.1 竣工退场</w:t>
      </w:r>
    </w:p>
    <w:p w14:paraId="54AC522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承包人完成竣工退场的期限：</w:t>
      </w:r>
      <w:r>
        <w:rPr>
          <w:rStyle w:val="25"/>
          <w:rFonts w:hint="eastAsia" w:ascii="宋体" w:hAnsi="宋体"/>
          <w:b/>
          <w:color w:val="auto"/>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0E12BCEA">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730" w:name="_Toc351203646"/>
      <w:r>
        <w:rPr>
          <w:rFonts w:ascii="宋体" w:hAnsi="宋体" w:eastAsia="宋体"/>
          <w:color w:val="auto"/>
          <w:sz w:val="21"/>
          <w:szCs w:val="21"/>
          <w:highlight w:val="none"/>
        </w:rPr>
        <w:t>14. 竣工结算</w:t>
      </w:r>
      <w:bookmarkEnd w:id="730"/>
    </w:p>
    <w:p w14:paraId="789834A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14.1 竣工付款申请</w:t>
      </w:r>
    </w:p>
    <w:p w14:paraId="09204E9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承包人提交竣工付款申请单的期限：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1F548E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竣工付款申请单应包括的内容：</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3B948C5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14.2 竣工结算审核</w:t>
      </w:r>
      <w:r>
        <w:rPr>
          <w:rFonts w:hint="eastAsia" w:ascii="宋体" w:hAnsi="宋体"/>
          <w:color w:val="auto"/>
          <w:sz w:val="21"/>
          <w:szCs w:val="21"/>
          <w:highlight w:val="none"/>
        </w:rPr>
        <w:t>:</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2C8DB060">
      <w:pPr>
        <w:pStyle w:val="53"/>
        <w:pageBreakBefore w:val="0"/>
        <w:widowControl w:val="0"/>
        <w:kinsoku/>
        <w:wordWrap/>
        <w:overflowPunct/>
        <w:topLinePunct w:val="0"/>
        <w:bidi w:val="0"/>
        <w:snapToGrid/>
        <w:spacing w:after="200" w:line="440" w:lineRule="exact"/>
        <w:ind w:firstLine="413" w:firstLineChars="197"/>
        <w:textAlignment w:val="auto"/>
        <w:rPr>
          <w:rFonts w:ascii="宋体" w:hAnsi="宋体"/>
          <w:color w:val="auto"/>
          <w:sz w:val="21"/>
          <w:szCs w:val="21"/>
          <w:highlight w:val="none"/>
        </w:rPr>
      </w:pPr>
      <w:r>
        <w:rPr>
          <w:rFonts w:ascii="宋体" w:hAnsi="宋体"/>
          <w:color w:val="auto"/>
          <w:sz w:val="21"/>
          <w:szCs w:val="21"/>
          <w:highlight w:val="none"/>
        </w:rPr>
        <w:t>14.4 最终结清</w:t>
      </w:r>
    </w:p>
    <w:p w14:paraId="61BAF95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14.4.1 最终结清申请单</w:t>
      </w:r>
    </w:p>
    <w:p w14:paraId="5207ED37">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承包人提交最终结清申请单的份数：</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4F66521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承包人提交最终结算申请单的期限：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 xml:space="preserve">。 </w:t>
      </w:r>
    </w:p>
    <w:p w14:paraId="75A2A2B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14.4.2 最终结清证书和支付</w:t>
      </w:r>
    </w:p>
    <w:p w14:paraId="1A558FD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（1）发包人完成最终结清申请单的</w:t>
      </w:r>
      <w:r>
        <w:rPr>
          <w:rFonts w:hint="eastAsia" w:ascii="宋体" w:hAnsi="宋体"/>
          <w:color w:val="auto"/>
          <w:sz w:val="21"/>
          <w:szCs w:val="21"/>
          <w:highlight w:val="none"/>
        </w:rPr>
        <w:t>审批</w:t>
      </w:r>
      <w:r>
        <w:rPr>
          <w:rFonts w:ascii="宋体" w:hAnsi="宋体"/>
          <w:color w:val="auto"/>
          <w:sz w:val="21"/>
          <w:szCs w:val="21"/>
          <w:highlight w:val="none"/>
        </w:rPr>
        <w:t>并颁发最终结清证书的期限：</w:t>
      </w:r>
    </w:p>
    <w:p w14:paraId="314D715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4600A0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（2）发包人完成支付的期限：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717"/>
    <w:bookmarkEnd w:id="718"/>
    <w:bookmarkEnd w:id="719"/>
    <w:bookmarkEnd w:id="720"/>
    <w:bookmarkEnd w:id="721"/>
    <w:bookmarkEnd w:id="722"/>
    <w:bookmarkEnd w:id="723"/>
    <w:bookmarkEnd w:id="729"/>
    <w:p w14:paraId="14BA0144">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731" w:name="_Toc351203647"/>
      <w:bookmarkStart w:id="732" w:name="_Toc267251483"/>
      <w:bookmarkStart w:id="733" w:name="_Toc267251482"/>
      <w:bookmarkStart w:id="734" w:name="_Toc267251484"/>
      <w:bookmarkStart w:id="735" w:name="_Toc267251485"/>
      <w:bookmarkStart w:id="736" w:name="_Toc267251486"/>
      <w:bookmarkStart w:id="737" w:name="_Toc267251490"/>
      <w:bookmarkStart w:id="738" w:name="_Toc267251488"/>
      <w:bookmarkStart w:id="739" w:name="_Toc267251489"/>
      <w:bookmarkStart w:id="740" w:name="_Toc267251503"/>
      <w:bookmarkStart w:id="741" w:name="_Toc267251498"/>
      <w:bookmarkStart w:id="742" w:name="_Toc267251496"/>
      <w:bookmarkStart w:id="743" w:name="_Toc267251497"/>
      <w:bookmarkStart w:id="744" w:name="_Toc267251494"/>
      <w:bookmarkStart w:id="745" w:name="_Toc267251499"/>
      <w:bookmarkStart w:id="746" w:name="_Toc267251491"/>
      <w:bookmarkStart w:id="747" w:name="_Toc267251501"/>
      <w:bookmarkStart w:id="748" w:name="_Toc267251493"/>
      <w:bookmarkStart w:id="749" w:name="_Toc267251495"/>
      <w:bookmarkStart w:id="750" w:name="_Toc267251492"/>
      <w:bookmarkStart w:id="751" w:name="_Toc267251502"/>
      <w:bookmarkStart w:id="752" w:name="_Toc267251506"/>
      <w:bookmarkStart w:id="753" w:name="_Toc267251504"/>
      <w:bookmarkStart w:id="754" w:name="_Toc267251507"/>
      <w:bookmarkStart w:id="755" w:name="_Toc267251508"/>
      <w:r>
        <w:rPr>
          <w:rFonts w:ascii="宋体" w:hAnsi="宋体" w:eastAsia="宋体"/>
          <w:color w:val="auto"/>
          <w:sz w:val="21"/>
          <w:szCs w:val="21"/>
          <w:highlight w:val="none"/>
        </w:rPr>
        <w:t>15. 缺陷责任期与保修</w:t>
      </w:r>
      <w:bookmarkEnd w:id="731"/>
    </w:p>
    <w:p w14:paraId="1A53125F">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15.2缺陷责任期</w:t>
      </w:r>
      <w:bookmarkEnd w:id="732"/>
    </w:p>
    <w:p w14:paraId="4572D4B4">
      <w:pPr>
        <w:pStyle w:val="53"/>
        <w:pageBreakBefore w:val="0"/>
        <w:widowControl w:val="0"/>
        <w:kinsoku/>
        <w:wordWrap/>
        <w:overflowPunct/>
        <w:topLinePunct w:val="0"/>
        <w:bidi w:val="0"/>
        <w:snapToGrid/>
        <w:spacing w:after="200" w:line="440" w:lineRule="exact"/>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缺陷责任期的具体期限：</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70035E68">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15.3 质量保证金</w:t>
      </w:r>
    </w:p>
    <w:p w14:paraId="5417DA6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关于是否扣留质量保证金的约定：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156EA107">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 xml:space="preserve">15.3.1 </w:t>
      </w:r>
      <w:r>
        <w:rPr>
          <w:rFonts w:hint="eastAsia" w:ascii="宋体" w:hAnsi="宋体"/>
          <w:color w:val="auto"/>
          <w:sz w:val="21"/>
          <w:szCs w:val="21"/>
          <w:highlight w:val="none"/>
        </w:rPr>
        <w:t>承包人提供</w:t>
      </w:r>
      <w:r>
        <w:rPr>
          <w:rFonts w:ascii="宋体" w:hAnsi="宋体"/>
          <w:color w:val="auto"/>
          <w:sz w:val="21"/>
          <w:szCs w:val="21"/>
          <w:highlight w:val="none"/>
        </w:rPr>
        <w:t>质量保证金的</w:t>
      </w:r>
      <w:r>
        <w:rPr>
          <w:rFonts w:hint="eastAsia" w:ascii="宋体" w:hAnsi="宋体"/>
          <w:color w:val="auto"/>
          <w:sz w:val="21"/>
          <w:szCs w:val="21"/>
          <w:highlight w:val="none"/>
        </w:rPr>
        <w:t>方</w:t>
      </w:r>
      <w:r>
        <w:rPr>
          <w:rFonts w:ascii="宋体" w:hAnsi="宋体"/>
          <w:color w:val="auto"/>
          <w:sz w:val="21"/>
          <w:szCs w:val="21"/>
          <w:highlight w:val="none"/>
        </w:rPr>
        <w:t>式</w:t>
      </w:r>
    </w:p>
    <w:p w14:paraId="6B6F846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质量保证金采用以下第</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种方式：</w:t>
      </w:r>
    </w:p>
    <w:p w14:paraId="538060D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（1）质量保证金保函，保证金额为：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r>
        <w:rPr>
          <w:rFonts w:ascii="宋体" w:hAnsi="宋体"/>
          <w:color w:val="auto"/>
          <w:kern w:val="0"/>
          <w:sz w:val="21"/>
          <w:szCs w:val="21"/>
          <w:highlight w:val="none"/>
        </w:rPr>
        <w:t xml:space="preserve"> </w:t>
      </w:r>
    </w:p>
    <w:p w14:paraId="78359E43">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（2）</w:t>
      </w:r>
      <w:r>
        <w:rPr>
          <w:rFonts w:hint="eastAsia" w:ascii="宋体" w:hAnsi="宋体"/>
          <w:color w:val="auto"/>
          <w:kern w:val="0"/>
          <w:sz w:val="21"/>
          <w:szCs w:val="21"/>
          <w:highlight w:val="none"/>
          <w:u w:val="single"/>
        </w:rPr>
        <w:t xml:space="preserve">                        </w:t>
      </w:r>
      <w:r>
        <w:rPr>
          <w:rFonts w:hint="eastAsia" w:ascii="宋体" w:hAnsi="宋体" w:eastAsia="宋体" w:cs="仿宋"/>
          <w:color w:val="auto"/>
          <w:sz w:val="21"/>
          <w:szCs w:val="21"/>
          <w:highlight w:val="none"/>
        </w:rPr>
        <w:t>的工程款</w:t>
      </w:r>
      <w:r>
        <w:rPr>
          <w:rFonts w:ascii="宋体" w:hAnsi="宋体"/>
          <w:color w:val="auto"/>
          <w:kern w:val="0"/>
          <w:sz w:val="21"/>
          <w:szCs w:val="21"/>
          <w:highlight w:val="none"/>
        </w:rPr>
        <w:t>；</w:t>
      </w:r>
    </w:p>
    <w:p w14:paraId="797D6397">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（3）其他</w:t>
      </w:r>
      <w:r>
        <w:rPr>
          <w:rFonts w:hint="eastAsia" w:ascii="宋体" w:hAnsi="宋体"/>
          <w:color w:val="auto"/>
          <w:kern w:val="0"/>
          <w:sz w:val="21"/>
          <w:szCs w:val="21"/>
          <w:highlight w:val="none"/>
        </w:rPr>
        <w:t>方</w:t>
      </w:r>
      <w:r>
        <w:rPr>
          <w:rFonts w:ascii="宋体" w:hAnsi="宋体"/>
          <w:color w:val="auto"/>
          <w:kern w:val="0"/>
          <w:sz w:val="21"/>
          <w:szCs w:val="21"/>
          <w:highlight w:val="none"/>
        </w:rPr>
        <w:t>式:</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5DBA707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 xml:space="preserve">15.3.2 质量保证金的扣留 </w:t>
      </w:r>
    </w:p>
    <w:p w14:paraId="32A8C55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质量保证金的扣留采取以下第</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种方式：</w:t>
      </w:r>
    </w:p>
    <w:p w14:paraId="46CF593E">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（1）在支付工程进度款时逐次扣留，在此情形下，质量保证金的计算基数不包括预付款的支付、扣回以及价格调整的金额；</w:t>
      </w:r>
    </w:p>
    <w:p w14:paraId="784D94ED">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（2）工程竣工结算时一次性扣留质量保证金；</w:t>
      </w:r>
    </w:p>
    <w:p w14:paraId="2701D99A">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（3）其他扣留方式</w:t>
      </w:r>
      <w:r>
        <w:rPr>
          <w:rFonts w:ascii="宋体" w:hAnsi="宋体"/>
          <w:color w:val="auto"/>
          <w:sz w:val="21"/>
          <w:szCs w:val="21"/>
          <w:highlight w:val="none"/>
        </w:rPr>
        <w:t>：</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59A827CD">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关于质量保证金的补充约定：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733"/>
    <w:bookmarkEnd w:id="734"/>
    <w:p w14:paraId="5CF93499">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15.4保修</w:t>
      </w:r>
    </w:p>
    <w:bookmarkEnd w:id="735"/>
    <w:p w14:paraId="36D67CDF">
      <w:pPr>
        <w:pStyle w:val="53"/>
        <w:pageBreakBefore w:val="0"/>
        <w:widowControl w:val="0"/>
        <w:kinsoku/>
        <w:wordWrap/>
        <w:overflowPunct/>
        <w:topLinePunct w:val="0"/>
        <w:bidi w:val="0"/>
        <w:snapToGrid/>
        <w:spacing w:after="200" w:line="440" w:lineRule="exact"/>
        <w:ind w:firstLine="409" w:firstLineChars="195"/>
        <w:jc w:val="left"/>
        <w:textAlignment w:val="auto"/>
        <w:rPr>
          <w:rFonts w:ascii="宋体" w:hAnsi="宋体"/>
          <w:color w:val="auto"/>
          <w:sz w:val="21"/>
          <w:szCs w:val="21"/>
          <w:highlight w:val="none"/>
        </w:rPr>
      </w:pPr>
      <w:r>
        <w:rPr>
          <w:rFonts w:ascii="宋体" w:hAnsi="宋体"/>
          <w:color w:val="auto"/>
          <w:sz w:val="21"/>
          <w:szCs w:val="21"/>
          <w:highlight w:val="none"/>
        </w:rPr>
        <w:t>15.4.1 保修责任</w:t>
      </w:r>
    </w:p>
    <w:p w14:paraId="2B954300">
      <w:pPr>
        <w:pStyle w:val="53"/>
        <w:pageBreakBefore w:val="0"/>
        <w:widowControl w:val="0"/>
        <w:kinsoku/>
        <w:wordWrap/>
        <w:overflowPunct/>
        <w:topLinePunct w:val="0"/>
        <w:bidi w:val="0"/>
        <w:snapToGrid/>
        <w:spacing w:after="200" w:line="440" w:lineRule="exact"/>
        <w:ind w:firstLine="409" w:firstLineChars="195"/>
        <w:jc w:val="left"/>
        <w:textAlignment w:val="auto"/>
        <w:rPr>
          <w:rFonts w:ascii="宋体" w:hAnsi="宋体"/>
          <w:color w:val="auto"/>
          <w:sz w:val="21"/>
          <w:szCs w:val="21"/>
          <w:highlight w:val="none"/>
        </w:rPr>
      </w:pPr>
      <w:r>
        <w:rPr>
          <w:rFonts w:ascii="宋体" w:hAnsi="宋体"/>
          <w:color w:val="auto"/>
          <w:sz w:val="21"/>
          <w:szCs w:val="21"/>
          <w:highlight w:val="none"/>
        </w:rPr>
        <w:t>工程保修期为：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071B09B2">
      <w:pPr>
        <w:pStyle w:val="53"/>
        <w:pageBreakBefore w:val="0"/>
        <w:widowControl w:val="0"/>
        <w:kinsoku/>
        <w:wordWrap/>
        <w:overflowPunct/>
        <w:topLinePunct w:val="0"/>
        <w:bidi w:val="0"/>
        <w:snapToGrid/>
        <w:spacing w:after="200" w:line="440" w:lineRule="exact"/>
        <w:ind w:firstLine="409" w:firstLineChars="195"/>
        <w:jc w:val="left"/>
        <w:textAlignment w:val="auto"/>
        <w:rPr>
          <w:rFonts w:ascii="宋体" w:hAnsi="宋体"/>
          <w:color w:val="auto"/>
          <w:sz w:val="21"/>
          <w:szCs w:val="21"/>
          <w:highlight w:val="none"/>
        </w:rPr>
      </w:pPr>
      <w:r>
        <w:rPr>
          <w:rFonts w:ascii="宋体" w:hAnsi="宋体"/>
          <w:color w:val="auto"/>
          <w:sz w:val="21"/>
          <w:szCs w:val="21"/>
          <w:highlight w:val="none"/>
        </w:rPr>
        <w:t>15.4.3 修复通知</w:t>
      </w:r>
    </w:p>
    <w:p w14:paraId="6470D1BC">
      <w:pPr>
        <w:pStyle w:val="53"/>
        <w:pageBreakBefore w:val="0"/>
        <w:widowControl w:val="0"/>
        <w:kinsoku/>
        <w:wordWrap/>
        <w:overflowPunct/>
        <w:topLinePunct w:val="0"/>
        <w:bidi w:val="0"/>
        <w:snapToGrid/>
        <w:spacing w:after="200" w:line="440" w:lineRule="exact"/>
        <w:jc w:val="left"/>
        <w:textAlignment w:val="auto"/>
        <w:rPr>
          <w:rFonts w:ascii="宋体" w:hAnsi="宋体"/>
          <w:b/>
          <w:color w:val="auto"/>
          <w:sz w:val="21"/>
          <w:szCs w:val="21"/>
          <w:highlight w:val="none"/>
          <w:u w:val="singl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承包人收到保修通知并到达工程现场的合理时间：</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bookmarkEnd w:id="736"/>
    <w:bookmarkEnd w:id="737"/>
    <w:bookmarkEnd w:id="738"/>
    <w:bookmarkEnd w:id="739"/>
    <w:p w14:paraId="0D709300">
      <w:pPr>
        <w:pStyle w:val="56"/>
        <w:pageBreakBefore w:val="0"/>
        <w:widowControl w:val="0"/>
        <w:kinsoku/>
        <w:wordWrap/>
        <w:overflowPunct/>
        <w:topLinePunct w:val="0"/>
        <w:bidi w:val="0"/>
        <w:snapToGrid/>
        <w:spacing w:before="0" w:after="0" w:line="440" w:lineRule="exact"/>
        <w:textAlignment w:val="auto"/>
        <w:rPr>
          <w:rFonts w:ascii="宋体" w:hAnsi="宋体" w:eastAsia="宋体"/>
          <w:b w:val="0"/>
          <w:color w:val="auto"/>
          <w:sz w:val="21"/>
          <w:szCs w:val="21"/>
          <w:highlight w:val="none"/>
        </w:rPr>
      </w:pPr>
      <w:bookmarkStart w:id="756" w:name="_Toc351203648"/>
      <w:bookmarkStart w:id="757" w:name="_Toc280868717"/>
      <w:bookmarkStart w:id="758" w:name="_Toc280868718"/>
      <w:r>
        <w:rPr>
          <w:rFonts w:ascii="宋体" w:hAnsi="宋体" w:eastAsia="宋体"/>
          <w:b w:val="0"/>
          <w:color w:val="auto"/>
          <w:sz w:val="21"/>
          <w:szCs w:val="21"/>
          <w:highlight w:val="none"/>
        </w:rPr>
        <w:t xml:space="preserve">16. </w:t>
      </w:r>
      <w:r>
        <w:rPr>
          <w:rFonts w:ascii="宋体" w:hAnsi="宋体" w:eastAsia="宋体"/>
          <w:color w:val="auto"/>
          <w:sz w:val="21"/>
          <w:szCs w:val="21"/>
          <w:highlight w:val="none"/>
        </w:rPr>
        <w:t>违约</w:t>
      </w:r>
      <w:bookmarkEnd w:id="756"/>
    </w:p>
    <w:p w14:paraId="2E6D98B1">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16.1 发包人违约</w:t>
      </w:r>
    </w:p>
    <w:p w14:paraId="44C3314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16.1.1发包人违约的情形</w:t>
      </w:r>
    </w:p>
    <w:p w14:paraId="79352F7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u w:val="single"/>
        </w:rPr>
      </w:pPr>
      <w:r>
        <w:rPr>
          <w:rFonts w:ascii="宋体" w:hAnsi="宋体"/>
          <w:color w:val="auto"/>
          <w:kern w:val="0"/>
          <w:sz w:val="21"/>
          <w:szCs w:val="21"/>
          <w:highlight w:val="none"/>
        </w:rPr>
        <w:t>发包人违约的其他情形：</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2BF6C1AB">
      <w:pPr>
        <w:pStyle w:val="53"/>
        <w:pageBreakBefore w:val="0"/>
        <w:widowControl w:val="0"/>
        <w:kinsoku/>
        <w:wordWrap/>
        <w:overflowPunct/>
        <w:topLinePunct w:val="0"/>
        <w:bidi w:val="0"/>
        <w:snapToGrid/>
        <w:spacing w:after="200" w:line="440" w:lineRule="exact"/>
        <w:ind w:left="1200" w:hanging="1050" w:hangingChars="5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 xml:space="preserve">    16.1.2 发包人违约的责任</w:t>
      </w:r>
    </w:p>
    <w:p w14:paraId="34E230E7">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发包人违约责任的承担方式和计算方法：</w:t>
      </w:r>
    </w:p>
    <w:p w14:paraId="6DA6F54F">
      <w:pPr>
        <w:pStyle w:val="53"/>
        <w:pageBreakBefore w:val="0"/>
        <w:widowControl w:val="0"/>
        <w:numPr>
          <w:ilvl w:val="0"/>
          <w:numId w:val="6"/>
        </w:numPr>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因发包人原因未能在计划开工日期前7天内下达开工通知的违约责任：</w:t>
      </w:r>
    </w:p>
    <w:p w14:paraId="1655FE4B">
      <w:pPr>
        <w:pStyle w:val="53"/>
        <w:pageBreakBefore w:val="0"/>
        <w:widowControl w:val="0"/>
        <w:kinsoku/>
        <w:wordWrap/>
        <w:overflowPunct/>
        <w:topLinePunct w:val="0"/>
        <w:bidi w:val="0"/>
        <w:snapToGrid/>
        <w:spacing w:after="200" w:line="440" w:lineRule="exact"/>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 xml:space="preserve">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7C0341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（2）因发包人原因未能按合同约定支付合同价款的违约责任：</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6E4DA27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（3）发包人违反第10.1款</w:t>
      </w:r>
      <w:r>
        <w:rPr>
          <w:rFonts w:hint="eastAsia" w:ascii="宋体" w:hAnsi="宋体"/>
          <w:color w:val="auto"/>
          <w:kern w:val="0"/>
          <w:sz w:val="21"/>
          <w:szCs w:val="21"/>
          <w:highlight w:val="none"/>
        </w:rPr>
        <w:t>〔</w:t>
      </w:r>
      <w:r>
        <w:rPr>
          <w:rFonts w:ascii="宋体" w:hAnsi="宋体"/>
          <w:color w:val="auto"/>
          <w:kern w:val="0"/>
          <w:sz w:val="21"/>
          <w:szCs w:val="21"/>
          <w:highlight w:val="none"/>
        </w:rPr>
        <w:t>变更的范围</w:t>
      </w:r>
      <w:r>
        <w:rPr>
          <w:rFonts w:hint="eastAsia" w:ascii="宋体" w:hAnsi="宋体"/>
          <w:color w:val="auto"/>
          <w:kern w:val="0"/>
          <w:sz w:val="21"/>
          <w:szCs w:val="21"/>
          <w:highlight w:val="none"/>
        </w:rPr>
        <w:t>〕</w:t>
      </w:r>
      <w:r>
        <w:rPr>
          <w:rFonts w:ascii="宋体" w:hAnsi="宋体"/>
          <w:color w:val="auto"/>
          <w:kern w:val="0"/>
          <w:sz w:val="21"/>
          <w:szCs w:val="21"/>
          <w:highlight w:val="none"/>
        </w:rPr>
        <w:t>第（2）项约定，自行实施被取消的工作或转由他人实施的违约责任：</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085F7665">
      <w:pPr>
        <w:pStyle w:val="53"/>
        <w:pageBreakBefore w:val="0"/>
        <w:widowControl w:val="0"/>
        <w:kinsoku/>
        <w:wordWrap/>
        <w:overflowPunct/>
        <w:topLinePunct w:val="0"/>
        <w:bidi w:val="0"/>
        <w:snapToGrid/>
        <w:spacing w:after="200" w:line="440" w:lineRule="exact"/>
        <w:ind w:left="689" w:leftChars="228" w:hanging="210" w:hangingChars="1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（4）发包人提供的材料、工程设备的规格、数量或质量不符合合同约定，或</w:t>
      </w:r>
    </w:p>
    <w:p w14:paraId="70B43E7C">
      <w:pPr>
        <w:pStyle w:val="53"/>
        <w:pageBreakBefore w:val="0"/>
        <w:widowControl w:val="0"/>
        <w:kinsoku/>
        <w:wordWrap/>
        <w:overflowPunct/>
        <w:topLinePunct w:val="0"/>
        <w:bidi w:val="0"/>
        <w:snapToGrid/>
        <w:spacing w:after="200" w:line="440" w:lineRule="exact"/>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发包人原因导致交货日期延误或交货地点变更等情况的违约责任：</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49612024">
      <w:pPr>
        <w:pStyle w:val="53"/>
        <w:pageBreakBefore w:val="0"/>
        <w:widowControl w:val="0"/>
        <w:kinsoku/>
        <w:wordWrap/>
        <w:overflowPunct/>
        <w:topLinePunct w:val="0"/>
        <w:bidi w:val="0"/>
        <w:snapToGrid/>
        <w:spacing w:after="200" w:line="440" w:lineRule="exact"/>
        <w:jc w:val="left"/>
        <w:textAlignment w:val="auto"/>
        <w:rPr>
          <w:rFonts w:ascii="宋体" w:hAnsi="宋体"/>
          <w:b/>
          <w:color w:val="auto"/>
          <w:sz w:val="21"/>
          <w:szCs w:val="21"/>
          <w:highlight w:val="none"/>
          <w:u w:val="singl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（5）因发包人违反合同约定造成暂停施工的违约责任：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4FE3FD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（6）发包人无正当理由没有在约定期限内发出复工指示，导致承包人无法复工的违约责任：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0E4379B">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（7）</w:t>
      </w:r>
      <w:r>
        <w:rPr>
          <w:rFonts w:hint="eastAsia" w:ascii="宋体" w:hAnsi="宋体"/>
          <w:color w:val="auto"/>
          <w:kern w:val="0"/>
          <w:sz w:val="21"/>
          <w:szCs w:val="21"/>
          <w:highlight w:val="none"/>
        </w:rPr>
        <w:t>其他：</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7FE27289">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16.1.3 因发包人违约解除合同</w:t>
      </w:r>
    </w:p>
    <w:p w14:paraId="2F8076AF">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承包人按16.1.1项</w:t>
      </w:r>
      <w:r>
        <w:rPr>
          <w:rFonts w:hint="eastAsia" w:ascii="宋体" w:hAnsi="宋体"/>
          <w:color w:val="auto"/>
          <w:kern w:val="0"/>
          <w:sz w:val="21"/>
          <w:szCs w:val="21"/>
          <w:highlight w:val="none"/>
        </w:rPr>
        <w:t>〔</w:t>
      </w:r>
      <w:r>
        <w:rPr>
          <w:rFonts w:ascii="宋体" w:hAnsi="宋体"/>
          <w:color w:val="auto"/>
          <w:kern w:val="0"/>
          <w:sz w:val="21"/>
          <w:szCs w:val="21"/>
          <w:highlight w:val="none"/>
        </w:rPr>
        <w:t>发包人违约的情形</w:t>
      </w:r>
      <w:r>
        <w:rPr>
          <w:rFonts w:hint="eastAsia" w:ascii="宋体" w:hAnsi="宋体"/>
          <w:color w:val="auto"/>
          <w:kern w:val="0"/>
          <w:sz w:val="21"/>
          <w:szCs w:val="21"/>
          <w:highlight w:val="none"/>
        </w:rPr>
        <w:t>〕</w:t>
      </w:r>
      <w:r>
        <w:rPr>
          <w:rFonts w:ascii="宋体" w:hAnsi="宋体"/>
          <w:color w:val="auto"/>
          <w:kern w:val="0"/>
          <w:sz w:val="21"/>
          <w:szCs w:val="21"/>
          <w:highlight w:val="none"/>
        </w:rPr>
        <w:t>约定暂停施工满</w:t>
      </w:r>
      <w:r>
        <w:rPr>
          <w:rFonts w:ascii="宋体" w:hAnsi="宋体"/>
          <w:color w:val="auto"/>
          <w:kern w:val="0"/>
          <w:sz w:val="21"/>
          <w:szCs w:val="21"/>
          <w:highlight w:val="none"/>
          <w:u w:val="single"/>
        </w:rPr>
        <w:t xml:space="preserve"> </w:t>
      </w:r>
      <w:r>
        <w:rPr>
          <w:rFonts w:hint="eastAsia" w:ascii="宋体" w:hAnsi="宋体"/>
          <w:b/>
          <w:bCs/>
          <w:color w:val="auto"/>
          <w:kern w:val="0"/>
          <w:sz w:val="21"/>
          <w:szCs w:val="21"/>
          <w:highlight w:val="none"/>
          <w:u w:val="single"/>
          <w:lang w:val="en-US" w:eastAsia="zh-CN"/>
        </w:rPr>
        <w:t xml:space="preserve">    </w:t>
      </w:r>
      <w:r>
        <w:rPr>
          <w:rFonts w:ascii="宋体" w:hAnsi="宋体"/>
          <w:color w:val="auto"/>
          <w:kern w:val="0"/>
          <w:sz w:val="21"/>
          <w:szCs w:val="21"/>
          <w:highlight w:val="none"/>
        </w:rPr>
        <w:t>天后发包人仍不纠正其违约行为并致使合同目的不能实现的，承包人有权解除合同。</w:t>
      </w:r>
    </w:p>
    <w:p w14:paraId="7395E01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16.2 承包人违约</w:t>
      </w:r>
    </w:p>
    <w:p w14:paraId="26CC8EA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16.2.1 承包人违约的情形</w:t>
      </w:r>
    </w:p>
    <w:p w14:paraId="4D03AA5D">
      <w:pPr>
        <w:pStyle w:val="53"/>
        <w:pageBreakBefore w:val="0"/>
        <w:widowControl w:val="0"/>
        <w:kinsoku/>
        <w:wordWrap/>
        <w:overflowPunct/>
        <w:topLinePunct w:val="0"/>
        <w:bidi w:val="0"/>
        <w:snapToGrid/>
        <w:spacing w:after="200" w:line="440" w:lineRule="exact"/>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承包人违约的其他情形：</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74E8F72F">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16.2.2承包人违约的责任</w:t>
      </w:r>
    </w:p>
    <w:p w14:paraId="10161188">
      <w:pPr>
        <w:pStyle w:val="53"/>
        <w:pageBreakBefore w:val="0"/>
        <w:widowControl w:val="0"/>
        <w:kinsoku/>
        <w:wordWrap/>
        <w:overflowPunct/>
        <w:topLinePunct w:val="0"/>
        <w:bidi w:val="0"/>
        <w:snapToGrid/>
        <w:spacing w:after="200" w:line="440" w:lineRule="exact"/>
        <w:ind w:left="1200" w:hanging="1050" w:hangingChars="500"/>
        <w:jc w:val="left"/>
        <w:textAlignment w:val="auto"/>
        <w:rPr>
          <w:rFonts w:ascii="宋体" w:hAnsi="宋体"/>
          <w:color w:val="auto"/>
          <w:kern w:val="0"/>
          <w:sz w:val="21"/>
          <w:szCs w:val="21"/>
          <w:highlight w:val="none"/>
          <w:u w:val="singl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承包人违约责任的承担方式和计算方法：</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 xml:space="preserve">。   </w:t>
      </w:r>
    </w:p>
    <w:p w14:paraId="201663B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16.2.3 因承包人违约解除合同</w:t>
      </w:r>
    </w:p>
    <w:p w14:paraId="38F4C401">
      <w:pPr>
        <w:pStyle w:val="53"/>
        <w:pageBreakBefore w:val="0"/>
        <w:widowControl w:val="0"/>
        <w:kinsoku/>
        <w:wordWrap/>
        <w:overflowPunct/>
        <w:topLinePunct w:val="0"/>
        <w:bidi w:val="0"/>
        <w:snapToGrid/>
        <w:spacing w:after="200" w:line="440" w:lineRule="exac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 xml:space="preserve">    </w:t>
      </w:r>
      <w:r>
        <w:rPr>
          <w:rFonts w:ascii="宋体" w:hAnsi="宋体"/>
          <w:color w:val="auto"/>
          <w:kern w:val="0"/>
          <w:sz w:val="21"/>
          <w:szCs w:val="21"/>
          <w:highlight w:val="none"/>
        </w:rPr>
        <w:t>关于承包人违约解除合同的特别约定：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12EC1E6">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kern w:val="0"/>
          <w:sz w:val="21"/>
          <w:szCs w:val="21"/>
          <w:highlight w:val="none"/>
        </w:rPr>
        <w:t>发包人</w:t>
      </w:r>
      <w:r>
        <w:rPr>
          <w:rFonts w:hint="eastAsia" w:ascii="宋体" w:hAnsi="宋体"/>
          <w:color w:val="auto"/>
          <w:kern w:val="0"/>
          <w:sz w:val="21"/>
          <w:szCs w:val="21"/>
          <w:highlight w:val="none"/>
        </w:rPr>
        <w:t>继续</w:t>
      </w:r>
      <w:r>
        <w:rPr>
          <w:rFonts w:ascii="宋体" w:hAnsi="宋体"/>
          <w:color w:val="auto"/>
          <w:kern w:val="0"/>
          <w:sz w:val="21"/>
          <w:szCs w:val="21"/>
          <w:highlight w:val="none"/>
        </w:rPr>
        <w:t>使用承包人在施工现场的材料、设备、临时工程、承包人文件和由承包人或以其名义编制的其他文件</w:t>
      </w:r>
      <w:r>
        <w:rPr>
          <w:rFonts w:hint="eastAsia" w:ascii="宋体" w:hAnsi="宋体"/>
          <w:color w:val="auto"/>
          <w:kern w:val="0"/>
          <w:sz w:val="21"/>
          <w:szCs w:val="21"/>
          <w:highlight w:val="none"/>
        </w:rPr>
        <w:t>的费用承担方式</w:t>
      </w:r>
      <w:r>
        <w:rPr>
          <w:rFonts w:ascii="宋体" w:hAnsi="宋体"/>
          <w:color w:val="auto"/>
          <w:kern w:val="0"/>
          <w:sz w:val="21"/>
          <w:szCs w:val="21"/>
          <w:highlight w:val="none"/>
        </w:rPr>
        <w:t>：</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6BFF0E04">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759" w:name="_Toc351203649"/>
      <w:r>
        <w:rPr>
          <w:rFonts w:ascii="宋体" w:hAnsi="宋体" w:eastAsia="宋体"/>
          <w:color w:val="auto"/>
          <w:sz w:val="21"/>
          <w:szCs w:val="21"/>
          <w:highlight w:val="none"/>
        </w:rPr>
        <w:t>17. 不可抗力</w:t>
      </w:r>
      <w:bookmarkEnd w:id="759"/>
      <w:r>
        <w:rPr>
          <w:rFonts w:ascii="宋体" w:hAnsi="宋体" w:eastAsia="宋体"/>
          <w:color w:val="auto"/>
          <w:sz w:val="21"/>
          <w:szCs w:val="21"/>
          <w:highlight w:val="none"/>
        </w:rPr>
        <w:t xml:space="preserve"> </w:t>
      </w:r>
      <w:bookmarkEnd w:id="757"/>
    </w:p>
    <w:p w14:paraId="26328AB2">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17.1 不可抗力的确认</w:t>
      </w:r>
    </w:p>
    <w:p w14:paraId="441825DE">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除通用合同条款约定的不可抗力事件之外，视为不可抗力的其他情形：</w:t>
      </w:r>
    </w:p>
    <w:p w14:paraId="53847620">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26D4941B">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17.4 因不可抗力解除合同</w:t>
      </w:r>
    </w:p>
    <w:p w14:paraId="0C8BA2E6">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合同解除后，发包人应在商定或确定发包人应支付款项后</w:t>
      </w:r>
      <w:r>
        <w:rPr>
          <w:rFonts w:ascii="宋体" w:hAnsi="宋体"/>
          <w:color w:val="auto"/>
          <w:kern w:val="0"/>
          <w:sz w:val="21"/>
          <w:szCs w:val="21"/>
          <w:highlight w:val="none"/>
          <w:u w:val="single"/>
        </w:rPr>
        <w:t xml:space="preserve"> </w:t>
      </w:r>
      <w:r>
        <w:rPr>
          <w:rFonts w:hint="eastAsia" w:ascii="宋体" w:hAnsi="宋体"/>
          <w:b/>
          <w:bCs/>
          <w:color w:val="auto"/>
          <w:kern w:val="0"/>
          <w:sz w:val="21"/>
          <w:szCs w:val="21"/>
          <w:highlight w:val="none"/>
          <w:u w:val="single"/>
          <w:lang w:val="en-US" w:eastAsia="zh-CN"/>
        </w:rPr>
        <w:t xml:space="preserve">     </w:t>
      </w:r>
      <w:r>
        <w:rPr>
          <w:rFonts w:ascii="宋体" w:hAnsi="宋体"/>
          <w:color w:val="auto"/>
          <w:kern w:val="0"/>
          <w:sz w:val="21"/>
          <w:szCs w:val="21"/>
          <w:highlight w:val="none"/>
          <w:u w:val="single"/>
        </w:rPr>
        <w:t xml:space="preserve"> </w:t>
      </w:r>
      <w:r>
        <w:rPr>
          <w:rFonts w:ascii="宋体" w:hAnsi="宋体"/>
          <w:color w:val="auto"/>
          <w:sz w:val="21"/>
          <w:szCs w:val="21"/>
          <w:highlight w:val="none"/>
        </w:rPr>
        <w:t>天内完成款项的支付。</w:t>
      </w:r>
    </w:p>
    <w:p w14:paraId="64C3BE99">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760" w:name="_Toc351203650"/>
      <w:r>
        <w:rPr>
          <w:rFonts w:ascii="宋体" w:hAnsi="宋体" w:eastAsia="宋体"/>
          <w:color w:val="auto"/>
          <w:sz w:val="21"/>
          <w:szCs w:val="21"/>
          <w:highlight w:val="none"/>
        </w:rPr>
        <w:t>18. 保险</w:t>
      </w:r>
      <w:bookmarkEnd w:id="760"/>
    </w:p>
    <w:bookmarkEnd w:id="758"/>
    <w:p w14:paraId="3C48903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18.1 工程保险</w:t>
      </w:r>
    </w:p>
    <w:p w14:paraId="7F8F5AF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关于工程保险的特别约定：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3A49AFAA">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18.3 其他保险</w:t>
      </w:r>
    </w:p>
    <w:p w14:paraId="71A7968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kern w:val="0"/>
          <w:sz w:val="21"/>
          <w:szCs w:val="21"/>
          <w:highlight w:val="none"/>
        </w:rPr>
      </w:pPr>
      <w:r>
        <w:rPr>
          <w:rFonts w:ascii="宋体" w:hAnsi="宋体"/>
          <w:color w:val="auto"/>
          <w:sz w:val="21"/>
          <w:szCs w:val="21"/>
          <w:highlight w:val="none"/>
        </w:rPr>
        <w:t>关于其他保险的约定：</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53B47851">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sz w:val="21"/>
          <w:szCs w:val="21"/>
          <w:highlight w:val="none"/>
        </w:rPr>
        <w:t>承包人是否应为其施工设备等办理财产保险：</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4415961F">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18.7 通知义务</w:t>
      </w:r>
    </w:p>
    <w:p w14:paraId="0B0D67BC">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kern w:val="0"/>
          <w:sz w:val="21"/>
          <w:szCs w:val="21"/>
          <w:highlight w:val="none"/>
        </w:rPr>
        <w:t>关于变更保险合同时的通知义务的约定：</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bookmarkEnd w:id="740"/>
    <w:bookmarkEnd w:id="741"/>
    <w:bookmarkEnd w:id="742"/>
    <w:bookmarkEnd w:id="743"/>
    <w:bookmarkEnd w:id="744"/>
    <w:bookmarkEnd w:id="745"/>
    <w:bookmarkEnd w:id="746"/>
    <w:bookmarkEnd w:id="747"/>
    <w:bookmarkEnd w:id="748"/>
    <w:bookmarkEnd w:id="749"/>
    <w:bookmarkEnd w:id="750"/>
    <w:bookmarkEnd w:id="751"/>
    <w:p w14:paraId="52158C34">
      <w:pPr>
        <w:pStyle w:val="56"/>
        <w:pageBreakBefore w:val="0"/>
        <w:widowControl w:val="0"/>
        <w:kinsoku/>
        <w:wordWrap/>
        <w:overflowPunct/>
        <w:topLinePunct w:val="0"/>
        <w:bidi w:val="0"/>
        <w:snapToGrid/>
        <w:spacing w:before="0" w:after="0" w:line="440" w:lineRule="exact"/>
        <w:textAlignment w:val="auto"/>
        <w:rPr>
          <w:rFonts w:ascii="宋体" w:hAnsi="宋体" w:eastAsia="宋体"/>
          <w:color w:val="auto"/>
          <w:sz w:val="21"/>
          <w:szCs w:val="21"/>
          <w:highlight w:val="none"/>
        </w:rPr>
      </w:pPr>
      <w:bookmarkStart w:id="761" w:name="_Toc351203651"/>
      <w:r>
        <w:rPr>
          <w:rFonts w:ascii="宋体" w:hAnsi="宋体" w:eastAsia="宋体"/>
          <w:color w:val="auto"/>
          <w:sz w:val="21"/>
          <w:szCs w:val="21"/>
          <w:highlight w:val="none"/>
        </w:rPr>
        <w:t>20. 争议解决</w:t>
      </w:r>
      <w:bookmarkEnd w:id="761"/>
    </w:p>
    <w:bookmarkEnd w:id="752"/>
    <w:bookmarkEnd w:id="753"/>
    <w:p w14:paraId="45B79BDC">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20.3 争</w:t>
      </w:r>
      <w:bookmarkEnd w:id="754"/>
      <w:r>
        <w:rPr>
          <w:rFonts w:ascii="宋体" w:hAnsi="宋体"/>
          <w:color w:val="auto"/>
          <w:sz w:val="21"/>
          <w:szCs w:val="21"/>
          <w:highlight w:val="none"/>
        </w:rPr>
        <w:t>议评审</w:t>
      </w:r>
    </w:p>
    <w:p w14:paraId="4C9CFA84">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合同当事人是否同意将工程争议提交争议评审小组决</w:t>
      </w:r>
      <w:r>
        <w:rPr>
          <w:rFonts w:hint="eastAsia" w:ascii="宋体" w:hAnsi="宋体"/>
          <w:color w:val="auto"/>
          <w:sz w:val="21"/>
          <w:szCs w:val="21"/>
          <w:highlight w:val="none"/>
        </w:rPr>
        <w:t>定：</w:t>
      </w:r>
      <w:r>
        <w:rPr>
          <w:rFonts w:ascii="宋体" w:hAnsi="宋体"/>
          <w:color w:val="auto"/>
          <w:sz w:val="21"/>
          <w:szCs w:val="21"/>
          <w:highlight w:val="none"/>
          <w:u w:val="single"/>
        </w:rPr>
        <w:t xml:space="preserve"> </w:t>
      </w:r>
      <w:r>
        <w:rPr>
          <w:rFonts w:hint="eastAsia" w:ascii="宋体" w:hAnsi="宋体"/>
          <w:b/>
          <w:bCs/>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r>
        <w:rPr>
          <w:rFonts w:hint="eastAsia" w:ascii="宋体" w:hAnsi="宋体"/>
          <w:color w:val="auto"/>
          <w:sz w:val="21"/>
          <w:szCs w:val="21"/>
          <w:highlight w:val="none"/>
        </w:rPr>
        <w:t xml:space="preserve"> </w:t>
      </w:r>
    </w:p>
    <w:p w14:paraId="35DC74E3">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20.3.1 争议评审小组的确定</w:t>
      </w:r>
    </w:p>
    <w:p w14:paraId="07F0DE3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u w:val="single"/>
        </w:rPr>
      </w:pPr>
      <w:r>
        <w:rPr>
          <w:rFonts w:ascii="宋体" w:hAnsi="宋体"/>
          <w:color w:val="auto"/>
          <w:sz w:val="21"/>
          <w:szCs w:val="21"/>
          <w:highlight w:val="none"/>
        </w:rPr>
        <w:t>争议评审小组成员的确定：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987840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选定争议评审员的期限：</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7908B5E">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争议评审小组成员的报酬承担方式：</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2CA0B8A">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其他事项的约定：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w:t>
      </w:r>
    </w:p>
    <w:p w14:paraId="3E5B4CF3">
      <w:pPr>
        <w:pStyle w:val="53"/>
        <w:pageBreakBefore w:val="0"/>
        <w:widowControl w:val="0"/>
        <w:kinsoku/>
        <w:wordWrap/>
        <w:overflowPunct/>
        <w:topLinePunct w:val="0"/>
        <w:autoSpaceDE w:val="0"/>
        <w:autoSpaceDN w:val="0"/>
        <w:bidi w:val="0"/>
        <w:adjustRightInd w:val="0"/>
        <w:snapToGrid/>
        <w:spacing w:after="200" w:line="440" w:lineRule="exact"/>
        <w:ind w:firstLine="420" w:firstLineChars="200"/>
        <w:jc w:val="left"/>
        <w:textAlignment w:val="auto"/>
        <w:rPr>
          <w:rFonts w:ascii="宋体" w:hAnsi="宋体"/>
          <w:color w:val="auto"/>
          <w:kern w:val="0"/>
          <w:sz w:val="21"/>
          <w:szCs w:val="21"/>
          <w:highlight w:val="none"/>
        </w:rPr>
      </w:pPr>
      <w:r>
        <w:rPr>
          <w:rFonts w:ascii="宋体" w:hAnsi="宋体"/>
          <w:color w:val="auto"/>
          <w:kern w:val="0"/>
          <w:sz w:val="21"/>
          <w:szCs w:val="21"/>
          <w:highlight w:val="none"/>
        </w:rPr>
        <w:t>20.3.2 争议评审小组的决定</w:t>
      </w:r>
    </w:p>
    <w:p w14:paraId="3A595DE2">
      <w:pPr>
        <w:pStyle w:val="53"/>
        <w:pageBreakBefore w:val="0"/>
        <w:widowControl w:val="0"/>
        <w:kinsoku/>
        <w:wordWrap/>
        <w:overflowPunct/>
        <w:topLinePunct w:val="0"/>
        <w:bidi w:val="0"/>
        <w:snapToGrid/>
        <w:spacing w:after="200" w:line="440" w:lineRule="exact"/>
        <w:ind w:firstLine="420" w:firstLineChars="200"/>
        <w:jc w:val="left"/>
        <w:textAlignment w:val="auto"/>
        <w:rPr>
          <w:rFonts w:ascii="宋体" w:hAnsi="宋体"/>
          <w:color w:val="auto"/>
          <w:sz w:val="21"/>
          <w:szCs w:val="21"/>
          <w:highlight w:val="none"/>
        </w:rPr>
      </w:pPr>
      <w:r>
        <w:rPr>
          <w:rFonts w:ascii="宋体" w:hAnsi="宋体"/>
          <w:color w:val="auto"/>
          <w:sz w:val="21"/>
          <w:szCs w:val="21"/>
          <w:highlight w:val="none"/>
        </w:rPr>
        <w:t>合同当事人关于本项的约定：</w:t>
      </w:r>
      <w:r>
        <w:rPr>
          <w:rFonts w:hint="eastAsia" w:ascii="宋体" w:hAnsi="宋体"/>
          <w:color w:val="auto"/>
          <w:kern w:val="0"/>
          <w:sz w:val="21"/>
          <w:szCs w:val="21"/>
          <w:highlight w:val="none"/>
          <w:u w:val="single"/>
        </w:rPr>
        <w:t xml:space="preserve">                        </w:t>
      </w:r>
      <w:r>
        <w:rPr>
          <w:rFonts w:ascii="宋体" w:hAnsi="宋体"/>
          <w:color w:val="auto"/>
          <w:sz w:val="21"/>
          <w:szCs w:val="21"/>
          <w:highlight w:val="none"/>
        </w:rPr>
        <w:t>。</w:t>
      </w:r>
    </w:p>
    <w:p w14:paraId="351D4A7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20.4仲裁或诉讼</w:t>
      </w:r>
      <w:bookmarkEnd w:id="755"/>
    </w:p>
    <w:p w14:paraId="0BD4EB70">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color w:val="auto"/>
          <w:sz w:val="21"/>
          <w:szCs w:val="21"/>
          <w:highlight w:val="none"/>
        </w:rPr>
        <w:t>因合同及合同有关事项发生的争议，按下列第</w:t>
      </w:r>
      <w:r>
        <w:rPr>
          <w:rFonts w:ascii="宋体" w:hAnsi="宋体"/>
          <w:color w:val="auto"/>
          <w:kern w:val="0"/>
          <w:sz w:val="21"/>
          <w:szCs w:val="21"/>
          <w:highlight w:val="none"/>
          <w:u w:val="single"/>
        </w:rPr>
        <w:t xml:space="preserve"> </w:t>
      </w:r>
      <w:r>
        <w:rPr>
          <w:rStyle w:val="25"/>
          <w:rFonts w:hint="eastAsia" w:ascii="宋体" w:hAnsi="宋体"/>
          <w:b/>
          <w:color w:val="auto"/>
          <w:sz w:val="21"/>
          <w:szCs w:val="21"/>
          <w:highlight w:val="none"/>
          <w:u w:val="single"/>
          <w:lang w:val="en-US" w:eastAsia="zh-CN"/>
        </w:rPr>
        <w:t xml:space="preserve">      </w:t>
      </w:r>
      <w:r>
        <w:rPr>
          <w:rFonts w:ascii="宋体" w:hAnsi="宋体"/>
          <w:color w:val="auto"/>
          <w:kern w:val="0"/>
          <w:sz w:val="21"/>
          <w:szCs w:val="21"/>
          <w:highlight w:val="none"/>
          <w:u w:val="single"/>
        </w:rPr>
        <w:t xml:space="preserve"> </w:t>
      </w:r>
      <w:r>
        <w:rPr>
          <w:rFonts w:ascii="宋体" w:hAnsi="宋体"/>
          <w:color w:val="auto"/>
          <w:sz w:val="21"/>
          <w:szCs w:val="21"/>
          <w:highlight w:val="none"/>
        </w:rPr>
        <w:t>种方式</w:t>
      </w:r>
      <w:r>
        <w:rPr>
          <w:rFonts w:hint="eastAsia" w:ascii="宋体" w:hAnsi="宋体"/>
          <w:color w:val="auto"/>
          <w:sz w:val="21"/>
          <w:szCs w:val="21"/>
          <w:highlight w:val="none"/>
        </w:rPr>
        <w:t>解</w:t>
      </w:r>
      <w:r>
        <w:rPr>
          <w:rFonts w:ascii="宋体" w:hAnsi="宋体"/>
          <w:color w:val="auto"/>
          <w:sz w:val="21"/>
          <w:szCs w:val="21"/>
          <w:highlight w:val="none"/>
        </w:rPr>
        <w:t>决：</w:t>
      </w:r>
    </w:p>
    <w:p w14:paraId="6CB936A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（1）向</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仲裁委员会申请仲裁；</w:t>
      </w:r>
    </w:p>
    <w:p w14:paraId="51B9F1FD">
      <w:pPr>
        <w:pStyle w:val="53"/>
        <w:pageBreakBefore w:val="0"/>
        <w:widowControl w:val="0"/>
        <w:kinsoku/>
        <w:wordWrap/>
        <w:overflowPunct/>
        <w:topLinePunct w:val="0"/>
        <w:bidi w:val="0"/>
        <w:snapToGrid/>
        <w:spacing w:after="200" w:line="440" w:lineRule="exact"/>
        <w:ind w:firstLine="420" w:firstLineChars="200"/>
        <w:textAlignment w:val="auto"/>
        <w:rPr>
          <w:rFonts w:ascii="宋体" w:hAnsi="宋体"/>
          <w:color w:val="auto"/>
          <w:sz w:val="21"/>
          <w:szCs w:val="21"/>
          <w:highlight w:val="none"/>
        </w:rPr>
      </w:pPr>
      <w:r>
        <w:rPr>
          <w:rFonts w:ascii="宋体" w:hAnsi="宋体" w:eastAsia="宋体" w:cs="Times New Roman"/>
          <w:color w:val="auto"/>
          <w:sz w:val="21"/>
          <w:szCs w:val="21"/>
          <w:highlight w:val="none"/>
        </w:rPr>
        <w:t>（2）向</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人民法院起诉</w:t>
      </w:r>
      <w:r>
        <w:rPr>
          <w:rFonts w:ascii="宋体" w:hAnsi="宋体"/>
          <w:color w:val="auto"/>
          <w:sz w:val="21"/>
          <w:szCs w:val="21"/>
          <w:highlight w:val="none"/>
        </w:rPr>
        <w:t>。</w:t>
      </w:r>
    </w:p>
    <w:p w14:paraId="39F33E59">
      <w:pPr>
        <w:pStyle w:val="56"/>
        <w:pageBreakBefore w:val="0"/>
        <w:widowControl w:val="0"/>
        <w:kinsoku/>
        <w:wordWrap/>
        <w:overflowPunct/>
        <w:topLinePunct w:val="0"/>
        <w:bidi w:val="0"/>
        <w:snapToGrid/>
        <w:spacing w:before="0" w:after="0" w:line="440" w:lineRule="exact"/>
        <w:textAlignment w:val="auto"/>
        <w:rPr>
          <w:rStyle w:val="25"/>
          <w:rFonts w:hint="eastAsia" w:ascii="宋体" w:hAnsi="宋体" w:eastAsia="宋体"/>
          <w:color w:val="auto"/>
          <w:sz w:val="21"/>
          <w:szCs w:val="21"/>
          <w:highlight w:val="none"/>
        </w:rPr>
      </w:pPr>
      <w:r>
        <w:rPr>
          <w:rStyle w:val="25"/>
          <w:rFonts w:hint="eastAsia" w:ascii="宋体" w:hAnsi="宋体" w:eastAsia="宋体"/>
          <w:color w:val="auto"/>
          <w:sz w:val="21"/>
          <w:szCs w:val="21"/>
          <w:highlight w:val="none"/>
        </w:rPr>
        <w:t>21.补充条款</w:t>
      </w:r>
    </w:p>
    <w:p w14:paraId="786115F5">
      <w:pPr>
        <w:pStyle w:val="20"/>
        <w:pageBreakBefore w:val="0"/>
        <w:widowControl w:val="0"/>
        <w:kinsoku/>
        <w:wordWrap/>
        <w:overflowPunct/>
        <w:topLinePunct w:val="0"/>
        <w:bidi w:val="0"/>
        <w:snapToGrid/>
        <w:spacing w:line="440" w:lineRule="exact"/>
        <w:ind w:left="0" w:leftChars="0" w:firstLine="0" w:firstLineChars="0"/>
        <w:textAlignment w:val="auto"/>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 xml:space="preserve">                               </w:t>
      </w:r>
      <w:r>
        <w:rPr>
          <w:rFonts w:hint="eastAsia" w:ascii="宋体" w:hAnsi="宋体"/>
          <w:color w:val="auto"/>
          <w:kern w:val="0"/>
          <w:sz w:val="21"/>
          <w:szCs w:val="21"/>
          <w:highlight w:val="none"/>
          <w:u w:val="single"/>
        </w:rPr>
        <w:t xml:space="preserve">   </w:t>
      </w:r>
    </w:p>
    <w:bookmarkEnd w:id="201"/>
    <w:p w14:paraId="043433DF">
      <w:pPr>
        <w:pStyle w:val="3"/>
        <w:tabs>
          <w:tab w:val="left" w:pos="0"/>
        </w:tabs>
        <w:autoSpaceDE w:val="0"/>
        <w:autoSpaceDN w:val="0"/>
        <w:adjustRightInd w:val="0"/>
        <w:spacing w:before="0" w:after="0" w:line="240" w:lineRule="auto"/>
        <w:jc w:val="center"/>
        <w:rPr>
          <w:rFonts w:hint="eastAsia" w:ascii="宋体" w:hAnsi="宋体" w:eastAsia="宋体" w:cs="宋体"/>
          <w:b/>
          <w:color w:val="auto"/>
          <w:spacing w:val="-6"/>
          <w:kern w:val="0"/>
          <w:sz w:val="44"/>
          <w:szCs w:val="44"/>
          <w:highlight w:val="none"/>
          <w:u w:val="single"/>
        </w:rPr>
      </w:pPr>
      <w:bookmarkStart w:id="762" w:name="_Toc12404_WPSOffice_Level1"/>
      <w:r>
        <w:rPr>
          <w:rFonts w:hint="eastAsia" w:ascii="宋体" w:hAnsi="宋体" w:eastAsia="宋体" w:cs="宋体"/>
          <w:color w:val="auto"/>
          <w:sz w:val="44"/>
          <w:szCs w:val="44"/>
          <w:highlight w:val="none"/>
        </w:rPr>
        <w:t xml:space="preserve">第六章  </w:t>
      </w:r>
      <w:bookmarkEnd w:id="762"/>
      <w:r>
        <w:rPr>
          <w:rFonts w:hint="eastAsia" w:ascii="宋体" w:hAnsi="宋体" w:eastAsia="宋体" w:cs="宋体"/>
          <w:color w:val="auto"/>
          <w:sz w:val="44"/>
          <w:szCs w:val="44"/>
          <w:highlight w:val="none"/>
        </w:rPr>
        <w:t>竞争性磋商响应文件格式</w:t>
      </w:r>
    </w:p>
    <w:p w14:paraId="4B49ED23">
      <w:pPr>
        <w:spacing w:line="360" w:lineRule="auto"/>
        <w:ind w:firstLine="309" w:firstLineChars="100"/>
        <w:jc w:val="center"/>
        <w:rPr>
          <w:rFonts w:hint="eastAsia" w:ascii="宋体" w:hAnsi="宋体" w:cs="宋体"/>
          <w:b/>
          <w:color w:val="auto"/>
          <w:spacing w:val="-6"/>
          <w:kern w:val="0"/>
          <w:sz w:val="32"/>
          <w:szCs w:val="32"/>
          <w:highlight w:val="none"/>
          <w:u w:val="single"/>
        </w:rPr>
      </w:pPr>
    </w:p>
    <w:p w14:paraId="3D743E27">
      <w:pPr>
        <w:spacing w:line="360" w:lineRule="auto"/>
        <w:ind w:firstLine="309" w:firstLineChars="100"/>
        <w:jc w:val="center"/>
        <w:rPr>
          <w:rFonts w:hint="eastAsia" w:ascii="宋体" w:hAnsi="宋体" w:cs="宋体"/>
          <w:b/>
          <w:color w:val="auto"/>
          <w:spacing w:val="-6"/>
          <w:kern w:val="0"/>
          <w:sz w:val="32"/>
          <w:szCs w:val="32"/>
          <w:highlight w:val="none"/>
          <w:u w:val="single"/>
        </w:rPr>
      </w:pPr>
    </w:p>
    <w:p w14:paraId="2AF87DFD">
      <w:pPr>
        <w:pStyle w:val="73"/>
        <w:spacing w:before="0" w:after="0" w:line="360" w:lineRule="auto"/>
        <w:ind w:left="0" w:right="23"/>
        <w:jc w:val="both"/>
        <w:outlineLvl w:val="1"/>
        <w:rPr>
          <w:rFonts w:ascii="宋体" w:hAnsi="宋体" w:eastAsia="宋体" w:cs="宋体"/>
          <w:b/>
          <w:bCs/>
          <w:color w:val="auto"/>
          <w:sz w:val="28"/>
          <w:szCs w:val="28"/>
          <w:highlight w:val="none"/>
        </w:rPr>
      </w:pPr>
      <w:bookmarkStart w:id="763" w:name="_Toc2258"/>
      <w:bookmarkStart w:id="764" w:name="_Toc3970"/>
      <w:bookmarkStart w:id="765" w:name="_Toc17703"/>
      <w:r>
        <w:rPr>
          <w:rFonts w:hint="eastAsia" w:ascii="宋体" w:hAnsi="宋体" w:eastAsia="宋体" w:cs="宋体"/>
          <w:b/>
          <w:bCs/>
          <w:color w:val="auto"/>
          <w:sz w:val="28"/>
          <w:szCs w:val="28"/>
          <w:highlight w:val="none"/>
        </w:rPr>
        <w:t>封面</w:t>
      </w:r>
      <w:bookmarkEnd w:id="763"/>
      <w:bookmarkEnd w:id="764"/>
      <w:bookmarkEnd w:id="765"/>
    </w:p>
    <w:p w14:paraId="42B7D8C0">
      <w:pPr>
        <w:pStyle w:val="73"/>
        <w:spacing w:before="0" w:after="120" w:line="360" w:lineRule="auto"/>
        <w:ind w:left="0" w:right="23"/>
        <w:jc w:val="center"/>
        <w:rPr>
          <w:rFonts w:ascii="宋体" w:hAnsi="宋体" w:eastAsia="宋体" w:cs="宋体"/>
          <w:b/>
          <w:bCs/>
          <w:color w:val="auto"/>
          <w:sz w:val="48"/>
          <w:szCs w:val="48"/>
          <w:highlight w:val="none"/>
        </w:rPr>
      </w:pPr>
    </w:p>
    <w:p w14:paraId="574F60F9">
      <w:pPr>
        <w:pStyle w:val="21"/>
        <w:ind w:left="0" w:leftChars="0" w:firstLine="0" w:firstLineChars="0"/>
        <w:jc w:val="center"/>
        <w:rPr>
          <w:rFonts w:ascii="宋体" w:hAnsi="宋体" w:cs="宋体"/>
          <w:b/>
          <w:color w:val="auto"/>
          <w:sz w:val="72"/>
          <w:szCs w:val="72"/>
          <w:highlight w:val="none"/>
        </w:rPr>
      </w:pPr>
      <w:r>
        <w:rPr>
          <w:rFonts w:hint="eastAsia" w:ascii="宋体" w:hAnsi="宋体" w:cs="宋体"/>
          <w:b/>
          <w:color w:val="auto"/>
          <w:sz w:val="48"/>
          <w:szCs w:val="48"/>
          <w:highlight w:val="none"/>
          <w:lang w:val="en-US" w:eastAsia="zh-CN"/>
        </w:rPr>
        <w:t>梁河县中心敬老院消防安全标准化提升工程</w:t>
      </w:r>
    </w:p>
    <w:p w14:paraId="1048793D">
      <w:pPr>
        <w:pStyle w:val="21"/>
        <w:ind w:left="0" w:leftChars="0" w:firstLine="0" w:firstLineChars="0"/>
        <w:rPr>
          <w:rFonts w:ascii="宋体" w:hAnsi="宋体" w:cs="宋体"/>
          <w:color w:val="auto"/>
          <w:highlight w:val="none"/>
        </w:rPr>
      </w:pPr>
    </w:p>
    <w:p w14:paraId="53E98C53">
      <w:pPr>
        <w:spacing w:line="480" w:lineRule="auto"/>
        <w:jc w:val="center"/>
        <w:outlineLvl w:val="0"/>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bookmarkStart w:id="766" w:name="_Toc25594"/>
      <w:bookmarkStart w:id="767" w:name="_Toc6097"/>
      <w:bookmarkStart w:id="768" w:name="_Toc26110"/>
      <w:r>
        <w:rPr>
          <w:rFonts w:hint="eastAsia" w:ascii="宋体" w:hAnsi="宋体" w:eastAsia="宋体" w:cs="宋体"/>
          <w:b/>
          <w:color w:val="auto"/>
          <w:sz w:val="52"/>
          <w:szCs w:val="52"/>
          <w:highlight w:val="none"/>
        </w:rPr>
        <w:t>磋 商 响 应 文 件</w:t>
      </w:r>
      <w:bookmarkEnd w:id="766"/>
      <w:bookmarkEnd w:id="767"/>
      <w:bookmarkEnd w:id="768"/>
    </w:p>
    <w:p w14:paraId="2DB75292">
      <w:pPr>
        <w:pStyle w:val="73"/>
        <w:spacing w:before="0" w:after="120" w:line="360" w:lineRule="auto"/>
        <w:ind w:left="0" w:right="23"/>
        <w:jc w:val="both"/>
        <w:rPr>
          <w:rFonts w:ascii="宋体" w:hAnsi="宋体" w:eastAsia="宋体" w:cs="宋体"/>
          <w:b/>
          <w:bCs/>
          <w:color w:val="auto"/>
          <w:sz w:val="32"/>
          <w:szCs w:val="32"/>
          <w:highlight w:val="none"/>
        </w:rPr>
      </w:pPr>
    </w:p>
    <w:p w14:paraId="7D4A359C">
      <w:pPr>
        <w:pStyle w:val="73"/>
        <w:spacing w:before="0" w:after="120" w:line="360" w:lineRule="auto"/>
        <w:ind w:left="0" w:right="23"/>
        <w:jc w:val="both"/>
        <w:outlineLvl w:val="0"/>
        <w:rPr>
          <w:rFonts w:ascii="宋体" w:hAnsi="宋体" w:eastAsia="宋体" w:cs="宋体"/>
          <w:b/>
          <w:bCs/>
          <w:color w:val="auto"/>
          <w:sz w:val="32"/>
          <w:szCs w:val="32"/>
          <w:highlight w:val="none"/>
        </w:rPr>
      </w:pPr>
      <w:bookmarkStart w:id="769" w:name="_Toc12735"/>
      <w:bookmarkStart w:id="770" w:name="_Toc10954"/>
      <w:bookmarkStart w:id="771" w:name="_Toc31230"/>
      <w:r>
        <w:rPr>
          <w:rFonts w:hint="eastAsia" w:ascii="宋体" w:hAnsi="宋体" w:eastAsia="宋体" w:cs="宋体"/>
          <w:b/>
          <w:bCs/>
          <w:color w:val="auto"/>
          <w:sz w:val="32"/>
          <w:szCs w:val="32"/>
          <w:highlight w:val="none"/>
          <w:lang w:eastAsia="zh-CN"/>
        </w:rPr>
        <w:t>招标编号</w:t>
      </w:r>
      <w:r>
        <w:rPr>
          <w:rFonts w:hint="eastAsia" w:ascii="宋体" w:hAnsi="宋体" w:eastAsia="宋体" w:cs="宋体"/>
          <w:b/>
          <w:bCs/>
          <w:color w:val="auto"/>
          <w:sz w:val="32"/>
          <w:szCs w:val="32"/>
          <w:highlight w:val="none"/>
        </w:rPr>
        <w:t>:</w:t>
      </w:r>
      <w:bookmarkEnd w:id="769"/>
      <w:bookmarkEnd w:id="770"/>
      <w:bookmarkEnd w:id="771"/>
    </w:p>
    <w:p w14:paraId="7EC50C66">
      <w:pPr>
        <w:pStyle w:val="73"/>
        <w:spacing w:before="0" w:after="120" w:line="360" w:lineRule="auto"/>
        <w:ind w:left="0" w:right="23"/>
        <w:jc w:val="both"/>
        <w:outlineLvl w:val="0"/>
        <w:rPr>
          <w:rFonts w:ascii="宋体" w:hAnsi="宋体" w:eastAsia="宋体" w:cs="宋体"/>
          <w:b/>
          <w:bCs/>
          <w:color w:val="auto"/>
          <w:sz w:val="32"/>
          <w:szCs w:val="32"/>
          <w:highlight w:val="none"/>
        </w:rPr>
      </w:pPr>
      <w:bookmarkStart w:id="772" w:name="_Toc3928"/>
      <w:bookmarkStart w:id="773" w:name="_Toc17717"/>
      <w:bookmarkStart w:id="774" w:name="_Toc20548"/>
      <w:r>
        <w:rPr>
          <w:rFonts w:hint="eastAsia" w:ascii="宋体" w:hAnsi="宋体" w:eastAsia="宋体" w:cs="宋体"/>
          <w:b/>
          <w:bCs/>
          <w:color w:val="auto"/>
          <w:sz w:val="32"/>
          <w:szCs w:val="32"/>
          <w:highlight w:val="none"/>
        </w:rPr>
        <w:t>供应商全称(加盖单位</w:t>
      </w:r>
      <w:r>
        <w:rPr>
          <w:rFonts w:hint="eastAsia" w:ascii="宋体" w:hAnsi="宋体" w:eastAsia="宋体" w:cs="宋体"/>
          <w:b/>
          <w:bCs/>
          <w:color w:val="auto"/>
          <w:sz w:val="32"/>
          <w:szCs w:val="32"/>
          <w:highlight w:val="none"/>
          <w:lang w:eastAsia="zh-CN"/>
        </w:rPr>
        <w:t>公章</w:t>
      </w:r>
      <w:r>
        <w:rPr>
          <w:rFonts w:hint="eastAsia" w:ascii="宋体" w:hAnsi="宋体" w:eastAsia="宋体" w:cs="宋体"/>
          <w:b/>
          <w:bCs/>
          <w:color w:val="auto"/>
          <w:sz w:val="32"/>
          <w:szCs w:val="32"/>
          <w:highlight w:val="none"/>
        </w:rPr>
        <w:t>)：</w:t>
      </w:r>
      <w:bookmarkEnd w:id="772"/>
      <w:bookmarkEnd w:id="773"/>
      <w:bookmarkEnd w:id="774"/>
      <w:r>
        <w:rPr>
          <w:rFonts w:hint="eastAsia" w:ascii="宋体" w:hAnsi="宋体" w:eastAsia="宋体" w:cs="宋体"/>
          <w:b/>
          <w:bCs/>
          <w:color w:val="auto"/>
          <w:sz w:val="32"/>
          <w:szCs w:val="32"/>
          <w:highlight w:val="none"/>
        </w:rPr>
        <w:t xml:space="preserve">                       </w:t>
      </w:r>
    </w:p>
    <w:p w14:paraId="20FF79D9">
      <w:pPr>
        <w:pStyle w:val="73"/>
        <w:spacing w:before="0" w:after="120" w:line="360" w:lineRule="auto"/>
        <w:ind w:left="0" w:right="23"/>
        <w:jc w:val="both"/>
        <w:outlineLvl w:val="0"/>
        <w:rPr>
          <w:rFonts w:ascii="宋体" w:hAnsi="宋体" w:eastAsia="宋体" w:cs="宋体"/>
          <w:b/>
          <w:bCs/>
          <w:color w:val="auto"/>
          <w:sz w:val="32"/>
          <w:szCs w:val="32"/>
          <w:highlight w:val="none"/>
        </w:rPr>
      </w:pPr>
      <w:bookmarkStart w:id="775" w:name="_Toc1350"/>
      <w:bookmarkStart w:id="776" w:name="_Toc31917"/>
      <w:bookmarkStart w:id="777" w:name="_Toc6645"/>
      <w:r>
        <w:rPr>
          <w:rFonts w:hint="eastAsia" w:ascii="宋体" w:hAnsi="宋体" w:eastAsia="宋体" w:cs="宋体"/>
          <w:b/>
          <w:bCs/>
          <w:color w:val="auto"/>
          <w:sz w:val="32"/>
          <w:szCs w:val="32"/>
          <w:highlight w:val="none"/>
        </w:rPr>
        <w:t>地  址：</w:t>
      </w:r>
      <w:bookmarkEnd w:id="775"/>
      <w:bookmarkEnd w:id="776"/>
      <w:bookmarkEnd w:id="777"/>
      <w:r>
        <w:rPr>
          <w:rFonts w:hint="eastAsia" w:ascii="宋体" w:hAnsi="宋体" w:eastAsia="宋体" w:cs="宋体"/>
          <w:b/>
          <w:bCs/>
          <w:color w:val="auto"/>
          <w:sz w:val="32"/>
          <w:szCs w:val="32"/>
          <w:highlight w:val="none"/>
        </w:rPr>
        <w:t xml:space="preserve">                                </w:t>
      </w:r>
    </w:p>
    <w:p w14:paraId="5F77F704">
      <w:pPr>
        <w:pStyle w:val="73"/>
        <w:spacing w:before="0" w:after="120" w:line="360" w:lineRule="auto"/>
        <w:ind w:left="0" w:right="23"/>
        <w:jc w:val="both"/>
        <w:outlineLvl w:val="0"/>
        <w:rPr>
          <w:rFonts w:ascii="宋体" w:hAnsi="宋体" w:eastAsia="宋体" w:cs="宋体"/>
          <w:b/>
          <w:bCs/>
          <w:color w:val="auto"/>
          <w:sz w:val="32"/>
          <w:szCs w:val="32"/>
          <w:highlight w:val="none"/>
        </w:rPr>
      </w:pPr>
      <w:bookmarkStart w:id="778" w:name="_Toc28930"/>
      <w:bookmarkStart w:id="779" w:name="_Toc2098"/>
      <w:bookmarkStart w:id="780" w:name="_Toc31842"/>
      <w:r>
        <w:rPr>
          <w:rFonts w:hint="eastAsia" w:ascii="宋体" w:hAnsi="宋体" w:eastAsia="宋体" w:cs="宋体"/>
          <w:b/>
          <w:bCs/>
          <w:color w:val="auto"/>
          <w:sz w:val="32"/>
          <w:szCs w:val="32"/>
          <w:highlight w:val="none"/>
        </w:rPr>
        <w:t>联系人：</w:t>
      </w:r>
      <w:bookmarkEnd w:id="778"/>
      <w:bookmarkEnd w:id="779"/>
      <w:bookmarkEnd w:id="780"/>
      <w:r>
        <w:rPr>
          <w:rFonts w:hint="eastAsia" w:ascii="宋体" w:hAnsi="宋体" w:eastAsia="宋体" w:cs="宋体"/>
          <w:b/>
          <w:bCs/>
          <w:color w:val="auto"/>
          <w:sz w:val="32"/>
          <w:szCs w:val="32"/>
          <w:highlight w:val="none"/>
        </w:rPr>
        <w:t xml:space="preserve">                                </w:t>
      </w:r>
    </w:p>
    <w:p w14:paraId="4E6D2AC1">
      <w:pPr>
        <w:pStyle w:val="73"/>
        <w:spacing w:before="0" w:after="120" w:line="360" w:lineRule="auto"/>
        <w:ind w:left="0" w:right="23"/>
        <w:jc w:val="both"/>
        <w:outlineLvl w:val="0"/>
        <w:rPr>
          <w:rFonts w:ascii="宋体" w:hAnsi="宋体" w:eastAsia="宋体" w:cs="宋体"/>
          <w:b/>
          <w:bCs/>
          <w:color w:val="auto"/>
          <w:sz w:val="32"/>
          <w:szCs w:val="32"/>
          <w:highlight w:val="none"/>
        </w:rPr>
      </w:pPr>
      <w:bookmarkStart w:id="781" w:name="_Toc9187"/>
      <w:bookmarkStart w:id="782" w:name="_Toc6144"/>
      <w:bookmarkStart w:id="783" w:name="_Toc340"/>
      <w:r>
        <w:rPr>
          <w:rFonts w:hint="eastAsia" w:ascii="宋体" w:hAnsi="宋体" w:eastAsia="宋体" w:cs="宋体"/>
          <w:b/>
          <w:bCs/>
          <w:color w:val="auto"/>
          <w:sz w:val="32"/>
          <w:szCs w:val="32"/>
          <w:highlight w:val="none"/>
        </w:rPr>
        <w:t>联系电话：</w:t>
      </w:r>
      <w:bookmarkEnd w:id="781"/>
      <w:bookmarkEnd w:id="782"/>
      <w:bookmarkEnd w:id="783"/>
      <w:r>
        <w:rPr>
          <w:rFonts w:hint="eastAsia" w:ascii="宋体" w:hAnsi="宋体" w:eastAsia="宋体" w:cs="宋体"/>
          <w:b/>
          <w:bCs/>
          <w:color w:val="auto"/>
          <w:sz w:val="32"/>
          <w:szCs w:val="32"/>
          <w:highlight w:val="none"/>
        </w:rPr>
        <w:t xml:space="preserve">                              </w:t>
      </w:r>
    </w:p>
    <w:p w14:paraId="17A7F42E">
      <w:pPr>
        <w:pStyle w:val="21"/>
        <w:spacing w:after="156" w:afterLines="50" w:line="360" w:lineRule="auto"/>
        <w:ind w:left="0" w:leftChars="0" w:firstLine="0" w:firstLineChars="0"/>
        <w:outlineLvl w:val="0"/>
        <w:rPr>
          <w:rFonts w:ascii="宋体" w:hAnsi="宋体" w:cs="宋体"/>
          <w:b/>
          <w:bCs/>
          <w:color w:val="auto"/>
          <w:sz w:val="32"/>
          <w:szCs w:val="32"/>
          <w:highlight w:val="none"/>
        </w:rPr>
        <w:sectPr>
          <w:pgSz w:w="11906" w:h="16838"/>
          <w:pgMar w:top="1440" w:right="1440" w:bottom="1440" w:left="1440" w:header="851" w:footer="992" w:gutter="0"/>
          <w:pgNumType w:fmt="decimal"/>
          <w:cols w:space="0" w:num="1"/>
          <w:docGrid w:type="lines" w:linePitch="312" w:charSpace="0"/>
        </w:sectPr>
      </w:pPr>
      <w:bookmarkStart w:id="784" w:name="_Toc2737"/>
      <w:bookmarkStart w:id="785" w:name="_Toc28061"/>
      <w:bookmarkStart w:id="786" w:name="_Toc31574"/>
      <w:r>
        <w:rPr>
          <w:rFonts w:hint="eastAsia" w:ascii="宋体" w:hAnsi="宋体" w:cs="宋体"/>
          <w:b/>
          <w:bCs/>
          <w:color w:val="auto"/>
          <w:sz w:val="32"/>
          <w:szCs w:val="32"/>
          <w:highlight w:val="none"/>
        </w:rPr>
        <w:t>日  期：</w:t>
      </w:r>
      <w:bookmarkEnd w:id="784"/>
      <w:bookmarkEnd w:id="785"/>
      <w:bookmarkEnd w:id="786"/>
    </w:p>
    <w:p w14:paraId="6F45C6CF">
      <w:pPr>
        <w:pStyle w:val="73"/>
        <w:numPr>
          <w:ilvl w:val="0"/>
          <w:numId w:val="7"/>
        </w:numPr>
        <w:spacing w:before="0" w:after="0" w:line="360" w:lineRule="auto"/>
        <w:ind w:left="0" w:right="23"/>
        <w:jc w:val="center"/>
        <w:outlineLvl w:val="1"/>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报价一览表</w:t>
      </w:r>
    </w:p>
    <w:tbl>
      <w:tblPr>
        <w:tblStyle w:val="2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1"/>
        <w:gridCol w:w="6614"/>
      </w:tblGrid>
      <w:tr w14:paraId="5534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419" w:type="pct"/>
            <w:vAlign w:val="center"/>
          </w:tcPr>
          <w:p w14:paraId="65CCD29D">
            <w:pPr>
              <w:spacing w:line="500" w:lineRule="exact"/>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eastAsia="zh-CN"/>
              </w:rPr>
              <w:t>项目名称</w:t>
            </w:r>
          </w:p>
        </w:tc>
        <w:tc>
          <w:tcPr>
            <w:tcW w:w="3580" w:type="pct"/>
            <w:vAlign w:val="center"/>
          </w:tcPr>
          <w:p w14:paraId="6637FF78">
            <w:pPr>
              <w:spacing w:line="500" w:lineRule="exact"/>
              <w:jc w:val="center"/>
              <w:rPr>
                <w:rFonts w:hint="eastAsia" w:ascii="宋体" w:hAnsi="宋体" w:eastAsia="宋体" w:cs="宋体"/>
                <w:bCs/>
                <w:color w:val="auto"/>
                <w:sz w:val="21"/>
                <w:szCs w:val="21"/>
                <w:highlight w:val="none"/>
                <w:u w:val="none"/>
              </w:rPr>
            </w:pPr>
          </w:p>
        </w:tc>
      </w:tr>
      <w:tr w14:paraId="3CE8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419" w:type="pct"/>
            <w:vMerge w:val="restart"/>
            <w:vAlign w:val="center"/>
          </w:tcPr>
          <w:p w14:paraId="032A6EF5">
            <w:pPr>
              <w:spacing w:line="500" w:lineRule="exact"/>
              <w:jc w:val="center"/>
              <w:rPr>
                <w:rFonts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报价</w:t>
            </w:r>
          </w:p>
        </w:tc>
        <w:tc>
          <w:tcPr>
            <w:tcW w:w="3580" w:type="pct"/>
            <w:vAlign w:val="center"/>
          </w:tcPr>
          <w:p w14:paraId="2B009B9E">
            <w:pPr>
              <w:spacing w:line="500" w:lineRule="exact"/>
              <w:rPr>
                <w:rFonts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小写：                   （元）</w:t>
            </w:r>
          </w:p>
        </w:tc>
      </w:tr>
      <w:tr w14:paraId="24F7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419" w:type="pct"/>
            <w:vMerge w:val="continue"/>
          </w:tcPr>
          <w:p w14:paraId="5ED7B44F">
            <w:pPr>
              <w:spacing w:line="500" w:lineRule="exact"/>
              <w:jc w:val="center"/>
              <w:rPr>
                <w:rFonts w:ascii="宋体" w:hAnsi="宋体" w:eastAsia="宋体" w:cs="宋体"/>
                <w:bCs/>
                <w:color w:val="auto"/>
                <w:sz w:val="21"/>
                <w:szCs w:val="21"/>
                <w:highlight w:val="none"/>
                <w:u w:val="single"/>
              </w:rPr>
            </w:pPr>
          </w:p>
        </w:tc>
        <w:tc>
          <w:tcPr>
            <w:tcW w:w="3580" w:type="pct"/>
            <w:vAlign w:val="center"/>
          </w:tcPr>
          <w:p w14:paraId="2DE830A9">
            <w:pPr>
              <w:spacing w:line="500" w:lineRule="exact"/>
              <w:rPr>
                <w:rFonts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大写：</w:t>
            </w:r>
          </w:p>
        </w:tc>
      </w:tr>
      <w:tr w14:paraId="1157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419" w:type="pct"/>
            <w:vAlign w:val="center"/>
          </w:tcPr>
          <w:p w14:paraId="7F70B92C">
            <w:pPr>
              <w:spacing w:line="500" w:lineRule="exact"/>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en-US" w:eastAsia="zh-CN"/>
              </w:rPr>
              <w:t>工期</w:t>
            </w:r>
          </w:p>
        </w:tc>
        <w:tc>
          <w:tcPr>
            <w:tcW w:w="3580" w:type="pct"/>
            <w:vAlign w:val="center"/>
          </w:tcPr>
          <w:p w14:paraId="2F402FFC">
            <w:pPr>
              <w:spacing w:line="500" w:lineRule="exact"/>
              <w:jc w:val="left"/>
              <w:rPr>
                <w:rFonts w:hint="eastAsia" w:ascii="宋体" w:hAnsi="宋体" w:eastAsia="宋体" w:cs="宋体"/>
                <w:bCs/>
                <w:color w:val="auto"/>
                <w:sz w:val="21"/>
                <w:szCs w:val="21"/>
                <w:highlight w:val="none"/>
                <w:u w:val="none"/>
              </w:rPr>
            </w:pPr>
          </w:p>
        </w:tc>
      </w:tr>
      <w:tr w14:paraId="74E2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19" w:type="pct"/>
            <w:vAlign w:val="center"/>
          </w:tcPr>
          <w:p w14:paraId="162F2552">
            <w:pPr>
              <w:spacing w:line="500" w:lineRule="exact"/>
              <w:jc w:val="center"/>
              <w:rPr>
                <w:rFonts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质量标准</w:t>
            </w:r>
          </w:p>
        </w:tc>
        <w:tc>
          <w:tcPr>
            <w:tcW w:w="3580" w:type="pct"/>
            <w:vAlign w:val="center"/>
          </w:tcPr>
          <w:p w14:paraId="4FBB70B3">
            <w:pPr>
              <w:spacing w:line="500" w:lineRule="exact"/>
              <w:jc w:val="left"/>
              <w:rPr>
                <w:rFonts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val="en-US" w:eastAsia="zh-CN"/>
              </w:rPr>
              <w:t>符合国家施工质量验收标准，</w:t>
            </w:r>
            <w:r>
              <w:rPr>
                <w:rFonts w:hint="eastAsia" w:ascii="宋体" w:hAnsi="宋体" w:eastAsia="宋体" w:cs="宋体"/>
                <w:bCs/>
                <w:color w:val="auto"/>
                <w:sz w:val="21"/>
                <w:szCs w:val="21"/>
                <w:highlight w:val="none"/>
                <w:u w:val="none"/>
              </w:rPr>
              <w:t>一次性验收</w:t>
            </w:r>
            <w:r>
              <w:rPr>
                <w:rFonts w:hint="eastAsia" w:ascii="宋体" w:hAnsi="宋体" w:eastAsia="宋体" w:cs="宋体"/>
                <w:bCs/>
                <w:color w:val="auto"/>
                <w:sz w:val="21"/>
                <w:szCs w:val="21"/>
                <w:highlight w:val="none"/>
                <w:u w:val="none"/>
                <w:lang w:val="en-US" w:eastAsia="zh-CN"/>
              </w:rPr>
              <w:t>合格。</w:t>
            </w:r>
          </w:p>
        </w:tc>
      </w:tr>
      <w:tr w14:paraId="458C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19" w:type="pct"/>
            <w:vAlign w:val="center"/>
          </w:tcPr>
          <w:p w14:paraId="6A926BA9">
            <w:pPr>
              <w:spacing w:line="500" w:lineRule="exact"/>
              <w:jc w:val="center"/>
              <w:rPr>
                <w:rFonts w:hint="eastAsia" w:ascii="宋体" w:hAnsi="宋体" w:eastAsia="宋体" w:cs="宋体"/>
                <w:bCs/>
                <w:color w:val="auto"/>
                <w:sz w:val="21"/>
                <w:szCs w:val="21"/>
                <w:highlight w:val="none"/>
                <w:u w:val="none"/>
                <w:lang w:eastAsia="zh-CN"/>
              </w:rPr>
            </w:pPr>
            <w:r>
              <w:rPr>
                <w:rFonts w:hint="eastAsia" w:ascii="宋体" w:hAnsi="宋体" w:eastAsia="宋体" w:cs="宋体"/>
                <w:bCs/>
                <w:color w:val="auto"/>
                <w:sz w:val="21"/>
                <w:szCs w:val="21"/>
                <w:highlight w:val="none"/>
                <w:u w:val="none"/>
              </w:rPr>
              <w:t>项目经理</w:t>
            </w:r>
            <w:r>
              <w:rPr>
                <w:rFonts w:hint="eastAsia" w:ascii="宋体" w:hAnsi="宋体" w:eastAsia="宋体" w:cs="宋体"/>
                <w:bCs/>
                <w:color w:val="auto"/>
                <w:sz w:val="21"/>
                <w:szCs w:val="21"/>
                <w:highlight w:val="none"/>
                <w:u w:val="none"/>
                <w:lang w:eastAsia="zh-CN"/>
              </w:rPr>
              <w:t>及证书编号</w:t>
            </w:r>
          </w:p>
        </w:tc>
        <w:tc>
          <w:tcPr>
            <w:tcW w:w="3580" w:type="pct"/>
            <w:vAlign w:val="center"/>
          </w:tcPr>
          <w:p w14:paraId="5521CAC8">
            <w:pPr>
              <w:spacing w:line="500" w:lineRule="exact"/>
              <w:jc w:val="left"/>
              <w:rPr>
                <w:rFonts w:hint="eastAsia" w:ascii="宋体" w:hAnsi="宋体" w:eastAsia="宋体" w:cs="宋体"/>
                <w:bCs/>
                <w:color w:val="auto"/>
                <w:sz w:val="21"/>
                <w:szCs w:val="21"/>
                <w:highlight w:val="none"/>
                <w:u w:val="none"/>
              </w:rPr>
            </w:pPr>
          </w:p>
        </w:tc>
      </w:tr>
      <w:tr w14:paraId="081EB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419" w:type="pct"/>
            <w:vAlign w:val="center"/>
          </w:tcPr>
          <w:p w14:paraId="4574DC04">
            <w:pPr>
              <w:pStyle w:val="12"/>
              <w:tabs>
                <w:tab w:val="left" w:pos="720"/>
                <w:tab w:val="left" w:pos="8295"/>
              </w:tabs>
              <w:spacing w:before="120" w:after="120" w:line="500" w:lineRule="exact"/>
              <w:ind w:left="0" w:leftChars="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c>
          <w:tcPr>
            <w:tcW w:w="3580" w:type="pct"/>
            <w:vAlign w:val="center"/>
          </w:tcPr>
          <w:p w14:paraId="02612441">
            <w:pPr>
              <w:spacing w:line="500" w:lineRule="exact"/>
              <w:rPr>
                <w:rFonts w:ascii="宋体" w:hAnsi="宋体" w:eastAsia="宋体" w:cs="宋体"/>
                <w:bCs/>
                <w:color w:val="auto"/>
                <w:sz w:val="21"/>
                <w:szCs w:val="21"/>
                <w:highlight w:val="none"/>
                <w:u w:val="single"/>
              </w:rPr>
            </w:pPr>
          </w:p>
        </w:tc>
      </w:tr>
    </w:tbl>
    <w:p w14:paraId="1AF8C268">
      <w:pPr>
        <w:pStyle w:val="73"/>
        <w:spacing w:before="0" w:after="0" w:line="460" w:lineRule="exact"/>
        <w:ind w:left="0" w:right="23"/>
        <w:jc w:val="both"/>
        <w:rPr>
          <w:rFonts w:ascii="宋体" w:hAnsi="宋体" w:eastAsia="宋体" w:cs="宋体"/>
          <w:b/>
          <w:bCs/>
          <w:color w:val="auto"/>
          <w:sz w:val="21"/>
          <w:szCs w:val="21"/>
          <w:highlight w:val="none"/>
        </w:rPr>
      </w:pPr>
    </w:p>
    <w:p w14:paraId="63E5DFCC">
      <w:pPr>
        <w:pStyle w:val="73"/>
        <w:spacing w:before="0" w:after="0" w:line="460" w:lineRule="exact"/>
        <w:ind w:left="0" w:right="23"/>
        <w:jc w:val="both"/>
        <w:rPr>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lang w:val="zh-CN"/>
        </w:rPr>
        <w:t>报价以人民币为结算单位，包括但不限于代理服务费、人工费、材料费、机械使用费、包装运输费、水电费、垃圾清运费、保险费、税金等直至完成工程交付使用所须的一切费用</w:t>
      </w:r>
      <w:r>
        <w:rPr>
          <w:rFonts w:hint="eastAsia" w:ascii="宋体" w:hAnsi="宋体" w:eastAsia="宋体" w:cs="宋体"/>
          <w:color w:val="auto"/>
          <w:sz w:val="21"/>
          <w:szCs w:val="21"/>
          <w:highlight w:val="none"/>
        </w:rPr>
        <w:t>。</w:t>
      </w:r>
    </w:p>
    <w:p w14:paraId="31BA9BBB">
      <w:pPr>
        <w:pStyle w:val="73"/>
        <w:spacing w:before="0" w:after="0" w:line="460" w:lineRule="exact"/>
        <w:ind w:left="0" w:right="23"/>
        <w:jc w:val="both"/>
        <w:rPr>
          <w:rFonts w:ascii="宋体" w:hAnsi="宋体" w:eastAsia="宋体" w:cs="宋体"/>
          <w:color w:val="auto"/>
          <w:sz w:val="21"/>
          <w:szCs w:val="21"/>
          <w:highlight w:val="none"/>
        </w:rPr>
      </w:pPr>
    </w:p>
    <w:p w14:paraId="3EBB18C8">
      <w:pPr>
        <w:spacing w:line="360" w:lineRule="auto"/>
        <w:rPr>
          <w:color w:val="auto"/>
          <w:sz w:val="21"/>
          <w:szCs w:val="21"/>
          <w:highlight w:val="none"/>
        </w:rPr>
      </w:pPr>
      <w:r>
        <w:rPr>
          <w:rFonts w:hAnsi="宋体"/>
          <w:color w:val="auto"/>
          <w:sz w:val="21"/>
          <w:szCs w:val="21"/>
          <w:highlight w:val="none"/>
        </w:rPr>
        <w:t>供应商全称（加盖单位</w:t>
      </w:r>
      <w:r>
        <w:rPr>
          <w:rFonts w:hint="eastAsia" w:hAnsi="宋体"/>
          <w:color w:val="auto"/>
          <w:sz w:val="21"/>
          <w:szCs w:val="21"/>
          <w:highlight w:val="none"/>
          <w:lang w:eastAsia="zh-CN"/>
        </w:rPr>
        <w:t>公章</w:t>
      </w:r>
      <w:r>
        <w:rPr>
          <w:rFonts w:hAnsi="宋体"/>
          <w:color w:val="auto"/>
          <w:sz w:val="21"/>
          <w:szCs w:val="21"/>
          <w:highlight w:val="none"/>
        </w:rPr>
        <w:t>）：</w:t>
      </w:r>
      <w:r>
        <w:rPr>
          <w:rFonts w:hAnsi="宋体"/>
          <w:color w:val="auto"/>
          <w:sz w:val="21"/>
          <w:szCs w:val="21"/>
          <w:highlight w:val="none"/>
          <w:u w:val="single"/>
        </w:rPr>
        <w:t>　　　　　　　　　　　　</w:t>
      </w:r>
    </w:p>
    <w:p w14:paraId="166778E5">
      <w:pPr>
        <w:pStyle w:val="73"/>
        <w:spacing w:before="0" w:after="0" w:line="460" w:lineRule="exact"/>
        <w:ind w:left="0" w:right="23"/>
        <w:jc w:val="both"/>
        <w:rPr>
          <w:rFonts w:ascii="宋体" w:hAnsi="宋体" w:eastAsia="宋体" w:cs="宋体"/>
          <w:color w:val="auto"/>
          <w:sz w:val="21"/>
          <w:szCs w:val="21"/>
          <w:highlight w:val="none"/>
        </w:rPr>
      </w:pPr>
      <w:r>
        <w:rPr>
          <w:rFonts w:hAnsi="宋体"/>
          <w:color w:val="auto"/>
          <w:sz w:val="21"/>
          <w:szCs w:val="21"/>
          <w:highlight w:val="none"/>
        </w:rPr>
        <w:t>法定代表人或其委托代理人（签字或盖章）：</w:t>
      </w:r>
      <w:r>
        <w:rPr>
          <w:rFonts w:hAnsi="宋体"/>
          <w:color w:val="auto"/>
          <w:sz w:val="21"/>
          <w:szCs w:val="21"/>
          <w:highlight w:val="none"/>
          <w:u w:val="single"/>
        </w:rPr>
        <w:t>　　　　　　　　　　</w:t>
      </w:r>
    </w:p>
    <w:p w14:paraId="560D222D">
      <w:pPr>
        <w:pStyle w:val="73"/>
        <w:spacing w:before="0" w:after="0" w:line="460" w:lineRule="exact"/>
        <w:ind w:left="0" w:right="2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8CAB77D">
      <w:pPr>
        <w:ind w:left="180" w:right="-328" w:rightChars="-156"/>
        <w:jc w:val="both"/>
        <w:outlineLvl w:val="1"/>
        <w:rPr>
          <w:rFonts w:ascii="宋体" w:hAnsi="宋体" w:cs="宋体"/>
          <w:b/>
          <w:color w:val="auto"/>
          <w:sz w:val="21"/>
          <w:szCs w:val="21"/>
          <w:highlight w:val="none"/>
        </w:rPr>
      </w:pPr>
      <w:r>
        <w:rPr>
          <w:rFonts w:hint="eastAsia" w:ascii="宋体" w:hAnsi="宋体" w:eastAsia="宋体" w:cs="宋体"/>
          <w:b/>
          <w:bCs/>
          <w:color w:val="auto"/>
          <w:kern w:val="0"/>
          <w:sz w:val="21"/>
          <w:szCs w:val="21"/>
          <w:highlight w:val="none"/>
        </w:rPr>
        <w:br w:type="page"/>
      </w:r>
      <w:bookmarkStart w:id="787" w:name="_Toc7648"/>
      <w:r>
        <w:rPr>
          <w:rFonts w:hint="eastAsia" w:ascii="宋体" w:hAnsi="宋体" w:eastAsia="宋体" w:cs="宋体"/>
          <w:b/>
          <w:bCs/>
          <w:color w:val="auto"/>
          <w:kern w:val="0"/>
          <w:sz w:val="21"/>
          <w:szCs w:val="21"/>
          <w:highlight w:val="none"/>
          <w:lang w:val="en-US" w:eastAsia="zh-CN"/>
        </w:rPr>
        <w:t xml:space="preserve">                       </w:t>
      </w:r>
      <w:r>
        <w:rPr>
          <w:rFonts w:hint="eastAsia" w:ascii="宋体" w:hAnsi="宋体" w:cs="宋体"/>
          <w:b/>
          <w:color w:val="auto"/>
          <w:sz w:val="21"/>
          <w:szCs w:val="21"/>
          <w:highlight w:val="none"/>
        </w:rPr>
        <w:t>二、预算书</w:t>
      </w:r>
      <w:bookmarkEnd w:id="787"/>
    </w:p>
    <w:p w14:paraId="65FEF20F">
      <w:pPr>
        <w:ind w:left="180" w:right="-328" w:rightChars="-156"/>
        <w:rPr>
          <w:rFonts w:ascii="宋体" w:hAnsi="宋体" w:cs="宋体"/>
          <w:b/>
          <w:color w:val="auto"/>
          <w:sz w:val="21"/>
          <w:szCs w:val="21"/>
          <w:highlight w:val="none"/>
        </w:rPr>
      </w:pPr>
    </w:p>
    <w:p w14:paraId="3F79665A">
      <w:pPr>
        <w:spacing w:line="300" w:lineRule="auto"/>
        <w:ind w:firstLine="1792" w:firstLineChars="850"/>
        <w:jc w:val="both"/>
        <w:outlineLvl w:val="2"/>
        <w:rPr>
          <w:rFonts w:ascii="宋体" w:hAnsi="宋体" w:cs="宋体"/>
          <w:b/>
          <w:color w:val="auto"/>
          <w:sz w:val="21"/>
          <w:szCs w:val="21"/>
          <w:highlight w:val="none"/>
        </w:rPr>
      </w:pPr>
      <w:r>
        <w:rPr>
          <w:rFonts w:hint="eastAsia" w:ascii="宋体" w:hAnsi="宋体" w:cs="宋体"/>
          <w:b/>
          <w:color w:val="auto"/>
          <w:sz w:val="21"/>
          <w:szCs w:val="21"/>
          <w:highlight w:val="none"/>
        </w:rPr>
        <w:t>（本项无格式，由磋商供应商自行提供）</w:t>
      </w:r>
    </w:p>
    <w:p w14:paraId="47EAAC36">
      <w:pPr>
        <w:spacing w:line="300" w:lineRule="auto"/>
        <w:ind w:firstLine="525" w:firstLineChars="250"/>
        <w:rPr>
          <w:rFonts w:ascii="宋体" w:hAnsi="宋体" w:cs="宋体"/>
          <w:bCs/>
          <w:color w:val="auto"/>
          <w:sz w:val="21"/>
          <w:szCs w:val="21"/>
          <w:highlight w:val="none"/>
        </w:rPr>
      </w:pPr>
    </w:p>
    <w:p w14:paraId="36833B86">
      <w:pPr>
        <w:pStyle w:val="73"/>
        <w:spacing w:before="0" w:after="0" w:line="460" w:lineRule="exact"/>
        <w:ind w:right="23"/>
        <w:jc w:val="both"/>
        <w:rPr>
          <w:rFonts w:ascii="宋体" w:hAnsi="宋体" w:eastAsia="宋体" w:cs="宋体"/>
          <w:color w:val="auto"/>
          <w:sz w:val="21"/>
          <w:szCs w:val="21"/>
          <w:highlight w:val="none"/>
        </w:rPr>
      </w:pPr>
    </w:p>
    <w:p w14:paraId="2353CCE3">
      <w:pPr>
        <w:pStyle w:val="73"/>
        <w:spacing w:before="0" w:after="0" w:line="460" w:lineRule="exact"/>
        <w:ind w:left="0" w:right="23"/>
        <w:jc w:val="both"/>
        <w:rPr>
          <w:rFonts w:ascii="宋体" w:hAnsi="宋体" w:eastAsia="宋体" w:cs="宋体"/>
          <w:color w:val="auto"/>
          <w:sz w:val="21"/>
          <w:szCs w:val="21"/>
          <w:highlight w:val="none"/>
        </w:rPr>
      </w:pPr>
    </w:p>
    <w:p w14:paraId="326AD70C">
      <w:pPr>
        <w:pStyle w:val="73"/>
        <w:spacing w:before="0" w:after="0" w:line="460" w:lineRule="exact"/>
        <w:ind w:left="0" w:right="23"/>
        <w:jc w:val="both"/>
        <w:rPr>
          <w:rFonts w:ascii="宋体" w:hAnsi="宋体" w:eastAsia="宋体" w:cs="宋体"/>
          <w:color w:val="auto"/>
          <w:sz w:val="21"/>
          <w:szCs w:val="21"/>
          <w:highlight w:val="none"/>
        </w:rPr>
      </w:pPr>
    </w:p>
    <w:p w14:paraId="3E9FBE4D">
      <w:pPr>
        <w:pStyle w:val="73"/>
        <w:spacing w:before="0" w:after="0" w:line="460" w:lineRule="exact"/>
        <w:ind w:left="0" w:right="23"/>
        <w:jc w:val="both"/>
        <w:rPr>
          <w:rFonts w:ascii="宋体" w:hAnsi="宋体" w:eastAsia="宋体" w:cs="宋体"/>
          <w:color w:val="auto"/>
          <w:sz w:val="21"/>
          <w:szCs w:val="21"/>
          <w:highlight w:val="none"/>
        </w:rPr>
      </w:pPr>
    </w:p>
    <w:p w14:paraId="5E692D1D">
      <w:pPr>
        <w:spacing w:line="360" w:lineRule="auto"/>
        <w:rPr>
          <w:color w:val="auto"/>
          <w:sz w:val="21"/>
          <w:szCs w:val="21"/>
          <w:highlight w:val="none"/>
        </w:rPr>
      </w:pPr>
      <w:r>
        <w:rPr>
          <w:rFonts w:hAnsi="宋体"/>
          <w:color w:val="auto"/>
          <w:sz w:val="21"/>
          <w:szCs w:val="21"/>
          <w:highlight w:val="none"/>
        </w:rPr>
        <w:t>供应商全称（加盖单位</w:t>
      </w:r>
      <w:r>
        <w:rPr>
          <w:rFonts w:hint="eastAsia" w:hAnsi="宋体"/>
          <w:color w:val="auto"/>
          <w:sz w:val="21"/>
          <w:szCs w:val="21"/>
          <w:highlight w:val="none"/>
          <w:lang w:eastAsia="zh-CN"/>
        </w:rPr>
        <w:t>公章</w:t>
      </w:r>
      <w:r>
        <w:rPr>
          <w:rFonts w:hAnsi="宋体"/>
          <w:color w:val="auto"/>
          <w:sz w:val="21"/>
          <w:szCs w:val="21"/>
          <w:highlight w:val="none"/>
        </w:rPr>
        <w:t>）：</w:t>
      </w:r>
      <w:r>
        <w:rPr>
          <w:rFonts w:hAnsi="宋体"/>
          <w:color w:val="auto"/>
          <w:sz w:val="21"/>
          <w:szCs w:val="21"/>
          <w:highlight w:val="none"/>
          <w:u w:val="single"/>
        </w:rPr>
        <w:t>　　　　　　　　　　　　</w:t>
      </w:r>
    </w:p>
    <w:p w14:paraId="3433CCA7">
      <w:pPr>
        <w:pStyle w:val="73"/>
        <w:spacing w:before="0" w:after="0" w:line="460" w:lineRule="exact"/>
        <w:ind w:left="0" w:right="23"/>
        <w:rPr>
          <w:rFonts w:hAnsi="宋体"/>
          <w:color w:val="auto"/>
          <w:sz w:val="21"/>
          <w:szCs w:val="21"/>
          <w:highlight w:val="none"/>
          <w:u w:val="single"/>
        </w:rPr>
      </w:pPr>
      <w:r>
        <w:rPr>
          <w:rFonts w:hAnsi="宋体"/>
          <w:color w:val="auto"/>
          <w:sz w:val="21"/>
          <w:szCs w:val="21"/>
          <w:highlight w:val="none"/>
        </w:rPr>
        <w:t>法定代表人或其委托代理人（签字或盖章）：</w:t>
      </w:r>
      <w:r>
        <w:rPr>
          <w:rFonts w:hAnsi="宋体"/>
          <w:color w:val="auto"/>
          <w:sz w:val="21"/>
          <w:szCs w:val="21"/>
          <w:highlight w:val="none"/>
          <w:u w:val="single"/>
        </w:rPr>
        <w:t>　　　　　　　　　　</w:t>
      </w:r>
    </w:p>
    <w:p w14:paraId="0C4F1A91">
      <w:pPr>
        <w:pStyle w:val="73"/>
        <w:spacing w:before="0" w:after="0" w:line="460" w:lineRule="exact"/>
        <w:ind w:left="0" w:right="2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F2FE967">
      <w:pPr>
        <w:rPr>
          <w:rFonts w:ascii="宋体" w:hAnsi="宋体" w:eastAsia="宋体" w:cs="宋体"/>
          <w:b/>
          <w:bCs/>
          <w:color w:val="auto"/>
          <w:kern w:val="0"/>
          <w:sz w:val="21"/>
          <w:szCs w:val="21"/>
          <w:highlight w:val="none"/>
        </w:rPr>
      </w:pPr>
    </w:p>
    <w:p w14:paraId="6EA39BAD">
      <w:pPr>
        <w:rPr>
          <w:rFonts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br w:type="page"/>
      </w:r>
    </w:p>
    <w:p w14:paraId="03405F94">
      <w:pPr>
        <w:spacing w:line="460" w:lineRule="exact"/>
        <w:jc w:val="center"/>
        <w:outlineLvl w:val="1"/>
        <w:rPr>
          <w:rFonts w:ascii="宋体" w:hAnsi="宋体" w:eastAsia="宋体" w:cs="宋体"/>
          <w:b/>
          <w:bCs/>
          <w:color w:val="auto"/>
          <w:kern w:val="0"/>
          <w:sz w:val="21"/>
          <w:szCs w:val="21"/>
          <w:highlight w:val="none"/>
        </w:rPr>
      </w:pPr>
      <w:bookmarkStart w:id="788" w:name="_Toc7962"/>
      <w:r>
        <w:rPr>
          <w:rFonts w:hint="eastAsia" w:ascii="宋体" w:hAnsi="宋体" w:eastAsia="宋体" w:cs="宋体"/>
          <w:b/>
          <w:bCs/>
          <w:color w:val="auto"/>
          <w:kern w:val="0"/>
          <w:sz w:val="21"/>
          <w:szCs w:val="21"/>
          <w:highlight w:val="none"/>
        </w:rPr>
        <w:t>三、磋商响应承诺书</w:t>
      </w:r>
      <w:bookmarkEnd w:id="788"/>
    </w:p>
    <w:p w14:paraId="3DD2DB03">
      <w:pPr>
        <w:pStyle w:val="21"/>
        <w:ind w:left="0" w:leftChars="0" w:firstLine="0" w:firstLineChars="0"/>
        <w:rPr>
          <w:rFonts w:ascii="宋体" w:hAnsi="宋体" w:cs="宋体"/>
          <w:color w:val="auto"/>
          <w:sz w:val="21"/>
          <w:szCs w:val="21"/>
          <w:highlight w:val="none"/>
        </w:rPr>
      </w:pPr>
    </w:p>
    <w:p w14:paraId="14813250">
      <w:pPr>
        <w:spacing w:line="4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eastAsia="zh-CN"/>
        </w:rPr>
        <w:t>（采购人）</w:t>
      </w:r>
      <w:r>
        <w:rPr>
          <w:rFonts w:hint="eastAsia" w:ascii="宋体" w:hAnsi="宋体" w:eastAsia="宋体" w:cs="宋体"/>
          <w:color w:val="auto"/>
          <w:sz w:val="21"/>
          <w:szCs w:val="21"/>
          <w:highlight w:val="none"/>
          <w:u w:val="single"/>
        </w:rPr>
        <w:t xml:space="preserve"> </w:t>
      </w:r>
    </w:p>
    <w:p w14:paraId="529CC6DF">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w:t>
      </w:r>
      <w:r>
        <w:rPr>
          <w:rFonts w:hint="eastAsia" w:ascii="宋体" w:hAnsi="宋体" w:eastAsia="宋体" w:cs="宋体"/>
          <w:color w:val="auto"/>
          <w:sz w:val="21"/>
          <w:szCs w:val="21"/>
          <w:highlight w:val="none"/>
          <w:lang w:eastAsia="zh-CN"/>
        </w:rPr>
        <w:t>组织</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招标编号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），经详细研究，决定参加该项目的</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，并提交相应响应文件。</w:t>
      </w:r>
    </w:p>
    <w:p w14:paraId="118F21BB">
      <w:pPr>
        <w:autoSpaceDE w:val="0"/>
        <w:autoSpaceDN w:val="0"/>
        <w:adjustRightInd w:val="0"/>
        <w:spacing w:line="460" w:lineRule="exact"/>
        <w:ind w:right="246"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承诺如下</w:t>
      </w:r>
      <w:r>
        <w:rPr>
          <w:rFonts w:hint="eastAsia" w:ascii="宋体" w:hAnsi="宋体" w:eastAsia="宋体" w:cs="宋体"/>
          <w:color w:val="auto"/>
          <w:kern w:val="0"/>
          <w:sz w:val="21"/>
          <w:szCs w:val="21"/>
          <w:highlight w:val="none"/>
        </w:rPr>
        <w:t>：</w:t>
      </w:r>
    </w:p>
    <w:p w14:paraId="63D9B234">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1、我公司符合《政府采购法》第二十二条的规定。</w:t>
      </w:r>
    </w:p>
    <w:p w14:paraId="400B30D8">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磋商有效期</w:t>
      </w:r>
      <w:r>
        <w:rPr>
          <w:rFonts w:hint="eastAsia" w:ascii="宋体" w:hAnsi="宋体" w:eastAsia="宋体" w:cs="宋体"/>
          <w:color w:val="auto"/>
          <w:sz w:val="21"/>
          <w:szCs w:val="21"/>
          <w:highlight w:val="none"/>
        </w:rPr>
        <w:t>为递交响应文件截止日起90天。</w:t>
      </w:r>
    </w:p>
    <w:p w14:paraId="0F35FCF5">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3.我方已经详细地阅读了全部</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及其附件，包括澄清及更正文件。我方已完全清晰理解</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的要求，不存在任何含糊不清和误解之处，同意放弃对这些文件所提出异议和质疑的权利。</w:t>
      </w:r>
    </w:p>
    <w:p w14:paraId="601D2909">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.我方承诺在本次响应文件中提供的一切文件</w:t>
      </w:r>
      <w:r>
        <w:rPr>
          <w:rFonts w:hint="eastAsia" w:ascii="宋体" w:hAnsi="宋体" w:eastAsia="宋体" w:cs="宋体"/>
          <w:color w:val="auto"/>
          <w:sz w:val="21"/>
          <w:szCs w:val="21"/>
          <w:highlight w:val="none"/>
          <w:lang w:eastAsia="zh-CN"/>
        </w:rPr>
        <w:t>、材料</w:t>
      </w:r>
      <w:r>
        <w:rPr>
          <w:rFonts w:hint="eastAsia" w:ascii="宋体" w:hAnsi="宋体" w:eastAsia="宋体" w:cs="宋体"/>
          <w:color w:val="auto"/>
          <w:sz w:val="21"/>
          <w:szCs w:val="21"/>
          <w:highlight w:val="none"/>
        </w:rPr>
        <w:t>均为真实和准确的，绝无任何虚假、伪造和夸大的成份，否则，愿承担相应的后果和法律责任。</w:t>
      </w:r>
    </w:p>
    <w:p w14:paraId="473B1C6B">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.我方完全服从和尊重磋商小组所作的成交结果。</w:t>
      </w:r>
    </w:p>
    <w:p w14:paraId="5070BA0D">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.我方所供服务质量达到国家及行业验收合格标准。</w:t>
      </w:r>
    </w:p>
    <w:p w14:paraId="55328196">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.完全满足</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的实质性条款。</w:t>
      </w:r>
    </w:p>
    <w:p w14:paraId="6C1865F3">
      <w:pPr>
        <w:pStyle w:val="34"/>
        <w:spacing w:line="500" w:lineRule="exact"/>
        <w:ind w:firstLine="420" w:firstLineChars="200"/>
        <w:rPr>
          <w:rFonts w:cs="宋体"/>
          <w:color w:val="auto"/>
          <w:sz w:val="21"/>
          <w:szCs w:val="21"/>
          <w:highlight w:val="none"/>
        </w:rPr>
      </w:pPr>
      <w:r>
        <w:rPr>
          <w:rFonts w:hint="eastAsia" w:cs="宋体"/>
          <w:color w:val="auto"/>
          <w:sz w:val="21"/>
          <w:szCs w:val="21"/>
          <w:highlight w:val="none"/>
          <w:lang w:val="en-US" w:eastAsia="zh-CN"/>
        </w:rPr>
        <w:t>8</w:t>
      </w:r>
      <w:r>
        <w:rPr>
          <w:rFonts w:hint="eastAsia" w:cs="宋体"/>
          <w:color w:val="auto"/>
          <w:sz w:val="21"/>
          <w:szCs w:val="21"/>
          <w:highlight w:val="none"/>
        </w:rPr>
        <w:t xml:space="preserve">.不存在供应商须知“1.4.3 供应商不得存在下列情形之一”规定的情形： </w:t>
      </w:r>
    </w:p>
    <w:p w14:paraId="679E1073">
      <w:pPr>
        <w:spacing w:line="50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.一旦我方成交，我们将根据</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、响应文件及其有效补充文件的规定，严格按照《</w:t>
      </w:r>
      <w:r>
        <w:rPr>
          <w:rFonts w:hint="eastAsia" w:ascii="宋体" w:hAnsi="宋体" w:eastAsia="宋体" w:cs="宋体"/>
          <w:color w:val="auto"/>
          <w:sz w:val="21"/>
          <w:szCs w:val="21"/>
          <w:highlight w:val="none"/>
          <w:lang w:eastAsia="zh-CN"/>
        </w:rPr>
        <w:t>中华人民共和国民法典</w:t>
      </w:r>
      <w:r>
        <w:rPr>
          <w:rFonts w:hint="eastAsia" w:ascii="宋体" w:hAnsi="宋体" w:eastAsia="宋体" w:cs="宋体"/>
          <w:color w:val="auto"/>
          <w:sz w:val="21"/>
          <w:szCs w:val="21"/>
          <w:highlight w:val="none"/>
        </w:rPr>
        <w:t xml:space="preserve">》履行自己的责任和义务。 </w:t>
      </w:r>
    </w:p>
    <w:p w14:paraId="4CA22A28">
      <w:pPr>
        <w:spacing w:line="360" w:lineRule="auto"/>
        <w:ind w:firstLine="420" w:firstLineChars="200"/>
        <w:rPr>
          <w:color w:val="auto"/>
          <w:sz w:val="21"/>
          <w:szCs w:val="21"/>
          <w:highlight w:val="none"/>
        </w:rPr>
      </w:pPr>
      <w:r>
        <w:rPr>
          <w:rFonts w:hAnsi="宋体"/>
          <w:color w:val="auto"/>
          <w:sz w:val="21"/>
          <w:szCs w:val="21"/>
          <w:highlight w:val="none"/>
        </w:rPr>
        <w:t>供应商全称（加盖单位</w:t>
      </w:r>
      <w:r>
        <w:rPr>
          <w:rFonts w:hint="eastAsia" w:hAnsi="宋体"/>
          <w:color w:val="auto"/>
          <w:sz w:val="21"/>
          <w:szCs w:val="21"/>
          <w:highlight w:val="none"/>
          <w:lang w:eastAsia="zh-CN"/>
        </w:rPr>
        <w:t>公章</w:t>
      </w:r>
      <w:r>
        <w:rPr>
          <w:rFonts w:hAnsi="宋体"/>
          <w:color w:val="auto"/>
          <w:sz w:val="21"/>
          <w:szCs w:val="21"/>
          <w:highlight w:val="none"/>
        </w:rPr>
        <w:t>）：</w:t>
      </w:r>
      <w:r>
        <w:rPr>
          <w:rFonts w:hAnsi="宋体"/>
          <w:color w:val="auto"/>
          <w:sz w:val="21"/>
          <w:szCs w:val="21"/>
          <w:highlight w:val="none"/>
          <w:u w:val="single"/>
        </w:rPr>
        <w:t>　　　　　　　　　　　　</w:t>
      </w:r>
    </w:p>
    <w:p w14:paraId="0901EAE9">
      <w:pPr>
        <w:spacing w:line="460" w:lineRule="exact"/>
        <w:ind w:firstLine="420" w:firstLineChars="200"/>
        <w:rPr>
          <w:rFonts w:ascii="宋体" w:hAnsi="宋体" w:eastAsia="宋体" w:cs="宋体"/>
          <w:color w:val="auto"/>
          <w:sz w:val="21"/>
          <w:szCs w:val="21"/>
          <w:highlight w:val="none"/>
        </w:rPr>
      </w:pPr>
      <w:r>
        <w:rPr>
          <w:rFonts w:hAnsi="宋体"/>
          <w:color w:val="auto"/>
          <w:sz w:val="21"/>
          <w:szCs w:val="21"/>
          <w:highlight w:val="none"/>
        </w:rPr>
        <w:t>法定代表人或其委托代理人（签字或盖章）：</w:t>
      </w:r>
      <w:r>
        <w:rPr>
          <w:rFonts w:hAnsi="宋体"/>
          <w:color w:val="auto"/>
          <w:sz w:val="21"/>
          <w:szCs w:val="21"/>
          <w:highlight w:val="none"/>
          <w:u w:val="single"/>
        </w:rPr>
        <w:t>　　　　　　　　　　</w:t>
      </w:r>
      <w:r>
        <w:rPr>
          <w:rFonts w:hint="eastAsia" w:ascii="宋体" w:hAnsi="宋体" w:eastAsia="宋体" w:cs="宋体"/>
          <w:color w:val="auto"/>
          <w:sz w:val="21"/>
          <w:szCs w:val="21"/>
          <w:highlight w:val="none"/>
        </w:rPr>
        <w:t xml:space="preserve">  </w:t>
      </w:r>
    </w:p>
    <w:p w14:paraId="64E61BA1">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20C3C59">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4311761">
      <w:pPr>
        <w:spacing w:line="460" w:lineRule="exact"/>
        <w:ind w:firstLine="420" w:firstLineChars="200"/>
        <w:rPr>
          <w:rFonts w:ascii="宋体" w:hAnsi="宋体" w:eastAsia="宋体" w:cs="宋体"/>
          <w:color w:val="auto"/>
          <w:sz w:val="21"/>
          <w:szCs w:val="21"/>
          <w:highlight w:val="none"/>
          <w:u w:val="single"/>
        </w:rPr>
        <w:sectPr>
          <w:pgSz w:w="11906" w:h="16838"/>
          <w:pgMar w:top="1440" w:right="1440" w:bottom="1440" w:left="1440" w:header="851" w:footer="992" w:gutter="0"/>
          <w:pgNumType w:fmt="decimal"/>
          <w:cols w:space="0" w:num="1"/>
          <w:docGrid w:type="lines" w:linePitch="312" w:charSpace="0"/>
        </w:sectPr>
      </w:pPr>
      <w:r>
        <w:rPr>
          <w:rFonts w:hint="eastAsia" w:ascii="宋体" w:hAnsi="宋体" w:eastAsia="宋体" w:cs="宋体"/>
          <w:color w:val="auto"/>
          <w:sz w:val="21"/>
          <w:szCs w:val="21"/>
          <w:highlight w:val="none"/>
        </w:rPr>
        <w:t xml:space="preserve">                                     日    期：</w:t>
      </w:r>
      <w:r>
        <w:rPr>
          <w:rFonts w:hint="eastAsia" w:ascii="宋体" w:hAnsi="宋体" w:eastAsia="宋体" w:cs="宋体"/>
          <w:color w:val="auto"/>
          <w:sz w:val="21"/>
          <w:szCs w:val="21"/>
          <w:highlight w:val="none"/>
          <w:u w:val="single"/>
        </w:rPr>
        <w:t xml:space="preserve">                     </w:t>
      </w:r>
    </w:p>
    <w:p w14:paraId="089EDC98">
      <w:pPr>
        <w:spacing w:line="500" w:lineRule="exact"/>
        <w:ind w:firstLine="422" w:firstLineChars="200"/>
        <w:jc w:val="center"/>
        <w:outlineLvl w:val="1"/>
        <w:rPr>
          <w:rFonts w:ascii="宋体" w:hAnsi="宋体" w:eastAsia="宋体" w:cs="宋体"/>
          <w:b/>
          <w:color w:val="auto"/>
          <w:sz w:val="21"/>
          <w:szCs w:val="21"/>
          <w:highlight w:val="none"/>
        </w:rPr>
      </w:pPr>
      <w:bookmarkStart w:id="789" w:name="_Toc12154"/>
      <w:r>
        <w:rPr>
          <w:rFonts w:hint="eastAsia" w:ascii="宋体" w:hAnsi="宋体" w:eastAsia="宋体" w:cs="宋体"/>
          <w:b/>
          <w:color w:val="auto"/>
          <w:sz w:val="21"/>
          <w:szCs w:val="21"/>
          <w:highlight w:val="none"/>
        </w:rPr>
        <w:t>四、法定代表人资格证明及供应商法定代表人授权书</w:t>
      </w:r>
      <w:bookmarkEnd w:id="789"/>
    </w:p>
    <w:p w14:paraId="56DC61E4">
      <w:pPr>
        <w:spacing w:line="460" w:lineRule="exact"/>
        <w:rPr>
          <w:rFonts w:ascii="宋体" w:hAnsi="宋体" w:eastAsia="宋体" w:cs="宋体"/>
          <w:color w:val="auto"/>
          <w:sz w:val="21"/>
          <w:szCs w:val="21"/>
          <w:highlight w:val="none"/>
          <w:u w:val="single"/>
        </w:rPr>
      </w:pPr>
    </w:p>
    <w:p w14:paraId="466FD14A">
      <w:pPr>
        <w:spacing w:line="460" w:lineRule="exact"/>
        <w:ind w:firstLine="422" w:firstLineChars="200"/>
        <w:jc w:val="center"/>
        <w:outlineLvl w:val="2"/>
        <w:rPr>
          <w:rFonts w:ascii="宋体" w:hAnsi="宋体" w:eastAsia="宋体" w:cs="宋体"/>
          <w:b/>
          <w:color w:val="auto"/>
          <w:sz w:val="21"/>
          <w:szCs w:val="21"/>
          <w:highlight w:val="none"/>
        </w:rPr>
      </w:pPr>
      <w:bookmarkStart w:id="790" w:name="_Toc18836"/>
      <w:bookmarkStart w:id="791" w:name="_Toc24766"/>
      <w:bookmarkStart w:id="792" w:name="_Toc3227"/>
      <w:r>
        <w:rPr>
          <w:rFonts w:hint="eastAsia" w:ascii="宋体" w:hAnsi="宋体" w:eastAsia="宋体" w:cs="宋体"/>
          <w:b/>
          <w:color w:val="auto"/>
          <w:sz w:val="21"/>
          <w:szCs w:val="21"/>
          <w:highlight w:val="none"/>
        </w:rPr>
        <w:t>法定代表人资格证明书</w:t>
      </w:r>
      <w:bookmarkEnd w:id="790"/>
      <w:bookmarkEnd w:id="791"/>
      <w:bookmarkEnd w:id="792"/>
    </w:p>
    <w:p w14:paraId="6AD0FA19">
      <w:pPr>
        <w:spacing w:line="460" w:lineRule="exact"/>
        <w:rPr>
          <w:rFonts w:ascii="宋体" w:hAnsi="宋体" w:eastAsia="宋体" w:cs="宋体"/>
          <w:color w:val="auto"/>
          <w:sz w:val="21"/>
          <w:szCs w:val="21"/>
          <w:highlight w:val="none"/>
        </w:rPr>
      </w:pPr>
    </w:p>
    <w:p w14:paraId="4BE578B3">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r>
        <w:rPr>
          <w:rFonts w:hint="eastAsia" w:ascii="宋体" w:hAnsi="宋体" w:eastAsia="宋体" w:cs="宋体"/>
          <w:color w:val="auto"/>
          <w:sz w:val="21"/>
          <w:szCs w:val="21"/>
          <w:highlight w:val="none"/>
          <w:u w:val="single"/>
        </w:rPr>
        <w:t xml:space="preserve">                                                        </w:t>
      </w:r>
    </w:p>
    <w:p w14:paraId="6C3BF56B">
      <w:pPr>
        <w:spacing w:line="460" w:lineRule="exact"/>
        <w:ind w:firstLine="420" w:firstLineChars="200"/>
        <w:rPr>
          <w:rFonts w:ascii="宋体" w:hAnsi="宋体" w:eastAsia="宋体" w:cs="宋体"/>
          <w:color w:val="auto"/>
          <w:sz w:val="21"/>
          <w:szCs w:val="21"/>
          <w:highlight w:val="none"/>
        </w:rPr>
      </w:pPr>
    </w:p>
    <w:p w14:paraId="1842AA05">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softHyphen/>
      </w:r>
      <w:r>
        <w:rPr>
          <w:rFonts w:hint="eastAsia" w:ascii="宋体" w:hAnsi="宋体" w:eastAsia="宋体" w:cs="宋体"/>
          <w:color w:val="auto"/>
          <w:sz w:val="21"/>
          <w:szCs w:val="21"/>
          <w:highlight w:val="none"/>
          <w:u w:val="single"/>
        </w:rPr>
        <w:softHyphen/>
      </w:r>
      <w:r>
        <w:rPr>
          <w:rFonts w:hint="eastAsia" w:ascii="宋体" w:hAnsi="宋体" w:eastAsia="宋体" w:cs="宋体"/>
          <w:color w:val="auto"/>
          <w:sz w:val="21"/>
          <w:szCs w:val="21"/>
          <w:highlight w:val="none"/>
          <w:u w:val="single"/>
        </w:rPr>
        <w:t xml:space="preserve">                                                              </w:t>
      </w:r>
    </w:p>
    <w:p w14:paraId="1F005C03">
      <w:pPr>
        <w:spacing w:line="460" w:lineRule="exact"/>
        <w:ind w:firstLine="420" w:firstLineChars="200"/>
        <w:rPr>
          <w:rFonts w:ascii="宋体" w:hAnsi="宋体" w:eastAsia="宋体" w:cs="宋体"/>
          <w:color w:val="auto"/>
          <w:sz w:val="21"/>
          <w:szCs w:val="21"/>
          <w:highlight w:val="none"/>
        </w:rPr>
      </w:pPr>
    </w:p>
    <w:p w14:paraId="7DC19924">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p>
    <w:p w14:paraId="305071A7">
      <w:pPr>
        <w:spacing w:line="460" w:lineRule="exact"/>
        <w:ind w:firstLine="420" w:firstLineChars="200"/>
        <w:rPr>
          <w:rFonts w:ascii="宋体" w:hAnsi="宋体" w:eastAsia="宋体" w:cs="宋体"/>
          <w:color w:val="auto"/>
          <w:sz w:val="21"/>
          <w:szCs w:val="21"/>
          <w:highlight w:val="none"/>
        </w:rPr>
      </w:pPr>
    </w:p>
    <w:p w14:paraId="2AEC0AA7">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（供应商）的法定代表人。</w:t>
      </w:r>
    </w:p>
    <w:p w14:paraId="2FD911E7">
      <w:pPr>
        <w:spacing w:line="460" w:lineRule="exact"/>
        <w:rPr>
          <w:rFonts w:ascii="宋体" w:hAnsi="宋体" w:eastAsia="宋体" w:cs="宋体"/>
          <w:color w:val="auto"/>
          <w:sz w:val="21"/>
          <w:szCs w:val="21"/>
          <w:highlight w:val="none"/>
        </w:rPr>
      </w:pPr>
    </w:p>
    <w:p w14:paraId="758FBF57">
      <w:pPr>
        <w:spacing w:line="460" w:lineRule="exact"/>
        <w:ind w:firstLine="1260" w:firstLineChars="6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431A2F22">
      <w:pPr>
        <w:spacing w:line="460" w:lineRule="exact"/>
        <w:rPr>
          <w:rFonts w:ascii="宋体" w:hAnsi="宋体" w:eastAsia="宋体" w:cs="宋体"/>
          <w:color w:val="auto"/>
          <w:sz w:val="21"/>
          <w:szCs w:val="21"/>
          <w:highlight w:val="none"/>
        </w:rPr>
      </w:pPr>
    </w:p>
    <w:p w14:paraId="0A8582A7">
      <w:pPr>
        <w:spacing w:line="460" w:lineRule="exact"/>
        <w:ind w:firstLine="4095" w:firstLineChars="195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供应商全称（加盖单位</w:t>
      </w:r>
      <w:r>
        <w:rPr>
          <w:rFonts w:hint="eastAsia" w:ascii="宋体" w:hAnsi="宋体" w:eastAsia="宋体" w:cs="宋体"/>
          <w:color w:val="auto"/>
          <w:sz w:val="21"/>
          <w:szCs w:val="21"/>
          <w:highlight w:val="none"/>
          <w:lang w:eastAsia="zh-CN"/>
        </w:rPr>
        <w:t>公章</w:t>
      </w:r>
      <w:r>
        <w:rPr>
          <w:rFonts w:hint="eastAsia" w:ascii="宋体" w:hAnsi="宋体" w:eastAsia="宋体" w:cs="宋体"/>
          <w:color w:val="auto"/>
          <w:sz w:val="21"/>
          <w:szCs w:val="21"/>
          <w:highlight w:val="none"/>
        </w:rPr>
        <w:t xml:space="preserve">）：   </w:t>
      </w:r>
    </w:p>
    <w:p w14:paraId="6D8582C3">
      <w:pPr>
        <w:spacing w:line="460" w:lineRule="exact"/>
        <w:ind w:firstLine="420" w:firstLineChars="200"/>
        <w:rPr>
          <w:rFonts w:ascii="宋体" w:hAnsi="宋体" w:eastAsia="宋体" w:cs="宋体"/>
          <w:color w:val="auto"/>
          <w:sz w:val="21"/>
          <w:szCs w:val="21"/>
          <w:highlight w:val="none"/>
        </w:rPr>
      </w:pPr>
    </w:p>
    <w:p w14:paraId="42F6316A">
      <w:pPr>
        <w:spacing w:line="4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Times New Roman" w:hAnsi="Times New Roman" w:eastAsia="宋体" w:cs="Times New Roman"/>
          <w:color w:val="auto"/>
          <w:sz w:val="21"/>
          <w:szCs w:val="21"/>
          <w:highlight w:val="none"/>
        </w:rPr>
        <w:t>日期：</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年</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月</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日</w:t>
      </w:r>
    </w:p>
    <w:p w14:paraId="6E6EB6EE">
      <w:pPr>
        <w:pStyle w:val="21"/>
        <w:rPr>
          <w:rFonts w:ascii="宋体" w:hAnsi="宋体" w:cs="宋体"/>
          <w:color w:val="auto"/>
          <w:sz w:val="21"/>
          <w:szCs w:val="21"/>
          <w:highlight w:val="none"/>
        </w:rPr>
      </w:pPr>
    </w:p>
    <w:p w14:paraId="7485BBD8">
      <w:pPr>
        <w:spacing w:line="500" w:lineRule="exact"/>
        <w:jc w:val="center"/>
        <w:rPr>
          <w:rFonts w:ascii="宋体" w:hAnsi="宋体" w:eastAsia="宋体" w:cs="宋体"/>
          <w:b/>
          <w:color w:val="auto"/>
          <w:sz w:val="21"/>
          <w:szCs w:val="21"/>
          <w:highlight w:val="none"/>
        </w:rPr>
      </w:pPr>
    </w:p>
    <w:p w14:paraId="6B020335">
      <w:pPr>
        <w:spacing w:line="500" w:lineRule="exact"/>
        <w:jc w:val="center"/>
        <w:outlineLvl w:val="1"/>
        <w:rPr>
          <w:rFonts w:ascii="宋体" w:hAnsi="宋体" w:eastAsia="宋体" w:cs="宋体"/>
          <w:b/>
          <w:color w:val="auto"/>
          <w:sz w:val="21"/>
          <w:szCs w:val="21"/>
          <w:highlight w:val="none"/>
        </w:rPr>
        <w:sectPr>
          <w:pgSz w:w="11906" w:h="16838"/>
          <w:pgMar w:top="1440" w:right="1440" w:bottom="1440" w:left="1440" w:header="851" w:footer="992" w:gutter="0"/>
          <w:pgNumType w:fmt="decimal"/>
          <w:cols w:space="0" w:num="1"/>
          <w:docGrid w:type="lines" w:linePitch="312" w:charSpace="0"/>
        </w:sectPr>
      </w:pPr>
      <w:bookmarkStart w:id="793" w:name="_Toc23717"/>
      <w:bookmarkStart w:id="794" w:name="_Toc11047"/>
      <w:bookmarkStart w:id="795" w:name="_Toc22245"/>
      <w:r>
        <w:rPr>
          <w:rFonts w:hint="eastAsia" w:ascii="宋体" w:hAnsi="宋体" w:eastAsia="宋体" w:cs="宋体"/>
          <w:b/>
          <w:color w:val="auto"/>
          <w:sz w:val="21"/>
          <w:szCs w:val="21"/>
          <w:highlight w:val="none"/>
        </w:rPr>
        <w:t>注：附法定代表人身份证（正、反面）扫描件。</w:t>
      </w:r>
      <w:bookmarkEnd w:id="793"/>
      <w:bookmarkEnd w:id="794"/>
      <w:bookmarkEnd w:id="795"/>
    </w:p>
    <w:p w14:paraId="0A5E7A02">
      <w:pPr>
        <w:spacing w:line="460" w:lineRule="exact"/>
        <w:ind w:firstLine="422" w:firstLineChars="200"/>
        <w:jc w:val="center"/>
        <w:outlineLvl w:val="1"/>
        <w:rPr>
          <w:rFonts w:hint="eastAsia" w:ascii="宋体" w:hAnsi="宋体" w:eastAsia="宋体" w:cs="宋体"/>
          <w:b/>
          <w:color w:val="auto"/>
          <w:sz w:val="21"/>
          <w:szCs w:val="21"/>
          <w:highlight w:val="none"/>
        </w:rPr>
      </w:pPr>
      <w:bookmarkStart w:id="796" w:name="_Toc19366"/>
      <w:r>
        <w:rPr>
          <w:rFonts w:hint="eastAsia" w:ascii="宋体" w:hAnsi="宋体" w:eastAsia="宋体" w:cs="宋体"/>
          <w:b/>
          <w:color w:val="auto"/>
          <w:sz w:val="21"/>
          <w:szCs w:val="21"/>
          <w:highlight w:val="none"/>
        </w:rPr>
        <w:t>法定代表人授权书</w:t>
      </w:r>
      <w:bookmarkEnd w:id="796"/>
    </w:p>
    <w:p w14:paraId="223AF7DD">
      <w:pPr>
        <w:spacing w:after="120"/>
        <w:ind w:left="420" w:leftChars="200" w:firstLine="420" w:firstLineChars="200"/>
        <w:rPr>
          <w:rFonts w:ascii="宋体" w:hAnsi="宋体" w:eastAsia="宋体" w:cs="宋体"/>
          <w:color w:val="auto"/>
          <w:kern w:val="0"/>
          <w:sz w:val="21"/>
          <w:szCs w:val="21"/>
          <w:highlight w:val="none"/>
        </w:rPr>
      </w:pPr>
    </w:p>
    <w:p w14:paraId="4A9A279B">
      <w:pPr>
        <w:spacing w:line="480" w:lineRule="auto"/>
        <w:ind w:firstLine="420" w:firstLineChars="200"/>
        <w:rPr>
          <w:rFonts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本授权委托书声明：我</w:t>
      </w:r>
      <w:r>
        <w:rPr>
          <w:rFonts w:hint="eastAsia" w:ascii="宋体" w:hAnsi="宋体" w:eastAsia="宋体" w:cs="宋体"/>
          <w:color w:val="auto"/>
          <w:sz w:val="21"/>
          <w:szCs w:val="21"/>
          <w:highlight w:val="none"/>
          <w:u w:val="single"/>
        </w:rPr>
        <w:t xml:space="preserve">(姓名)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(供应商名称)  </w:t>
      </w:r>
      <w:r>
        <w:rPr>
          <w:rFonts w:hint="eastAsia" w:ascii="宋体" w:hAnsi="宋体" w:eastAsia="宋体" w:cs="宋体"/>
          <w:color w:val="auto"/>
          <w:sz w:val="21"/>
          <w:szCs w:val="21"/>
          <w:highlight w:val="none"/>
        </w:rPr>
        <w:t>的法定代表人，现授权委托我单位的</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为我公司代理人，以公司名义参加</w:t>
      </w:r>
      <w:r>
        <w:rPr>
          <w:rFonts w:hint="eastAsia" w:ascii="宋体" w:hAnsi="宋体" w:eastAsia="宋体" w:cs="宋体"/>
          <w:color w:val="auto"/>
          <w:kern w:val="0"/>
          <w:sz w:val="21"/>
          <w:szCs w:val="21"/>
          <w:highlight w:val="none"/>
          <w:u w:val="single"/>
        </w:rPr>
        <w:t>（项目名称）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招标编号</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活动。代理人在</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过程中所签署的一切文件和处理与之有关的一切事务，我均予以承认。</w:t>
      </w:r>
    </w:p>
    <w:p w14:paraId="3C621519">
      <w:pPr>
        <w:spacing w:line="500" w:lineRule="exact"/>
        <w:ind w:firstLine="420"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代理人：</w:t>
      </w:r>
      <w:r>
        <w:rPr>
          <w:rFonts w:hint="eastAsia" w:ascii="宋体" w:hAnsi="宋体" w:eastAsia="宋体" w:cs="宋体"/>
          <w:color w:val="auto"/>
          <w:sz w:val="21"/>
          <w:szCs w:val="21"/>
          <w:highlight w:val="none"/>
          <w:u w:val="single"/>
        </w:rPr>
        <w:t xml:space="preserve">  （打印或签字）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年龄：</w:t>
      </w:r>
      <w:r>
        <w:rPr>
          <w:rFonts w:hint="eastAsia" w:ascii="宋体" w:hAnsi="宋体" w:eastAsia="宋体" w:cs="宋体"/>
          <w:color w:val="auto"/>
          <w:sz w:val="21"/>
          <w:szCs w:val="21"/>
          <w:highlight w:val="none"/>
          <w:u w:val="single"/>
        </w:rPr>
        <w:t xml:space="preserve">          </w:t>
      </w:r>
    </w:p>
    <w:p w14:paraId="558047A4">
      <w:pPr>
        <w:spacing w:line="500" w:lineRule="exact"/>
        <w:ind w:firstLine="420"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部  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p>
    <w:p w14:paraId="33D93B27">
      <w:pPr>
        <w:spacing w:line="5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授权有效期：</w:t>
      </w:r>
      <w:r>
        <w:rPr>
          <w:rFonts w:hint="eastAsia" w:ascii="宋体" w:hAnsi="宋体" w:eastAsia="宋体" w:cs="宋体"/>
          <w:color w:val="auto"/>
          <w:sz w:val="21"/>
          <w:szCs w:val="21"/>
          <w:highlight w:val="none"/>
          <w:u w:val="single"/>
        </w:rPr>
        <w:t xml:space="preserve">   自授权之日起至</w:t>
      </w:r>
      <w:r>
        <w:rPr>
          <w:rFonts w:hint="eastAsia" w:ascii="宋体" w:hAnsi="宋体" w:eastAsia="宋体" w:cs="宋体"/>
          <w:color w:val="auto"/>
          <w:sz w:val="21"/>
          <w:szCs w:val="21"/>
          <w:highlight w:val="none"/>
          <w:u w:val="single"/>
          <w:lang w:val="en-US" w:eastAsia="zh-CN"/>
        </w:rPr>
        <w:t>磋商有效期</w:t>
      </w:r>
      <w:r>
        <w:rPr>
          <w:rFonts w:hint="eastAsia" w:ascii="宋体" w:hAnsi="宋体" w:eastAsia="宋体" w:cs="宋体"/>
          <w:color w:val="auto"/>
          <w:sz w:val="21"/>
          <w:szCs w:val="21"/>
          <w:highlight w:val="none"/>
          <w:u w:val="single"/>
        </w:rPr>
        <w:t>结束</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p>
    <w:p w14:paraId="6A581B34">
      <w:pPr>
        <w:spacing w:line="5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代理人无转委权。特此委托。</w:t>
      </w:r>
    </w:p>
    <w:p w14:paraId="0886C40D">
      <w:pPr>
        <w:spacing w:line="500" w:lineRule="exact"/>
        <w:ind w:firstLine="420" w:firstLineChars="200"/>
        <w:rPr>
          <w:rFonts w:ascii="宋体" w:hAnsi="宋体" w:eastAsia="宋体" w:cs="宋体"/>
          <w:color w:val="auto"/>
          <w:sz w:val="21"/>
          <w:szCs w:val="21"/>
          <w:highlight w:val="none"/>
        </w:rPr>
      </w:pPr>
    </w:p>
    <w:p w14:paraId="3BACFA52">
      <w:pPr>
        <w:spacing w:line="360" w:lineRule="auto"/>
        <w:ind w:firstLine="420" w:firstLineChars="200"/>
        <w:rPr>
          <w:color w:val="auto"/>
          <w:sz w:val="21"/>
          <w:szCs w:val="21"/>
          <w:highlight w:val="none"/>
        </w:rPr>
      </w:pPr>
      <w:r>
        <w:rPr>
          <w:rFonts w:hAnsi="宋体"/>
          <w:color w:val="auto"/>
          <w:sz w:val="21"/>
          <w:szCs w:val="21"/>
          <w:highlight w:val="none"/>
        </w:rPr>
        <w:t>供应商全称（加盖单位</w:t>
      </w:r>
      <w:r>
        <w:rPr>
          <w:rFonts w:hint="eastAsia" w:hAnsi="宋体"/>
          <w:color w:val="auto"/>
          <w:sz w:val="21"/>
          <w:szCs w:val="21"/>
          <w:highlight w:val="none"/>
          <w:lang w:eastAsia="zh-CN"/>
        </w:rPr>
        <w:t>公章</w:t>
      </w:r>
      <w:r>
        <w:rPr>
          <w:rFonts w:hAnsi="宋体"/>
          <w:color w:val="auto"/>
          <w:sz w:val="21"/>
          <w:szCs w:val="21"/>
          <w:highlight w:val="none"/>
        </w:rPr>
        <w:t>）：</w:t>
      </w:r>
      <w:r>
        <w:rPr>
          <w:rFonts w:hAnsi="宋体"/>
          <w:color w:val="auto"/>
          <w:sz w:val="21"/>
          <w:szCs w:val="21"/>
          <w:highlight w:val="none"/>
          <w:u w:val="single"/>
        </w:rPr>
        <w:t>　　　　　　　　　　　　</w:t>
      </w:r>
    </w:p>
    <w:p w14:paraId="08D27D15">
      <w:pPr>
        <w:spacing w:line="500" w:lineRule="exact"/>
        <w:ind w:firstLine="420" w:firstLineChars="200"/>
        <w:rPr>
          <w:rFonts w:ascii="宋体" w:hAnsi="宋体" w:eastAsia="宋体" w:cs="宋体"/>
          <w:color w:val="auto"/>
          <w:sz w:val="21"/>
          <w:szCs w:val="21"/>
          <w:highlight w:val="none"/>
          <w:u w:val="single"/>
        </w:rPr>
      </w:pPr>
      <w:r>
        <w:rPr>
          <w:rFonts w:hAnsi="宋体"/>
          <w:color w:val="auto"/>
          <w:sz w:val="21"/>
          <w:szCs w:val="21"/>
          <w:highlight w:val="none"/>
        </w:rPr>
        <w:t>法定代表人或其委托代理人（签字或盖章）：</w:t>
      </w:r>
      <w:r>
        <w:rPr>
          <w:rFonts w:hAnsi="宋体"/>
          <w:color w:val="auto"/>
          <w:sz w:val="21"/>
          <w:szCs w:val="21"/>
          <w:highlight w:val="none"/>
          <w:u w:val="single"/>
        </w:rPr>
        <w:t>　　　　　　　　　　</w:t>
      </w:r>
    </w:p>
    <w:p w14:paraId="0F935865">
      <w:pPr>
        <w:spacing w:line="5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E474060">
      <w:pPr>
        <w:spacing w:line="500" w:lineRule="exact"/>
        <w:ind w:firstLine="3360" w:firstLineChars="1600"/>
        <w:rPr>
          <w:rFonts w:ascii="宋体" w:hAnsi="宋体" w:eastAsia="宋体" w:cs="宋体"/>
          <w:color w:val="auto"/>
          <w:sz w:val="21"/>
          <w:szCs w:val="21"/>
          <w:highlight w:val="none"/>
        </w:rPr>
      </w:pPr>
    </w:p>
    <w:p w14:paraId="672BFA6C">
      <w:pPr>
        <w:spacing w:line="360" w:lineRule="auto"/>
        <w:rPr>
          <w:rFonts w:ascii="宋体" w:hAnsi="宋体" w:eastAsia="宋体" w:cs="宋体"/>
          <w:color w:val="auto"/>
          <w:sz w:val="21"/>
          <w:szCs w:val="21"/>
          <w:highlight w:val="none"/>
        </w:rPr>
      </w:pPr>
    </w:p>
    <w:p w14:paraId="23232BB9">
      <w:pPr>
        <w:spacing w:line="360" w:lineRule="auto"/>
        <w:ind w:firstLine="472" w:firstLineChars="224"/>
        <w:rPr>
          <w:rFonts w:ascii="宋体" w:hAnsi="宋体" w:eastAsia="宋体" w:cs="宋体"/>
          <w:b/>
          <w:color w:val="auto"/>
          <w:sz w:val="21"/>
          <w:szCs w:val="21"/>
          <w:highlight w:val="none"/>
        </w:rPr>
        <w:sectPr>
          <w:pgSz w:w="11906" w:h="16838"/>
          <w:pgMar w:top="1440" w:right="1440" w:bottom="1440" w:left="1440" w:header="851" w:footer="992" w:gutter="0"/>
          <w:pgNumType w:fmt="decimal"/>
          <w:cols w:space="0" w:num="1"/>
          <w:docGrid w:type="lines" w:linePitch="312" w:charSpace="0"/>
        </w:sectPr>
      </w:pPr>
      <w:r>
        <w:rPr>
          <w:rFonts w:hint="eastAsia" w:ascii="宋体" w:hAnsi="宋体" w:eastAsia="宋体" w:cs="宋体"/>
          <w:b/>
          <w:color w:val="auto"/>
          <w:sz w:val="21"/>
          <w:szCs w:val="21"/>
          <w:highlight w:val="none"/>
        </w:rPr>
        <w:t>注：附授权委托人身份证（正、反面）扫描件，如供应商由法定代表人亲自签署响应文件并参与相关活动，则不需要办理授权。如由被授权的代理人签署上述文件，则必须按本格式规定填报并提交授权书，否则被授权的代理人将不被认可。</w:t>
      </w:r>
    </w:p>
    <w:p w14:paraId="0DE1AF87">
      <w:pPr>
        <w:pStyle w:val="21"/>
        <w:ind w:left="0" w:leftChars="0" w:firstLine="0" w:firstLineChars="0"/>
        <w:jc w:val="center"/>
        <w:outlineLvl w:val="1"/>
        <w:rPr>
          <w:rFonts w:ascii="宋体" w:hAnsi="宋体" w:cs="宋体"/>
          <w:b/>
          <w:color w:val="auto"/>
          <w:sz w:val="21"/>
          <w:szCs w:val="21"/>
          <w:highlight w:val="none"/>
        </w:rPr>
      </w:pPr>
      <w:bookmarkStart w:id="797" w:name="_Toc25402"/>
      <w:r>
        <w:rPr>
          <w:rFonts w:hint="eastAsia" w:ascii="宋体" w:hAnsi="宋体" w:cs="宋体"/>
          <w:b/>
          <w:color w:val="auto"/>
          <w:sz w:val="21"/>
          <w:szCs w:val="21"/>
          <w:highlight w:val="none"/>
          <w:lang w:val="en-US" w:eastAsia="zh-CN"/>
        </w:rPr>
        <w:t>五</w:t>
      </w:r>
      <w:r>
        <w:rPr>
          <w:rFonts w:hint="eastAsia" w:ascii="宋体" w:hAnsi="宋体" w:cs="宋体"/>
          <w:b/>
          <w:color w:val="auto"/>
          <w:sz w:val="21"/>
          <w:szCs w:val="21"/>
          <w:highlight w:val="none"/>
        </w:rPr>
        <w:t>、资格证明文件</w:t>
      </w:r>
      <w:bookmarkEnd w:id="797"/>
    </w:p>
    <w:tbl>
      <w:tblPr>
        <w:tblStyle w:val="23"/>
        <w:tblW w:w="4996" w:type="pct"/>
        <w:jc w:val="center"/>
        <w:tblLayout w:type="autofit"/>
        <w:tblCellMar>
          <w:top w:w="0" w:type="dxa"/>
          <w:left w:w="108" w:type="dxa"/>
          <w:bottom w:w="0" w:type="dxa"/>
          <w:right w:w="108" w:type="dxa"/>
        </w:tblCellMar>
      </w:tblPr>
      <w:tblGrid>
        <w:gridCol w:w="689"/>
        <w:gridCol w:w="1897"/>
        <w:gridCol w:w="6649"/>
      </w:tblGrid>
      <w:tr w14:paraId="60F6B7D5">
        <w:tblPrEx>
          <w:tblCellMar>
            <w:top w:w="0" w:type="dxa"/>
            <w:left w:w="108" w:type="dxa"/>
            <w:bottom w:w="0" w:type="dxa"/>
            <w:right w:w="108" w:type="dxa"/>
          </w:tblCellMar>
        </w:tblPrEx>
        <w:trPr>
          <w:trHeight w:val="657"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097DC37D">
            <w:pPr>
              <w:widowControl/>
              <w:spacing w:line="350" w:lineRule="exact"/>
              <w:jc w:val="center"/>
              <w:rPr>
                <w:rFonts w:ascii="宋体" w:hAnsi="宋体" w:eastAsia="宋体" w:cs="宋体"/>
                <w:b/>
                <w:bCs/>
                <w:color w:val="auto"/>
                <w:spacing w:val="-4"/>
                <w:kern w:val="0"/>
                <w:sz w:val="21"/>
                <w:szCs w:val="21"/>
                <w:highlight w:val="none"/>
              </w:rPr>
            </w:pPr>
            <w:r>
              <w:rPr>
                <w:rFonts w:hint="eastAsia" w:ascii="宋体" w:hAnsi="宋体" w:eastAsia="宋体" w:cs="宋体"/>
                <w:b/>
                <w:bCs/>
                <w:color w:val="auto"/>
                <w:spacing w:val="-4"/>
                <w:kern w:val="0"/>
                <w:sz w:val="21"/>
                <w:szCs w:val="21"/>
                <w:highlight w:val="none"/>
              </w:rPr>
              <w:t>序号</w:t>
            </w:r>
          </w:p>
        </w:tc>
        <w:tc>
          <w:tcPr>
            <w:tcW w:w="1027" w:type="pct"/>
            <w:tcBorders>
              <w:top w:val="single" w:color="auto" w:sz="4" w:space="0"/>
              <w:left w:val="single" w:color="auto" w:sz="4" w:space="0"/>
              <w:bottom w:val="single" w:color="auto" w:sz="4" w:space="0"/>
              <w:right w:val="single" w:color="auto" w:sz="4" w:space="0"/>
            </w:tcBorders>
            <w:vAlign w:val="center"/>
          </w:tcPr>
          <w:p w14:paraId="4F5968A1">
            <w:pPr>
              <w:widowControl/>
              <w:spacing w:line="350" w:lineRule="exact"/>
              <w:jc w:val="center"/>
              <w:rPr>
                <w:rFonts w:ascii="宋体" w:hAnsi="宋体" w:eastAsia="宋体" w:cs="宋体"/>
                <w:b/>
                <w:bCs/>
                <w:color w:val="auto"/>
                <w:spacing w:val="-4"/>
                <w:kern w:val="0"/>
                <w:sz w:val="21"/>
                <w:szCs w:val="21"/>
                <w:highlight w:val="none"/>
              </w:rPr>
            </w:pPr>
            <w:r>
              <w:rPr>
                <w:rFonts w:hint="eastAsia" w:ascii="宋体" w:hAnsi="宋体" w:eastAsia="宋体" w:cs="宋体"/>
                <w:b/>
                <w:bCs/>
                <w:color w:val="auto"/>
                <w:spacing w:val="-4"/>
                <w:kern w:val="0"/>
                <w:sz w:val="21"/>
                <w:szCs w:val="21"/>
                <w:highlight w:val="none"/>
              </w:rPr>
              <w:t>评审因素</w:t>
            </w:r>
          </w:p>
        </w:tc>
        <w:tc>
          <w:tcPr>
            <w:tcW w:w="3599" w:type="pct"/>
            <w:tcBorders>
              <w:top w:val="single" w:color="auto" w:sz="4" w:space="0"/>
              <w:left w:val="single" w:color="auto" w:sz="4" w:space="0"/>
              <w:bottom w:val="single" w:color="auto" w:sz="4" w:space="0"/>
              <w:right w:val="single" w:color="auto" w:sz="4" w:space="0"/>
            </w:tcBorders>
            <w:vAlign w:val="center"/>
          </w:tcPr>
          <w:p w14:paraId="5681FCF9">
            <w:pPr>
              <w:widowControl/>
              <w:spacing w:line="350" w:lineRule="exact"/>
              <w:jc w:val="center"/>
              <w:rPr>
                <w:rFonts w:ascii="宋体" w:hAnsi="宋体" w:eastAsia="宋体" w:cs="宋体"/>
                <w:b/>
                <w:bCs/>
                <w:color w:val="auto"/>
                <w:spacing w:val="-4"/>
                <w:kern w:val="0"/>
                <w:sz w:val="21"/>
                <w:szCs w:val="21"/>
                <w:highlight w:val="none"/>
              </w:rPr>
            </w:pPr>
            <w:r>
              <w:rPr>
                <w:rFonts w:hint="eastAsia" w:ascii="宋体" w:hAnsi="宋体" w:eastAsia="宋体" w:cs="宋体"/>
                <w:b/>
                <w:bCs/>
                <w:color w:val="auto"/>
                <w:spacing w:val="-4"/>
                <w:kern w:val="0"/>
                <w:sz w:val="21"/>
                <w:szCs w:val="21"/>
                <w:highlight w:val="none"/>
              </w:rPr>
              <w:t>资格审查标准</w:t>
            </w:r>
          </w:p>
        </w:tc>
      </w:tr>
      <w:tr w14:paraId="643F2D8E">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5AA63666">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1</w:t>
            </w:r>
          </w:p>
        </w:tc>
        <w:tc>
          <w:tcPr>
            <w:tcW w:w="1027" w:type="pct"/>
            <w:tcBorders>
              <w:top w:val="single" w:color="auto" w:sz="4" w:space="0"/>
              <w:left w:val="single" w:color="auto" w:sz="4" w:space="0"/>
              <w:bottom w:val="single" w:color="auto" w:sz="4" w:space="0"/>
              <w:right w:val="single" w:color="auto" w:sz="4" w:space="0"/>
            </w:tcBorders>
            <w:vAlign w:val="center"/>
          </w:tcPr>
          <w:p w14:paraId="3F6690F9">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具有独立承担民事责任的能力</w:t>
            </w:r>
          </w:p>
        </w:tc>
        <w:tc>
          <w:tcPr>
            <w:tcW w:w="3599" w:type="pct"/>
            <w:tcBorders>
              <w:top w:val="single" w:color="auto" w:sz="4" w:space="0"/>
              <w:left w:val="single" w:color="auto" w:sz="4" w:space="0"/>
              <w:bottom w:val="single" w:color="auto" w:sz="4" w:space="0"/>
              <w:right w:val="single" w:color="auto" w:sz="4" w:space="0"/>
            </w:tcBorders>
            <w:vAlign w:val="center"/>
          </w:tcPr>
          <w:p w14:paraId="5B1B2A87">
            <w:pPr>
              <w:pStyle w:val="21"/>
              <w:pageBreakBefore w:val="0"/>
              <w:kinsoku/>
              <w:wordWrap/>
              <w:overflowPunct/>
              <w:topLinePunct w:val="0"/>
              <w:autoSpaceDN/>
              <w:bidi w:val="0"/>
              <w:adjustRightInd w:val="0"/>
              <w:snapToGrid/>
              <w:spacing w:after="0" w:line="500" w:lineRule="exact"/>
              <w:ind w:left="0" w:leftChars="0" w:firstLine="0" w:firstLineChars="0"/>
              <w:textAlignment w:val="auto"/>
              <w:rPr>
                <w:rFonts w:ascii="宋体" w:hAnsi="宋体" w:eastAsia="宋体" w:cs="宋体"/>
                <w:color w:val="auto"/>
                <w:spacing w:val="-4"/>
                <w:kern w:val="0"/>
                <w:sz w:val="21"/>
                <w:szCs w:val="21"/>
                <w:highlight w:val="none"/>
                <w:lang w:val="zh-CN"/>
              </w:rPr>
            </w:pPr>
            <w:r>
              <w:rPr>
                <w:rFonts w:hint="eastAsia" w:ascii="宋体" w:hAnsi="宋体" w:eastAsia="宋体" w:cs="宋体"/>
                <w:color w:val="auto"/>
                <w:spacing w:val="-4"/>
                <w:kern w:val="0"/>
                <w:sz w:val="21"/>
                <w:szCs w:val="21"/>
                <w:highlight w:val="none"/>
                <w:lang w:val="en-US" w:eastAsia="zh-CN" w:bidi="ar-SA"/>
              </w:rPr>
              <w:t>提供自然人有效身份证明或法人或者其他组织有效的营业执照等证明文件；</w:t>
            </w:r>
            <w:r>
              <w:rPr>
                <w:rFonts w:hint="eastAsia" w:ascii="宋体" w:hAnsi="宋体" w:eastAsia="宋体" w:cs="宋体"/>
                <w:b/>
                <w:bCs/>
                <w:color w:val="auto"/>
                <w:spacing w:val="-4"/>
                <w:kern w:val="0"/>
                <w:sz w:val="21"/>
                <w:szCs w:val="21"/>
                <w:highlight w:val="none"/>
                <w:lang w:eastAsia="zh-CN"/>
              </w:rPr>
              <w:t>（提供扫描件并加盖公章）</w:t>
            </w:r>
          </w:p>
        </w:tc>
      </w:tr>
      <w:tr w14:paraId="7C153AA4">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7E5497C7">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2</w:t>
            </w:r>
          </w:p>
        </w:tc>
        <w:tc>
          <w:tcPr>
            <w:tcW w:w="1027" w:type="pct"/>
            <w:tcBorders>
              <w:top w:val="single" w:color="auto" w:sz="4" w:space="0"/>
              <w:left w:val="single" w:color="auto" w:sz="4" w:space="0"/>
              <w:bottom w:val="single" w:color="auto" w:sz="4" w:space="0"/>
              <w:right w:val="single" w:color="auto" w:sz="4" w:space="0"/>
            </w:tcBorders>
            <w:vAlign w:val="center"/>
          </w:tcPr>
          <w:p w14:paraId="3F03F0C1">
            <w:pPr>
              <w:widowControl/>
              <w:spacing w:line="350" w:lineRule="exact"/>
              <w:jc w:val="center"/>
              <w:rPr>
                <w:rFonts w:hint="eastAsia" w:ascii="宋体" w:hAnsi="宋体" w:eastAsia="宋体" w:cs="宋体"/>
                <w:color w:val="auto"/>
                <w:spacing w:val="-4"/>
                <w:kern w:val="0"/>
                <w:sz w:val="21"/>
                <w:szCs w:val="21"/>
                <w:highlight w:val="none"/>
                <w:lang w:eastAsia="zh-CN"/>
              </w:rPr>
            </w:pPr>
            <w:r>
              <w:rPr>
                <w:rFonts w:hint="eastAsia" w:ascii="宋体" w:hAnsi="宋体" w:eastAsia="宋体" w:cs="宋体"/>
                <w:color w:val="auto"/>
                <w:spacing w:val="-4"/>
                <w:kern w:val="0"/>
                <w:sz w:val="21"/>
                <w:szCs w:val="21"/>
                <w:highlight w:val="none"/>
              </w:rPr>
              <w:t>具有良好的商业信誉和健全的财务会计制度</w:t>
            </w:r>
          </w:p>
        </w:tc>
        <w:tc>
          <w:tcPr>
            <w:tcW w:w="3599" w:type="pct"/>
            <w:tcBorders>
              <w:top w:val="single" w:color="auto" w:sz="4" w:space="0"/>
              <w:left w:val="single" w:color="auto" w:sz="4" w:space="0"/>
              <w:bottom w:val="single" w:color="auto" w:sz="4" w:space="0"/>
              <w:right w:val="single" w:color="auto" w:sz="4" w:space="0"/>
            </w:tcBorders>
            <w:vAlign w:val="center"/>
          </w:tcPr>
          <w:p w14:paraId="20E67AC9">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具有良好的商业信誉和健全的财务会计制度。供应商须提供财务状况报告，内容可为以下三者之一：</w:t>
            </w:r>
          </w:p>
          <w:p w14:paraId="15C939DB">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①</w:t>
            </w:r>
            <w:r>
              <w:rPr>
                <w:rFonts w:hint="eastAsia" w:ascii="宋体" w:hAnsi="宋体" w:cs="宋体"/>
                <w:color w:val="auto"/>
                <w:spacing w:val="-4"/>
                <w:kern w:val="0"/>
                <w:sz w:val="21"/>
                <w:szCs w:val="21"/>
                <w:highlight w:val="none"/>
                <w:lang w:val="en-US" w:eastAsia="zh-CN" w:bidi="ar-SA"/>
              </w:rPr>
              <w:t>提供2024年至今任意一年财务状况报告（至少包含审计报告、资产负债表、利润表、现金流量表），成立未满1年或成立至今未产生经营活动的供应商提供自成立至今的财务报表或财务情况说明；</w:t>
            </w:r>
          </w:p>
          <w:p w14:paraId="6EB83424">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②提供自响应文件提交截止时间前六个月内基本开户银行出具的资信证明；</w:t>
            </w:r>
          </w:p>
          <w:p w14:paraId="4321DE9F">
            <w:pPr>
              <w:pStyle w:val="21"/>
              <w:spacing w:after="0" w:line="460" w:lineRule="exact"/>
              <w:ind w:left="0" w:leftChars="0" w:firstLine="0" w:firstLineChars="0"/>
              <w:rPr>
                <w:rFonts w:hint="eastAsia" w:ascii="宋体" w:hAnsi="宋体" w:eastAsia="宋体" w:cs="宋体"/>
                <w:color w:val="auto"/>
                <w:spacing w:val="-4"/>
                <w:kern w:val="0"/>
                <w:sz w:val="21"/>
                <w:szCs w:val="21"/>
                <w:highlight w:val="none"/>
                <w:lang w:val="en-US" w:eastAsia="zh-CN" w:bidi="ar-SA"/>
              </w:rPr>
            </w:pPr>
            <w:r>
              <w:rPr>
                <w:rFonts w:hint="eastAsia" w:ascii="宋体" w:hAnsi="宋体" w:eastAsia="宋体" w:cs="宋体"/>
                <w:color w:val="auto"/>
                <w:spacing w:val="-4"/>
                <w:kern w:val="0"/>
                <w:sz w:val="21"/>
                <w:szCs w:val="21"/>
                <w:highlight w:val="none"/>
                <w:lang w:val="en-US" w:eastAsia="zh-CN" w:bidi="ar-SA"/>
              </w:rPr>
              <w:t>③提供专业担保机构出具的投标担保函。</w:t>
            </w:r>
          </w:p>
          <w:p w14:paraId="1D2869FF">
            <w:pPr>
              <w:pStyle w:val="21"/>
              <w:pageBreakBefore w:val="0"/>
              <w:kinsoku/>
              <w:wordWrap/>
              <w:overflowPunct/>
              <w:autoSpaceDN/>
              <w:bidi w:val="0"/>
              <w:snapToGrid/>
              <w:spacing w:after="0" w:line="460" w:lineRule="exact"/>
              <w:ind w:left="0" w:leftChars="0" w:firstLine="0" w:firstLineChars="0"/>
              <w:textAlignment w:val="auto"/>
              <w:rPr>
                <w:rFonts w:ascii="宋体" w:hAnsi="宋体" w:cs="宋体"/>
                <w:color w:val="auto"/>
                <w:spacing w:val="-4"/>
                <w:sz w:val="21"/>
                <w:szCs w:val="21"/>
                <w:highlight w:val="none"/>
              </w:rPr>
            </w:pPr>
            <w:r>
              <w:rPr>
                <w:rFonts w:hint="eastAsia" w:ascii="宋体" w:hAnsi="宋体" w:eastAsia="宋体" w:cs="宋体"/>
                <w:b/>
                <w:bCs/>
                <w:color w:val="auto"/>
                <w:spacing w:val="-4"/>
                <w:kern w:val="0"/>
                <w:sz w:val="21"/>
                <w:szCs w:val="21"/>
                <w:highlight w:val="none"/>
                <w:lang w:eastAsia="zh-CN"/>
              </w:rPr>
              <w:t>（</w:t>
            </w:r>
            <w:r>
              <w:rPr>
                <w:rFonts w:hint="eastAsia" w:ascii="宋体" w:hAnsi="宋体" w:cs="宋体"/>
                <w:b/>
                <w:bCs/>
                <w:color w:val="auto"/>
                <w:spacing w:val="-4"/>
                <w:kern w:val="0"/>
                <w:sz w:val="21"/>
                <w:szCs w:val="21"/>
                <w:highlight w:val="none"/>
                <w:lang w:eastAsia="zh-CN"/>
              </w:rPr>
              <w:t>提供扫描件并加盖公章</w:t>
            </w:r>
            <w:r>
              <w:rPr>
                <w:rFonts w:hint="eastAsia" w:ascii="宋体" w:hAnsi="宋体" w:eastAsia="宋体" w:cs="宋体"/>
                <w:b/>
                <w:bCs/>
                <w:color w:val="auto"/>
                <w:spacing w:val="-4"/>
                <w:kern w:val="0"/>
                <w:sz w:val="21"/>
                <w:szCs w:val="21"/>
                <w:highlight w:val="none"/>
                <w:lang w:eastAsia="zh-CN"/>
              </w:rPr>
              <w:t>）</w:t>
            </w:r>
          </w:p>
        </w:tc>
      </w:tr>
      <w:tr w14:paraId="0E11D919">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1FC174A2">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3</w:t>
            </w:r>
          </w:p>
        </w:tc>
        <w:tc>
          <w:tcPr>
            <w:tcW w:w="1027" w:type="pct"/>
            <w:tcBorders>
              <w:top w:val="single" w:color="auto" w:sz="4" w:space="0"/>
              <w:left w:val="single" w:color="auto" w:sz="4" w:space="0"/>
              <w:bottom w:val="single" w:color="auto" w:sz="4" w:space="0"/>
              <w:right w:val="single" w:color="auto" w:sz="4" w:space="0"/>
            </w:tcBorders>
            <w:vAlign w:val="center"/>
          </w:tcPr>
          <w:p w14:paraId="270D661A">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具有履行合同所必需的设备和专业技术能力</w:t>
            </w:r>
          </w:p>
        </w:tc>
        <w:tc>
          <w:tcPr>
            <w:tcW w:w="3599" w:type="pct"/>
            <w:tcBorders>
              <w:top w:val="single" w:color="auto" w:sz="4" w:space="0"/>
              <w:left w:val="single" w:color="auto" w:sz="4" w:space="0"/>
              <w:bottom w:val="single" w:color="auto" w:sz="4" w:space="0"/>
              <w:right w:val="single" w:color="auto" w:sz="4" w:space="0"/>
            </w:tcBorders>
            <w:vAlign w:val="center"/>
          </w:tcPr>
          <w:p w14:paraId="396CF70F">
            <w:pPr>
              <w:pStyle w:val="21"/>
              <w:spacing w:after="0" w:line="460" w:lineRule="exact"/>
              <w:ind w:left="0" w:leftChars="0" w:firstLine="0" w:firstLineChars="0"/>
              <w:rPr>
                <w:rFonts w:ascii="宋体" w:hAnsi="宋体" w:cs="宋体"/>
                <w:color w:val="auto"/>
                <w:spacing w:val="-4"/>
                <w:sz w:val="21"/>
                <w:szCs w:val="21"/>
                <w:highlight w:val="none"/>
                <w:lang w:val="zh-CN"/>
              </w:rPr>
            </w:pPr>
            <w:r>
              <w:rPr>
                <w:rFonts w:hint="eastAsia" w:ascii="宋体" w:hAnsi="宋体" w:eastAsia="宋体" w:cs="宋体"/>
                <w:color w:val="auto"/>
                <w:spacing w:val="-4"/>
                <w:kern w:val="0"/>
                <w:sz w:val="21"/>
                <w:szCs w:val="21"/>
                <w:highlight w:val="none"/>
                <w:lang w:val="en-US" w:eastAsia="zh-CN" w:bidi="ar-SA"/>
              </w:rPr>
              <w:t>提供具备履行合同所必需的设备和专业技术能力的证明材料或承诺书；</w:t>
            </w:r>
            <w:r>
              <w:rPr>
                <w:rFonts w:hint="eastAsia" w:ascii="宋体" w:hAnsi="宋体" w:eastAsia="宋体" w:cs="宋体"/>
                <w:b/>
                <w:bCs/>
                <w:color w:val="auto"/>
                <w:spacing w:val="-4"/>
                <w:kern w:val="0"/>
                <w:sz w:val="21"/>
                <w:szCs w:val="21"/>
                <w:highlight w:val="none"/>
                <w:lang w:val="en-US" w:eastAsia="zh-CN" w:bidi="ar-SA"/>
              </w:rPr>
              <w:t>（</w:t>
            </w:r>
            <w:r>
              <w:rPr>
                <w:rFonts w:hint="eastAsia" w:ascii="宋体" w:hAnsi="宋体" w:cs="宋体"/>
                <w:b/>
                <w:bCs/>
                <w:color w:val="auto"/>
                <w:spacing w:val="-4"/>
                <w:kern w:val="0"/>
                <w:sz w:val="21"/>
                <w:szCs w:val="21"/>
                <w:highlight w:val="none"/>
                <w:lang w:val="en-US" w:eastAsia="zh-CN" w:bidi="ar-SA"/>
              </w:rPr>
              <w:t>格式自拟并加盖公章</w:t>
            </w:r>
            <w:r>
              <w:rPr>
                <w:rFonts w:hint="eastAsia" w:ascii="宋体" w:hAnsi="宋体" w:eastAsia="宋体" w:cs="宋体"/>
                <w:b/>
                <w:bCs/>
                <w:color w:val="auto"/>
                <w:spacing w:val="-4"/>
                <w:kern w:val="0"/>
                <w:sz w:val="21"/>
                <w:szCs w:val="21"/>
                <w:highlight w:val="none"/>
                <w:lang w:val="en-US" w:eastAsia="zh-CN" w:bidi="ar-SA"/>
              </w:rPr>
              <w:t>）</w:t>
            </w:r>
          </w:p>
        </w:tc>
      </w:tr>
      <w:tr w14:paraId="252BFD56">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2768123C">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4</w:t>
            </w:r>
          </w:p>
        </w:tc>
        <w:tc>
          <w:tcPr>
            <w:tcW w:w="1027" w:type="pct"/>
            <w:tcBorders>
              <w:top w:val="single" w:color="auto" w:sz="4" w:space="0"/>
              <w:left w:val="single" w:color="auto" w:sz="4" w:space="0"/>
              <w:bottom w:val="single" w:color="auto" w:sz="4" w:space="0"/>
              <w:right w:val="single" w:color="auto" w:sz="4" w:space="0"/>
            </w:tcBorders>
            <w:vAlign w:val="center"/>
          </w:tcPr>
          <w:p w14:paraId="437FC994">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eastAsia="zh-CN"/>
              </w:rPr>
              <w:t>有依法缴纳税收和社会保障资金的良好记录</w:t>
            </w:r>
          </w:p>
        </w:tc>
        <w:tc>
          <w:tcPr>
            <w:tcW w:w="3599" w:type="pct"/>
            <w:tcBorders>
              <w:top w:val="single" w:color="auto" w:sz="4" w:space="0"/>
              <w:left w:val="single" w:color="auto" w:sz="4" w:space="0"/>
              <w:bottom w:val="single" w:color="auto" w:sz="4" w:space="0"/>
              <w:right w:val="single" w:color="auto" w:sz="4" w:space="0"/>
            </w:tcBorders>
            <w:vAlign w:val="center"/>
          </w:tcPr>
          <w:p w14:paraId="01DF4E0F">
            <w:pPr>
              <w:pStyle w:val="21"/>
              <w:spacing w:after="0" w:line="460" w:lineRule="exact"/>
              <w:ind w:left="0" w:leftChars="0" w:firstLine="0" w:firstLineChars="0"/>
              <w:rPr>
                <w:rFonts w:ascii="宋体" w:hAnsi="宋体" w:cs="宋体"/>
                <w:color w:val="auto"/>
                <w:spacing w:val="-4"/>
                <w:sz w:val="21"/>
                <w:szCs w:val="21"/>
                <w:highlight w:val="none"/>
              </w:rPr>
            </w:pPr>
            <w:r>
              <w:rPr>
                <w:rFonts w:hint="eastAsia" w:ascii="宋体" w:hAnsi="宋体" w:eastAsia="宋体" w:cs="宋体"/>
                <w:color w:val="auto"/>
                <w:spacing w:val="-4"/>
                <w:kern w:val="0"/>
                <w:sz w:val="21"/>
                <w:szCs w:val="21"/>
                <w:highlight w:val="none"/>
                <w:lang w:val="en-US" w:eastAsia="zh-CN" w:bidi="ar-SA"/>
              </w:rPr>
              <w:t>①提供2025年1月至今任意1个月缴纳税收的证明材料，依法免税的，应提供依法免税的相关证明文件，成立未满3个月的无需提供或成立至今非供应商自身原因导致未缴纳税收的则自行提供情况说明；②提供2025年1月至今任意1个月缴纳社会保障资金的证明材料，依法免缴的，应提供依法免缴的相关证明文件，成立未满1个月的无需提供或成立至今非供应商自身原因导致未缴纳社会保障资金的则自行提供情况说明。</w:t>
            </w:r>
            <w:r>
              <w:rPr>
                <w:rFonts w:hint="eastAsia" w:ascii="宋体" w:hAnsi="宋体" w:eastAsia="宋体" w:cs="宋体"/>
                <w:b/>
                <w:bCs/>
                <w:color w:val="auto"/>
                <w:spacing w:val="-4"/>
                <w:kern w:val="0"/>
                <w:sz w:val="21"/>
                <w:szCs w:val="21"/>
                <w:highlight w:val="none"/>
                <w:lang w:eastAsia="zh-CN"/>
              </w:rPr>
              <w:t>（</w:t>
            </w:r>
            <w:r>
              <w:rPr>
                <w:rFonts w:hint="eastAsia" w:ascii="宋体" w:hAnsi="宋体" w:cs="宋体"/>
                <w:b/>
                <w:bCs/>
                <w:color w:val="auto"/>
                <w:spacing w:val="-4"/>
                <w:kern w:val="0"/>
                <w:sz w:val="21"/>
                <w:szCs w:val="21"/>
                <w:highlight w:val="none"/>
                <w:lang w:eastAsia="zh-CN"/>
              </w:rPr>
              <w:t>提供扫描件并加盖公章</w:t>
            </w:r>
            <w:r>
              <w:rPr>
                <w:rFonts w:hint="eastAsia" w:ascii="宋体" w:hAnsi="宋体" w:eastAsia="宋体" w:cs="宋体"/>
                <w:b/>
                <w:bCs/>
                <w:color w:val="auto"/>
                <w:spacing w:val="-4"/>
                <w:kern w:val="0"/>
                <w:sz w:val="21"/>
                <w:szCs w:val="21"/>
                <w:highlight w:val="none"/>
                <w:lang w:eastAsia="zh-CN"/>
              </w:rPr>
              <w:t>）</w:t>
            </w:r>
          </w:p>
        </w:tc>
      </w:tr>
      <w:tr w14:paraId="55A0C91C">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776727CB">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5</w:t>
            </w:r>
          </w:p>
        </w:tc>
        <w:tc>
          <w:tcPr>
            <w:tcW w:w="1027" w:type="pct"/>
            <w:tcBorders>
              <w:top w:val="single" w:color="auto" w:sz="4" w:space="0"/>
              <w:left w:val="single" w:color="auto" w:sz="4" w:space="0"/>
              <w:bottom w:val="single" w:color="auto" w:sz="4" w:space="0"/>
              <w:right w:val="single" w:color="auto" w:sz="4" w:space="0"/>
            </w:tcBorders>
            <w:vAlign w:val="center"/>
          </w:tcPr>
          <w:p w14:paraId="552F35A8">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eastAsia="zh-CN"/>
              </w:rPr>
              <w:t>参加政府采购活动前三年内，在经营活动中没有重大违法记录</w:t>
            </w:r>
          </w:p>
        </w:tc>
        <w:tc>
          <w:tcPr>
            <w:tcW w:w="3599" w:type="pct"/>
            <w:tcBorders>
              <w:top w:val="single" w:color="auto" w:sz="4" w:space="0"/>
              <w:left w:val="single" w:color="auto" w:sz="4" w:space="0"/>
              <w:bottom w:val="single" w:color="auto" w:sz="4" w:space="0"/>
              <w:right w:val="single" w:color="auto" w:sz="4" w:space="0"/>
            </w:tcBorders>
            <w:vAlign w:val="center"/>
          </w:tcPr>
          <w:p w14:paraId="1A6FFD28">
            <w:pPr>
              <w:keepNext w:val="0"/>
              <w:keepLines w:val="0"/>
              <w:pageBreakBefore w:val="0"/>
              <w:kinsoku/>
              <w:wordWrap/>
              <w:overflowPunct/>
              <w:topLinePunct w:val="0"/>
              <w:autoSpaceDE/>
              <w:autoSpaceDN/>
              <w:bidi w:val="0"/>
              <w:adjustRightInd/>
              <w:snapToGrid/>
              <w:spacing w:line="460" w:lineRule="exact"/>
              <w:textAlignment w:val="auto"/>
              <w:rPr>
                <w:rFonts w:ascii="宋体" w:hAnsi="宋体" w:eastAsia="宋体" w:cs="宋体"/>
                <w:color w:val="auto"/>
                <w:spacing w:val="-4"/>
                <w:kern w:val="0"/>
                <w:sz w:val="21"/>
                <w:szCs w:val="21"/>
                <w:highlight w:val="none"/>
                <w:lang w:val="zh-CN"/>
              </w:rPr>
            </w:pPr>
            <w:r>
              <w:rPr>
                <w:rFonts w:hint="eastAsia" w:ascii="宋体" w:hAnsi="宋体" w:eastAsia="宋体" w:cs="宋体"/>
                <w:color w:val="auto"/>
                <w:spacing w:val="-4"/>
                <w:kern w:val="0"/>
                <w:sz w:val="21"/>
                <w:szCs w:val="21"/>
                <w:highlight w:val="none"/>
                <w:lang w:val="en-US" w:eastAsia="zh-CN" w:bidi="ar-SA"/>
              </w:rPr>
              <w:t>提供参加本次政府采购活动前三年内在经营活动中没有重大违法记录的书面声明；</w:t>
            </w:r>
            <w:r>
              <w:rPr>
                <w:rFonts w:hint="eastAsia" w:ascii="宋体" w:hAnsi="宋体" w:eastAsia="宋体" w:cs="宋体"/>
                <w:b/>
                <w:bCs/>
                <w:color w:val="auto"/>
                <w:spacing w:val="-4"/>
                <w:kern w:val="0"/>
                <w:sz w:val="21"/>
                <w:szCs w:val="21"/>
                <w:highlight w:val="none"/>
                <w:lang w:val="en-US" w:eastAsia="zh-CN" w:bidi="ar-SA"/>
              </w:rPr>
              <w:t>（格式自拟并加盖公章）</w:t>
            </w:r>
          </w:p>
        </w:tc>
      </w:tr>
      <w:tr w14:paraId="4DE7F839">
        <w:tblPrEx>
          <w:tblCellMar>
            <w:top w:w="0" w:type="dxa"/>
            <w:left w:w="108" w:type="dxa"/>
            <w:bottom w:w="0" w:type="dxa"/>
            <w:right w:w="108" w:type="dxa"/>
          </w:tblCellMar>
        </w:tblPrEx>
        <w:trPr>
          <w:trHeight w:val="670"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5245D763">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6</w:t>
            </w:r>
          </w:p>
        </w:tc>
        <w:tc>
          <w:tcPr>
            <w:tcW w:w="1027" w:type="pct"/>
            <w:tcBorders>
              <w:top w:val="single" w:color="auto" w:sz="4" w:space="0"/>
              <w:left w:val="single" w:color="auto" w:sz="4" w:space="0"/>
              <w:bottom w:val="single" w:color="auto" w:sz="4" w:space="0"/>
              <w:right w:val="single" w:color="auto" w:sz="4" w:space="0"/>
            </w:tcBorders>
            <w:vAlign w:val="center"/>
          </w:tcPr>
          <w:p w14:paraId="137E0DFB">
            <w:pPr>
              <w:widowControl/>
              <w:spacing w:line="350" w:lineRule="exact"/>
              <w:jc w:val="center"/>
              <w:rPr>
                <w:rFonts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lang w:val="en-US" w:eastAsia="zh-CN"/>
              </w:rPr>
              <w:t>法律、行政法规规定的其他条件</w:t>
            </w:r>
          </w:p>
        </w:tc>
        <w:tc>
          <w:tcPr>
            <w:tcW w:w="3599" w:type="pct"/>
            <w:tcBorders>
              <w:top w:val="single" w:color="auto" w:sz="4" w:space="0"/>
              <w:left w:val="single" w:color="auto" w:sz="4" w:space="0"/>
              <w:bottom w:val="single" w:color="auto" w:sz="4" w:space="0"/>
              <w:right w:val="single" w:color="auto" w:sz="4" w:space="0"/>
            </w:tcBorders>
            <w:vAlign w:val="center"/>
          </w:tcPr>
          <w:p w14:paraId="46CDF322">
            <w:pPr>
              <w:widowControl/>
              <w:spacing w:line="350" w:lineRule="exact"/>
              <w:jc w:val="left"/>
              <w:rPr>
                <w:rFonts w:hint="eastAsia" w:ascii="宋体" w:hAnsi="宋体" w:eastAsia="宋体" w:cs="宋体"/>
                <w:color w:val="auto"/>
                <w:spacing w:val="-4"/>
                <w:kern w:val="0"/>
                <w:sz w:val="21"/>
                <w:szCs w:val="21"/>
                <w:highlight w:val="none"/>
                <w:lang w:val="en-US" w:eastAsia="zh-CN" w:bidi="ar-SA"/>
              </w:rPr>
            </w:pPr>
            <w:r>
              <w:rPr>
                <w:rFonts w:hint="default" w:ascii="宋体" w:hAnsi="宋体" w:eastAsia="宋体" w:cs="宋体"/>
                <w:color w:val="auto"/>
                <w:spacing w:val="-4"/>
                <w:kern w:val="0"/>
                <w:sz w:val="21"/>
                <w:szCs w:val="21"/>
                <w:highlight w:val="none"/>
                <w:lang w:val="en-US" w:eastAsia="zh-CN" w:bidi="ar-SA"/>
              </w:rPr>
              <w:t>①</w:t>
            </w:r>
            <w:r>
              <w:rPr>
                <w:rFonts w:hint="eastAsia" w:ascii="宋体" w:hAnsi="宋体" w:eastAsia="宋体" w:cs="宋体"/>
                <w:color w:val="auto"/>
                <w:spacing w:val="-4"/>
                <w:kern w:val="0"/>
                <w:sz w:val="21"/>
                <w:szCs w:val="21"/>
                <w:highlight w:val="none"/>
                <w:lang w:val="en-US" w:eastAsia="zh-CN" w:bidi="ar-SA"/>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格式自拟并加盖公章）</w:t>
            </w:r>
          </w:p>
          <w:p w14:paraId="209CDB2A">
            <w:pPr>
              <w:widowControl/>
              <w:spacing w:line="350" w:lineRule="exact"/>
              <w:jc w:val="left"/>
              <w:rPr>
                <w:rFonts w:ascii="宋体" w:hAnsi="宋体" w:eastAsia="宋体" w:cs="宋体"/>
                <w:color w:val="auto"/>
                <w:spacing w:val="-4"/>
                <w:kern w:val="0"/>
                <w:sz w:val="21"/>
                <w:szCs w:val="21"/>
                <w:highlight w:val="none"/>
              </w:rPr>
            </w:pPr>
            <w:r>
              <w:rPr>
                <w:rFonts w:hint="default" w:ascii="宋体" w:hAnsi="宋体" w:eastAsia="宋体" w:cs="宋体"/>
                <w:color w:val="auto"/>
                <w:spacing w:val="-4"/>
                <w:kern w:val="0"/>
                <w:sz w:val="21"/>
                <w:szCs w:val="21"/>
                <w:highlight w:val="none"/>
                <w:lang w:val="en-US" w:eastAsia="zh-CN" w:bidi="ar-SA"/>
              </w:rPr>
              <w:t>②</w:t>
            </w:r>
            <w:r>
              <w:rPr>
                <w:rFonts w:hint="eastAsia" w:ascii="宋体" w:hAnsi="宋体" w:eastAsia="宋体" w:cs="宋体"/>
                <w:color w:val="auto"/>
                <w:spacing w:val="-4"/>
                <w:kern w:val="0"/>
                <w:sz w:val="21"/>
                <w:szCs w:val="21"/>
                <w:highlight w:val="none"/>
                <w:lang w:val="en-US" w:eastAsia="zh-CN" w:bidi="ar-SA"/>
              </w:rPr>
              <w:t>供应商在“中国执行信息公开网”未被列入失信被执行人名单；供应商在“信用中国”未被列入重大税收违法失信主体、在“中国政府采购网”中未被列入：政府采购严重违法失信行为记录名单。</w:t>
            </w:r>
            <w:r>
              <w:rPr>
                <w:rFonts w:hint="eastAsia" w:ascii="宋体" w:hAnsi="宋体" w:eastAsia="宋体" w:cs="宋体"/>
                <w:b/>
                <w:bCs/>
                <w:color w:val="auto"/>
                <w:spacing w:val="-4"/>
                <w:kern w:val="0"/>
                <w:sz w:val="21"/>
                <w:szCs w:val="21"/>
                <w:highlight w:val="none"/>
                <w:lang w:val="en-US" w:eastAsia="zh-CN" w:bidi="ar-SA"/>
              </w:rPr>
              <w:t>（</w:t>
            </w:r>
            <w:r>
              <w:rPr>
                <w:rFonts w:hint="eastAsia" w:ascii="宋体" w:hAnsi="宋体" w:eastAsia="宋体" w:cs="宋体"/>
                <w:b/>
                <w:bCs/>
                <w:color w:val="auto"/>
                <w:spacing w:val="-4"/>
                <w:kern w:val="0"/>
                <w:sz w:val="21"/>
                <w:szCs w:val="21"/>
                <w:highlight w:val="none"/>
                <w:lang w:val="en-US" w:eastAsia="zh-CN"/>
              </w:rPr>
              <w:t>注：以上网站均由采购人或采购代理机构在评审时查询，若供应商有不良信誉，视为不满足资格要求，响应文件无效。）</w:t>
            </w:r>
          </w:p>
        </w:tc>
      </w:tr>
      <w:tr w14:paraId="3DD17BC2">
        <w:tblPrEx>
          <w:tblCellMar>
            <w:top w:w="0" w:type="dxa"/>
            <w:left w:w="108" w:type="dxa"/>
            <w:bottom w:w="0" w:type="dxa"/>
            <w:right w:w="108" w:type="dxa"/>
          </w:tblCellMar>
        </w:tblPrEx>
        <w:trPr>
          <w:trHeight w:val="1915" w:hRule="atLeast"/>
          <w:jc w:val="center"/>
        </w:trPr>
        <w:tc>
          <w:tcPr>
            <w:tcW w:w="373" w:type="pct"/>
            <w:tcBorders>
              <w:top w:val="single" w:color="auto" w:sz="4" w:space="0"/>
              <w:left w:val="single" w:color="auto" w:sz="4" w:space="0"/>
              <w:bottom w:val="single" w:color="auto" w:sz="4" w:space="0"/>
              <w:right w:val="single" w:color="auto" w:sz="4" w:space="0"/>
            </w:tcBorders>
            <w:vAlign w:val="center"/>
          </w:tcPr>
          <w:p w14:paraId="2243AB89">
            <w:pPr>
              <w:widowControl/>
              <w:spacing w:line="350" w:lineRule="exact"/>
              <w:jc w:val="center"/>
              <w:rPr>
                <w:rFonts w:hint="default"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7</w:t>
            </w:r>
          </w:p>
        </w:tc>
        <w:tc>
          <w:tcPr>
            <w:tcW w:w="1027" w:type="pct"/>
            <w:tcBorders>
              <w:top w:val="single" w:color="auto" w:sz="4" w:space="0"/>
              <w:left w:val="single" w:color="auto" w:sz="4" w:space="0"/>
              <w:bottom w:val="single" w:color="auto" w:sz="4" w:space="0"/>
              <w:right w:val="single" w:color="auto" w:sz="4" w:space="0"/>
            </w:tcBorders>
            <w:vAlign w:val="center"/>
          </w:tcPr>
          <w:p w14:paraId="7598CA83">
            <w:pPr>
              <w:spacing w:line="360" w:lineRule="auto"/>
              <w:jc w:val="center"/>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本项目的特定资格要求</w:t>
            </w:r>
          </w:p>
        </w:tc>
        <w:tc>
          <w:tcPr>
            <w:tcW w:w="3599" w:type="pct"/>
            <w:tcBorders>
              <w:top w:val="single" w:color="auto" w:sz="4" w:space="0"/>
              <w:left w:val="single" w:color="auto" w:sz="4" w:space="0"/>
              <w:bottom w:val="single" w:color="auto" w:sz="4" w:space="0"/>
              <w:right w:val="single" w:color="auto" w:sz="4" w:space="0"/>
            </w:tcBorders>
            <w:vAlign w:val="center"/>
          </w:tcPr>
          <w:p w14:paraId="41102481">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（1）供应商应具备建设行业主管部门颁发的建筑工程施工总承包叁级以上（含叁级）资质；同时具备有效的安全生产许可证；</w:t>
            </w:r>
          </w:p>
          <w:p w14:paraId="48B4DE0A">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lang w:val="en-US" w:eastAsia="zh-CN"/>
              </w:rPr>
              <w:t>（2）项目经理要求：项目负责人具有建设行政主管部门颁发的二级及以上注册建造师（建筑工程专业）证书，具备有效的安全生产考核合格证书；项目经理必须为本单位在职人员。</w:t>
            </w:r>
          </w:p>
          <w:p w14:paraId="7794DD65">
            <w:pPr>
              <w:spacing w:line="360" w:lineRule="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b/>
                <w:bCs/>
                <w:color w:val="auto"/>
                <w:spacing w:val="-4"/>
                <w:kern w:val="0"/>
                <w:sz w:val="21"/>
                <w:szCs w:val="21"/>
                <w:highlight w:val="none"/>
                <w:lang w:val="en-US" w:eastAsia="zh-CN"/>
              </w:rPr>
              <w:t>（提供扫描件并加盖公章）</w:t>
            </w:r>
          </w:p>
        </w:tc>
      </w:tr>
    </w:tbl>
    <w:p w14:paraId="489E8DD4">
      <w:pPr>
        <w:pStyle w:val="21"/>
        <w:ind w:left="0" w:leftChars="0" w:firstLine="0" w:firstLineChars="0"/>
        <w:rPr>
          <w:rFonts w:hint="eastAsia"/>
          <w:color w:val="auto"/>
          <w:sz w:val="21"/>
          <w:szCs w:val="21"/>
          <w:highlight w:val="none"/>
          <w:lang w:eastAsia="zh-CN"/>
        </w:rPr>
      </w:pPr>
    </w:p>
    <w:p w14:paraId="52BE1A49">
      <w:pPr>
        <w:pStyle w:val="21"/>
        <w:ind w:firstLine="482"/>
        <w:rPr>
          <w:rFonts w:ascii="宋体" w:hAnsi="宋体" w:cs="宋体"/>
          <w:b/>
          <w:bCs/>
          <w:color w:val="auto"/>
          <w:sz w:val="21"/>
          <w:szCs w:val="21"/>
          <w:highlight w:val="none"/>
        </w:rPr>
        <w:sectPr>
          <w:pgSz w:w="11906" w:h="16838"/>
          <w:pgMar w:top="1440" w:right="1440" w:bottom="1440" w:left="1440" w:header="851" w:footer="992" w:gutter="0"/>
          <w:pgNumType w:fmt="decimal"/>
          <w:cols w:space="0" w:num="1"/>
          <w:docGrid w:type="lines" w:linePitch="312" w:charSpace="0"/>
        </w:sectPr>
      </w:pPr>
      <w:r>
        <w:rPr>
          <w:rFonts w:hint="eastAsia" w:ascii="宋体" w:hAnsi="宋体" w:eastAsia="宋体" w:cs="宋体"/>
          <w:b/>
          <w:bCs/>
          <w:color w:val="auto"/>
          <w:sz w:val="21"/>
          <w:szCs w:val="21"/>
          <w:highlight w:val="none"/>
        </w:rPr>
        <w:t>注：以上证明材料必须提供完整。</w:t>
      </w:r>
    </w:p>
    <w:p w14:paraId="2EE0B3D5">
      <w:pPr>
        <w:keepNext/>
        <w:keepLines/>
        <w:spacing w:line="500" w:lineRule="exact"/>
        <w:jc w:val="center"/>
        <w:outlineLvl w:val="1"/>
        <w:rPr>
          <w:rFonts w:cs="宋体"/>
          <w:b/>
          <w:bCs/>
          <w:color w:val="auto"/>
          <w:sz w:val="21"/>
          <w:szCs w:val="21"/>
          <w:highlight w:val="none"/>
        </w:rPr>
      </w:pPr>
      <w:bookmarkStart w:id="798" w:name="_Toc15520"/>
      <w:r>
        <w:rPr>
          <w:rFonts w:hint="eastAsia"/>
          <w:b/>
          <w:bCs/>
          <w:color w:val="auto"/>
          <w:sz w:val="21"/>
          <w:szCs w:val="21"/>
          <w:highlight w:val="none"/>
          <w:lang w:val="en-US" w:eastAsia="zh-CN"/>
        </w:rPr>
        <w:t>六</w:t>
      </w:r>
      <w:r>
        <w:rPr>
          <w:rFonts w:hint="eastAsia"/>
          <w:b/>
          <w:bCs/>
          <w:color w:val="auto"/>
          <w:sz w:val="21"/>
          <w:szCs w:val="21"/>
          <w:highlight w:val="none"/>
        </w:rPr>
        <w:t>、中小企业声明函格式</w:t>
      </w:r>
      <w:bookmarkEnd w:id="798"/>
    </w:p>
    <w:p w14:paraId="6597BABC">
      <w:pPr>
        <w:keepNext/>
        <w:keepLines/>
        <w:spacing w:line="500" w:lineRule="exact"/>
        <w:rPr>
          <w:rFonts w:ascii="宋体" w:hAnsi="宋体" w:eastAsia="宋体" w:cs="宋体"/>
          <w:b/>
          <w:bCs/>
          <w:color w:val="auto"/>
          <w:sz w:val="21"/>
          <w:szCs w:val="21"/>
          <w:highlight w:val="none"/>
        </w:rPr>
      </w:pPr>
    </w:p>
    <w:p w14:paraId="371ED81B">
      <w:pPr>
        <w:pStyle w:val="3"/>
        <w:spacing w:before="162"/>
        <w:jc w:val="center"/>
        <w:outlineLvl w:val="2"/>
        <w:rPr>
          <w:color w:val="auto"/>
          <w:sz w:val="21"/>
          <w:szCs w:val="21"/>
          <w:highlight w:val="none"/>
        </w:rPr>
      </w:pPr>
      <w:r>
        <w:rPr>
          <w:color w:val="auto"/>
          <w:sz w:val="21"/>
          <w:szCs w:val="21"/>
          <w:highlight w:val="none"/>
        </w:rPr>
        <w:t>中小企业声明函</w:t>
      </w:r>
    </w:p>
    <w:p w14:paraId="44941836">
      <w:pPr>
        <w:jc w:val="center"/>
        <w:rPr>
          <w:rFonts w:hint="default" w:eastAsia="宋体"/>
          <w:lang w:val="en-US" w:eastAsia="zh-CN"/>
        </w:rPr>
      </w:pPr>
      <w:r>
        <w:rPr>
          <w:rFonts w:hint="eastAsia"/>
          <w:lang w:val="en-US" w:eastAsia="zh-CN"/>
        </w:rPr>
        <w:t>(不属于中小微企业的无需填写）</w:t>
      </w:r>
    </w:p>
    <w:p w14:paraId="4E585AFA">
      <w:pPr>
        <w:pStyle w:val="2"/>
        <w:spacing w:line="302" w:lineRule="auto"/>
        <w:ind w:right="415" w:firstLine="640"/>
        <w:jc w:val="both"/>
        <w:rPr>
          <w:rFonts w:hint="eastAsia" w:ascii="宋体" w:hAnsi="宋体" w:eastAsia="宋体" w:cs="宋体"/>
          <w:color w:val="auto"/>
          <w:spacing w:val="-2"/>
          <w:sz w:val="21"/>
          <w:szCs w:val="21"/>
          <w:highlight w:val="none"/>
        </w:rPr>
      </w:pPr>
    </w:p>
    <w:p w14:paraId="5A9942EA">
      <w:pPr>
        <w:pStyle w:val="2"/>
        <w:spacing w:line="302" w:lineRule="auto"/>
        <w:ind w:right="415" w:firstLine="640"/>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本公司郑重声明，根据《政府采购促进中小</w:t>
      </w:r>
      <w:r>
        <w:rPr>
          <w:rFonts w:hint="eastAsia" w:ascii="宋体" w:hAnsi="宋体" w:eastAsia="宋体" w:cs="宋体"/>
          <w:color w:val="auto"/>
          <w:spacing w:val="-18"/>
          <w:sz w:val="21"/>
          <w:szCs w:val="21"/>
          <w:highlight w:val="none"/>
        </w:rPr>
        <w:t>企业发展管理办法》</w:t>
      </w:r>
      <w:r>
        <w:rPr>
          <w:rFonts w:hint="eastAsia" w:ascii="宋体" w:hAnsi="宋体" w:eastAsia="宋体" w:cs="宋体"/>
          <w:color w:val="auto"/>
          <w:sz w:val="21"/>
          <w:szCs w:val="21"/>
          <w:highlight w:val="none"/>
        </w:rPr>
        <w:t>（</w:t>
      </w:r>
      <w:r>
        <w:rPr>
          <w:rFonts w:hint="eastAsia" w:ascii="宋体" w:hAnsi="宋体" w:eastAsia="宋体" w:cs="宋体"/>
          <w:color w:val="auto"/>
          <w:spacing w:val="5"/>
          <w:sz w:val="21"/>
          <w:szCs w:val="21"/>
          <w:highlight w:val="none"/>
        </w:rPr>
        <w:t>财库</w:t>
      </w:r>
      <w:r>
        <w:rPr>
          <w:rFonts w:hint="eastAsia" w:ascii="宋体" w:hAnsi="宋体" w:eastAsia="宋体" w:cs="宋体"/>
          <w:color w:val="auto"/>
          <w:sz w:val="21"/>
          <w:szCs w:val="21"/>
          <w:highlight w:val="none"/>
        </w:rPr>
        <w:t>﹝2020﹞46</w:t>
      </w:r>
      <w:r>
        <w:rPr>
          <w:rFonts w:hint="eastAsia" w:ascii="宋体" w:hAnsi="宋体" w:eastAsia="宋体" w:cs="宋体"/>
          <w:color w:val="auto"/>
          <w:spacing w:val="-38"/>
          <w:sz w:val="21"/>
          <w:szCs w:val="21"/>
          <w:highlight w:val="none"/>
        </w:rPr>
        <w:t xml:space="preserve"> 号</w:t>
      </w:r>
      <w:r>
        <w:rPr>
          <w:rFonts w:hint="eastAsia" w:ascii="宋体" w:hAnsi="宋体" w:eastAsia="宋体" w:cs="宋体"/>
          <w:color w:val="auto"/>
          <w:spacing w:val="5"/>
          <w:sz w:val="21"/>
          <w:szCs w:val="21"/>
          <w:highlight w:val="none"/>
        </w:rPr>
        <w:t>）</w:t>
      </w:r>
      <w:r>
        <w:rPr>
          <w:rFonts w:hint="eastAsia" w:ascii="宋体" w:hAnsi="宋体" w:eastAsia="宋体" w:cs="宋体"/>
          <w:color w:val="auto"/>
          <w:sz w:val="21"/>
          <w:szCs w:val="21"/>
          <w:highlight w:val="none"/>
        </w:rPr>
        <w:t>的规定，本公司</w:t>
      </w:r>
      <w:r>
        <w:rPr>
          <w:rFonts w:hint="eastAsia" w:ascii="宋体" w:hAnsi="宋体" w:eastAsia="宋体" w:cs="宋体"/>
          <w:color w:val="auto"/>
          <w:spacing w:val="-2"/>
          <w:sz w:val="21"/>
          <w:szCs w:val="21"/>
          <w:highlight w:val="none"/>
        </w:rPr>
        <w:t>参加</w:t>
      </w:r>
      <w:r>
        <w:rPr>
          <w:rFonts w:hint="eastAsia" w:ascii="宋体" w:hAnsi="宋体" w:eastAsia="宋体" w:cs="宋体"/>
          <w:color w:val="auto"/>
          <w:spacing w:val="-2"/>
          <w:sz w:val="21"/>
          <w:szCs w:val="21"/>
          <w:highlight w:val="none"/>
          <w:u w:val="single"/>
        </w:rPr>
        <w:t>（单位名称）</w:t>
      </w:r>
      <w:r>
        <w:rPr>
          <w:rFonts w:hint="eastAsia" w:ascii="宋体" w:hAnsi="宋体" w:eastAsia="宋体" w:cs="宋体"/>
          <w:color w:val="auto"/>
          <w:spacing w:val="-2"/>
          <w:sz w:val="21"/>
          <w:szCs w:val="21"/>
          <w:highlight w:val="none"/>
        </w:rPr>
        <w:t>的</w:t>
      </w:r>
      <w:r>
        <w:rPr>
          <w:rFonts w:hint="eastAsia" w:ascii="宋体" w:hAnsi="宋体" w:eastAsia="宋体" w:cs="宋体"/>
          <w:color w:val="auto"/>
          <w:spacing w:val="-2"/>
          <w:sz w:val="21"/>
          <w:szCs w:val="21"/>
          <w:highlight w:val="none"/>
          <w:u w:val="single"/>
        </w:rPr>
        <w:t>（项目名称）</w:t>
      </w:r>
      <w:r>
        <w:rPr>
          <w:rFonts w:hint="eastAsia" w:ascii="宋体" w:hAnsi="宋体" w:eastAsia="宋体" w:cs="宋体"/>
          <w:color w:val="auto"/>
          <w:spacing w:val="-2"/>
          <w:sz w:val="21"/>
          <w:szCs w:val="21"/>
          <w:highlight w:val="none"/>
        </w:rPr>
        <w:t>采购活动，工程的施工单位为符合政策要求的中小企业承接</w:t>
      </w:r>
      <w:r>
        <w:rPr>
          <w:rFonts w:hint="eastAsia" w:ascii="宋体" w:hAnsi="宋体" w:cs="宋体"/>
          <w:color w:val="auto"/>
          <w:spacing w:val="-2"/>
          <w:sz w:val="21"/>
          <w:szCs w:val="21"/>
          <w:highlight w:val="none"/>
          <w:lang w:eastAsia="zh-CN"/>
        </w:rPr>
        <w:t>，</w:t>
      </w:r>
      <w:r>
        <w:rPr>
          <w:rFonts w:hint="eastAsia" w:ascii="宋体" w:hAnsi="宋体" w:eastAsia="宋体" w:cs="宋体"/>
          <w:color w:val="auto"/>
          <w:spacing w:val="-2"/>
          <w:sz w:val="21"/>
          <w:szCs w:val="21"/>
          <w:highlight w:val="none"/>
        </w:rPr>
        <w:t>相关企业（含联合体中的中小企业、签订分包意向协议的中小企业）的具体情况如下：</w:t>
      </w:r>
    </w:p>
    <w:p w14:paraId="3C1C3AA0">
      <w:pPr>
        <w:pStyle w:val="2"/>
        <w:spacing w:line="302" w:lineRule="auto"/>
        <w:ind w:right="415" w:firstLine="640"/>
        <w:jc w:val="both"/>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val="en-US" w:eastAsia="zh-CN"/>
        </w:rPr>
        <w:t>1</w:t>
      </w:r>
      <w:r>
        <w:rPr>
          <w:rFonts w:hint="eastAsia" w:ascii="宋体" w:hAnsi="宋体" w:eastAsia="宋体" w:cs="宋体"/>
          <w:color w:val="auto"/>
          <w:spacing w:val="-2"/>
          <w:sz w:val="21"/>
          <w:szCs w:val="21"/>
          <w:highlight w:val="none"/>
          <w:u w:val="single"/>
          <w:lang w:val="en-US" w:eastAsia="zh-CN"/>
        </w:rPr>
        <w:t>.</w:t>
      </w:r>
      <w:r>
        <w:rPr>
          <w:rFonts w:hint="eastAsia" w:ascii="宋体" w:hAnsi="宋体" w:cs="宋体"/>
          <w:color w:val="auto"/>
          <w:spacing w:val="-2"/>
          <w:sz w:val="21"/>
          <w:szCs w:val="21"/>
          <w:highlight w:val="none"/>
          <w:u w:val="single"/>
          <w:lang w:val="en-US" w:eastAsia="zh-CN"/>
        </w:rPr>
        <w:t>梁河县中心敬老院消防安全标准化提升工程</w:t>
      </w:r>
      <w:r>
        <w:rPr>
          <w:rFonts w:hint="eastAsia" w:ascii="宋体" w:hAnsi="宋体" w:eastAsia="宋体" w:cs="宋体"/>
          <w:color w:val="auto"/>
          <w:spacing w:val="-2"/>
          <w:sz w:val="21"/>
          <w:szCs w:val="21"/>
          <w:highlight w:val="none"/>
          <w:u w:val="single"/>
          <w:lang w:val="en-US" w:eastAsia="zh-CN"/>
        </w:rPr>
        <w:t xml:space="preserve"> </w:t>
      </w:r>
      <w:r>
        <w:rPr>
          <w:rFonts w:hint="eastAsia" w:ascii="宋体" w:hAnsi="宋体" w:eastAsia="宋体" w:cs="宋体"/>
          <w:color w:val="auto"/>
          <w:spacing w:val="-2"/>
          <w:sz w:val="21"/>
          <w:szCs w:val="21"/>
          <w:highlight w:val="none"/>
        </w:rPr>
        <w:t>，属于</w:t>
      </w:r>
      <w:r>
        <w:rPr>
          <w:rFonts w:hint="eastAsia" w:ascii="宋体" w:hAnsi="宋体" w:eastAsia="宋体" w:cs="宋体"/>
          <w:color w:val="auto"/>
          <w:spacing w:val="-2"/>
          <w:sz w:val="21"/>
          <w:szCs w:val="21"/>
          <w:highlight w:val="none"/>
          <w:u w:val="single"/>
          <w:lang w:val="en-US" w:eastAsia="zh-CN"/>
        </w:rPr>
        <w:t xml:space="preserve"> </w:t>
      </w:r>
      <w:r>
        <w:rPr>
          <w:rFonts w:hint="eastAsia" w:ascii="宋体" w:hAnsi="宋体" w:eastAsia="宋体" w:cs="宋体"/>
          <w:color w:val="auto"/>
          <w:spacing w:val="-2"/>
          <w:kern w:val="2"/>
          <w:sz w:val="21"/>
          <w:szCs w:val="21"/>
          <w:highlight w:val="none"/>
          <w:u w:val="single"/>
          <w:lang w:val="en-US" w:eastAsia="zh-CN" w:bidi="zh-CN"/>
        </w:rPr>
        <w:t xml:space="preserve">建筑业 </w:t>
      </w:r>
      <w:r>
        <w:rPr>
          <w:rFonts w:hint="eastAsia" w:ascii="宋体" w:hAnsi="宋体" w:eastAsia="宋体" w:cs="宋体"/>
          <w:color w:val="auto"/>
          <w:spacing w:val="-2"/>
          <w:sz w:val="21"/>
          <w:szCs w:val="21"/>
          <w:highlight w:val="none"/>
        </w:rPr>
        <w:t>；承建企业为</w:t>
      </w:r>
      <w:r>
        <w:rPr>
          <w:rFonts w:hint="eastAsia" w:ascii="宋体" w:hAnsi="宋体" w:eastAsia="宋体" w:cs="宋体"/>
          <w:color w:val="auto"/>
          <w:spacing w:val="-2"/>
          <w:sz w:val="21"/>
          <w:szCs w:val="21"/>
          <w:highlight w:val="none"/>
          <w:u w:val="single"/>
        </w:rPr>
        <w:t>（企业名称）</w:t>
      </w:r>
      <w:r>
        <w:rPr>
          <w:rFonts w:hint="eastAsia" w:ascii="宋体" w:hAnsi="宋体" w:eastAsia="宋体" w:cs="宋体"/>
          <w:color w:val="auto"/>
          <w:spacing w:val="-2"/>
          <w:sz w:val="21"/>
          <w:szCs w:val="21"/>
          <w:highlight w:val="none"/>
        </w:rPr>
        <w:t>，从业人员</w:t>
      </w:r>
      <w:r>
        <w:rPr>
          <w:rFonts w:hint="eastAsia" w:ascii="宋体" w:hAnsi="宋体" w:eastAsia="宋体" w:cs="宋体"/>
          <w:color w:val="auto"/>
          <w:spacing w:val="-2"/>
          <w:sz w:val="21"/>
          <w:szCs w:val="21"/>
          <w:highlight w:val="none"/>
          <w:u w:val="single"/>
        </w:rPr>
        <w:t xml:space="preserve"> </w:t>
      </w:r>
      <w:r>
        <w:rPr>
          <w:rFonts w:hint="eastAsia" w:ascii="宋体" w:hAnsi="宋体" w:eastAsia="宋体" w:cs="宋体"/>
          <w:color w:val="auto"/>
          <w:spacing w:val="-2"/>
          <w:sz w:val="21"/>
          <w:szCs w:val="21"/>
          <w:highlight w:val="none"/>
          <w:u w:val="single"/>
          <w:lang w:val="en-US" w:eastAsia="zh-CN"/>
        </w:rPr>
        <w:t xml:space="preserve">  </w:t>
      </w:r>
      <w:r>
        <w:rPr>
          <w:rFonts w:hint="eastAsia" w:ascii="宋体" w:hAnsi="宋体" w:eastAsia="宋体" w:cs="宋体"/>
          <w:color w:val="auto"/>
          <w:spacing w:val="-2"/>
          <w:sz w:val="21"/>
          <w:szCs w:val="21"/>
          <w:highlight w:val="none"/>
          <w:u w:val="single"/>
        </w:rPr>
        <w:tab/>
      </w:r>
      <w:r>
        <w:rPr>
          <w:rFonts w:hint="eastAsia" w:ascii="宋体" w:hAnsi="宋体" w:eastAsia="宋体" w:cs="宋体"/>
          <w:color w:val="auto"/>
          <w:spacing w:val="-2"/>
          <w:sz w:val="21"/>
          <w:szCs w:val="21"/>
          <w:highlight w:val="none"/>
        </w:rPr>
        <w:t>人，营业收入为</w:t>
      </w:r>
      <w:r>
        <w:rPr>
          <w:rFonts w:hint="eastAsia" w:ascii="宋体" w:hAnsi="宋体" w:eastAsia="宋体" w:cs="宋体"/>
          <w:color w:val="auto"/>
          <w:spacing w:val="-2"/>
          <w:sz w:val="21"/>
          <w:szCs w:val="21"/>
          <w:highlight w:val="none"/>
          <w:u w:val="single"/>
        </w:rPr>
        <w:t xml:space="preserve"> </w:t>
      </w:r>
      <w:r>
        <w:rPr>
          <w:rFonts w:hint="eastAsia" w:ascii="宋体" w:hAnsi="宋体" w:eastAsia="宋体" w:cs="宋体"/>
          <w:color w:val="auto"/>
          <w:spacing w:val="-2"/>
          <w:sz w:val="21"/>
          <w:szCs w:val="21"/>
          <w:highlight w:val="none"/>
          <w:u w:val="single"/>
          <w:lang w:val="en-US" w:eastAsia="zh-CN"/>
        </w:rPr>
        <w:t xml:space="preserve">  </w:t>
      </w:r>
      <w:r>
        <w:rPr>
          <w:rFonts w:hint="eastAsia" w:ascii="宋体" w:hAnsi="宋体" w:eastAsia="宋体" w:cs="宋体"/>
          <w:color w:val="auto"/>
          <w:spacing w:val="-2"/>
          <w:sz w:val="21"/>
          <w:szCs w:val="21"/>
          <w:highlight w:val="none"/>
          <w:u w:val="single"/>
        </w:rPr>
        <w:tab/>
      </w:r>
      <w:r>
        <w:rPr>
          <w:rFonts w:hint="eastAsia" w:ascii="宋体" w:hAnsi="宋体" w:eastAsia="宋体" w:cs="宋体"/>
          <w:color w:val="auto"/>
          <w:spacing w:val="-2"/>
          <w:sz w:val="21"/>
          <w:szCs w:val="21"/>
          <w:highlight w:val="none"/>
        </w:rPr>
        <w:t>万元，资产总额为</w:t>
      </w:r>
      <w:r>
        <w:rPr>
          <w:rFonts w:hint="eastAsia" w:ascii="宋体" w:hAnsi="宋体" w:eastAsia="宋体" w:cs="宋体"/>
          <w:color w:val="auto"/>
          <w:spacing w:val="-2"/>
          <w:sz w:val="21"/>
          <w:szCs w:val="21"/>
          <w:highlight w:val="none"/>
          <w:u w:val="single"/>
        </w:rPr>
        <w:t xml:space="preserve"> </w:t>
      </w:r>
      <w:r>
        <w:rPr>
          <w:rFonts w:hint="eastAsia" w:ascii="宋体" w:hAnsi="宋体" w:eastAsia="宋体" w:cs="宋体"/>
          <w:color w:val="auto"/>
          <w:spacing w:val="-2"/>
          <w:sz w:val="21"/>
          <w:szCs w:val="21"/>
          <w:highlight w:val="none"/>
          <w:u w:val="single"/>
          <w:lang w:val="en-US" w:eastAsia="zh-CN"/>
        </w:rPr>
        <w:t xml:space="preserve">  </w:t>
      </w:r>
      <w:r>
        <w:rPr>
          <w:rFonts w:hint="eastAsia" w:ascii="宋体" w:hAnsi="宋体" w:eastAsia="宋体" w:cs="宋体"/>
          <w:color w:val="auto"/>
          <w:spacing w:val="-2"/>
          <w:sz w:val="21"/>
          <w:szCs w:val="21"/>
          <w:highlight w:val="none"/>
          <w:u w:val="single"/>
        </w:rPr>
        <w:tab/>
      </w:r>
      <w:r>
        <w:rPr>
          <w:rFonts w:hint="eastAsia" w:ascii="宋体" w:hAnsi="宋体" w:eastAsia="宋体" w:cs="宋体"/>
          <w:color w:val="auto"/>
          <w:spacing w:val="-2"/>
          <w:sz w:val="21"/>
          <w:szCs w:val="21"/>
          <w:highlight w:val="none"/>
        </w:rPr>
        <w:t>万元，属于（</w:t>
      </w:r>
      <w:r>
        <w:rPr>
          <w:rFonts w:hint="eastAsia" w:ascii="宋体" w:hAnsi="宋体" w:eastAsia="宋体" w:cs="宋体"/>
          <w:color w:val="auto"/>
          <w:spacing w:val="-2"/>
          <w:sz w:val="21"/>
          <w:szCs w:val="21"/>
          <w:highlight w:val="none"/>
          <w:lang w:eastAsia="zh-CN"/>
        </w:rPr>
        <w:t>中型企业、</w:t>
      </w:r>
      <w:r>
        <w:rPr>
          <w:rFonts w:hint="eastAsia" w:ascii="宋体" w:hAnsi="宋体" w:eastAsia="宋体" w:cs="宋体"/>
          <w:color w:val="auto"/>
          <w:spacing w:val="-2"/>
          <w:sz w:val="21"/>
          <w:szCs w:val="21"/>
          <w:highlight w:val="none"/>
        </w:rPr>
        <w:t>小型企业、微型企业）；</w:t>
      </w:r>
    </w:p>
    <w:p w14:paraId="758DE017">
      <w:pPr>
        <w:pStyle w:val="2"/>
        <w:spacing w:before="108" w:line="304" w:lineRule="auto"/>
        <w:ind w:right="417" w:firstLine="645"/>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以上企业，不属于大企业的分支机构，不存在控股股东</w:t>
      </w:r>
      <w:r>
        <w:rPr>
          <w:rFonts w:hint="eastAsia" w:ascii="宋体" w:hAnsi="宋体" w:eastAsia="宋体" w:cs="宋体"/>
          <w:color w:val="auto"/>
          <w:spacing w:val="-5"/>
          <w:sz w:val="21"/>
          <w:szCs w:val="21"/>
          <w:highlight w:val="none"/>
        </w:rPr>
        <w:t>为大企业的情形，也不存在与大企业的负责人为同一人的情形。</w:t>
      </w:r>
    </w:p>
    <w:p w14:paraId="5529D206">
      <w:pPr>
        <w:pStyle w:val="2"/>
        <w:spacing w:line="304" w:lineRule="auto"/>
        <w:ind w:right="375"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3FBBF154">
      <w:pPr>
        <w:pStyle w:val="2"/>
        <w:spacing w:line="302" w:lineRule="auto"/>
        <w:ind w:right="372" w:firstLine="645"/>
        <w:rPr>
          <w:rFonts w:hint="eastAsia" w:ascii="宋体" w:hAnsi="宋体" w:eastAsia="宋体" w:cs="宋体"/>
          <w:color w:val="auto"/>
          <w:sz w:val="21"/>
          <w:szCs w:val="21"/>
          <w:highlight w:val="none"/>
        </w:rPr>
      </w:pPr>
    </w:p>
    <w:p w14:paraId="0C078802">
      <w:pPr>
        <w:pStyle w:val="2"/>
        <w:spacing w:before="35" w:line="316" w:lineRule="auto"/>
        <w:ind w:left="4060" w:right="2166"/>
        <w:rPr>
          <w:rFonts w:hint="eastAsia" w:ascii="宋体" w:hAnsi="宋体" w:eastAsia="宋体" w:cs="宋体"/>
          <w:color w:val="auto"/>
          <w:spacing w:val="24"/>
          <w:kern w:val="2"/>
          <w:sz w:val="21"/>
          <w:szCs w:val="21"/>
          <w:highlight w:val="none"/>
          <w:lang w:val="en-US" w:eastAsia="zh-CN" w:bidi="ar-SA"/>
        </w:rPr>
      </w:pPr>
      <w:r>
        <w:rPr>
          <w:rFonts w:hint="eastAsia" w:ascii="宋体" w:hAnsi="宋体" w:eastAsia="宋体" w:cs="宋体"/>
          <w:color w:val="auto"/>
          <w:spacing w:val="24"/>
          <w:kern w:val="2"/>
          <w:sz w:val="21"/>
          <w:szCs w:val="21"/>
          <w:highlight w:val="none"/>
          <w:lang w:val="en-US" w:eastAsia="zh-CN" w:bidi="ar-SA"/>
        </w:rPr>
        <w:t>企业名称（盖章）：</w:t>
      </w:r>
    </w:p>
    <w:p w14:paraId="61395EFA">
      <w:pPr>
        <w:spacing w:line="500" w:lineRule="exact"/>
        <w:ind w:firstLine="3870" w:firstLineChars="1500"/>
        <w:rPr>
          <w:rFonts w:ascii="宋体" w:hAnsi="宋体" w:eastAsia="宋体" w:cs="宋体"/>
          <w:b/>
          <w:bCs/>
          <w:color w:val="auto"/>
          <w:sz w:val="21"/>
          <w:szCs w:val="21"/>
          <w:highlight w:val="none"/>
        </w:rPr>
      </w:pPr>
      <w:r>
        <w:rPr>
          <w:rFonts w:hint="eastAsia" w:ascii="宋体" w:hAnsi="宋体" w:eastAsia="宋体" w:cs="宋体"/>
          <w:color w:val="auto"/>
          <w:spacing w:val="24"/>
          <w:sz w:val="21"/>
          <w:szCs w:val="21"/>
          <w:highlight w:val="none"/>
        </w:rPr>
        <w:t>日期：</w:t>
      </w:r>
    </w:p>
    <w:p w14:paraId="0ECF6BE1">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14:paraId="259E05BD">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从业人员、营业收入、资产总额填报上一年度数据，无上一年度数据的新成立企业可不填报。</w:t>
      </w:r>
    </w:p>
    <w:p w14:paraId="11BAB723">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outlineLvl w:val="2"/>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color w:val="auto"/>
          <w:sz w:val="21"/>
          <w:szCs w:val="21"/>
          <w:highlight w:val="none"/>
        </w:rPr>
        <w:t>由供应商根据自身实际情况填报</w:t>
      </w:r>
      <w:r>
        <w:rPr>
          <w:rFonts w:hint="eastAsia" w:ascii="宋体" w:hAnsi="宋体" w:eastAsia="宋体" w:cs="宋体"/>
          <w:b/>
          <w:color w:val="auto"/>
          <w:sz w:val="21"/>
          <w:szCs w:val="21"/>
          <w:highlight w:val="none"/>
          <w:lang w:eastAsia="zh-CN"/>
        </w:rPr>
        <w:t>；</w:t>
      </w:r>
    </w:p>
    <w:p w14:paraId="60794E9F">
      <w:pPr>
        <w:keepNext w:val="0"/>
        <w:keepLines w:val="0"/>
        <w:pageBreakBefore w:val="0"/>
        <w:widowControl w:val="0"/>
        <w:kinsoku/>
        <w:wordWrap/>
        <w:overflowPunct/>
        <w:topLinePunct w:val="0"/>
        <w:autoSpaceDE/>
        <w:autoSpaceDN/>
        <w:bidi w:val="0"/>
        <w:adjustRightInd/>
        <w:snapToGrid/>
        <w:spacing w:line="460" w:lineRule="exact"/>
        <w:ind w:firstLine="422" w:firstLineChars="200"/>
        <w:textAlignment w:val="auto"/>
        <w:rPr>
          <w:rFonts w:ascii="宋体" w:hAnsi="宋体" w:eastAsia="宋体" w:cs="宋体"/>
          <w:b/>
          <w:color w:val="auto"/>
          <w:kern w:val="0"/>
          <w:sz w:val="21"/>
          <w:szCs w:val="21"/>
          <w:highlight w:val="none"/>
        </w:rPr>
        <w:sectPr>
          <w:footerReference r:id="rId9" w:type="default"/>
          <w:pgSz w:w="11906" w:h="16838"/>
          <w:pgMar w:top="1440" w:right="1440" w:bottom="1440" w:left="1440" w:header="851" w:footer="992" w:gutter="0"/>
          <w:pgNumType w:fmt="decimal"/>
          <w:cols w:space="0" w:num="1"/>
          <w:docGrid w:type="lines" w:linePitch="312" w:charSpace="0"/>
        </w:sectPr>
      </w:pP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供应商提供声明函内容不实的，属于提供虚假材料谋取成交，依照《中华人民共和国政府采购法》等国家有关规定追究相应责任。</w:t>
      </w:r>
    </w:p>
    <w:p w14:paraId="2D731324">
      <w:pPr>
        <w:pStyle w:val="2"/>
        <w:jc w:val="center"/>
        <w:outlineLvl w:val="1"/>
        <w:rPr>
          <w:rFonts w:ascii="宋体" w:hAnsi="宋体" w:eastAsia="宋体" w:cs="宋体"/>
          <w:b/>
          <w:color w:val="auto"/>
          <w:kern w:val="0"/>
          <w:sz w:val="21"/>
          <w:szCs w:val="21"/>
          <w:highlight w:val="none"/>
        </w:rPr>
      </w:pPr>
      <w:bookmarkStart w:id="799" w:name="_Toc21200"/>
      <w:r>
        <w:rPr>
          <w:rFonts w:hint="eastAsia" w:ascii="宋体" w:hAnsi="宋体" w:eastAsia="宋体" w:cs="宋体"/>
          <w:b/>
          <w:color w:val="auto"/>
          <w:kern w:val="0"/>
          <w:sz w:val="21"/>
          <w:szCs w:val="21"/>
          <w:highlight w:val="none"/>
        </w:rPr>
        <w:t>监狱企业声明函</w:t>
      </w:r>
      <w:bookmarkEnd w:id="799"/>
    </w:p>
    <w:p w14:paraId="5AFC52A7">
      <w:pPr>
        <w:pStyle w:val="2"/>
        <w:ind w:firstLine="2943" w:firstLineChars="1457"/>
        <w:jc w:val="left"/>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w:t>
      </w:r>
      <w:r>
        <w:rPr>
          <w:rFonts w:hint="eastAsia" w:ascii="宋体" w:hAnsi="宋体" w:eastAsia="宋体" w:cs="宋体"/>
          <w:color w:val="auto"/>
          <w:sz w:val="21"/>
          <w:szCs w:val="21"/>
          <w:highlight w:val="none"/>
        </w:rPr>
        <w:t>不属于监狱企业的无需填写</w:t>
      </w:r>
      <w:r>
        <w:rPr>
          <w:rFonts w:hint="eastAsia" w:ascii="宋体" w:hAnsi="宋体" w:eastAsia="宋体" w:cs="宋体"/>
          <w:color w:val="auto"/>
          <w:spacing w:val="-4"/>
          <w:sz w:val="21"/>
          <w:szCs w:val="21"/>
          <w:highlight w:val="none"/>
        </w:rPr>
        <w:t>）</w:t>
      </w:r>
    </w:p>
    <w:p w14:paraId="1D84610D">
      <w:pPr>
        <w:pStyle w:val="2"/>
        <w:ind w:firstLine="404" w:firstLineChars="200"/>
        <w:jc w:val="left"/>
        <w:rPr>
          <w:rFonts w:ascii="宋体" w:hAnsi="宋体" w:eastAsia="宋体" w:cs="宋体"/>
          <w:color w:val="auto"/>
          <w:spacing w:val="-4"/>
          <w:sz w:val="21"/>
          <w:szCs w:val="21"/>
          <w:highlight w:val="none"/>
        </w:rPr>
      </w:pPr>
    </w:p>
    <w:p w14:paraId="177B815E">
      <w:pPr>
        <w:pStyle w:val="2"/>
        <w:ind w:firstLine="404" w:firstLineChars="200"/>
        <w:jc w:val="left"/>
        <w:rPr>
          <w:rFonts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公司郑重声明，根据《关于政府采购支持监狱企业发展有关问题的通知》 </w:t>
      </w:r>
      <w:r>
        <w:rPr>
          <w:rFonts w:hint="eastAsia" w:ascii="宋体" w:hAnsi="宋体" w:eastAsia="宋体" w:cs="宋体"/>
          <w:color w:val="auto"/>
          <w:sz w:val="21"/>
          <w:szCs w:val="21"/>
          <w:highlight w:val="none"/>
        </w:rPr>
        <w:t>（财库[2014]68</w:t>
      </w:r>
      <w:r>
        <w:rPr>
          <w:rFonts w:hint="eastAsia" w:ascii="宋体" w:hAnsi="宋体" w:eastAsia="宋体" w:cs="宋体"/>
          <w:color w:val="auto"/>
          <w:spacing w:val="-47"/>
          <w:sz w:val="21"/>
          <w:szCs w:val="21"/>
          <w:highlight w:val="none"/>
        </w:rPr>
        <w:t xml:space="preserve"> </w:t>
      </w:r>
      <w:r>
        <w:rPr>
          <w:rFonts w:hint="eastAsia" w:ascii="宋体" w:hAnsi="宋体" w:eastAsia="宋体" w:cs="宋体"/>
          <w:color w:val="auto"/>
          <w:sz w:val="21"/>
          <w:szCs w:val="21"/>
          <w:highlight w:val="none"/>
        </w:rPr>
        <w:t xml:space="preserve">号）的规定，本公司为监狱企业。 </w:t>
      </w:r>
    </w:p>
    <w:p w14:paraId="3A68B86F">
      <w:pPr>
        <w:pStyle w:val="2"/>
        <w:ind w:firstLine="392" w:firstLineChars="200"/>
        <w:jc w:val="left"/>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根据上述标准，我公司属于监狱企业的理由为：</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7"/>
          <w:sz w:val="21"/>
          <w:szCs w:val="21"/>
          <w:highlight w:val="none"/>
        </w:rPr>
        <w:t>。</w:t>
      </w:r>
    </w:p>
    <w:p w14:paraId="6D63FDBA">
      <w:pPr>
        <w:pStyle w:val="2"/>
        <w:tabs>
          <w:tab w:val="left" w:pos="3120"/>
        </w:tabs>
        <w:ind w:firstLine="416" w:firstLineChars="200"/>
        <w:jc w:val="left"/>
        <w:rPr>
          <w:rFonts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本公司为参加</w:t>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pacing w:val="-1"/>
          <w:sz w:val="21"/>
          <w:szCs w:val="21"/>
          <w:highlight w:val="none"/>
          <w:u w:val="single" w:color="000000"/>
        </w:rPr>
        <w:t>（项目名称）</w:t>
      </w:r>
      <w:r>
        <w:rPr>
          <w:rFonts w:hint="eastAsia" w:ascii="宋体" w:hAnsi="宋体" w:eastAsia="宋体" w:cs="宋体"/>
          <w:color w:val="auto"/>
          <w:spacing w:val="34"/>
          <w:sz w:val="21"/>
          <w:szCs w:val="21"/>
          <w:highlight w:val="none"/>
          <w:u w:val="single" w:color="000000"/>
        </w:rPr>
        <w:t xml:space="preserve"> </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6"/>
          <w:sz w:val="21"/>
          <w:szCs w:val="21"/>
          <w:highlight w:val="none"/>
          <w:lang w:eastAsia="zh-CN"/>
        </w:rPr>
        <w:t>招标编号</w:t>
      </w: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）采购活动提供本企业</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color="000000"/>
        </w:rPr>
        <w:t>（填写制造的货</w:t>
      </w:r>
      <w:r>
        <w:rPr>
          <w:rFonts w:hint="eastAsia" w:ascii="宋体" w:hAnsi="宋体" w:eastAsia="宋体" w:cs="宋体"/>
          <w:color w:val="auto"/>
          <w:spacing w:val="-8"/>
          <w:sz w:val="21"/>
          <w:szCs w:val="21"/>
          <w:highlight w:val="none"/>
          <w:u w:val="single" w:color="000000"/>
        </w:rPr>
        <w:t>物，由本企业承担工程、提供服务）</w:t>
      </w:r>
      <w:r>
        <w:rPr>
          <w:rFonts w:hint="eastAsia" w:ascii="宋体" w:hAnsi="宋体" w:eastAsia="宋体" w:cs="宋体"/>
          <w:color w:val="auto"/>
          <w:spacing w:val="-8"/>
          <w:sz w:val="21"/>
          <w:szCs w:val="21"/>
          <w:highlight w:val="none"/>
        </w:rPr>
        <w:t>。</w:t>
      </w:r>
    </w:p>
    <w:p w14:paraId="7DA5CC4F">
      <w:pPr>
        <w:spacing w:line="360" w:lineRule="auto"/>
        <w:rPr>
          <w:rFonts w:ascii="宋体" w:hAnsi="宋体" w:eastAsia="宋体" w:cs="宋体"/>
          <w:color w:val="auto"/>
          <w:sz w:val="21"/>
          <w:szCs w:val="21"/>
          <w:highlight w:val="none"/>
        </w:rPr>
      </w:pPr>
    </w:p>
    <w:p w14:paraId="4A4D2319">
      <w:pPr>
        <w:pStyle w:val="2"/>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本条所称货物不包括使用大型企业注册商标的货物和服务。 </w:t>
      </w:r>
    </w:p>
    <w:p w14:paraId="23694DA1">
      <w:pPr>
        <w:pStyle w:val="2"/>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本公司对上述声明的真实性负责。如有虚假，将依法承担相应责任。</w:t>
      </w:r>
    </w:p>
    <w:p w14:paraId="5D0BFE0E">
      <w:pPr>
        <w:spacing w:line="360" w:lineRule="auto"/>
        <w:rPr>
          <w:rFonts w:ascii="宋体" w:hAnsi="宋体" w:eastAsia="宋体" w:cs="宋体"/>
          <w:color w:val="auto"/>
          <w:sz w:val="21"/>
          <w:szCs w:val="21"/>
          <w:highlight w:val="none"/>
        </w:rPr>
      </w:pPr>
    </w:p>
    <w:p w14:paraId="11E37E98">
      <w:pPr>
        <w:spacing w:line="360" w:lineRule="auto"/>
        <w:rPr>
          <w:rFonts w:ascii="宋体" w:hAnsi="宋体" w:eastAsia="宋体" w:cs="宋体"/>
          <w:color w:val="auto"/>
          <w:sz w:val="21"/>
          <w:szCs w:val="21"/>
          <w:highlight w:val="none"/>
        </w:rPr>
      </w:pPr>
    </w:p>
    <w:p w14:paraId="0B66395F">
      <w:pPr>
        <w:spacing w:line="360" w:lineRule="auto"/>
        <w:ind w:firstLine="420" w:firstLineChars="200"/>
        <w:rPr>
          <w:color w:val="auto"/>
          <w:sz w:val="21"/>
          <w:szCs w:val="21"/>
          <w:highlight w:val="none"/>
        </w:rPr>
      </w:pPr>
      <w:r>
        <w:rPr>
          <w:rFonts w:hAnsi="宋体"/>
          <w:color w:val="auto"/>
          <w:sz w:val="21"/>
          <w:szCs w:val="21"/>
          <w:highlight w:val="none"/>
        </w:rPr>
        <w:t>供应商全称（加盖单位</w:t>
      </w:r>
      <w:r>
        <w:rPr>
          <w:rFonts w:hint="eastAsia" w:hAnsi="宋体"/>
          <w:color w:val="auto"/>
          <w:sz w:val="21"/>
          <w:szCs w:val="21"/>
          <w:highlight w:val="none"/>
          <w:lang w:eastAsia="zh-CN"/>
        </w:rPr>
        <w:t>公章</w:t>
      </w:r>
      <w:r>
        <w:rPr>
          <w:rFonts w:hAnsi="宋体"/>
          <w:color w:val="auto"/>
          <w:sz w:val="21"/>
          <w:szCs w:val="21"/>
          <w:highlight w:val="none"/>
        </w:rPr>
        <w:t>）：</w:t>
      </w:r>
      <w:r>
        <w:rPr>
          <w:rFonts w:hAnsi="宋体"/>
          <w:color w:val="auto"/>
          <w:sz w:val="21"/>
          <w:szCs w:val="21"/>
          <w:highlight w:val="none"/>
          <w:u w:val="single"/>
        </w:rPr>
        <w:t>　　　　　　　　　　　　</w:t>
      </w:r>
    </w:p>
    <w:p w14:paraId="2A673FC9">
      <w:pPr>
        <w:spacing w:line="360" w:lineRule="auto"/>
        <w:ind w:firstLine="420" w:firstLineChars="200"/>
        <w:jc w:val="left"/>
        <w:rPr>
          <w:rFonts w:hAnsi="宋体"/>
          <w:color w:val="auto"/>
          <w:sz w:val="21"/>
          <w:szCs w:val="21"/>
          <w:highlight w:val="none"/>
          <w:u w:val="single"/>
        </w:rPr>
      </w:pPr>
      <w:r>
        <w:rPr>
          <w:rFonts w:hAnsi="宋体"/>
          <w:color w:val="auto"/>
          <w:sz w:val="21"/>
          <w:szCs w:val="21"/>
          <w:highlight w:val="none"/>
        </w:rPr>
        <w:t>法定代表人或其委托代理人（签字或盖章）：</w:t>
      </w:r>
      <w:r>
        <w:rPr>
          <w:rFonts w:hAnsi="宋体"/>
          <w:color w:val="auto"/>
          <w:sz w:val="21"/>
          <w:szCs w:val="21"/>
          <w:highlight w:val="none"/>
          <w:u w:val="single"/>
        </w:rPr>
        <w:t>　　　　　　　　　　</w:t>
      </w:r>
    </w:p>
    <w:p w14:paraId="3BD62AB5">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14:paraId="08C25ADA">
      <w:pPr>
        <w:spacing w:line="360" w:lineRule="auto"/>
        <w:rPr>
          <w:rFonts w:ascii="宋体" w:hAnsi="宋体" w:eastAsia="宋体" w:cs="宋体"/>
          <w:color w:val="auto"/>
          <w:sz w:val="21"/>
          <w:szCs w:val="21"/>
          <w:highlight w:val="none"/>
        </w:rPr>
      </w:pPr>
    </w:p>
    <w:p w14:paraId="7CB4A586">
      <w:pPr>
        <w:spacing w:line="360" w:lineRule="auto"/>
        <w:rPr>
          <w:rFonts w:ascii="宋体" w:hAnsi="宋体" w:eastAsia="宋体" w:cs="宋体"/>
          <w:color w:val="auto"/>
          <w:sz w:val="21"/>
          <w:szCs w:val="21"/>
          <w:highlight w:val="none"/>
        </w:rPr>
      </w:pPr>
    </w:p>
    <w:p w14:paraId="1E75406A">
      <w:pPr>
        <w:pStyle w:val="2"/>
        <w:ind w:firstLine="418" w:firstLineChars="200"/>
        <w:jc w:val="left"/>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注： 若产品出自符合国家规定的监狱企业，则该产品制造企业必须出具上述声明函，且供应商必须提供由省级以上监狱管理局、戒毒管理局（含新疆生产建设兵团）出具的属于监狱企业的证明文件，否则在评审时将不考虑对该监狱企业的相关优惠。监狱企业视同小型、微型企业，享受政府采购促进中小企业发展的政府采购政策。</w:t>
      </w:r>
    </w:p>
    <w:p w14:paraId="481EC8A0">
      <w:pPr>
        <w:pStyle w:val="2"/>
        <w:jc w:val="center"/>
        <w:outlineLvl w:val="1"/>
        <w:rPr>
          <w:rFonts w:ascii="宋体" w:hAnsi="宋体" w:eastAsia="宋体" w:cs="宋体"/>
          <w:b/>
          <w:color w:val="auto"/>
          <w:kern w:val="0"/>
          <w:sz w:val="21"/>
          <w:szCs w:val="21"/>
          <w:highlight w:val="none"/>
        </w:rPr>
      </w:pPr>
      <w:r>
        <w:rPr>
          <w:rFonts w:hint="eastAsia" w:ascii="宋体" w:hAnsi="宋体" w:eastAsia="宋体" w:cs="宋体"/>
          <w:b/>
          <w:bCs/>
          <w:color w:val="auto"/>
          <w:spacing w:val="-1"/>
          <w:sz w:val="21"/>
          <w:szCs w:val="21"/>
          <w:highlight w:val="none"/>
        </w:rPr>
        <w:br w:type="page"/>
      </w:r>
      <w:bookmarkStart w:id="800" w:name="_Toc12662"/>
      <w:r>
        <w:rPr>
          <w:rFonts w:hint="eastAsia" w:ascii="宋体" w:hAnsi="宋体" w:eastAsia="宋体" w:cs="宋体"/>
          <w:b/>
          <w:color w:val="auto"/>
          <w:kern w:val="0"/>
          <w:sz w:val="21"/>
          <w:szCs w:val="21"/>
          <w:highlight w:val="none"/>
        </w:rPr>
        <w:t>残疾人福利性单位声明函</w:t>
      </w:r>
      <w:bookmarkEnd w:id="800"/>
    </w:p>
    <w:p w14:paraId="7907B464">
      <w:pPr>
        <w:pStyle w:val="2"/>
        <w:ind w:firstLine="420"/>
        <w:jc w:val="center"/>
        <w:rPr>
          <w:rFonts w:ascii="宋体" w:hAnsi="宋体" w:eastAsia="宋体" w:cs="宋体"/>
          <w:color w:val="auto"/>
          <w:sz w:val="21"/>
          <w:szCs w:val="21"/>
          <w:highlight w:val="none"/>
        </w:rPr>
      </w:pPr>
      <w:bookmarkStart w:id="801" w:name="_Toc20904"/>
      <w:bookmarkStart w:id="802" w:name="_Toc12907"/>
      <w:r>
        <w:rPr>
          <w:rFonts w:hint="eastAsia" w:ascii="宋体" w:hAnsi="宋体" w:eastAsia="宋体" w:cs="宋体"/>
          <w:color w:val="auto"/>
          <w:sz w:val="21"/>
          <w:szCs w:val="21"/>
          <w:highlight w:val="none"/>
        </w:rPr>
        <w:t>（不属于残疾人福利性单位的无需填写）</w:t>
      </w:r>
      <w:bookmarkEnd w:id="801"/>
      <w:bookmarkEnd w:id="802"/>
    </w:p>
    <w:p w14:paraId="1E0FAA3B">
      <w:pPr>
        <w:pStyle w:val="2"/>
        <w:ind w:firstLine="420"/>
        <w:jc w:val="left"/>
        <w:rPr>
          <w:rFonts w:ascii="宋体" w:hAnsi="宋体" w:eastAsia="宋体" w:cs="宋体"/>
          <w:color w:val="auto"/>
          <w:sz w:val="21"/>
          <w:szCs w:val="21"/>
          <w:highlight w:val="none"/>
        </w:rPr>
      </w:pPr>
    </w:p>
    <w:p w14:paraId="5D5D5FCF">
      <w:pPr>
        <w:pStyle w:val="2"/>
        <w:spacing w:line="46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w:t>
      </w:r>
      <w:r>
        <w:rPr>
          <w:rFonts w:hint="eastAsia" w:ascii="宋体" w:hAnsi="宋体" w:eastAsia="宋体" w:cs="宋体"/>
          <w:color w:val="auto"/>
          <w:spacing w:val="-10"/>
          <w:sz w:val="21"/>
          <w:szCs w:val="21"/>
          <w:highlight w:val="none"/>
        </w:rPr>
        <w:t xml:space="preserve">的通知》（财库〔2017〕  </w:t>
      </w:r>
      <w:r>
        <w:rPr>
          <w:rFonts w:hint="eastAsia" w:ascii="宋体" w:hAnsi="宋体" w:eastAsia="宋体" w:cs="宋体"/>
          <w:color w:val="auto"/>
          <w:sz w:val="21"/>
          <w:szCs w:val="21"/>
          <w:highlight w:val="none"/>
        </w:rPr>
        <w:t>141</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z w:val="21"/>
          <w:szCs w:val="21"/>
          <w:highlight w:val="none"/>
        </w:rPr>
        <w:t>号）的规定，本单位为符合条件的残疾人福利性单位，且本单位参加</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pacing w:val="-1"/>
          <w:sz w:val="21"/>
          <w:szCs w:val="21"/>
          <w:highlight w:val="none"/>
        </w:rPr>
        <w:t>单位的</w:t>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pacing w:val="-1"/>
          <w:sz w:val="21"/>
          <w:szCs w:val="21"/>
          <w:highlight w:val="none"/>
          <w:u w:val="single" w:color="000000"/>
        </w:rPr>
        <w:t xml:space="preserve">              </w:t>
      </w:r>
      <w:r>
        <w:rPr>
          <w:rFonts w:hint="eastAsia" w:ascii="宋体" w:hAnsi="宋体" w:eastAsia="宋体" w:cs="宋体"/>
          <w:color w:val="auto"/>
          <w:spacing w:val="-4"/>
          <w:sz w:val="21"/>
          <w:szCs w:val="21"/>
          <w:highlight w:val="none"/>
        </w:rPr>
        <w:t>项目采购活动提供本单位制造的货物（由本单位承担工程/提供服务），或者提供其他残疾人福利性单位制造的货物（不包括使用非残疾人福利性单位注册商标的货物）。</w:t>
      </w:r>
    </w:p>
    <w:p w14:paraId="2AA0864F">
      <w:pPr>
        <w:pStyle w:val="2"/>
        <w:spacing w:line="460" w:lineRule="exact"/>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478994B6">
      <w:pPr>
        <w:spacing w:line="460" w:lineRule="exact"/>
        <w:rPr>
          <w:rFonts w:ascii="宋体" w:hAnsi="宋体" w:eastAsia="宋体" w:cs="宋体"/>
          <w:color w:val="auto"/>
          <w:sz w:val="21"/>
          <w:szCs w:val="21"/>
          <w:highlight w:val="none"/>
        </w:rPr>
      </w:pPr>
    </w:p>
    <w:p w14:paraId="30E99A57">
      <w:pPr>
        <w:pStyle w:val="2"/>
        <w:spacing w:line="460" w:lineRule="exact"/>
        <w:ind w:firstLine="420"/>
        <w:jc w:val="left"/>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注： 单独列出所供残疾人福利性单位制造的货物产品单价和总价。</w:t>
      </w:r>
    </w:p>
    <w:p w14:paraId="053A0B11">
      <w:pPr>
        <w:pStyle w:val="2"/>
        <w:spacing w:line="460" w:lineRule="exact"/>
        <w:jc w:val="left"/>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（若</w:t>
      </w:r>
      <w:r>
        <w:rPr>
          <w:rFonts w:hint="eastAsia" w:ascii="宋体" w:hAnsi="宋体" w:eastAsia="宋体" w:cs="宋体"/>
          <w:color w:val="auto"/>
          <w:spacing w:val="-5"/>
          <w:sz w:val="21"/>
          <w:szCs w:val="21"/>
          <w:highlight w:val="none"/>
          <w:lang w:val="en-US" w:eastAsia="zh-CN"/>
        </w:rPr>
        <w:t>响应文件</w:t>
      </w:r>
      <w:r>
        <w:rPr>
          <w:rFonts w:hint="eastAsia" w:ascii="宋体" w:hAnsi="宋体" w:eastAsia="宋体" w:cs="宋体"/>
          <w:color w:val="auto"/>
          <w:spacing w:val="-5"/>
          <w:sz w:val="21"/>
          <w:szCs w:val="21"/>
          <w:highlight w:val="none"/>
        </w:rPr>
        <w:t>文件中无上述材料，则在评审时不考虑对该</w:t>
      </w:r>
      <w:r>
        <w:rPr>
          <w:rFonts w:hint="eastAsia" w:ascii="宋体" w:hAnsi="宋体" w:eastAsia="宋体" w:cs="宋体"/>
          <w:color w:val="auto"/>
          <w:spacing w:val="-4"/>
          <w:sz w:val="21"/>
          <w:szCs w:val="21"/>
          <w:highlight w:val="none"/>
        </w:rPr>
        <w:t>残疾人福利性单位</w:t>
      </w:r>
      <w:r>
        <w:rPr>
          <w:rFonts w:hint="eastAsia" w:ascii="宋体" w:hAnsi="宋体" w:eastAsia="宋体" w:cs="宋体"/>
          <w:color w:val="auto"/>
          <w:spacing w:val="-5"/>
          <w:sz w:val="21"/>
          <w:szCs w:val="21"/>
          <w:highlight w:val="none"/>
        </w:rPr>
        <w:t>的相关优惠。）</w:t>
      </w:r>
    </w:p>
    <w:p w14:paraId="42B82F67">
      <w:pPr>
        <w:spacing w:line="460" w:lineRule="exact"/>
        <w:rPr>
          <w:rFonts w:ascii="宋体" w:hAnsi="宋体" w:eastAsia="宋体" w:cs="宋体"/>
          <w:color w:val="auto"/>
          <w:sz w:val="21"/>
          <w:szCs w:val="21"/>
          <w:highlight w:val="none"/>
        </w:rPr>
      </w:pPr>
    </w:p>
    <w:p w14:paraId="6F9C8366">
      <w:pPr>
        <w:spacing w:line="360" w:lineRule="auto"/>
        <w:ind w:firstLine="420" w:firstLineChars="200"/>
        <w:rPr>
          <w:color w:val="auto"/>
          <w:sz w:val="21"/>
          <w:szCs w:val="21"/>
          <w:highlight w:val="none"/>
        </w:rPr>
      </w:pPr>
      <w:r>
        <w:rPr>
          <w:rFonts w:hAnsi="宋体"/>
          <w:color w:val="auto"/>
          <w:sz w:val="21"/>
          <w:szCs w:val="21"/>
          <w:highlight w:val="none"/>
        </w:rPr>
        <w:t>供应商全称（加盖单位</w:t>
      </w:r>
      <w:r>
        <w:rPr>
          <w:rFonts w:hint="eastAsia" w:hAnsi="宋体"/>
          <w:color w:val="auto"/>
          <w:sz w:val="21"/>
          <w:szCs w:val="21"/>
          <w:highlight w:val="none"/>
          <w:lang w:eastAsia="zh-CN"/>
        </w:rPr>
        <w:t>公章</w:t>
      </w:r>
      <w:r>
        <w:rPr>
          <w:rFonts w:hAnsi="宋体"/>
          <w:color w:val="auto"/>
          <w:sz w:val="21"/>
          <w:szCs w:val="21"/>
          <w:highlight w:val="none"/>
        </w:rPr>
        <w:t>）：</w:t>
      </w:r>
      <w:r>
        <w:rPr>
          <w:rFonts w:hAnsi="宋体"/>
          <w:color w:val="auto"/>
          <w:sz w:val="21"/>
          <w:szCs w:val="21"/>
          <w:highlight w:val="none"/>
          <w:u w:val="single"/>
        </w:rPr>
        <w:t>　　　　　　　　　　　　</w:t>
      </w:r>
    </w:p>
    <w:p w14:paraId="6BF673E6">
      <w:pPr>
        <w:spacing w:line="360" w:lineRule="auto"/>
        <w:ind w:firstLine="420" w:firstLineChars="200"/>
        <w:jc w:val="left"/>
        <w:rPr>
          <w:rFonts w:hAnsi="宋体"/>
          <w:color w:val="auto"/>
          <w:sz w:val="21"/>
          <w:szCs w:val="21"/>
          <w:highlight w:val="none"/>
          <w:u w:val="single"/>
        </w:rPr>
      </w:pPr>
      <w:r>
        <w:rPr>
          <w:rFonts w:hAnsi="宋体"/>
          <w:color w:val="auto"/>
          <w:sz w:val="21"/>
          <w:szCs w:val="21"/>
          <w:highlight w:val="none"/>
        </w:rPr>
        <w:t>法定代表人或其委托代理人（签字或盖章）：</w:t>
      </w:r>
      <w:r>
        <w:rPr>
          <w:rFonts w:hAnsi="宋体"/>
          <w:color w:val="auto"/>
          <w:sz w:val="21"/>
          <w:szCs w:val="21"/>
          <w:highlight w:val="none"/>
          <w:u w:val="single"/>
        </w:rPr>
        <w:t>　　　　　　　　　　</w:t>
      </w:r>
    </w:p>
    <w:p w14:paraId="2E7595A4">
      <w:pPr>
        <w:spacing w:line="360"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14:paraId="6DC08BD9">
      <w:pPr>
        <w:pStyle w:val="2"/>
        <w:spacing w:line="460" w:lineRule="exact"/>
        <w:ind w:hanging="27"/>
        <w:jc w:val="left"/>
        <w:rPr>
          <w:rFonts w:ascii="宋体" w:hAnsi="宋体" w:eastAsia="宋体" w:cs="宋体"/>
          <w:color w:val="auto"/>
          <w:sz w:val="21"/>
          <w:szCs w:val="21"/>
          <w:highlight w:val="none"/>
        </w:rPr>
      </w:pPr>
    </w:p>
    <w:p w14:paraId="468ABF82">
      <w:pPr>
        <w:spacing w:line="460" w:lineRule="exact"/>
        <w:rPr>
          <w:rFonts w:ascii="宋体" w:hAnsi="宋体" w:eastAsia="宋体" w:cs="宋体"/>
          <w:color w:val="auto"/>
          <w:sz w:val="21"/>
          <w:szCs w:val="21"/>
          <w:highlight w:val="none"/>
        </w:rPr>
      </w:pPr>
    </w:p>
    <w:p w14:paraId="6B41FD3B">
      <w:pPr>
        <w:pStyle w:val="21"/>
        <w:spacing w:after="0" w:line="460" w:lineRule="exact"/>
        <w:ind w:left="0" w:leftChars="0" w:firstLine="0" w:firstLineChars="0"/>
        <w:rPr>
          <w:rFonts w:ascii="宋体" w:hAnsi="宋体" w:cs="宋体"/>
          <w:color w:val="auto"/>
          <w:sz w:val="21"/>
          <w:szCs w:val="21"/>
          <w:highlight w:val="none"/>
        </w:rPr>
      </w:pPr>
      <w:r>
        <w:rPr>
          <w:rFonts w:hint="eastAsia" w:ascii="宋体" w:hAnsi="宋体" w:cs="宋体"/>
          <w:b/>
          <w:bCs/>
          <w:color w:val="auto"/>
          <w:spacing w:val="-1"/>
          <w:kern w:val="2"/>
          <w:sz w:val="21"/>
          <w:szCs w:val="21"/>
          <w:highlight w:val="none"/>
        </w:rPr>
        <w:t>注：符合条件的残疾人福利性单位在参加政府采购活动时，应当提供本通知规定的《残疾人福利性单位声明函》，并对声明的真实性负责。采购代理机构在随成交结果同时公告其《残疾人福利性单位声明函》，接受社会监督。供应商提供的《残疾人福利性单位声明函》与事实不符的，依照《政府采购法》第七十七条第一款的规定追究法律责任。</w:t>
      </w:r>
    </w:p>
    <w:p w14:paraId="4A228E41">
      <w:pPr>
        <w:autoSpaceDE w:val="0"/>
        <w:autoSpaceDN w:val="0"/>
        <w:spacing w:line="500" w:lineRule="exact"/>
        <w:jc w:val="center"/>
        <w:rPr>
          <w:rFonts w:ascii="宋体" w:hAnsi="宋体" w:eastAsia="宋体" w:cs="宋体"/>
          <w:b/>
          <w:bCs/>
          <w:color w:val="auto"/>
          <w:sz w:val="21"/>
          <w:szCs w:val="21"/>
          <w:highlight w:val="none"/>
        </w:rPr>
        <w:sectPr>
          <w:footerReference r:id="rId10" w:type="default"/>
          <w:pgSz w:w="11906" w:h="16838"/>
          <w:pgMar w:top="1440" w:right="1440" w:bottom="1440" w:left="1440" w:header="851" w:footer="992" w:gutter="0"/>
          <w:pgNumType w:fmt="decimal"/>
          <w:cols w:space="0" w:num="1"/>
          <w:docGrid w:type="lines" w:linePitch="312" w:charSpace="0"/>
        </w:sectPr>
      </w:pPr>
    </w:p>
    <w:p w14:paraId="43A7775C">
      <w:pPr>
        <w:autoSpaceDE w:val="0"/>
        <w:autoSpaceDN w:val="0"/>
        <w:spacing w:line="500" w:lineRule="exact"/>
        <w:jc w:val="center"/>
        <w:outlineLvl w:val="1"/>
        <w:rPr>
          <w:rFonts w:hint="default" w:ascii="宋体" w:hAnsi="宋体" w:eastAsia="宋体" w:cs="宋体"/>
          <w:b/>
          <w:bCs/>
          <w:color w:val="auto"/>
          <w:sz w:val="21"/>
          <w:szCs w:val="21"/>
          <w:highlight w:val="none"/>
          <w:lang w:val="en-US" w:eastAsia="zh-CN"/>
        </w:rPr>
      </w:pPr>
      <w:bookmarkStart w:id="803" w:name="_Toc18053"/>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技术部分</w:t>
      </w:r>
      <w:bookmarkEnd w:id="803"/>
    </w:p>
    <w:p w14:paraId="2D380213">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p>
    <w:p w14:paraId="2774CD68">
      <w:pPr>
        <w:autoSpaceDE w:val="0"/>
        <w:autoSpaceDN w:val="0"/>
        <w:spacing w:line="500" w:lineRule="exact"/>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技术部分格式自拟并加盖公章，须包含下列内容：</w:t>
      </w:r>
    </w:p>
    <w:p w14:paraId="58FD4DA8">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1.施工方案与技术措施</w:t>
      </w:r>
    </w:p>
    <w:p w14:paraId="7082C6BD">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2.质量管理体系与措施</w:t>
      </w:r>
    </w:p>
    <w:p w14:paraId="1DF7AD96">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3.安全管理体系与措施</w:t>
      </w:r>
    </w:p>
    <w:p w14:paraId="2E212B0F">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4.工程进度计划与保证措施</w:t>
      </w:r>
    </w:p>
    <w:p w14:paraId="1C1445D7">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5.环境保护管理体系与措施</w:t>
      </w:r>
    </w:p>
    <w:p w14:paraId="0D040EA8">
      <w:pPr>
        <w:autoSpaceDE w:val="0"/>
        <w:autoSpaceDN w:val="0"/>
        <w:spacing w:line="500" w:lineRule="exact"/>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6.生产安全事故应急预案</w:t>
      </w:r>
    </w:p>
    <w:p w14:paraId="4FE5D4D0">
      <w:pPr>
        <w:autoSpaceDE w:val="0"/>
        <w:autoSpaceDN w:val="0"/>
        <w:spacing w:line="500" w:lineRule="exact"/>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7.风险防范处理措施</w:t>
      </w:r>
    </w:p>
    <w:p w14:paraId="2532A0F7">
      <w:pPr>
        <w:autoSpaceDE w:val="0"/>
        <w:autoSpaceDN w:val="0"/>
        <w:spacing w:line="500" w:lineRule="exact"/>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8.施工总平面布置图</w:t>
      </w:r>
    </w:p>
    <w:p w14:paraId="7463B1D7">
      <w:pPr>
        <w:spacing w:line="500" w:lineRule="exact"/>
        <w:jc w:val="center"/>
        <w:outlineLvl w:val="1"/>
        <w:rPr>
          <w:rFonts w:ascii="宋体" w:hAnsi="宋体" w:eastAsia="宋体" w:cs="宋体"/>
          <w:color w:val="auto"/>
          <w:sz w:val="21"/>
          <w:szCs w:val="21"/>
          <w:highlight w:val="none"/>
        </w:rPr>
      </w:pPr>
      <w:bookmarkStart w:id="804" w:name="_Toc17513"/>
      <w:r>
        <w:rPr>
          <w:rFonts w:hint="eastAsia" w:ascii="宋体" w:hAnsi="宋体" w:eastAsia="宋体" w:cs="宋体"/>
          <w:b/>
          <w:bCs/>
          <w:color w:val="auto"/>
          <w:sz w:val="21"/>
          <w:szCs w:val="21"/>
          <w:highlight w:val="none"/>
        </w:rPr>
        <w:br w:type="textWrapping"/>
      </w:r>
      <w:r>
        <w:rPr>
          <w:rFonts w:hint="eastAsia" w:ascii="宋体" w:hAnsi="宋体" w:eastAsia="宋体" w:cs="宋体"/>
          <w:b/>
          <w:bCs/>
          <w:color w:val="auto"/>
          <w:sz w:val="21"/>
          <w:szCs w:val="21"/>
          <w:highlight w:val="none"/>
        </w:rPr>
        <w:br w:type="textWrapping"/>
      </w:r>
      <w:r>
        <w:rPr>
          <w:rFonts w:hint="eastAsia" w:ascii="宋体" w:hAnsi="宋体" w:eastAsia="宋体" w:cs="宋体"/>
          <w:b/>
          <w:bCs/>
          <w:color w:val="auto"/>
          <w:sz w:val="21"/>
          <w:szCs w:val="21"/>
          <w:highlight w:val="none"/>
        </w:rPr>
        <w:br w:type="textWrapping"/>
      </w:r>
      <w:r>
        <w:rPr>
          <w:rFonts w:hint="eastAsia" w:ascii="宋体" w:hAnsi="宋体" w:eastAsia="宋体" w:cs="宋体"/>
          <w:b/>
          <w:bCs/>
          <w:color w:val="auto"/>
          <w:sz w:val="21"/>
          <w:szCs w:val="21"/>
          <w:highlight w:val="none"/>
          <w:lang w:val="en-US" w:eastAsia="zh-CN"/>
        </w:rPr>
        <w:t>八、竞争性磋商文件要求或供应商认为必要的资料</w:t>
      </w:r>
      <w:bookmarkEnd w:id="804"/>
    </w:p>
    <w:p w14:paraId="328DFA76">
      <w:pPr>
        <w:pStyle w:val="21"/>
        <w:ind w:left="0" w:leftChars="0" w:firstLine="0" w:firstLineChars="0"/>
        <w:rPr>
          <w:rFonts w:ascii="宋体" w:hAnsi="宋体" w:cs="宋体"/>
          <w:color w:val="auto"/>
          <w:sz w:val="21"/>
          <w:szCs w:val="21"/>
          <w:highlight w:val="none"/>
        </w:rPr>
      </w:pPr>
    </w:p>
    <w:p w14:paraId="14E26327">
      <w:pPr>
        <w:rPr>
          <w:rFonts w:ascii="宋体" w:hAnsi="宋体" w:eastAsia="宋体" w:cs="宋体"/>
          <w:color w:val="auto"/>
          <w:sz w:val="21"/>
          <w:szCs w:val="21"/>
          <w:highlight w:val="none"/>
        </w:rPr>
      </w:pPr>
    </w:p>
    <w:p w14:paraId="453ED0ED">
      <w:pPr>
        <w:keepNext/>
        <w:keepLines/>
        <w:pageBreakBefore w:val="0"/>
        <w:widowControl/>
        <w:kinsoku/>
        <w:wordWrap w:val="0"/>
        <w:topLinePunct w:val="0"/>
        <w:autoSpaceDE w:val="0"/>
        <w:bidi w:val="0"/>
        <w:spacing w:line="360" w:lineRule="auto"/>
        <w:jc w:val="center"/>
        <w:outlineLvl w:val="2"/>
        <w:rPr>
          <w:rFonts w:hint="eastAsia" w:asciiTheme="minorEastAsia" w:hAnsiTheme="minorEastAsia" w:eastAsiaTheme="minorEastAsia" w:cstheme="minorEastAsia"/>
          <w:b/>
          <w:bCs/>
          <w:color w:val="auto"/>
          <w:sz w:val="21"/>
          <w:szCs w:val="21"/>
          <w:highlight w:val="none"/>
          <w:lang w:eastAsia="zh-CN"/>
        </w:rPr>
      </w:pPr>
    </w:p>
    <w:sectPr>
      <w:headerReference r:id="rId12" w:type="first"/>
      <w:footerReference r:id="rId14" w:type="first"/>
      <w:headerReference r:id="rId11" w:type="default"/>
      <w:footerReference r:id="rId13" w:type="default"/>
      <w:pgSz w:w="11906" w:h="16838"/>
      <w:pgMar w:top="1440" w:right="1080" w:bottom="1440" w:left="108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5D7CABA-D049-4806-98D5-84BD9555CF1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MS Sans Serif">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embedRegular r:id="rId2" w:fontKey="{5F97ECD7-3FD1-4D99-B79A-BBB1BAE4803C}"/>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宋体-18030">
    <w:altName w:val="宋体"/>
    <w:panose1 w:val="00000000000000000000"/>
    <w:charset w:val="86"/>
    <w:family w:val="roman"/>
    <w:pitch w:val="default"/>
    <w:sig w:usb0="00000000" w:usb1="00000000" w:usb2="00000010" w:usb3="00000000" w:csb0="00040000" w:csb1="00000000"/>
    <w:embedRegular r:id="rId3" w:fontKey="{F961111F-D05B-48F2-9853-56AF3E01B3F2}"/>
  </w:font>
  <w:font w:name="华文中宋">
    <w:panose1 w:val="02010600040101010101"/>
    <w:charset w:val="86"/>
    <w:family w:val="auto"/>
    <w:pitch w:val="default"/>
    <w:sig w:usb0="00000287" w:usb1="080F0000" w:usb2="00000000" w:usb3="00000000" w:csb0="0004009F" w:csb1="DFD70000"/>
    <w:embedRegular r:id="rId4" w:fontKey="{3C02343D-607B-45F2-94CD-29B42ABC0379}"/>
  </w:font>
  <w:font w:name="楷体">
    <w:panose1 w:val="02010609060101010101"/>
    <w:charset w:val="86"/>
    <w:family w:val="auto"/>
    <w:pitch w:val="default"/>
    <w:sig w:usb0="800002BF" w:usb1="38CF7CFA" w:usb2="00000016" w:usb3="00000000" w:csb0="00040001" w:csb1="00000000"/>
    <w:embedRegular r:id="rId5" w:fontKey="{C6012970-CF3D-4040-AE85-329BCBB20113}"/>
  </w:font>
  <w:font w:name="仿宋">
    <w:panose1 w:val="02010609060101010101"/>
    <w:charset w:val="86"/>
    <w:family w:val="auto"/>
    <w:pitch w:val="default"/>
    <w:sig w:usb0="800002BF" w:usb1="38CF7CFA" w:usb2="00000016" w:usb3="00000000" w:csb0="00040001" w:csb1="00000000"/>
    <w:embedRegular r:id="rId6" w:fontKey="{8E5243C1-968C-4B91-A27C-27057264A806}"/>
  </w:font>
  <w:font w:name="WPSEMBED2">
    <w:panose1 w:val="02010600040101010101"/>
    <w:charset w:val="86"/>
    <w:family w:val="auto"/>
    <w:pitch w:val="default"/>
    <w:sig w:usb0="00000287" w:usb1="080F0000" w:usb2="00000000" w:usb3="00000000" w:csb0="0004009F" w:csb1="DFD70000"/>
  </w:font>
  <w:font w:name="WPSEMBED1">
    <w:panose1 w:val="02010609030101010101"/>
    <w:charset w:val="86"/>
    <w:family w:val="auto"/>
    <w:pitch w:val="default"/>
    <w:sig w:usb0="00000001" w:usb1="080E0000" w:usb2="00000000" w:usb3="00000000" w:csb0="0004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A5DF6">
    <w:pPr>
      <w:pStyle w:val="13"/>
    </w:pPr>
  </w:p>
  <w:p w14:paraId="5EA7E3A4">
    <w:pPr>
      <w:pStyle w:val="13"/>
      <w:rPr>
        <w:rFonts w:hint="eastAsia" w:eastAsia="宋体"/>
        <w:lang w:eastAsia="zh-CN"/>
      </w:rPr>
    </w:pPr>
    <w:r>
      <w:rPr>
        <w:rFonts w:hint="eastAsia"/>
        <w:lang w:eastAsia="zh-CN"/>
      </w:rPr>
      <w:t>采购代理机构</w:t>
    </w:r>
    <w:r>
      <w:rPr>
        <w:rFonts w:hint="eastAsia"/>
      </w:rPr>
      <w:t>：</w:t>
    </w:r>
    <w:r>
      <w:rPr>
        <w:rFonts w:hint="eastAsia"/>
        <w:lang w:eastAsia="zh-CN"/>
      </w:rPr>
      <w:t>云南立友工程咨询有限公司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EE10F">
    <w:pPr>
      <w:pStyle w:val="13"/>
      <w:rPr>
        <w:rFonts w:hint="eastAsia" w:eastAsia="宋体"/>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86C66">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AF150">
    <w:pPr>
      <w:pStyle w:val="13"/>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760F8">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43760F8">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7DAE3">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ABBA7">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2ABBA7">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8B6A8">
    <w:pPr>
      <w:pStyle w:val="2"/>
      <w:spacing w:line="14" w:lineRule="auto"/>
      <w:ind w:left="0"/>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42B439">
                          <w:pPr>
                            <w:pStyle w:val="13"/>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742B439">
                    <w:pPr>
                      <w:pStyle w:val="13"/>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A0619">
    <w:pPr>
      <w:pStyle w:val="1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6AE12">
                          <w:pPr>
                            <w:pStyle w:val="13"/>
                          </w:pPr>
                          <w:r>
                            <w:t xml:space="preserve">第 </w:t>
                          </w:r>
                          <w:r>
                            <w:fldChar w:fldCharType="begin"/>
                          </w:r>
                          <w:r>
                            <w:instrText xml:space="preserve"> PAGE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F16AE12">
                    <w:pPr>
                      <w:pStyle w:val="13"/>
                    </w:pPr>
                    <w:r>
                      <w:t xml:space="preserve">第 </w:t>
                    </w:r>
                    <w:r>
                      <w:fldChar w:fldCharType="begin"/>
                    </w:r>
                    <w:r>
                      <w:instrText xml:space="preserve"> PAGE  \* MERGEFORMAT </w:instrText>
                    </w:r>
                    <w:r>
                      <w:fldChar w:fldCharType="separate"/>
                    </w:r>
                    <w:r>
                      <w:t>84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2B25B">
    <w:pPr>
      <w:pStyle w:val="13"/>
      <w:jc w:val="center"/>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B3665">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AAB3665">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C41EB">
    <w:pPr>
      <w:jc w:val="center"/>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8ACB66">
                          <w:pPr>
                            <w:pStyle w:val="13"/>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18ACB66">
                    <w:pPr>
                      <w:pStyle w:val="13"/>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68DF1">
    <w:pPr>
      <w:pStyle w:val="15"/>
      <w:pBdr>
        <w:top w:val="none" w:color="auto" w:sz="0" w:space="1"/>
        <w:left w:val="none" w:color="auto" w:sz="0" w:space="4"/>
        <w:bottom w:val="none" w:color="auto" w:sz="0" w:space="1"/>
        <w:right w:val="none" w:color="auto" w:sz="0" w:space="4"/>
        <w:between w:val="none" w:color="auto" w:sz="0" w:space="0"/>
      </w:pBdr>
      <w:jc w:val="left"/>
    </w:pPr>
    <w:r>
      <w:rPr>
        <w:rFonts w:hint="eastAsia"/>
        <w:b/>
        <w:b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0AADD">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7CD3F">
    <w:pPr>
      <w:jc w:val="center"/>
      <w:rPr>
        <w:rFonts w:hint="eastAsia" w:ascii="Times New Roman" w:hAnsi="Times New Roman" w:eastAsia="华文中宋"/>
        <w:b/>
        <w:color w:val="000000"/>
        <w:sz w:val="24"/>
        <w:szCs w:val="24"/>
      </w:rPr>
    </w:pPr>
  </w:p>
  <w:p w14:paraId="2E357270">
    <w:pPr>
      <w:pStyle w:val="15"/>
      <w:rPr>
        <w:sz w:val="13"/>
        <w:szCs w:val="1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0000003"/>
    <w:multiLevelType w:val="singleLevel"/>
    <w:tmpl w:val="00000003"/>
    <w:lvl w:ilvl="0" w:tentative="0">
      <w:start w:val="6"/>
      <w:numFmt w:val="decimal"/>
      <w:lvlText w:val="%1."/>
      <w:lvlJc w:val="left"/>
      <w:pPr>
        <w:tabs>
          <w:tab w:val="left" w:pos="312"/>
        </w:tabs>
      </w:pPr>
    </w:lvl>
  </w:abstractNum>
  <w:abstractNum w:abstractNumId="2">
    <w:nsid w:val="00000004"/>
    <w:multiLevelType w:val="singleLevel"/>
    <w:tmpl w:val="00000004"/>
    <w:lvl w:ilvl="0" w:tentative="0">
      <w:start w:val="1"/>
      <w:numFmt w:val="decimal"/>
      <w:suff w:val="nothing"/>
      <w:lvlText w:val="（%1）"/>
      <w:lvlJc w:val="left"/>
    </w:lvl>
  </w:abstractNum>
  <w:abstractNum w:abstractNumId="3">
    <w:nsid w:val="00000005"/>
    <w:multiLevelType w:val="multilevel"/>
    <w:tmpl w:val="00000005"/>
    <w:lvl w:ilvl="0" w:tentative="0">
      <w:start w:val="1"/>
      <w:numFmt w:val="decimal"/>
      <w:pStyle w:val="4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6"/>
    <w:multiLevelType w:val="singleLevel"/>
    <w:tmpl w:val="00000006"/>
    <w:lvl w:ilvl="0" w:tentative="0">
      <w:start w:val="2"/>
      <w:numFmt w:val="decimal"/>
      <w:suff w:val="space"/>
      <w:lvlText w:val="%1."/>
      <w:lvlJc w:val="left"/>
    </w:lvl>
  </w:abstractNum>
  <w:abstractNum w:abstractNumId="5">
    <w:nsid w:val="1C05A2EB"/>
    <w:multiLevelType w:val="singleLevel"/>
    <w:tmpl w:val="1C05A2EB"/>
    <w:lvl w:ilvl="0" w:tentative="0">
      <w:start w:val="1"/>
      <w:numFmt w:val="chineseCounting"/>
      <w:suff w:val="nothing"/>
      <w:lvlText w:val="%1、"/>
      <w:lvlJc w:val="left"/>
      <w:rPr>
        <w:rFonts w:hint="eastAsia"/>
      </w:rPr>
    </w:lvl>
  </w:abstractNum>
  <w:abstractNum w:abstractNumId="6">
    <w:nsid w:val="2759E9AB"/>
    <w:multiLevelType w:val="singleLevel"/>
    <w:tmpl w:val="2759E9AB"/>
    <w:lvl w:ilvl="0" w:tentative="0">
      <w:start w:val="1"/>
      <w:numFmt w:val="decimal"/>
      <w:suff w:val="nothing"/>
      <w:lvlText w:val="（%1）"/>
      <w:lvlJc w:val="left"/>
    </w:lvl>
  </w:abstractNum>
  <w:num w:numId="1">
    <w:abstractNumId w:val="3"/>
  </w:num>
  <w:num w:numId="2">
    <w:abstractNumId w:val="0"/>
  </w:num>
  <w:num w:numId="3">
    <w:abstractNumId w:val="6"/>
  </w:num>
  <w:num w:numId="4">
    <w:abstractNumId w:val="4"/>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UwMzVmMjhkYjk0M2MwOTUzMDM5MGNhYmY2MzQ4MDAifQ=="/>
  </w:docVars>
  <w:rsids>
    <w:rsidRoot w:val="00000000"/>
    <w:rsid w:val="000243FB"/>
    <w:rsid w:val="0018408C"/>
    <w:rsid w:val="001B2684"/>
    <w:rsid w:val="001F503A"/>
    <w:rsid w:val="00712A15"/>
    <w:rsid w:val="00D5688F"/>
    <w:rsid w:val="01802DBB"/>
    <w:rsid w:val="01971FAC"/>
    <w:rsid w:val="01CF645C"/>
    <w:rsid w:val="02484B21"/>
    <w:rsid w:val="02791088"/>
    <w:rsid w:val="02866093"/>
    <w:rsid w:val="028F6DC2"/>
    <w:rsid w:val="0293578E"/>
    <w:rsid w:val="029550BB"/>
    <w:rsid w:val="02C31530"/>
    <w:rsid w:val="02C4524D"/>
    <w:rsid w:val="031269D0"/>
    <w:rsid w:val="03541328"/>
    <w:rsid w:val="03560793"/>
    <w:rsid w:val="036514A2"/>
    <w:rsid w:val="036E1E02"/>
    <w:rsid w:val="03C137FD"/>
    <w:rsid w:val="03E5328D"/>
    <w:rsid w:val="04085613"/>
    <w:rsid w:val="041125BD"/>
    <w:rsid w:val="0435684E"/>
    <w:rsid w:val="043B31E7"/>
    <w:rsid w:val="043D792D"/>
    <w:rsid w:val="044064BE"/>
    <w:rsid w:val="0493047E"/>
    <w:rsid w:val="04AB4BBF"/>
    <w:rsid w:val="04F13C4D"/>
    <w:rsid w:val="04F66E27"/>
    <w:rsid w:val="05011729"/>
    <w:rsid w:val="052D4222"/>
    <w:rsid w:val="05CA354F"/>
    <w:rsid w:val="05E24F2C"/>
    <w:rsid w:val="05E72946"/>
    <w:rsid w:val="061B01C1"/>
    <w:rsid w:val="061D5EC7"/>
    <w:rsid w:val="06495601"/>
    <w:rsid w:val="06523C1F"/>
    <w:rsid w:val="07732AAF"/>
    <w:rsid w:val="077363FF"/>
    <w:rsid w:val="07A84194"/>
    <w:rsid w:val="07B028E5"/>
    <w:rsid w:val="08013370"/>
    <w:rsid w:val="0837003E"/>
    <w:rsid w:val="084237C9"/>
    <w:rsid w:val="084804C7"/>
    <w:rsid w:val="08491062"/>
    <w:rsid w:val="084E19E7"/>
    <w:rsid w:val="087049CB"/>
    <w:rsid w:val="0890384D"/>
    <w:rsid w:val="08AE16DC"/>
    <w:rsid w:val="08F22421"/>
    <w:rsid w:val="091869D9"/>
    <w:rsid w:val="096410DD"/>
    <w:rsid w:val="097D3C0D"/>
    <w:rsid w:val="09AC5091"/>
    <w:rsid w:val="09CC5F4A"/>
    <w:rsid w:val="09E75379"/>
    <w:rsid w:val="09F61D50"/>
    <w:rsid w:val="0A080810"/>
    <w:rsid w:val="0A310F11"/>
    <w:rsid w:val="0A7113D6"/>
    <w:rsid w:val="0AE47F04"/>
    <w:rsid w:val="0AE509BE"/>
    <w:rsid w:val="0B155A6C"/>
    <w:rsid w:val="0B505490"/>
    <w:rsid w:val="0B5E2398"/>
    <w:rsid w:val="0B7429D4"/>
    <w:rsid w:val="0B960F76"/>
    <w:rsid w:val="0C2F6393"/>
    <w:rsid w:val="0C374BC5"/>
    <w:rsid w:val="0C497205"/>
    <w:rsid w:val="0C601E79"/>
    <w:rsid w:val="0C65770C"/>
    <w:rsid w:val="0C8E2713"/>
    <w:rsid w:val="0D1C7A7B"/>
    <w:rsid w:val="0D31575F"/>
    <w:rsid w:val="0D495A60"/>
    <w:rsid w:val="0D514B2C"/>
    <w:rsid w:val="0DAD1C6A"/>
    <w:rsid w:val="0DED5A26"/>
    <w:rsid w:val="0E1C1E81"/>
    <w:rsid w:val="0E2C64A4"/>
    <w:rsid w:val="0E465605"/>
    <w:rsid w:val="0E5F0B11"/>
    <w:rsid w:val="0E8F2A64"/>
    <w:rsid w:val="0EDE0257"/>
    <w:rsid w:val="0EED4F94"/>
    <w:rsid w:val="0EEE2ABD"/>
    <w:rsid w:val="0F0942D3"/>
    <w:rsid w:val="0F135689"/>
    <w:rsid w:val="0F2E4826"/>
    <w:rsid w:val="0FB21280"/>
    <w:rsid w:val="0FE42C9E"/>
    <w:rsid w:val="0FED28D8"/>
    <w:rsid w:val="100B38DA"/>
    <w:rsid w:val="108242B0"/>
    <w:rsid w:val="10CD200B"/>
    <w:rsid w:val="113E58D7"/>
    <w:rsid w:val="11484EBD"/>
    <w:rsid w:val="117443FC"/>
    <w:rsid w:val="11BB6F3A"/>
    <w:rsid w:val="121D6A3F"/>
    <w:rsid w:val="12CA5051"/>
    <w:rsid w:val="12CA5B28"/>
    <w:rsid w:val="12D759AF"/>
    <w:rsid w:val="12DB23B0"/>
    <w:rsid w:val="130A6249"/>
    <w:rsid w:val="13751BC3"/>
    <w:rsid w:val="1383605D"/>
    <w:rsid w:val="139373C7"/>
    <w:rsid w:val="13D9398B"/>
    <w:rsid w:val="13DB152C"/>
    <w:rsid w:val="13FB49F4"/>
    <w:rsid w:val="14103624"/>
    <w:rsid w:val="149A2D9E"/>
    <w:rsid w:val="150A2521"/>
    <w:rsid w:val="1543180E"/>
    <w:rsid w:val="15570BD6"/>
    <w:rsid w:val="15665197"/>
    <w:rsid w:val="15782793"/>
    <w:rsid w:val="15D74B1E"/>
    <w:rsid w:val="165E67AC"/>
    <w:rsid w:val="165F7050"/>
    <w:rsid w:val="16631052"/>
    <w:rsid w:val="167F4F5C"/>
    <w:rsid w:val="169E1983"/>
    <w:rsid w:val="16DE2E7F"/>
    <w:rsid w:val="17500C67"/>
    <w:rsid w:val="17602EFE"/>
    <w:rsid w:val="17A2170E"/>
    <w:rsid w:val="17C62A74"/>
    <w:rsid w:val="17CB0880"/>
    <w:rsid w:val="18290523"/>
    <w:rsid w:val="183D31A3"/>
    <w:rsid w:val="184D3056"/>
    <w:rsid w:val="185814DD"/>
    <w:rsid w:val="18665A05"/>
    <w:rsid w:val="186A7A04"/>
    <w:rsid w:val="186F4D76"/>
    <w:rsid w:val="188151F0"/>
    <w:rsid w:val="189F2061"/>
    <w:rsid w:val="18DD04F6"/>
    <w:rsid w:val="18E079F9"/>
    <w:rsid w:val="191553E7"/>
    <w:rsid w:val="19443B69"/>
    <w:rsid w:val="19E915E0"/>
    <w:rsid w:val="19F8548E"/>
    <w:rsid w:val="1A6E76E0"/>
    <w:rsid w:val="1A744E10"/>
    <w:rsid w:val="1A897781"/>
    <w:rsid w:val="1AA23DC5"/>
    <w:rsid w:val="1AC6288B"/>
    <w:rsid w:val="1ACA50F4"/>
    <w:rsid w:val="1AD05377"/>
    <w:rsid w:val="1B23665A"/>
    <w:rsid w:val="1BA333BA"/>
    <w:rsid w:val="1BC42AC7"/>
    <w:rsid w:val="1BFE3286"/>
    <w:rsid w:val="1C3861F8"/>
    <w:rsid w:val="1C392E2A"/>
    <w:rsid w:val="1CAD0994"/>
    <w:rsid w:val="1CB449E2"/>
    <w:rsid w:val="1CB90F7C"/>
    <w:rsid w:val="1CDE05B8"/>
    <w:rsid w:val="1CDF636E"/>
    <w:rsid w:val="1D1F1740"/>
    <w:rsid w:val="1D6001EC"/>
    <w:rsid w:val="1D6F13DB"/>
    <w:rsid w:val="1D813BCE"/>
    <w:rsid w:val="1D844DFE"/>
    <w:rsid w:val="1DCC5841"/>
    <w:rsid w:val="1DD863E8"/>
    <w:rsid w:val="1DF00E2C"/>
    <w:rsid w:val="1E23319A"/>
    <w:rsid w:val="1E466713"/>
    <w:rsid w:val="1E675F3A"/>
    <w:rsid w:val="1E847AE1"/>
    <w:rsid w:val="1EA3182A"/>
    <w:rsid w:val="1EBE5978"/>
    <w:rsid w:val="1ECC1D0C"/>
    <w:rsid w:val="1F023E4E"/>
    <w:rsid w:val="1F6609C9"/>
    <w:rsid w:val="1F896EC9"/>
    <w:rsid w:val="1FBC7140"/>
    <w:rsid w:val="1FE10255"/>
    <w:rsid w:val="1FEC6BAE"/>
    <w:rsid w:val="200509DE"/>
    <w:rsid w:val="201817AA"/>
    <w:rsid w:val="20C77FF3"/>
    <w:rsid w:val="21085BF7"/>
    <w:rsid w:val="21315529"/>
    <w:rsid w:val="21483611"/>
    <w:rsid w:val="216B602B"/>
    <w:rsid w:val="21812CA8"/>
    <w:rsid w:val="21824FD8"/>
    <w:rsid w:val="22267D04"/>
    <w:rsid w:val="22946A32"/>
    <w:rsid w:val="22B848D4"/>
    <w:rsid w:val="23414FA0"/>
    <w:rsid w:val="2353724F"/>
    <w:rsid w:val="23BE00C7"/>
    <w:rsid w:val="23DA4382"/>
    <w:rsid w:val="23E9602A"/>
    <w:rsid w:val="24482A95"/>
    <w:rsid w:val="24861ACA"/>
    <w:rsid w:val="249406CE"/>
    <w:rsid w:val="25332DB9"/>
    <w:rsid w:val="25453733"/>
    <w:rsid w:val="255F235E"/>
    <w:rsid w:val="25600B63"/>
    <w:rsid w:val="25651D5A"/>
    <w:rsid w:val="259B3353"/>
    <w:rsid w:val="25DE41B5"/>
    <w:rsid w:val="261554D3"/>
    <w:rsid w:val="265B763B"/>
    <w:rsid w:val="266C4FC5"/>
    <w:rsid w:val="267D5A40"/>
    <w:rsid w:val="26B26F4A"/>
    <w:rsid w:val="26C1503C"/>
    <w:rsid w:val="26F13FC5"/>
    <w:rsid w:val="27013A4F"/>
    <w:rsid w:val="27574196"/>
    <w:rsid w:val="27716327"/>
    <w:rsid w:val="278F6DE2"/>
    <w:rsid w:val="2790679B"/>
    <w:rsid w:val="27A22A31"/>
    <w:rsid w:val="27F0677B"/>
    <w:rsid w:val="28C35286"/>
    <w:rsid w:val="28C4705F"/>
    <w:rsid w:val="28DE5113"/>
    <w:rsid w:val="2925637D"/>
    <w:rsid w:val="296B092D"/>
    <w:rsid w:val="29C540C7"/>
    <w:rsid w:val="29D60DFE"/>
    <w:rsid w:val="29DB0112"/>
    <w:rsid w:val="2A471801"/>
    <w:rsid w:val="2A6F3CF2"/>
    <w:rsid w:val="2ABE1216"/>
    <w:rsid w:val="2AD36DE1"/>
    <w:rsid w:val="2AF301FE"/>
    <w:rsid w:val="2B0971E3"/>
    <w:rsid w:val="2B5519AC"/>
    <w:rsid w:val="2B580D68"/>
    <w:rsid w:val="2B661CD5"/>
    <w:rsid w:val="2BA6504F"/>
    <w:rsid w:val="2BF74EFF"/>
    <w:rsid w:val="2C0979CF"/>
    <w:rsid w:val="2C3E5EB7"/>
    <w:rsid w:val="2CA8395D"/>
    <w:rsid w:val="2DA9668B"/>
    <w:rsid w:val="2DB9074D"/>
    <w:rsid w:val="2DB958D9"/>
    <w:rsid w:val="2DBB614E"/>
    <w:rsid w:val="2DE320C9"/>
    <w:rsid w:val="2DFF2727"/>
    <w:rsid w:val="2E040AD7"/>
    <w:rsid w:val="2E580034"/>
    <w:rsid w:val="2E7C08B6"/>
    <w:rsid w:val="2EBF1128"/>
    <w:rsid w:val="2EFA18DB"/>
    <w:rsid w:val="2F513F88"/>
    <w:rsid w:val="2F772ABD"/>
    <w:rsid w:val="303638C9"/>
    <w:rsid w:val="303D7328"/>
    <w:rsid w:val="305C2AA5"/>
    <w:rsid w:val="306A7536"/>
    <w:rsid w:val="30ED0AB9"/>
    <w:rsid w:val="30F8421D"/>
    <w:rsid w:val="310E6EB2"/>
    <w:rsid w:val="3150224A"/>
    <w:rsid w:val="319C7E4B"/>
    <w:rsid w:val="31B15D29"/>
    <w:rsid w:val="31C003CA"/>
    <w:rsid w:val="31C24616"/>
    <w:rsid w:val="31E06DBD"/>
    <w:rsid w:val="320947AD"/>
    <w:rsid w:val="32281D6B"/>
    <w:rsid w:val="327E1C29"/>
    <w:rsid w:val="33421811"/>
    <w:rsid w:val="339733AC"/>
    <w:rsid w:val="34254027"/>
    <w:rsid w:val="347A07E2"/>
    <w:rsid w:val="347A7327"/>
    <w:rsid w:val="34984A51"/>
    <w:rsid w:val="34A36A44"/>
    <w:rsid w:val="34CE6701"/>
    <w:rsid w:val="34DB272B"/>
    <w:rsid w:val="355304F3"/>
    <w:rsid w:val="35580248"/>
    <w:rsid w:val="356779FE"/>
    <w:rsid w:val="359F7AF6"/>
    <w:rsid w:val="35C07D37"/>
    <w:rsid w:val="35CB0051"/>
    <w:rsid w:val="35DA28A7"/>
    <w:rsid w:val="35E07296"/>
    <w:rsid w:val="360F469F"/>
    <w:rsid w:val="362900F1"/>
    <w:rsid w:val="367B1F23"/>
    <w:rsid w:val="36901785"/>
    <w:rsid w:val="36AF5C11"/>
    <w:rsid w:val="3733756F"/>
    <w:rsid w:val="37BA4872"/>
    <w:rsid w:val="37BE7081"/>
    <w:rsid w:val="37C643B0"/>
    <w:rsid w:val="384A4E91"/>
    <w:rsid w:val="38AD33DC"/>
    <w:rsid w:val="38B66426"/>
    <w:rsid w:val="38B86D15"/>
    <w:rsid w:val="390E1686"/>
    <w:rsid w:val="391373CA"/>
    <w:rsid w:val="39C26234"/>
    <w:rsid w:val="39CB2A6F"/>
    <w:rsid w:val="39CF3613"/>
    <w:rsid w:val="3A076929"/>
    <w:rsid w:val="3A112E8C"/>
    <w:rsid w:val="3A2321FE"/>
    <w:rsid w:val="3AD50EDA"/>
    <w:rsid w:val="3AE63230"/>
    <w:rsid w:val="3B17124E"/>
    <w:rsid w:val="3B727B52"/>
    <w:rsid w:val="3BA84540"/>
    <w:rsid w:val="3BB8637B"/>
    <w:rsid w:val="3C0678AA"/>
    <w:rsid w:val="3C327D77"/>
    <w:rsid w:val="3C900D9A"/>
    <w:rsid w:val="3C9C3D89"/>
    <w:rsid w:val="3CA95461"/>
    <w:rsid w:val="3D15400D"/>
    <w:rsid w:val="3D23467C"/>
    <w:rsid w:val="3D24616A"/>
    <w:rsid w:val="3D2771C9"/>
    <w:rsid w:val="3D3F6CE2"/>
    <w:rsid w:val="3D793B60"/>
    <w:rsid w:val="3D875769"/>
    <w:rsid w:val="3D970CBA"/>
    <w:rsid w:val="3D9F3F91"/>
    <w:rsid w:val="3E255E73"/>
    <w:rsid w:val="3E6D57BA"/>
    <w:rsid w:val="3F5A05F0"/>
    <w:rsid w:val="3F601AF2"/>
    <w:rsid w:val="3FA30D39"/>
    <w:rsid w:val="3FEE38A1"/>
    <w:rsid w:val="3FFD039B"/>
    <w:rsid w:val="4004327C"/>
    <w:rsid w:val="400F3DCB"/>
    <w:rsid w:val="406C29EB"/>
    <w:rsid w:val="40D4097B"/>
    <w:rsid w:val="40E56D02"/>
    <w:rsid w:val="412E299C"/>
    <w:rsid w:val="416C1574"/>
    <w:rsid w:val="418B1EC6"/>
    <w:rsid w:val="41E40E7E"/>
    <w:rsid w:val="42337ADA"/>
    <w:rsid w:val="428D593C"/>
    <w:rsid w:val="43091EBB"/>
    <w:rsid w:val="430C1434"/>
    <w:rsid w:val="43104CF7"/>
    <w:rsid w:val="43462AA5"/>
    <w:rsid w:val="43865A06"/>
    <w:rsid w:val="43A26FDD"/>
    <w:rsid w:val="43BA5EC9"/>
    <w:rsid w:val="43C419D5"/>
    <w:rsid w:val="44075EF3"/>
    <w:rsid w:val="440C3A50"/>
    <w:rsid w:val="44207DDF"/>
    <w:rsid w:val="44497291"/>
    <w:rsid w:val="44500011"/>
    <w:rsid w:val="445D7DC8"/>
    <w:rsid w:val="44B042CE"/>
    <w:rsid w:val="44B227AF"/>
    <w:rsid w:val="44B55352"/>
    <w:rsid w:val="44C44BEA"/>
    <w:rsid w:val="44CE7A88"/>
    <w:rsid w:val="4504286C"/>
    <w:rsid w:val="452D21C8"/>
    <w:rsid w:val="45357383"/>
    <w:rsid w:val="45847E3D"/>
    <w:rsid w:val="45B707A4"/>
    <w:rsid w:val="45B81805"/>
    <w:rsid w:val="45C41339"/>
    <w:rsid w:val="45C43A78"/>
    <w:rsid w:val="45E01DCC"/>
    <w:rsid w:val="460101C2"/>
    <w:rsid w:val="46186DDB"/>
    <w:rsid w:val="463A18CD"/>
    <w:rsid w:val="463E71C8"/>
    <w:rsid w:val="46650E65"/>
    <w:rsid w:val="46733805"/>
    <w:rsid w:val="468A5B17"/>
    <w:rsid w:val="46ED4F1C"/>
    <w:rsid w:val="46FF32EA"/>
    <w:rsid w:val="473904C3"/>
    <w:rsid w:val="482B1817"/>
    <w:rsid w:val="48515DC8"/>
    <w:rsid w:val="48661D77"/>
    <w:rsid w:val="488E4926"/>
    <w:rsid w:val="489068EF"/>
    <w:rsid w:val="489C3438"/>
    <w:rsid w:val="48B776C5"/>
    <w:rsid w:val="48E110DD"/>
    <w:rsid w:val="49647D7D"/>
    <w:rsid w:val="49AC0022"/>
    <w:rsid w:val="49D432A0"/>
    <w:rsid w:val="49DC7E7C"/>
    <w:rsid w:val="49F64E79"/>
    <w:rsid w:val="49FA6188"/>
    <w:rsid w:val="4A125DE7"/>
    <w:rsid w:val="4A851B96"/>
    <w:rsid w:val="4A9274F7"/>
    <w:rsid w:val="4A9C2CFD"/>
    <w:rsid w:val="4AAB13E9"/>
    <w:rsid w:val="4AAF3487"/>
    <w:rsid w:val="4AF27193"/>
    <w:rsid w:val="4B315A3D"/>
    <w:rsid w:val="4B360CDE"/>
    <w:rsid w:val="4B41175D"/>
    <w:rsid w:val="4B944F98"/>
    <w:rsid w:val="4BC726C0"/>
    <w:rsid w:val="4BD227ED"/>
    <w:rsid w:val="4C914B10"/>
    <w:rsid w:val="4CD96FA7"/>
    <w:rsid w:val="4D0866E7"/>
    <w:rsid w:val="4D135E4A"/>
    <w:rsid w:val="4D78512C"/>
    <w:rsid w:val="4DB35F73"/>
    <w:rsid w:val="4DE73C3A"/>
    <w:rsid w:val="4DEE40E5"/>
    <w:rsid w:val="4E01301A"/>
    <w:rsid w:val="4E021BEE"/>
    <w:rsid w:val="4E1B258B"/>
    <w:rsid w:val="4EA76C84"/>
    <w:rsid w:val="4EAA770B"/>
    <w:rsid w:val="4EB120F2"/>
    <w:rsid w:val="4EE14784"/>
    <w:rsid w:val="4EF66AD9"/>
    <w:rsid w:val="4F144117"/>
    <w:rsid w:val="4F2B0DF3"/>
    <w:rsid w:val="4F3044D8"/>
    <w:rsid w:val="4F566F36"/>
    <w:rsid w:val="4FA070A9"/>
    <w:rsid w:val="4FDC48A1"/>
    <w:rsid w:val="50217E90"/>
    <w:rsid w:val="50544478"/>
    <w:rsid w:val="505837AD"/>
    <w:rsid w:val="51A22A48"/>
    <w:rsid w:val="51A74466"/>
    <w:rsid w:val="51B967AB"/>
    <w:rsid w:val="51D7751D"/>
    <w:rsid w:val="51F81A9B"/>
    <w:rsid w:val="521524AC"/>
    <w:rsid w:val="52662EE7"/>
    <w:rsid w:val="526E2F16"/>
    <w:rsid w:val="527E1EAF"/>
    <w:rsid w:val="527E66EC"/>
    <w:rsid w:val="52A35000"/>
    <w:rsid w:val="52BE0E66"/>
    <w:rsid w:val="52CF2802"/>
    <w:rsid w:val="534E59C0"/>
    <w:rsid w:val="535C4FE2"/>
    <w:rsid w:val="5388595D"/>
    <w:rsid w:val="53D165F8"/>
    <w:rsid w:val="53EE4E13"/>
    <w:rsid w:val="5407444A"/>
    <w:rsid w:val="54664E09"/>
    <w:rsid w:val="54836F7C"/>
    <w:rsid w:val="54A3006C"/>
    <w:rsid w:val="54AB418A"/>
    <w:rsid w:val="54CD47AC"/>
    <w:rsid w:val="54FB2B8D"/>
    <w:rsid w:val="552346A9"/>
    <w:rsid w:val="55511877"/>
    <w:rsid w:val="5583536A"/>
    <w:rsid w:val="558C761E"/>
    <w:rsid w:val="55A80D72"/>
    <w:rsid w:val="55B16A87"/>
    <w:rsid w:val="55C46029"/>
    <w:rsid w:val="55D43B94"/>
    <w:rsid w:val="55F33B8C"/>
    <w:rsid w:val="55F3697C"/>
    <w:rsid w:val="56112C03"/>
    <w:rsid w:val="562D2626"/>
    <w:rsid w:val="568A60C4"/>
    <w:rsid w:val="57291D39"/>
    <w:rsid w:val="572C1FDF"/>
    <w:rsid w:val="577F458C"/>
    <w:rsid w:val="57D2100B"/>
    <w:rsid w:val="583B50ED"/>
    <w:rsid w:val="585B767A"/>
    <w:rsid w:val="586B6A4E"/>
    <w:rsid w:val="58823924"/>
    <w:rsid w:val="58987865"/>
    <w:rsid w:val="58C268D3"/>
    <w:rsid w:val="58DF4D2A"/>
    <w:rsid w:val="591041E6"/>
    <w:rsid w:val="5924008C"/>
    <w:rsid w:val="597F72CF"/>
    <w:rsid w:val="5A282587"/>
    <w:rsid w:val="5A401B54"/>
    <w:rsid w:val="5AA6485C"/>
    <w:rsid w:val="5AB634F1"/>
    <w:rsid w:val="5B113D25"/>
    <w:rsid w:val="5B1E16A2"/>
    <w:rsid w:val="5B331C89"/>
    <w:rsid w:val="5B4332C4"/>
    <w:rsid w:val="5B7F0C70"/>
    <w:rsid w:val="5B9718EC"/>
    <w:rsid w:val="5BC10DA0"/>
    <w:rsid w:val="5C3929DC"/>
    <w:rsid w:val="5C837F16"/>
    <w:rsid w:val="5CAF3619"/>
    <w:rsid w:val="5CBC2A3D"/>
    <w:rsid w:val="5D3C591D"/>
    <w:rsid w:val="5D512D50"/>
    <w:rsid w:val="5D573A29"/>
    <w:rsid w:val="5D5D6645"/>
    <w:rsid w:val="5D8937B9"/>
    <w:rsid w:val="5DDC29AF"/>
    <w:rsid w:val="5E184B66"/>
    <w:rsid w:val="5E186AB3"/>
    <w:rsid w:val="5E214AE0"/>
    <w:rsid w:val="5E311218"/>
    <w:rsid w:val="5E685CB2"/>
    <w:rsid w:val="5E8C0FB6"/>
    <w:rsid w:val="5EBE5ADD"/>
    <w:rsid w:val="5F44142B"/>
    <w:rsid w:val="5F882936"/>
    <w:rsid w:val="5FF54C37"/>
    <w:rsid w:val="60201837"/>
    <w:rsid w:val="60250C5E"/>
    <w:rsid w:val="604C495D"/>
    <w:rsid w:val="606D3048"/>
    <w:rsid w:val="6089379F"/>
    <w:rsid w:val="608F7696"/>
    <w:rsid w:val="60A7423E"/>
    <w:rsid w:val="611679FD"/>
    <w:rsid w:val="61AA7562"/>
    <w:rsid w:val="61B52D59"/>
    <w:rsid w:val="61D12784"/>
    <w:rsid w:val="61E842E1"/>
    <w:rsid w:val="61ED6B6C"/>
    <w:rsid w:val="625A6C6E"/>
    <w:rsid w:val="62654D0D"/>
    <w:rsid w:val="62690181"/>
    <w:rsid w:val="626F0238"/>
    <w:rsid w:val="62834C30"/>
    <w:rsid w:val="62AA45FB"/>
    <w:rsid w:val="62D378CB"/>
    <w:rsid w:val="62EA6380"/>
    <w:rsid w:val="635D4CE7"/>
    <w:rsid w:val="63C80F5E"/>
    <w:rsid w:val="641C2A38"/>
    <w:rsid w:val="64267CB1"/>
    <w:rsid w:val="6434233F"/>
    <w:rsid w:val="64354769"/>
    <w:rsid w:val="644919DD"/>
    <w:rsid w:val="646E5692"/>
    <w:rsid w:val="647B3379"/>
    <w:rsid w:val="649F0C9A"/>
    <w:rsid w:val="64B61035"/>
    <w:rsid w:val="650143EE"/>
    <w:rsid w:val="654F6CA4"/>
    <w:rsid w:val="656E0581"/>
    <w:rsid w:val="65DD4CBC"/>
    <w:rsid w:val="65DE0457"/>
    <w:rsid w:val="663A2510"/>
    <w:rsid w:val="66595CEE"/>
    <w:rsid w:val="66625644"/>
    <w:rsid w:val="6679400C"/>
    <w:rsid w:val="66C63825"/>
    <w:rsid w:val="66FE4697"/>
    <w:rsid w:val="671167C3"/>
    <w:rsid w:val="67702502"/>
    <w:rsid w:val="67B553EB"/>
    <w:rsid w:val="67C12EBA"/>
    <w:rsid w:val="67FE3B46"/>
    <w:rsid w:val="680C61E2"/>
    <w:rsid w:val="68451DB0"/>
    <w:rsid w:val="68A3136D"/>
    <w:rsid w:val="69516285"/>
    <w:rsid w:val="6956146A"/>
    <w:rsid w:val="699509A1"/>
    <w:rsid w:val="69A73885"/>
    <w:rsid w:val="69A822B1"/>
    <w:rsid w:val="6A0A336C"/>
    <w:rsid w:val="6A483E7F"/>
    <w:rsid w:val="6A556925"/>
    <w:rsid w:val="6A9C1C91"/>
    <w:rsid w:val="6AB20E27"/>
    <w:rsid w:val="6B0012EC"/>
    <w:rsid w:val="6BA74108"/>
    <w:rsid w:val="6BC04E8F"/>
    <w:rsid w:val="6BDE012C"/>
    <w:rsid w:val="6BF7651F"/>
    <w:rsid w:val="6C20148A"/>
    <w:rsid w:val="6CC510B4"/>
    <w:rsid w:val="6CEF2CD8"/>
    <w:rsid w:val="6CF73D1C"/>
    <w:rsid w:val="6D6A6E60"/>
    <w:rsid w:val="6D7E6438"/>
    <w:rsid w:val="6DBB7398"/>
    <w:rsid w:val="6DD80975"/>
    <w:rsid w:val="6DFD2828"/>
    <w:rsid w:val="6E3D6C17"/>
    <w:rsid w:val="6E9A5523"/>
    <w:rsid w:val="6EC14364"/>
    <w:rsid w:val="6F044EAD"/>
    <w:rsid w:val="6F28035E"/>
    <w:rsid w:val="6F296491"/>
    <w:rsid w:val="6F6E3C3B"/>
    <w:rsid w:val="6F8E6057"/>
    <w:rsid w:val="6FDD3F6A"/>
    <w:rsid w:val="704D7BB7"/>
    <w:rsid w:val="70B807FE"/>
    <w:rsid w:val="70EB3E10"/>
    <w:rsid w:val="710B6BAC"/>
    <w:rsid w:val="714A687E"/>
    <w:rsid w:val="714B6A4F"/>
    <w:rsid w:val="71503AF3"/>
    <w:rsid w:val="71A4504D"/>
    <w:rsid w:val="71C93960"/>
    <w:rsid w:val="720D56CA"/>
    <w:rsid w:val="72AC308C"/>
    <w:rsid w:val="72ED19A0"/>
    <w:rsid w:val="731B2E6F"/>
    <w:rsid w:val="73353407"/>
    <w:rsid w:val="73700F48"/>
    <w:rsid w:val="73725407"/>
    <w:rsid w:val="739D6314"/>
    <w:rsid w:val="73BF4F91"/>
    <w:rsid w:val="73FD468E"/>
    <w:rsid w:val="741A064D"/>
    <w:rsid w:val="746351BC"/>
    <w:rsid w:val="74A01913"/>
    <w:rsid w:val="74C05603"/>
    <w:rsid w:val="75267B11"/>
    <w:rsid w:val="75C612EF"/>
    <w:rsid w:val="75C95200"/>
    <w:rsid w:val="75D44B42"/>
    <w:rsid w:val="75E372FC"/>
    <w:rsid w:val="76051E1C"/>
    <w:rsid w:val="761D471F"/>
    <w:rsid w:val="767474BA"/>
    <w:rsid w:val="76A213B0"/>
    <w:rsid w:val="76E45D0D"/>
    <w:rsid w:val="76F33AA1"/>
    <w:rsid w:val="770976EA"/>
    <w:rsid w:val="77117B6E"/>
    <w:rsid w:val="77154FB4"/>
    <w:rsid w:val="771A2869"/>
    <w:rsid w:val="772131C2"/>
    <w:rsid w:val="77C415FD"/>
    <w:rsid w:val="77D34AB4"/>
    <w:rsid w:val="78240738"/>
    <w:rsid w:val="783808F1"/>
    <w:rsid w:val="788F4000"/>
    <w:rsid w:val="789C2912"/>
    <w:rsid w:val="78FF3E4D"/>
    <w:rsid w:val="79153D17"/>
    <w:rsid w:val="791E294E"/>
    <w:rsid w:val="79376DF4"/>
    <w:rsid w:val="79646868"/>
    <w:rsid w:val="79985233"/>
    <w:rsid w:val="79D50178"/>
    <w:rsid w:val="79D63B23"/>
    <w:rsid w:val="7A30389F"/>
    <w:rsid w:val="7A700894"/>
    <w:rsid w:val="7A9120D5"/>
    <w:rsid w:val="7AA82B3B"/>
    <w:rsid w:val="7B040148"/>
    <w:rsid w:val="7B0C4611"/>
    <w:rsid w:val="7B1F0ED1"/>
    <w:rsid w:val="7B5A6468"/>
    <w:rsid w:val="7B743285"/>
    <w:rsid w:val="7B942BFA"/>
    <w:rsid w:val="7B9460F1"/>
    <w:rsid w:val="7BB0279F"/>
    <w:rsid w:val="7BF154C7"/>
    <w:rsid w:val="7C277B4D"/>
    <w:rsid w:val="7CEE459A"/>
    <w:rsid w:val="7E063F96"/>
    <w:rsid w:val="7E3B533E"/>
    <w:rsid w:val="7E3D6CB9"/>
    <w:rsid w:val="7E3E6130"/>
    <w:rsid w:val="7E643FDC"/>
    <w:rsid w:val="7E6B1212"/>
    <w:rsid w:val="7EAD72E1"/>
    <w:rsid w:val="7EBD7488"/>
    <w:rsid w:val="7EF96296"/>
    <w:rsid w:val="7F1A47EA"/>
    <w:rsid w:val="7F2A6313"/>
    <w:rsid w:val="7F8E4F77"/>
    <w:rsid w:val="7FA162FC"/>
    <w:rsid w:val="7FA31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link w:val="42"/>
    <w:qFormat/>
    <w:uiPriority w:val="0"/>
    <w:pPr>
      <w:keepNext/>
      <w:keepLines/>
      <w:spacing w:before="120" w:after="120" w:line="360" w:lineRule="auto"/>
      <w:jc w:val="center"/>
      <w:outlineLvl w:val="1"/>
    </w:pPr>
    <w:rPr>
      <w:rFonts w:ascii="Arial" w:hAnsi="Arial"/>
      <w:b/>
      <w:bCs/>
      <w:kern w:val="0"/>
      <w:sz w:val="32"/>
      <w:szCs w:val="32"/>
    </w:rPr>
  </w:style>
  <w:style w:type="paragraph" w:styleId="5">
    <w:name w:val="heading 3"/>
    <w:basedOn w:val="1"/>
    <w:next w:val="1"/>
    <w:link w:val="43"/>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5">
    <w:name w:val="Default Paragraph Font"/>
    <w:qFormat/>
    <w:uiPriority w:val="1"/>
  </w:style>
  <w:style w:type="table" w:default="1" w:styleId="23">
    <w:name w:val="Normal Table"/>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sz w:val="28"/>
      <w:szCs w:val="20"/>
    </w:rPr>
  </w:style>
  <w:style w:type="paragraph" w:styleId="7">
    <w:name w:val="Normal Indent"/>
    <w:basedOn w:val="1"/>
    <w:next w:val="1"/>
    <w:qFormat/>
    <w:uiPriority w:val="0"/>
    <w:pPr>
      <w:ind w:firstLine="420"/>
    </w:pPr>
  </w:style>
  <w:style w:type="paragraph" w:styleId="8">
    <w:name w:val="Document Map"/>
    <w:basedOn w:val="1"/>
    <w:link w:val="41"/>
    <w:qFormat/>
    <w:uiPriority w:val="0"/>
    <w:rPr>
      <w:rFonts w:ascii="宋体"/>
      <w:sz w:val="18"/>
      <w:szCs w:val="18"/>
    </w:rPr>
  </w:style>
  <w:style w:type="paragraph" w:styleId="9">
    <w:name w:val="Body Text 3"/>
    <w:basedOn w:val="1"/>
    <w:qFormat/>
    <w:uiPriority w:val="0"/>
    <w:pPr>
      <w:spacing w:line="480" w:lineRule="exact"/>
      <w:jc w:val="center"/>
    </w:pPr>
  </w:style>
  <w:style w:type="paragraph" w:styleId="10">
    <w:name w:val="Body Text Indent"/>
    <w:basedOn w:val="1"/>
    <w:qFormat/>
    <w:uiPriority w:val="0"/>
    <w:pPr>
      <w:spacing w:after="120"/>
      <w:ind w:left="420" w:leftChars="200"/>
    </w:pPr>
  </w:style>
  <w:style w:type="paragraph" w:styleId="11">
    <w:name w:val="Plain Text"/>
    <w:basedOn w:val="1"/>
    <w:next w:val="1"/>
    <w:qFormat/>
    <w:uiPriority w:val="0"/>
    <w:rPr>
      <w:rFonts w:ascii="宋体" w:hAnsi="Courier New"/>
      <w:color w:val="000000"/>
      <w:szCs w:val="20"/>
    </w:rPr>
  </w:style>
  <w:style w:type="paragraph" w:styleId="12">
    <w:name w:val="Date"/>
    <w:basedOn w:val="1"/>
    <w:next w:val="1"/>
    <w:qFormat/>
    <w:uiPriority w:val="0"/>
    <w:pPr>
      <w:ind w:left="100" w:leftChars="2500"/>
    </w:pPr>
  </w:style>
  <w:style w:type="paragraph" w:styleId="13">
    <w:name w:val="footer"/>
    <w:basedOn w:val="1"/>
    <w:qFormat/>
    <w:uiPriority w:val="0"/>
    <w:pPr>
      <w:tabs>
        <w:tab w:val="center" w:pos="4153"/>
        <w:tab w:val="right" w:pos="8306"/>
      </w:tabs>
      <w:snapToGrid w:val="0"/>
      <w:jc w:val="left"/>
    </w:pPr>
    <w:rPr>
      <w:sz w:val="18"/>
    </w:rPr>
  </w:style>
  <w:style w:type="paragraph" w:styleId="14">
    <w:name w:val="envelope return"/>
    <w:basedOn w:val="1"/>
    <w:qFormat/>
    <w:uiPriority w:val="0"/>
    <w:pPr>
      <w:snapToGrid w:val="0"/>
    </w:pPr>
    <w:rPr>
      <w:rFonts w:ascii="Arial" w:hAnsi="Arial"/>
    </w:rPr>
  </w:style>
  <w:style w:type="paragraph" w:styleId="15">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qFormat/>
    <w:uiPriority w:val="0"/>
    <w:pPr>
      <w:spacing w:before="240" w:after="60"/>
      <w:jc w:val="center"/>
      <w:outlineLvl w:val="0"/>
    </w:pPr>
    <w:rPr>
      <w:rFonts w:ascii="Cambria" w:hAnsi="Cambria"/>
      <w:b/>
      <w:bCs/>
      <w:sz w:val="32"/>
      <w:szCs w:val="32"/>
    </w:rPr>
  </w:style>
  <w:style w:type="paragraph" w:styleId="20">
    <w:name w:val="Body Text First Indent"/>
    <w:basedOn w:val="2"/>
    <w:next w:val="1"/>
    <w:qFormat/>
    <w:uiPriority w:val="0"/>
    <w:pPr>
      <w:ind w:firstLine="420" w:firstLineChars="100"/>
    </w:pPr>
  </w:style>
  <w:style w:type="paragraph" w:styleId="21">
    <w:name w:val="Body Text First Indent 2"/>
    <w:basedOn w:val="10"/>
    <w:next w:val="22"/>
    <w:qFormat/>
    <w:uiPriority w:val="0"/>
    <w:pPr>
      <w:ind w:firstLine="420" w:firstLineChars="200"/>
    </w:pPr>
  </w:style>
  <w:style w:type="paragraph" w:customStyle="1" w:styleId="22">
    <w:name w:val="正文1"/>
    <w:next w:val="20"/>
    <w:qFormat/>
    <w:uiPriority w:val="0"/>
    <w:pPr>
      <w:widowControl w:val="0"/>
      <w:jc w:val="both"/>
    </w:pPr>
    <w:rPr>
      <w:rFonts w:ascii="Calibri" w:hAnsi="Calibri" w:eastAsia="宋体" w:cs="Times New Roman"/>
      <w:kern w:val="2"/>
      <w:sz w:val="21"/>
      <w:szCs w:val="24"/>
      <w:lang w:val="en-US" w:eastAsia="zh-CN" w:bidi="ar-SA"/>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22"/>
    <w:rPr>
      <w:b/>
      <w:bCs/>
    </w:rPr>
  </w:style>
  <w:style w:type="character" w:styleId="27">
    <w:name w:val="FollowedHyperlink"/>
    <w:basedOn w:val="25"/>
    <w:qFormat/>
    <w:uiPriority w:val="0"/>
    <w:rPr>
      <w:color w:val="337AB7"/>
      <w:u w:val="single"/>
    </w:rPr>
  </w:style>
  <w:style w:type="character" w:styleId="28">
    <w:name w:val="Emphasis"/>
    <w:basedOn w:val="25"/>
    <w:qFormat/>
    <w:uiPriority w:val="0"/>
  </w:style>
  <w:style w:type="character" w:styleId="29">
    <w:name w:val="HTML Definition"/>
    <w:basedOn w:val="25"/>
    <w:qFormat/>
    <w:uiPriority w:val="0"/>
    <w:rPr>
      <w:i/>
      <w:iCs/>
    </w:rPr>
  </w:style>
  <w:style w:type="character" w:styleId="30">
    <w:name w:val="Hyperlink"/>
    <w:basedOn w:val="25"/>
    <w:qFormat/>
    <w:uiPriority w:val="0"/>
    <w:rPr>
      <w:color w:val="337AB7"/>
      <w:u w:val="single"/>
    </w:rPr>
  </w:style>
  <w:style w:type="character" w:styleId="31">
    <w:name w:val="HTML Code"/>
    <w:basedOn w:val="25"/>
    <w:qFormat/>
    <w:uiPriority w:val="0"/>
    <w:rPr>
      <w:rFonts w:hint="default" w:ascii="Consolas" w:hAnsi="Consolas" w:eastAsia="Consolas" w:cs="Consolas"/>
      <w:color w:val="C7254E"/>
      <w:sz w:val="21"/>
      <w:szCs w:val="21"/>
      <w:shd w:val="clear" w:color="auto" w:fill="F9F2F4"/>
    </w:rPr>
  </w:style>
  <w:style w:type="character" w:styleId="32">
    <w:name w:val="HTML Keyboard"/>
    <w:basedOn w:val="25"/>
    <w:qFormat/>
    <w:uiPriority w:val="0"/>
    <w:rPr>
      <w:rFonts w:ascii="Consolas" w:hAnsi="Consolas" w:eastAsia="Consolas" w:cs="Consolas"/>
      <w:color w:val="FFFFFF"/>
      <w:sz w:val="21"/>
      <w:szCs w:val="21"/>
      <w:shd w:val="clear" w:color="auto" w:fill="333333"/>
    </w:rPr>
  </w:style>
  <w:style w:type="character" w:styleId="33">
    <w:name w:val="HTML Sample"/>
    <w:basedOn w:val="25"/>
    <w:qFormat/>
    <w:uiPriority w:val="0"/>
    <w:rPr>
      <w:rFonts w:hint="default" w:ascii="Consolas" w:hAnsi="Consolas" w:eastAsia="Consolas" w:cs="Consolas"/>
      <w:sz w:val="21"/>
      <w:szCs w:val="21"/>
    </w:rPr>
  </w:style>
  <w:style w:type="paragraph" w:customStyle="1" w:styleId="34">
    <w:name w:val="Default"/>
    <w:next w:val="15"/>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5">
    <w:name w:val="一级条标题"/>
    <w:basedOn w:val="36"/>
    <w:next w:val="37"/>
    <w:qFormat/>
    <w:uiPriority w:val="99"/>
    <w:pPr>
      <w:spacing w:line="240" w:lineRule="auto"/>
      <w:ind w:left="420"/>
      <w:outlineLvl w:val="2"/>
    </w:pPr>
  </w:style>
  <w:style w:type="paragraph" w:customStyle="1" w:styleId="36">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37">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8">
    <w:name w:val="正文首行缩进 21"/>
    <w:basedOn w:val="10"/>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39">
    <w:name w:val="正文文本缩进1"/>
    <w:basedOn w:val="1"/>
    <w:qFormat/>
    <w:uiPriority w:val="0"/>
    <w:pPr>
      <w:ind w:left="420" w:leftChars="200"/>
    </w:pPr>
  </w:style>
  <w:style w:type="paragraph" w:customStyle="1" w:styleId="40">
    <w:name w:val="Body Text Indent 21"/>
    <w:basedOn w:val="1"/>
    <w:qFormat/>
    <w:uiPriority w:val="0"/>
    <w:pPr>
      <w:spacing w:line="60" w:lineRule="auto"/>
      <w:ind w:firstLine="128" w:firstLineChars="128"/>
    </w:pPr>
    <w:rPr>
      <w:rFonts w:ascii="仿宋_GB2312" w:eastAsia="仿宋_GB2312"/>
      <w:kern w:val="0"/>
      <w:sz w:val="24"/>
    </w:rPr>
  </w:style>
  <w:style w:type="character" w:customStyle="1" w:styleId="41">
    <w:name w:val="文档结构图 Char"/>
    <w:basedOn w:val="25"/>
    <w:link w:val="8"/>
    <w:qFormat/>
    <w:uiPriority w:val="0"/>
    <w:rPr>
      <w:rFonts w:ascii="宋体" w:hAnsi="Calibri"/>
      <w:kern w:val="2"/>
      <w:sz w:val="18"/>
      <w:szCs w:val="18"/>
    </w:rPr>
  </w:style>
  <w:style w:type="character" w:customStyle="1" w:styleId="42">
    <w:name w:val="标题 2 Char"/>
    <w:link w:val="4"/>
    <w:qFormat/>
    <w:uiPriority w:val="0"/>
    <w:rPr>
      <w:rFonts w:ascii="Arial" w:hAnsi="Arial"/>
      <w:b/>
      <w:bCs/>
      <w:kern w:val="0"/>
      <w:sz w:val="32"/>
      <w:szCs w:val="32"/>
    </w:rPr>
  </w:style>
  <w:style w:type="character" w:customStyle="1" w:styleId="43">
    <w:name w:val="标题 3 Char"/>
    <w:link w:val="5"/>
    <w:qFormat/>
    <w:uiPriority w:val="0"/>
    <w:rPr>
      <w:rFonts w:ascii="宋体"/>
      <w:b/>
      <w:bCs/>
      <w:kern w:val="0"/>
      <w:sz w:val="32"/>
      <w:szCs w:val="32"/>
    </w:rPr>
  </w:style>
  <w:style w:type="paragraph" w:customStyle="1" w:styleId="44">
    <w:name w:val="3"/>
    <w:basedOn w:val="1"/>
    <w:next w:val="10"/>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45">
    <w:name w:val="WPSOffice手动目录 1"/>
    <w:qFormat/>
    <w:uiPriority w:val="0"/>
    <w:rPr>
      <w:rFonts w:ascii="Times New Roman" w:hAnsi="Times New Roman" w:eastAsia="宋体" w:cs="Times New Roman"/>
      <w:lang w:val="en-US" w:eastAsia="zh-CN" w:bidi="ar-SA"/>
    </w:rPr>
  </w:style>
  <w:style w:type="paragraph" w:customStyle="1" w:styleId="46">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7">
    <w:name w:val="Normal_1"/>
    <w:qFormat/>
    <w:uiPriority w:val="0"/>
    <w:pPr>
      <w:widowControl w:val="0"/>
      <w:jc w:val="both"/>
    </w:pPr>
    <w:rPr>
      <w:rFonts w:ascii="Times New Roman" w:hAnsi="Times New Roman" w:eastAsia="宋体" w:cs="Times New Roman"/>
      <w:lang w:val="en-US" w:eastAsia="zh-CN" w:bidi="ar-SA"/>
    </w:rPr>
  </w:style>
  <w:style w:type="paragraph" w:customStyle="1" w:styleId="48">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49">
    <w:name w:val="附件样式"/>
    <w:basedOn w:val="1"/>
    <w:qFormat/>
    <w:uiPriority w:val="0"/>
    <w:rPr>
      <w:sz w:val="28"/>
    </w:rPr>
  </w:style>
  <w:style w:type="paragraph" w:customStyle="1" w:styleId="50">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1">
    <w:name w:val="Heading 5"/>
    <w:basedOn w:val="1"/>
    <w:qFormat/>
    <w:uiPriority w:val="1"/>
    <w:pPr>
      <w:spacing w:before="26"/>
      <w:ind w:left="254"/>
      <w:jc w:val="left"/>
      <w:outlineLvl w:val="5"/>
    </w:pPr>
    <w:rPr>
      <w:rFonts w:ascii="宋体" w:hAnsi="宋体"/>
      <w:b/>
      <w:bCs/>
      <w:kern w:val="0"/>
      <w:sz w:val="24"/>
      <w:lang w:eastAsia="en-US"/>
    </w:rPr>
  </w:style>
  <w:style w:type="paragraph" w:styleId="52">
    <w:name w:val="List Paragraph"/>
    <w:basedOn w:val="1"/>
    <w:qFormat/>
    <w:uiPriority w:val="99"/>
    <w:pPr>
      <w:ind w:firstLine="420" w:firstLineChars="200"/>
    </w:pPr>
  </w:style>
  <w:style w:type="paragraph" w:customStyle="1" w:styleId="53">
    <w:name w:val="Normal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Heading 3_0"/>
    <w:basedOn w:val="53"/>
    <w:next w:val="55"/>
    <w:qFormat/>
    <w:uiPriority w:val="0"/>
    <w:pPr>
      <w:keepNext/>
      <w:keepLines/>
      <w:widowControl/>
      <w:numPr>
        <w:ilvl w:val="2"/>
        <w:numId w:val="2"/>
      </w:numPr>
      <w:tabs>
        <w:tab w:val="clear" w:pos="720"/>
      </w:tabs>
      <w:spacing w:before="120" w:after="120" w:line="360" w:lineRule="auto"/>
      <w:jc w:val="center"/>
      <w:outlineLvl w:val="2"/>
    </w:pPr>
    <w:rPr>
      <w:b/>
      <w:sz w:val="32"/>
    </w:rPr>
  </w:style>
  <w:style w:type="paragraph" w:customStyle="1" w:styleId="55">
    <w:name w:val="Normal Indent_0"/>
    <w:basedOn w:val="53"/>
    <w:qFormat/>
    <w:uiPriority w:val="0"/>
    <w:pPr>
      <w:ind w:firstLine="420" w:firstLineChars="200"/>
    </w:pPr>
  </w:style>
  <w:style w:type="paragraph" w:customStyle="1" w:styleId="56">
    <w:name w:val="Heading 4_0"/>
    <w:basedOn w:val="53"/>
    <w:next w:val="53"/>
    <w:qFormat/>
    <w:uiPriority w:val="0"/>
    <w:pPr>
      <w:keepNext/>
      <w:keepLines/>
      <w:spacing w:before="280" w:after="290" w:line="376" w:lineRule="auto"/>
      <w:outlineLvl w:val="3"/>
    </w:pPr>
    <w:rPr>
      <w:rFonts w:ascii="Arial" w:hAnsi="Arial" w:eastAsia="黑体"/>
      <w:b/>
      <w:bCs/>
      <w:sz w:val="28"/>
      <w:szCs w:val="28"/>
    </w:rPr>
  </w:style>
  <w:style w:type="paragraph" w:customStyle="1" w:styleId="57">
    <w:name w:val="Normal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8">
    <w:name w:val="hour_am"/>
    <w:basedOn w:val="25"/>
    <w:qFormat/>
    <w:uiPriority w:val="0"/>
  </w:style>
  <w:style w:type="character" w:customStyle="1" w:styleId="59">
    <w:name w:val="old"/>
    <w:basedOn w:val="25"/>
    <w:qFormat/>
    <w:uiPriority w:val="0"/>
    <w:rPr>
      <w:color w:val="999999"/>
    </w:rPr>
  </w:style>
  <w:style w:type="character" w:customStyle="1" w:styleId="60">
    <w:name w:val="icon"/>
    <w:basedOn w:val="25"/>
    <w:qFormat/>
    <w:uiPriority w:val="0"/>
  </w:style>
  <w:style w:type="character" w:customStyle="1" w:styleId="61">
    <w:name w:val="hover1"/>
    <w:basedOn w:val="25"/>
    <w:qFormat/>
    <w:uiPriority w:val="0"/>
    <w:rPr>
      <w:shd w:val="clear" w:color="auto" w:fill="EEEEEE"/>
    </w:rPr>
  </w:style>
  <w:style w:type="character" w:customStyle="1" w:styleId="62">
    <w:name w:val="glyphicon6"/>
    <w:basedOn w:val="25"/>
    <w:qFormat/>
    <w:uiPriority w:val="0"/>
  </w:style>
  <w:style w:type="character" w:customStyle="1" w:styleId="63">
    <w:name w:val="hour_pm"/>
    <w:basedOn w:val="25"/>
    <w:qFormat/>
    <w:uiPriority w:val="0"/>
  </w:style>
  <w:style w:type="character" w:customStyle="1" w:styleId="64">
    <w:name w:val="indent"/>
    <w:basedOn w:val="25"/>
    <w:qFormat/>
    <w:uiPriority w:val="0"/>
  </w:style>
  <w:style w:type="character" w:customStyle="1" w:styleId="65">
    <w:name w:val="displayarti"/>
    <w:basedOn w:val="25"/>
    <w:qFormat/>
    <w:uiPriority w:val="0"/>
    <w:rPr>
      <w:color w:val="FFFFFF"/>
      <w:shd w:val="clear" w:color="auto" w:fill="A00000"/>
    </w:rPr>
  </w:style>
  <w:style w:type="paragraph" w:customStyle="1" w:styleId="66">
    <w:name w:val="_Style 55"/>
    <w:basedOn w:val="1"/>
    <w:next w:val="1"/>
    <w:qFormat/>
    <w:uiPriority w:val="0"/>
    <w:pPr>
      <w:pBdr>
        <w:bottom w:val="single" w:color="auto" w:sz="6" w:space="1"/>
      </w:pBdr>
      <w:jc w:val="center"/>
    </w:pPr>
    <w:rPr>
      <w:rFonts w:ascii="Arial" w:eastAsia="宋体"/>
      <w:vanish/>
      <w:sz w:val="16"/>
    </w:rPr>
  </w:style>
  <w:style w:type="paragraph" w:customStyle="1" w:styleId="67">
    <w:name w:val="_Style 56"/>
    <w:basedOn w:val="1"/>
    <w:next w:val="1"/>
    <w:qFormat/>
    <w:uiPriority w:val="0"/>
    <w:pPr>
      <w:pBdr>
        <w:top w:val="single" w:color="auto" w:sz="6" w:space="1"/>
      </w:pBdr>
      <w:jc w:val="center"/>
    </w:pPr>
    <w:rPr>
      <w:rFonts w:ascii="Arial" w:eastAsia="宋体"/>
      <w:vanish/>
      <w:sz w:val="16"/>
    </w:rPr>
  </w:style>
  <w:style w:type="character" w:customStyle="1" w:styleId="68">
    <w:name w:val="hover4"/>
    <w:basedOn w:val="25"/>
    <w:qFormat/>
    <w:uiPriority w:val="0"/>
    <w:rPr>
      <w:color w:val="999999"/>
    </w:rPr>
  </w:style>
  <w:style w:type="paragraph" w:customStyle="1" w:styleId="69">
    <w:name w:val="Table Paragraph"/>
    <w:basedOn w:val="1"/>
    <w:qFormat/>
    <w:uiPriority w:val="1"/>
    <w:rPr>
      <w:rFonts w:ascii="宋体" w:hAnsi="宋体" w:eastAsia="宋体" w:cs="宋体"/>
      <w:lang w:val="zh-CN" w:eastAsia="zh-CN" w:bidi="zh-CN"/>
    </w:rPr>
  </w:style>
  <w:style w:type="paragraph" w:customStyle="1" w:styleId="70">
    <w:name w:val="图表目录1"/>
    <w:basedOn w:val="71"/>
    <w:next w:val="1"/>
    <w:qFormat/>
    <w:uiPriority w:val="0"/>
    <w:pPr>
      <w:ind w:left="200" w:leftChars="200" w:hanging="200" w:hangingChars="200"/>
    </w:pPr>
  </w:style>
  <w:style w:type="paragraph" w:customStyle="1" w:styleId="7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
    <w:qFormat/>
    <w:uiPriority w:val="0"/>
    <w:pPr>
      <w:widowControl w:val="0"/>
      <w:jc w:val="both"/>
    </w:pPr>
    <w:rPr>
      <w:rFonts w:ascii="Calibri" w:hAnsi="Calibri" w:eastAsia="宋体" w:cs="黑体"/>
      <w:kern w:val="2"/>
      <w:sz w:val="21"/>
      <w:szCs w:val="24"/>
      <w:lang w:val="en-US" w:eastAsia="zh-CN" w:bidi="ar-SA"/>
    </w:rPr>
  </w:style>
  <w:style w:type="paragraph" w:customStyle="1" w:styleId="72">
    <w:name w:val="_Style 7"/>
    <w:basedOn w:val="3"/>
    <w:next w:val="1"/>
    <w:qFormat/>
    <w:uiPriority w:val="0"/>
    <w:pPr>
      <w:outlineLvl w:val="9"/>
    </w:pPr>
  </w:style>
  <w:style w:type="paragraph" w:customStyle="1" w:styleId="73">
    <w:name w:val="Blockquote"/>
    <w:basedOn w:val="1"/>
    <w:qFormat/>
    <w:uiPriority w:val="0"/>
    <w:pPr>
      <w:autoSpaceDE w:val="0"/>
      <w:autoSpaceDN w:val="0"/>
      <w:adjustRightInd w:val="0"/>
      <w:spacing w:before="100" w:after="100"/>
      <w:ind w:left="360" w:right="360"/>
      <w:jc w:val="left"/>
    </w:pPr>
    <w:rPr>
      <w:kern w:val="0"/>
      <w:position w:val="-6"/>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74</Pages>
  <Words>16603</Words>
  <Characters>18800</Characters>
  <Paragraphs>3468</Paragraphs>
  <TotalTime>207</TotalTime>
  <ScaleCrop>false</ScaleCrop>
  <LinksUpToDate>false</LinksUpToDate>
  <CharactersWithSpaces>19054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2019-10-22T01:08:00Z</dcterms:created>
  <dc:creator>Administrator</dc:creator>
  <cp:lastModifiedBy>啊会</cp:lastModifiedBy>
  <cp:lastPrinted>2026-08-26T12:10:20Z</cp:lastPrinted>
  <dcterms:modified xsi:type="dcterms:W3CDTF">2026-08-26T12:32:54Z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D3F0CF4734884197808FB976A12966BC_13</vt:lpwstr>
  </property>
  <property fmtid="{D5CDD505-2E9C-101B-9397-08002B2CF9AE}" pid="4" name="KSOTemplateDocerSaveRecord">
    <vt:lpwstr>eyJoZGlkIjoiZDUxNTQ1YzY4YjE1YmQwZGI4ZDI5NDQwZDZjYTc3ZWYiLCJ1c2VySWQiOiI5MTM2NDQ1NTAifQ==</vt:lpwstr>
  </property>
</Properties>
</file>