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F8AF6">
      <w:pPr>
        <w:pStyle w:val="4"/>
        <w:jc w:val="center"/>
        <w:outlineLvl w:val="1"/>
      </w:pPr>
      <w:r>
        <w:rPr>
          <w:rFonts w:ascii="仿宋_GB2312" w:hAnsi="仿宋_GB2312" w:eastAsia="仿宋_GB2312" w:cs="仿宋_GB2312"/>
          <w:b/>
          <w:sz w:val="36"/>
        </w:rPr>
        <w:t>第三章 技术、服务及其他要求</w:t>
      </w:r>
    </w:p>
    <w:p w14:paraId="4B1E5328">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A51E874">
      <w:pPr>
        <w:pStyle w:val="4"/>
        <w:jc w:val="left"/>
        <w:outlineLvl w:val="2"/>
      </w:pPr>
      <w:r>
        <w:rPr>
          <w:rFonts w:ascii="仿宋_GB2312" w:hAnsi="仿宋_GB2312" w:eastAsia="仿宋_GB2312" w:cs="仿宋_GB2312"/>
          <w:b/>
          <w:sz w:val="28"/>
        </w:rPr>
        <w:t>3.1.采购内容</w:t>
      </w:r>
    </w:p>
    <w:p w14:paraId="3A275982">
      <w:pPr>
        <w:pStyle w:val="4"/>
        <w:jc w:val="left"/>
      </w:pPr>
      <w:r>
        <w:rPr>
          <w:rFonts w:ascii="仿宋_GB2312" w:hAnsi="仿宋_GB2312" w:eastAsia="仿宋_GB2312" w:cs="仿宋_GB2312"/>
        </w:rPr>
        <w:t>采购包1：</w:t>
      </w:r>
    </w:p>
    <w:p w14:paraId="13AA77FF">
      <w:pPr>
        <w:pStyle w:val="4"/>
        <w:jc w:val="left"/>
      </w:pPr>
      <w:r>
        <w:rPr>
          <w:rFonts w:ascii="仿宋_GB2312" w:hAnsi="仿宋_GB2312" w:eastAsia="仿宋_GB2312" w:cs="仿宋_GB2312"/>
        </w:rPr>
        <w:t>采购包预算金额（元）: 526,500.00</w:t>
      </w:r>
    </w:p>
    <w:p w14:paraId="777CBF07">
      <w:pPr>
        <w:pStyle w:val="4"/>
        <w:jc w:val="left"/>
      </w:pPr>
      <w:r>
        <w:rPr>
          <w:rFonts w:ascii="仿宋_GB2312" w:hAnsi="仿宋_GB2312" w:eastAsia="仿宋_GB2312" w:cs="仿宋_GB2312"/>
        </w:rPr>
        <w:t>采购包最高限价（元）: 526,500.00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DA3E2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721951E">
            <w:pPr>
              <w:pStyle w:val="4"/>
              <w:jc w:val="center"/>
            </w:pPr>
            <w:r>
              <w:rPr>
                <w:rFonts w:ascii="仿宋_GB2312" w:hAnsi="仿宋_GB2312" w:eastAsia="仿宋_GB2312" w:cs="仿宋_GB2312"/>
              </w:rPr>
              <w:t>序号</w:t>
            </w:r>
          </w:p>
        </w:tc>
        <w:tc>
          <w:tcPr>
            <w:tcW w:w="821" w:type="dxa"/>
          </w:tcPr>
          <w:p w14:paraId="53CF867D">
            <w:pPr>
              <w:pStyle w:val="4"/>
              <w:jc w:val="center"/>
            </w:pPr>
            <w:r>
              <w:rPr>
                <w:rFonts w:ascii="仿宋_GB2312" w:hAnsi="仿宋_GB2312" w:eastAsia="仿宋_GB2312" w:cs="仿宋_GB2312"/>
              </w:rPr>
              <w:t>采购品目名称</w:t>
            </w:r>
          </w:p>
        </w:tc>
        <w:tc>
          <w:tcPr>
            <w:tcW w:w="821" w:type="dxa"/>
          </w:tcPr>
          <w:p w14:paraId="19E8E32C">
            <w:pPr>
              <w:pStyle w:val="4"/>
              <w:jc w:val="center"/>
            </w:pPr>
            <w:r>
              <w:rPr>
                <w:rFonts w:ascii="仿宋_GB2312" w:hAnsi="仿宋_GB2312" w:eastAsia="仿宋_GB2312" w:cs="仿宋_GB2312"/>
              </w:rPr>
              <w:t>标的名称</w:t>
            </w:r>
          </w:p>
        </w:tc>
        <w:tc>
          <w:tcPr>
            <w:tcW w:w="821" w:type="dxa"/>
          </w:tcPr>
          <w:p w14:paraId="7C50F30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462C04F">
            <w:pPr>
              <w:pStyle w:val="4"/>
              <w:jc w:val="center"/>
            </w:pPr>
            <w:r>
              <w:rPr>
                <w:rFonts w:ascii="仿宋_GB2312" w:hAnsi="仿宋_GB2312" w:eastAsia="仿宋_GB2312" w:cs="仿宋_GB2312"/>
              </w:rPr>
              <w:t>标的金额 （元）</w:t>
            </w:r>
          </w:p>
        </w:tc>
        <w:tc>
          <w:tcPr>
            <w:tcW w:w="821" w:type="dxa"/>
          </w:tcPr>
          <w:p w14:paraId="25D62CAE">
            <w:pPr>
              <w:pStyle w:val="4"/>
              <w:jc w:val="center"/>
            </w:pPr>
            <w:r>
              <w:rPr>
                <w:rFonts w:ascii="仿宋_GB2312" w:hAnsi="仿宋_GB2312" w:eastAsia="仿宋_GB2312" w:cs="仿宋_GB2312"/>
              </w:rPr>
              <w:t>所属行业</w:t>
            </w:r>
          </w:p>
        </w:tc>
        <w:tc>
          <w:tcPr>
            <w:tcW w:w="821" w:type="dxa"/>
          </w:tcPr>
          <w:p w14:paraId="2D4FD1DF">
            <w:pPr>
              <w:pStyle w:val="4"/>
              <w:jc w:val="center"/>
            </w:pPr>
            <w:r>
              <w:rPr>
                <w:rFonts w:ascii="仿宋_GB2312" w:hAnsi="仿宋_GB2312" w:eastAsia="仿宋_GB2312" w:cs="仿宋_GB2312"/>
              </w:rPr>
              <w:t>是否涉及核心产品</w:t>
            </w:r>
          </w:p>
        </w:tc>
        <w:tc>
          <w:tcPr>
            <w:tcW w:w="821" w:type="dxa"/>
          </w:tcPr>
          <w:p w14:paraId="04942E7C">
            <w:pPr>
              <w:pStyle w:val="4"/>
              <w:jc w:val="center"/>
            </w:pPr>
            <w:r>
              <w:rPr>
                <w:rFonts w:ascii="仿宋_GB2312" w:hAnsi="仿宋_GB2312" w:eastAsia="仿宋_GB2312" w:cs="仿宋_GB2312"/>
              </w:rPr>
              <w:t>是否涉及采购进口产品</w:t>
            </w:r>
          </w:p>
        </w:tc>
        <w:tc>
          <w:tcPr>
            <w:tcW w:w="821" w:type="dxa"/>
          </w:tcPr>
          <w:p w14:paraId="585C7266">
            <w:pPr>
              <w:pStyle w:val="4"/>
              <w:jc w:val="center"/>
            </w:pPr>
            <w:r>
              <w:rPr>
                <w:rFonts w:ascii="仿宋_GB2312" w:hAnsi="仿宋_GB2312" w:eastAsia="仿宋_GB2312" w:cs="仿宋_GB2312"/>
              </w:rPr>
              <w:t>是否涉及强制采购节能产品</w:t>
            </w:r>
          </w:p>
        </w:tc>
        <w:tc>
          <w:tcPr>
            <w:tcW w:w="639" w:type="dxa"/>
          </w:tcPr>
          <w:p w14:paraId="7F6CE074">
            <w:pPr>
              <w:pStyle w:val="4"/>
              <w:jc w:val="center"/>
            </w:pPr>
            <w:r>
              <w:rPr>
                <w:rFonts w:ascii="仿宋_GB2312" w:hAnsi="仿宋_GB2312" w:eastAsia="仿宋_GB2312" w:cs="仿宋_GB2312"/>
              </w:rPr>
              <w:t>是否涉及优先采购节能产品</w:t>
            </w:r>
          </w:p>
        </w:tc>
        <w:tc>
          <w:tcPr>
            <w:tcW w:w="639" w:type="dxa"/>
          </w:tcPr>
          <w:p w14:paraId="5B6C48FB">
            <w:pPr>
              <w:pStyle w:val="4"/>
              <w:jc w:val="center"/>
            </w:pPr>
            <w:r>
              <w:rPr>
                <w:rFonts w:ascii="仿宋_GB2312" w:hAnsi="仿宋_GB2312" w:eastAsia="仿宋_GB2312" w:cs="仿宋_GB2312"/>
              </w:rPr>
              <w:t>是否涉及优先采购环境标志产品</w:t>
            </w:r>
          </w:p>
        </w:tc>
      </w:tr>
      <w:tr w14:paraId="13371A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FA3D27">
            <w:pPr>
              <w:pStyle w:val="4"/>
              <w:jc w:val="left"/>
            </w:pPr>
            <w:r>
              <w:rPr>
                <w:rFonts w:ascii="仿宋_GB2312" w:hAnsi="仿宋_GB2312" w:eastAsia="仿宋_GB2312" w:cs="仿宋_GB2312"/>
              </w:rPr>
              <w:t>1</w:t>
            </w:r>
          </w:p>
        </w:tc>
        <w:tc>
          <w:tcPr>
            <w:tcW w:w="821" w:type="dxa"/>
          </w:tcPr>
          <w:p w14:paraId="20B7AB5B">
            <w:pPr>
              <w:pStyle w:val="4"/>
              <w:jc w:val="left"/>
            </w:pPr>
            <w:r>
              <w:rPr>
                <w:rFonts w:ascii="仿宋_GB2312" w:hAnsi="仿宋_GB2312" w:eastAsia="仿宋_GB2312" w:cs="仿宋_GB2312"/>
              </w:rPr>
              <w:t>C05010400 养老服务</w:t>
            </w:r>
          </w:p>
        </w:tc>
        <w:tc>
          <w:tcPr>
            <w:tcW w:w="821" w:type="dxa"/>
          </w:tcPr>
          <w:p w14:paraId="05BDCFD2">
            <w:pPr>
              <w:pStyle w:val="4"/>
              <w:jc w:val="left"/>
            </w:pPr>
            <w:r>
              <w:rPr>
                <w:rFonts w:ascii="仿宋_GB2312" w:hAnsi="仿宋_GB2312" w:eastAsia="仿宋_GB2312" w:cs="仿宋_GB2312"/>
              </w:rPr>
              <w:t>老年认知障碍友好社区建设</w:t>
            </w:r>
          </w:p>
        </w:tc>
        <w:tc>
          <w:tcPr>
            <w:tcW w:w="821" w:type="dxa"/>
          </w:tcPr>
          <w:p w14:paraId="1F86D235">
            <w:pPr>
              <w:pStyle w:val="4"/>
              <w:jc w:val="right"/>
            </w:pPr>
            <w:r>
              <w:rPr>
                <w:rFonts w:ascii="仿宋_GB2312" w:hAnsi="仿宋_GB2312" w:eastAsia="仿宋_GB2312" w:cs="仿宋_GB2312"/>
              </w:rPr>
              <w:t>1.00（项）</w:t>
            </w:r>
          </w:p>
        </w:tc>
        <w:tc>
          <w:tcPr>
            <w:tcW w:w="821" w:type="dxa"/>
          </w:tcPr>
          <w:p w14:paraId="7C331BFB">
            <w:pPr>
              <w:pStyle w:val="4"/>
              <w:jc w:val="right"/>
            </w:pPr>
            <w:r>
              <w:rPr>
                <w:rFonts w:ascii="仿宋_GB2312" w:hAnsi="仿宋_GB2312" w:eastAsia="仿宋_GB2312" w:cs="仿宋_GB2312"/>
              </w:rPr>
              <w:t>526,500.00</w:t>
            </w:r>
          </w:p>
        </w:tc>
        <w:tc>
          <w:tcPr>
            <w:tcW w:w="821" w:type="dxa"/>
          </w:tcPr>
          <w:p w14:paraId="0E1ECBC2">
            <w:pPr>
              <w:pStyle w:val="4"/>
              <w:jc w:val="left"/>
            </w:pPr>
            <w:r>
              <w:rPr>
                <w:rFonts w:ascii="仿宋_GB2312" w:hAnsi="仿宋_GB2312" w:eastAsia="仿宋_GB2312" w:cs="仿宋_GB2312"/>
              </w:rPr>
              <w:t>其他未列明行业</w:t>
            </w:r>
          </w:p>
        </w:tc>
        <w:tc>
          <w:tcPr>
            <w:tcW w:w="821" w:type="dxa"/>
          </w:tcPr>
          <w:p w14:paraId="2CB0BF0B">
            <w:pPr>
              <w:pStyle w:val="4"/>
              <w:jc w:val="left"/>
            </w:pPr>
            <w:r>
              <w:rPr>
                <w:rFonts w:ascii="仿宋_GB2312" w:hAnsi="仿宋_GB2312" w:eastAsia="仿宋_GB2312" w:cs="仿宋_GB2312"/>
              </w:rPr>
              <w:t>否</w:t>
            </w:r>
          </w:p>
        </w:tc>
        <w:tc>
          <w:tcPr>
            <w:tcW w:w="821" w:type="dxa"/>
          </w:tcPr>
          <w:p w14:paraId="50CC25AA">
            <w:pPr>
              <w:pStyle w:val="4"/>
              <w:jc w:val="left"/>
            </w:pPr>
            <w:r>
              <w:rPr>
                <w:rFonts w:ascii="仿宋_GB2312" w:hAnsi="仿宋_GB2312" w:eastAsia="仿宋_GB2312" w:cs="仿宋_GB2312"/>
              </w:rPr>
              <w:t>否</w:t>
            </w:r>
          </w:p>
        </w:tc>
        <w:tc>
          <w:tcPr>
            <w:tcW w:w="821" w:type="dxa"/>
          </w:tcPr>
          <w:p w14:paraId="415C40C1">
            <w:pPr>
              <w:pStyle w:val="4"/>
              <w:jc w:val="left"/>
            </w:pPr>
            <w:r>
              <w:rPr>
                <w:rFonts w:ascii="仿宋_GB2312" w:hAnsi="仿宋_GB2312" w:eastAsia="仿宋_GB2312" w:cs="仿宋_GB2312"/>
              </w:rPr>
              <w:t>否</w:t>
            </w:r>
          </w:p>
        </w:tc>
        <w:tc>
          <w:tcPr>
            <w:tcW w:w="639" w:type="dxa"/>
          </w:tcPr>
          <w:p w14:paraId="31EFA99D">
            <w:pPr>
              <w:pStyle w:val="4"/>
              <w:jc w:val="left"/>
            </w:pPr>
            <w:r>
              <w:rPr>
                <w:rFonts w:ascii="仿宋_GB2312" w:hAnsi="仿宋_GB2312" w:eastAsia="仿宋_GB2312" w:cs="仿宋_GB2312"/>
              </w:rPr>
              <w:t>否</w:t>
            </w:r>
          </w:p>
        </w:tc>
        <w:tc>
          <w:tcPr>
            <w:tcW w:w="639" w:type="dxa"/>
          </w:tcPr>
          <w:p w14:paraId="5011B007">
            <w:pPr>
              <w:pStyle w:val="4"/>
              <w:jc w:val="left"/>
            </w:pPr>
            <w:r>
              <w:rPr>
                <w:rFonts w:ascii="仿宋_GB2312" w:hAnsi="仿宋_GB2312" w:eastAsia="仿宋_GB2312" w:cs="仿宋_GB2312"/>
              </w:rPr>
              <w:t>否</w:t>
            </w:r>
          </w:p>
        </w:tc>
      </w:tr>
    </w:tbl>
    <w:p w14:paraId="2BC385B4">
      <w:pPr>
        <w:pStyle w:val="4"/>
        <w:jc w:val="left"/>
      </w:pPr>
      <w:r>
        <w:rPr>
          <w:rFonts w:ascii="仿宋_GB2312" w:hAnsi="仿宋_GB2312" w:eastAsia="仿宋_GB2312" w:cs="仿宋_GB2312"/>
        </w:rPr>
        <w:t>是否适用本国产品标准：否</w:t>
      </w:r>
    </w:p>
    <w:p w14:paraId="5C31541D">
      <w:pPr>
        <w:pStyle w:val="4"/>
        <w:jc w:val="left"/>
        <w:outlineLvl w:val="3"/>
      </w:pPr>
      <w:r>
        <w:rPr>
          <w:rFonts w:ascii="仿宋_GB2312" w:hAnsi="仿宋_GB2312" w:eastAsia="仿宋_GB2312" w:cs="仿宋_GB2312"/>
          <w:b/>
          <w:sz w:val="24"/>
        </w:rPr>
        <w:t>报价要求</w:t>
      </w:r>
    </w:p>
    <w:p w14:paraId="5C8C6AA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579475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FCC5FAB">
            <w:pPr>
              <w:pStyle w:val="4"/>
              <w:jc w:val="center"/>
            </w:pPr>
            <w:r>
              <w:rPr>
                <w:rFonts w:ascii="仿宋_GB2312" w:hAnsi="仿宋_GB2312" w:eastAsia="仿宋_GB2312" w:cs="仿宋_GB2312"/>
              </w:rPr>
              <w:t>序号</w:t>
            </w:r>
          </w:p>
        </w:tc>
        <w:tc>
          <w:tcPr>
            <w:tcW w:w="1707" w:type="dxa"/>
          </w:tcPr>
          <w:p w14:paraId="7FD2DBE2">
            <w:pPr>
              <w:pStyle w:val="4"/>
              <w:jc w:val="center"/>
            </w:pPr>
            <w:r>
              <w:rPr>
                <w:rFonts w:ascii="仿宋_GB2312" w:hAnsi="仿宋_GB2312" w:eastAsia="仿宋_GB2312" w:cs="仿宋_GB2312"/>
              </w:rPr>
              <w:t>报价内容</w:t>
            </w:r>
          </w:p>
        </w:tc>
        <w:tc>
          <w:tcPr>
            <w:tcW w:w="1138" w:type="dxa"/>
          </w:tcPr>
          <w:p w14:paraId="5B9B5251">
            <w:pPr>
              <w:pStyle w:val="4"/>
              <w:jc w:val="center"/>
            </w:pPr>
            <w:r>
              <w:rPr>
                <w:rFonts w:ascii="仿宋_GB2312" w:hAnsi="仿宋_GB2312" w:eastAsia="仿宋_GB2312" w:cs="仿宋_GB2312"/>
              </w:rPr>
              <w:t>数量（计量单位）</w:t>
            </w:r>
          </w:p>
        </w:tc>
        <w:tc>
          <w:tcPr>
            <w:tcW w:w="1365" w:type="dxa"/>
          </w:tcPr>
          <w:p w14:paraId="38B72A2F">
            <w:pPr>
              <w:pStyle w:val="4"/>
              <w:jc w:val="center"/>
            </w:pPr>
            <w:r>
              <w:rPr>
                <w:rFonts w:ascii="仿宋_GB2312" w:hAnsi="仿宋_GB2312" w:eastAsia="仿宋_GB2312" w:cs="仿宋_GB2312"/>
              </w:rPr>
              <w:t>最高限价</w:t>
            </w:r>
          </w:p>
        </w:tc>
        <w:tc>
          <w:tcPr>
            <w:tcW w:w="1138" w:type="dxa"/>
          </w:tcPr>
          <w:p w14:paraId="371989D4">
            <w:pPr>
              <w:pStyle w:val="4"/>
              <w:jc w:val="center"/>
            </w:pPr>
            <w:r>
              <w:rPr>
                <w:rFonts w:ascii="仿宋_GB2312" w:hAnsi="仿宋_GB2312" w:eastAsia="仿宋_GB2312" w:cs="仿宋_GB2312"/>
              </w:rPr>
              <w:t>价款形式</w:t>
            </w:r>
          </w:p>
        </w:tc>
        <w:tc>
          <w:tcPr>
            <w:tcW w:w="1934" w:type="dxa"/>
          </w:tcPr>
          <w:p w14:paraId="5094BF9A">
            <w:pPr>
              <w:pStyle w:val="4"/>
              <w:jc w:val="center"/>
            </w:pPr>
            <w:r>
              <w:rPr>
                <w:rFonts w:ascii="仿宋_GB2312" w:hAnsi="仿宋_GB2312" w:eastAsia="仿宋_GB2312" w:cs="仿宋_GB2312"/>
              </w:rPr>
              <w:t>报价说明</w:t>
            </w:r>
          </w:p>
        </w:tc>
      </w:tr>
      <w:tr w14:paraId="28FB0B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D366375">
            <w:pPr>
              <w:pStyle w:val="4"/>
              <w:jc w:val="center"/>
            </w:pPr>
            <w:r>
              <w:rPr>
                <w:rFonts w:ascii="仿宋_GB2312" w:hAnsi="仿宋_GB2312" w:eastAsia="仿宋_GB2312" w:cs="仿宋_GB2312"/>
              </w:rPr>
              <w:t>1</w:t>
            </w:r>
          </w:p>
        </w:tc>
        <w:tc>
          <w:tcPr>
            <w:tcW w:w="1707" w:type="dxa"/>
          </w:tcPr>
          <w:p w14:paraId="4D85A19C">
            <w:pPr>
              <w:pStyle w:val="4"/>
              <w:jc w:val="center"/>
            </w:pPr>
            <w:r>
              <w:rPr>
                <w:rFonts w:ascii="仿宋_GB2312" w:hAnsi="仿宋_GB2312" w:eastAsia="仿宋_GB2312" w:cs="仿宋_GB2312"/>
              </w:rPr>
              <w:t>老年认知障碍友好社区建设</w:t>
            </w:r>
          </w:p>
        </w:tc>
        <w:tc>
          <w:tcPr>
            <w:tcW w:w="1138" w:type="dxa"/>
          </w:tcPr>
          <w:p w14:paraId="0CF05729">
            <w:pPr>
              <w:pStyle w:val="4"/>
              <w:jc w:val="center"/>
            </w:pPr>
            <w:r>
              <w:rPr>
                <w:rFonts w:ascii="仿宋_GB2312" w:hAnsi="仿宋_GB2312" w:eastAsia="仿宋_GB2312" w:cs="仿宋_GB2312"/>
              </w:rPr>
              <w:t>1.00（项）</w:t>
            </w:r>
          </w:p>
        </w:tc>
        <w:tc>
          <w:tcPr>
            <w:tcW w:w="1365" w:type="dxa"/>
          </w:tcPr>
          <w:p w14:paraId="7DFEFF8E">
            <w:pPr>
              <w:pStyle w:val="4"/>
              <w:jc w:val="center"/>
            </w:pPr>
            <w:r>
              <w:rPr>
                <w:rFonts w:ascii="仿宋_GB2312" w:hAnsi="仿宋_GB2312" w:eastAsia="仿宋_GB2312" w:cs="仿宋_GB2312"/>
              </w:rPr>
              <w:t>526,500.00</w:t>
            </w:r>
          </w:p>
        </w:tc>
        <w:tc>
          <w:tcPr>
            <w:tcW w:w="1138" w:type="dxa"/>
          </w:tcPr>
          <w:p w14:paraId="0696C2B8">
            <w:pPr>
              <w:pStyle w:val="4"/>
              <w:jc w:val="center"/>
            </w:pPr>
            <w:r>
              <w:rPr>
                <w:rFonts w:ascii="仿宋_GB2312" w:hAnsi="仿宋_GB2312" w:eastAsia="仿宋_GB2312" w:cs="仿宋_GB2312"/>
              </w:rPr>
              <w:t>总价</w:t>
            </w:r>
          </w:p>
        </w:tc>
        <w:tc>
          <w:tcPr>
            <w:tcW w:w="1934" w:type="dxa"/>
          </w:tcPr>
          <w:p w14:paraId="625887DB">
            <w:pPr>
              <w:pStyle w:val="4"/>
              <w:jc w:val="left"/>
            </w:pPr>
            <w:r>
              <w:rPr>
                <w:rFonts w:ascii="仿宋_GB2312" w:hAnsi="仿宋_GB2312" w:eastAsia="仿宋_GB2312" w:cs="仿宋_GB2312"/>
              </w:rPr>
              <w:t>无</w:t>
            </w:r>
          </w:p>
        </w:tc>
      </w:tr>
    </w:tbl>
    <w:p w14:paraId="7C627061">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11C1D8DC">
      <w:pPr>
        <w:pStyle w:val="4"/>
        <w:jc w:val="left"/>
        <w:outlineLvl w:val="3"/>
      </w:pPr>
      <w:r>
        <w:rPr>
          <w:rFonts w:ascii="仿宋_GB2312" w:hAnsi="仿宋_GB2312" w:eastAsia="仿宋_GB2312" w:cs="仿宋_GB2312"/>
          <w:b/>
          <w:sz w:val="24"/>
        </w:rPr>
        <w:t>本项目涉及核心产品：</w:t>
      </w:r>
    </w:p>
    <w:p w14:paraId="542275F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B0C2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6B9E41F">
            <w:pPr>
              <w:pStyle w:val="4"/>
              <w:jc w:val="center"/>
            </w:pPr>
            <w:r>
              <w:rPr>
                <w:rFonts w:ascii="仿宋_GB2312" w:hAnsi="仿宋_GB2312" w:eastAsia="仿宋_GB2312" w:cs="仿宋_GB2312"/>
              </w:rPr>
              <w:t>序号</w:t>
            </w:r>
          </w:p>
        </w:tc>
        <w:tc>
          <w:tcPr>
            <w:tcW w:w="2492" w:type="dxa"/>
          </w:tcPr>
          <w:p w14:paraId="4C0F5E6B">
            <w:pPr>
              <w:pStyle w:val="4"/>
              <w:jc w:val="center"/>
            </w:pPr>
            <w:r>
              <w:rPr>
                <w:rFonts w:ascii="仿宋_GB2312" w:hAnsi="仿宋_GB2312" w:eastAsia="仿宋_GB2312" w:cs="仿宋_GB2312"/>
              </w:rPr>
              <w:t>采购品目名称</w:t>
            </w:r>
          </w:p>
        </w:tc>
        <w:tc>
          <w:tcPr>
            <w:tcW w:w="2492" w:type="dxa"/>
          </w:tcPr>
          <w:p w14:paraId="24D393B5">
            <w:pPr>
              <w:pStyle w:val="4"/>
              <w:jc w:val="center"/>
            </w:pPr>
            <w:r>
              <w:rPr>
                <w:rFonts w:ascii="仿宋_GB2312" w:hAnsi="仿宋_GB2312" w:eastAsia="仿宋_GB2312" w:cs="仿宋_GB2312"/>
              </w:rPr>
              <w:t>标的名称</w:t>
            </w:r>
          </w:p>
        </w:tc>
        <w:tc>
          <w:tcPr>
            <w:tcW w:w="2492" w:type="dxa"/>
          </w:tcPr>
          <w:p w14:paraId="5E154B22">
            <w:pPr>
              <w:pStyle w:val="4"/>
              <w:jc w:val="center"/>
            </w:pPr>
            <w:r>
              <w:rPr>
                <w:rFonts w:ascii="仿宋_GB2312" w:hAnsi="仿宋_GB2312" w:eastAsia="仿宋_GB2312" w:cs="仿宋_GB2312"/>
              </w:rPr>
              <w:t>产品名称</w:t>
            </w:r>
          </w:p>
        </w:tc>
      </w:tr>
      <w:tr w14:paraId="11F896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F4EDFC2">
            <w:pPr>
              <w:pStyle w:val="4"/>
              <w:jc w:val="center"/>
            </w:pPr>
            <w:r>
              <w:rPr>
                <w:rFonts w:ascii="仿宋_GB2312" w:hAnsi="仿宋_GB2312" w:eastAsia="仿宋_GB2312" w:cs="仿宋_GB2312"/>
              </w:rPr>
              <w:t>不涉及</w:t>
            </w:r>
          </w:p>
        </w:tc>
      </w:tr>
    </w:tbl>
    <w:p w14:paraId="03182640">
      <w:pPr>
        <w:pStyle w:val="4"/>
        <w:ind w:firstLine="480"/>
        <w:jc w:val="left"/>
      </w:pPr>
      <w:r>
        <w:rPr>
          <w:rFonts w:ascii="仿宋_GB2312" w:hAnsi="仿宋_GB2312" w:eastAsia="仿宋_GB2312" w:cs="仿宋_GB2312"/>
        </w:rPr>
        <w:t>注：涉及核心产品的，具体评审规定见第五章。</w:t>
      </w:r>
    </w:p>
    <w:p w14:paraId="07CAA41F">
      <w:pPr>
        <w:pStyle w:val="4"/>
        <w:jc w:val="left"/>
        <w:outlineLvl w:val="3"/>
      </w:pPr>
      <w:r>
        <w:rPr>
          <w:rFonts w:ascii="仿宋_GB2312" w:hAnsi="仿宋_GB2312" w:eastAsia="仿宋_GB2312" w:cs="仿宋_GB2312"/>
          <w:b/>
          <w:sz w:val="24"/>
        </w:rPr>
        <w:t>本项目涉及采购进口产品：</w:t>
      </w:r>
    </w:p>
    <w:p w14:paraId="413D82E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F0BC9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4BB636">
            <w:pPr>
              <w:pStyle w:val="4"/>
              <w:jc w:val="center"/>
            </w:pPr>
            <w:r>
              <w:rPr>
                <w:rFonts w:ascii="仿宋_GB2312" w:hAnsi="仿宋_GB2312" w:eastAsia="仿宋_GB2312" w:cs="仿宋_GB2312"/>
              </w:rPr>
              <w:t>序号</w:t>
            </w:r>
          </w:p>
        </w:tc>
        <w:tc>
          <w:tcPr>
            <w:tcW w:w="2492" w:type="dxa"/>
          </w:tcPr>
          <w:p w14:paraId="25E8C004">
            <w:pPr>
              <w:pStyle w:val="4"/>
              <w:jc w:val="center"/>
            </w:pPr>
            <w:r>
              <w:rPr>
                <w:rFonts w:ascii="仿宋_GB2312" w:hAnsi="仿宋_GB2312" w:eastAsia="仿宋_GB2312" w:cs="仿宋_GB2312"/>
              </w:rPr>
              <w:t>采购品目名称</w:t>
            </w:r>
          </w:p>
        </w:tc>
        <w:tc>
          <w:tcPr>
            <w:tcW w:w="2492" w:type="dxa"/>
          </w:tcPr>
          <w:p w14:paraId="11B3E34B">
            <w:pPr>
              <w:pStyle w:val="4"/>
              <w:jc w:val="center"/>
            </w:pPr>
            <w:r>
              <w:rPr>
                <w:rFonts w:ascii="仿宋_GB2312" w:hAnsi="仿宋_GB2312" w:eastAsia="仿宋_GB2312" w:cs="仿宋_GB2312"/>
              </w:rPr>
              <w:t>标的名称</w:t>
            </w:r>
          </w:p>
        </w:tc>
        <w:tc>
          <w:tcPr>
            <w:tcW w:w="2492" w:type="dxa"/>
          </w:tcPr>
          <w:p w14:paraId="451CFA4C">
            <w:pPr>
              <w:pStyle w:val="4"/>
              <w:jc w:val="center"/>
            </w:pPr>
            <w:r>
              <w:rPr>
                <w:rFonts w:ascii="仿宋_GB2312" w:hAnsi="仿宋_GB2312" w:eastAsia="仿宋_GB2312" w:cs="仿宋_GB2312"/>
              </w:rPr>
              <w:t>产品名称</w:t>
            </w:r>
          </w:p>
        </w:tc>
      </w:tr>
      <w:tr w14:paraId="7B1FF1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15A15FC">
            <w:pPr>
              <w:pStyle w:val="4"/>
              <w:jc w:val="center"/>
            </w:pPr>
            <w:r>
              <w:rPr>
                <w:rFonts w:ascii="仿宋_GB2312" w:hAnsi="仿宋_GB2312" w:eastAsia="仿宋_GB2312" w:cs="仿宋_GB2312"/>
              </w:rPr>
              <w:t>不涉及</w:t>
            </w:r>
          </w:p>
        </w:tc>
      </w:tr>
    </w:tbl>
    <w:p w14:paraId="27BDE757">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632AD776">
      <w:pPr>
        <w:pStyle w:val="4"/>
        <w:jc w:val="left"/>
        <w:outlineLvl w:val="3"/>
      </w:pPr>
      <w:r>
        <w:rPr>
          <w:rFonts w:ascii="仿宋_GB2312" w:hAnsi="仿宋_GB2312" w:eastAsia="仿宋_GB2312" w:cs="仿宋_GB2312"/>
          <w:b/>
          <w:sz w:val="24"/>
        </w:rPr>
        <w:t>本项目涉及强制采购节能产品：</w:t>
      </w:r>
    </w:p>
    <w:p w14:paraId="52A7F5F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8AA0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445020">
            <w:pPr>
              <w:pStyle w:val="4"/>
              <w:jc w:val="center"/>
            </w:pPr>
            <w:r>
              <w:rPr>
                <w:rFonts w:ascii="仿宋_GB2312" w:hAnsi="仿宋_GB2312" w:eastAsia="仿宋_GB2312" w:cs="仿宋_GB2312"/>
              </w:rPr>
              <w:t>序号</w:t>
            </w:r>
          </w:p>
        </w:tc>
        <w:tc>
          <w:tcPr>
            <w:tcW w:w="2492" w:type="dxa"/>
          </w:tcPr>
          <w:p w14:paraId="22012E74">
            <w:pPr>
              <w:pStyle w:val="4"/>
              <w:jc w:val="center"/>
            </w:pPr>
            <w:r>
              <w:rPr>
                <w:rFonts w:ascii="仿宋_GB2312" w:hAnsi="仿宋_GB2312" w:eastAsia="仿宋_GB2312" w:cs="仿宋_GB2312"/>
              </w:rPr>
              <w:t>采购品目名称</w:t>
            </w:r>
          </w:p>
        </w:tc>
        <w:tc>
          <w:tcPr>
            <w:tcW w:w="2492" w:type="dxa"/>
          </w:tcPr>
          <w:p w14:paraId="2BC0B233">
            <w:pPr>
              <w:pStyle w:val="4"/>
              <w:jc w:val="center"/>
            </w:pPr>
            <w:r>
              <w:rPr>
                <w:rFonts w:ascii="仿宋_GB2312" w:hAnsi="仿宋_GB2312" w:eastAsia="仿宋_GB2312" w:cs="仿宋_GB2312"/>
              </w:rPr>
              <w:t>标的名称</w:t>
            </w:r>
          </w:p>
        </w:tc>
        <w:tc>
          <w:tcPr>
            <w:tcW w:w="2492" w:type="dxa"/>
          </w:tcPr>
          <w:p w14:paraId="70FBE8CC">
            <w:pPr>
              <w:pStyle w:val="4"/>
              <w:jc w:val="center"/>
            </w:pPr>
            <w:r>
              <w:rPr>
                <w:rFonts w:ascii="仿宋_GB2312" w:hAnsi="仿宋_GB2312" w:eastAsia="仿宋_GB2312" w:cs="仿宋_GB2312"/>
              </w:rPr>
              <w:t>产品名称</w:t>
            </w:r>
          </w:p>
        </w:tc>
      </w:tr>
      <w:tr w14:paraId="0227D0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BF79BCF">
            <w:pPr>
              <w:pStyle w:val="4"/>
              <w:jc w:val="center"/>
            </w:pPr>
            <w:r>
              <w:rPr>
                <w:rFonts w:ascii="仿宋_GB2312" w:hAnsi="仿宋_GB2312" w:eastAsia="仿宋_GB2312" w:cs="仿宋_GB2312"/>
              </w:rPr>
              <w:t>不涉及</w:t>
            </w:r>
          </w:p>
        </w:tc>
      </w:tr>
    </w:tbl>
    <w:p w14:paraId="074825CE">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30E11543">
      <w:pPr>
        <w:pStyle w:val="4"/>
        <w:jc w:val="left"/>
      </w:pPr>
      <w:r>
        <w:rPr>
          <w:rFonts w:ascii="仿宋_GB2312" w:hAnsi="仿宋_GB2312" w:eastAsia="仿宋_GB2312" w:cs="仿宋_GB2312"/>
          <w:b/>
        </w:rPr>
        <w:t>本项目涉及优先采购节能产品：</w:t>
      </w:r>
    </w:p>
    <w:p w14:paraId="4E5CC58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4867A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FBB026">
            <w:pPr>
              <w:pStyle w:val="4"/>
              <w:jc w:val="center"/>
            </w:pPr>
            <w:r>
              <w:rPr>
                <w:rFonts w:ascii="仿宋_GB2312" w:hAnsi="仿宋_GB2312" w:eastAsia="仿宋_GB2312" w:cs="仿宋_GB2312"/>
              </w:rPr>
              <w:t>序号</w:t>
            </w:r>
          </w:p>
        </w:tc>
        <w:tc>
          <w:tcPr>
            <w:tcW w:w="2492" w:type="dxa"/>
          </w:tcPr>
          <w:p w14:paraId="3341FD46">
            <w:pPr>
              <w:pStyle w:val="4"/>
              <w:jc w:val="center"/>
            </w:pPr>
            <w:r>
              <w:rPr>
                <w:rFonts w:ascii="仿宋_GB2312" w:hAnsi="仿宋_GB2312" w:eastAsia="仿宋_GB2312" w:cs="仿宋_GB2312"/>
              </w:rPr>
              <w:t>采购品目名称</w:t>
            </w:r>
          </w:p>
        </w:tc>
        <w:tc>
          <w:tcPr>
            <w:tcW w:w="2492" w:type="dxa"/>
          </w:tcPr>
          <w:p w14:paraId="1A1A8202">
            <w:pPr>
              <w:pStyle w:val="4"/>
              <w:jc w:val="center"/>
            </w:pPr>
            <w:r>
              <w:rPr>
                <w:rFonts w:ascii="仿宋_GB2312" w:hAnsi="仿宋_GB2312" w:eastAsia="仿宋_GB2312" w:cs="仿宋_GB2312"/>
              </w:rPr>
              <w:t>标的名称</w:t>
            </w:r>
          </w:p>
        </w:tc>
        <w:tc>
          <w:tcPr>
            <w:tcW w:w="2492" w:type="dxa"/>
          </w:tcPr>
          <w:p w14:paraId="38DD219B">
            <w:pPr>
              <w:pStyle w:val="4"/>
              <w:jc w:val="center"/>
            </w:pPr>
            <w:r>
              <w:rPr>
                <w:rFonts w:ascii="仿宋_GB2312" w:hAnsi="仿宋_GB2312" w:eastAsia="仿宋_GB2312" w:cs="仿宋_GB2312"/>
              </w:rPr>
              <w:t>产品名称</w:t>
            </w:r>
          </w:p>
        </w:tc>
      </w:tr>
      <w:tr w14:paraId="0CAF02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58F4FA1">
            <w:pPr>
              <w:pStyle w:val="4"/>
              <w:jc w:val="center"/>
            </w:pPr>
            <w:r>
              <w:rPr>
                <w:rFonts w:ascii="仿宋_GB2312" w:hAnsi="仿宋_GB2312" w:eastAsia="仿宋_GB2312" w:cs="仿宋_GB2312"/>
              </w:rPr>
              <w:t>不涉及</w:t>
            </w:r>
          </w:p>
        </w:tc>
      </w:tr>
    </w:tbl>
    <w:p w14:paraId="33D9DF3D">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17ACF31E">
      <w:pPr>
        <w:pStyle w:val="4"/>
        <w:jc w:val="left"/>
        <w:outlineLvl w:val="3"/>
      </w:pPr>
      <w:r>
        <w:rPr>
          <w:rFonts w:ascii="仿宋_GB2312" w:hAnsi="仿宋_GB2312" w:eastAsia="仿宋_GB2312" w:cs="仿宋_GB2312"/>
          <w:b/>
          <w:sz w:val="24"/>
        </w:rPr>
        <w:t>本项目涉及优先采购环境标志产品：</w:t>
      </w:r>
    </w:p>
    <w:p w14:paraId="63B6F47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2A0E2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608826">
            <w:pPr>
              <w:pStyle w:val="4"/>
              <w:jc w:val="center"/>
            </w:pPr>
            <w:r>
              <w:rPr>
                <w:rFonts w:ascii="仿宋_GB2312" w:hAnsi="仿宋_GB2312" w:eastAsia="仿宋_GB2312" w:cs="仿宋_GB2312"/>
              </w:rPr>
              <w:t>序号</w:t>
            </w:r>
          </w:p>
        </w:tc>
        <w:tc>
          <w:tcPr>
            <w:tcW w:w="2492" w:type="dxa"/>
          </w:tcPr>
          <w:p w14:paraId="0DC23E0F">
            <w:pPr>
              <w:pStyle w:val="4"/>
              <w:jc w:val="center"/>
            </w:pPr>
            <w:r>
              <w:rPr>
                <w:rFonts w:ascii="仿宋_GB2312" w:hAnsi="仿宋_GB2312" w:eastAsia="仿宋_GB2312" w:cs="仿宋_GB2312"/>
              </w:rPr>
              <w:t>采购品目名称</w:t>
            </w:r>
          </w:p>
        </w:tc>
        <w:tc>
          <w:tcPr>
            <w:tcW w:w="2492" w:type="dxa"/>
          </w:tcPr>
          <w:p w14:paraId="03E81A9C">
            <w:pPr>
              <w:pStyle w:val="4"/>
              <w:jc w:val="center"/>
            </w:pPr>
            <w:r>
              <w:rPr>
                <w:rFonts w:ascii="仿宋_GB2312" w:hAnsi="仿宋_GB2312" w:eastAsia="仿宋_GB2312" w:cs="仿宋_GB2312"/>
              </w:rPr>
              <w:t>标的名称</w:t>
            </w:r>
          </w:p>
        </w:tc>
        <w:tc>
          <w:tcPr>
            <w:tcW w:w="2492" w:type="dxa"/>
          </w:tcPr>
          <w:p w14:paraId="4E76108F">
            <w:pPr>
              <w:pStyle w:val="4"/>
              <w:jc w:val="center"/>
            </w:pPr>
            <w:r>
              <w:rPr>
                <w:rFonts w:ascii="仿宋_GB2312" w:hAnsi="仿宋_GB2312" w:eastAsia="仿宋_GB2312" w:cs="仿宋_GB2312"/>
              </w:rPr>
              <w:t>产品名称</w:t>
            </w:r>
          </w:p>
        </w:tc>
      </w:tr>
      <w:tr w14:paraId="0FE88D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9DE7C64">
            <w:pPr>
              <w:pStyle w:val="4"/>
              <w:jc w:val="center"/>
            </w:pPr>
            <w:r>
              <w:rPr>
                <w:rFonts w:ascii="仿宋_GB2312" w:hAnsi="仿宋_GB2312" w:eastAsia="仿宋_GB2312" w:cs="仿宋_GB2312"/>
              </w:rPr>
              <w:t>不涉及</w:t>
            </w:r>
          </w:p>
        </w:tc>
      </w:tr>
    </w:tbl>
    <w:p w14:paraId="0BD885CC">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766EE07">
      <w:pPr>
        <w:pStyle w:val="4"/>
        <w:jc w:val="left"/>
        <w:outlineLvl w:val="2"/>
      </w:pPr>
      <w:r>
        <w:rPr>
          <w:rFonts w:ascii="仿宋_GB2312" w:hAnsi="仿宋_GB2312" w:eastAsia="仿宋_GB2312" w:cs="仿宋_GB2312"/>
          <w:b/>
          <w:sz w:val="28"/>
        </w:rPr>
        <w:t>3.2.技术要求</w:t>
      </w:r>
    </w:p>
    <w:p w14:paraId="2FF03522">
      <w:pPr>
        <w:pStyle w:val="4"/>
        <w:jc w:val="left"/>
      </w:pPr>
      <w:r>
        <w:rPr>
          <w:rFonts w:ascii="仿宋_GB2312" w:hAnsi="仿宋_GB2312" w:eastAsia="仿宋_GB2312" w:cs="仿宋_GB2312"/>
        </w:rPr>
        <w:t>采购包1：</w:t>
      </w:r>
    </w:p>
    <w:p w14:paraId="5B6BCF2F">
      <w:pPr>
        <w:pStyle w:val="4"/>
        <w:jc w:val="left"/>
      </w:pPr>
      <w:r>
        <w:rPr>
          <w:rFonts w:ascii="仿宋_GB2312" w:hAnsi="仿宋_GB2312" w:eastAsia="仿宋_GB2312" w:cs="仿宋_GB2312"/>
        </w:rPr>
        <w:t>标的名称：老年认知障碍友好社区建设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869E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8D8F1E">
            <w:pPr>
              <w:pStyle w:val="4"/>
              <w:jc w:val="center"/>
            </w:pPr>
            <w:r>
              <w:rPr>
                <w:rFonts w:ascii="仿宋_GB2312" w:hAnsi="仿宋_GB2312" w:eastAsia="仿宋_GB2312" w:cs="仿宋_GB2312"/>
              </w:rPr>
              <w:t>序号</w:t>
            </w:r>
          </w:p>
        </w:tc>
        <w:tc>
          <w:tcPr>
            <w:tcW w:w="581" w:type="dxa"/>
          </w:tcPr>
          <w:p w14:paraId="77C49038">
            <w:pPr>
              <w:pStyle w:val="4"/>
              <w:jc w:val="center"/>
            </w:pPr>
            <w:r>
              <w:rPr>
                <w:rFonts w:ascii="仿宋_GB2312" w:hAnsi="仿宋_GB2312" w:eastAsia="仿宋_GB2312" w:cs="仿宋_GB2312"/>
              </w:rPr>
              <w:t>符号标识</w:t>
            </w:r>
          </w:p>
        </w:tc>
        <w:tc>
          <w:tcPr>
            <w:tcW w:w="1495" w:type="dxa"/>
          </w:tcPr>
          <w:p w14:paraId="5555486F">
            <w:pPr>
              <w:pStyle w:val="4"/>
              <w:jc w:val="center"/>
            </w:pPr>
            <w:r>
              <w:rPr>
                <w:rFonts w:ascii="仿宋_GB2312" w:hAnsi="仿宋_GB2312" w:eastAsia="仿宋_GB2312" w:cs="仿宋_GB2312"/>
              </w:rPr>
              <w:t>技术要求名称</w:t>
            </w:r>
          </w:p>
        </w:tc>
        <w:tc>
          <w:tcPr>
            <w:tcW w:w="5814" w:type="dxa"/>
          </w:tcPr>
          <w:p w14:paraId="39198940">
            <w:pPr>
              <w:pStyle w:val="4"/>
              <w:jc w:val="center"/>
            </w:pPr>
            <w:r>
              <w:rPr>
                <w:rFonts w:ascii="仿宋_GB2312" w:hAnsi="仿宋_GB2312" w:eastAsia="仿宋_GB2312" w:cs="仿宋_GB2312"/>
              </w:rPr>
              <w:t>技术参数与性能指标</w:t>
            </w:r>
          </w:p>
        </w:tc>
      </w:tr>
      <w:tr w14:paraId="5BB706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E457DF">
            <w:pPr>
              <w:pStyle w:val="4"/>
              <w:jc w:val="center"/>
            </w:pPr>
            <w:r>
              <w:rPr>
                <w:rFonts w:ascii="仿宋_GB2312" w:hAnsi="仿宋_GB2312" w:eastAsia="仿宋_GB2312" w:cs="仿宋_GB2312"/>
              </w:rPr>
              <w:t>1</w:t>
            </w:r>
          </w:p>
        </w:tc>
        <w:tc>
          <w:tcPr>
            <w:tcW w:w="581" w:type="dxa"/>
          </w:tcPr>
          <w:p w14:paraId="00E2E15A"/>
        </w:tc>
        <w:tc>
          <w:tcPr>
            <w:tcW w:w="1495" w:type="dxa"/>
          </w:tcPr>
          <w:p w14:paraId="3452CDA7">
            <w:pPr>
              <w:pStyle w:val="4"/>
              <w:jc w:val="left"/>
            </w:pPr>
            <w:r>
              <w:rPr>
                <w:rFonts w:ascii="仿宋_GB2312" w:hAnsi="仿宋_GB2312" w:eastAsia="仿宋_GB2312" w:cs="仿宋_GB2312"/>
              </w:rPr>
              <w:t>技术服务要求</w:t>
            </w:r>
          </w:p>
        </w:tc>
        <w:tc>
          <w:tcPr>
            <w:tcW w:w="5814" w:type="dxa"/>
          </w:tcPr>
          <w:p w14:paraId="72D6A8FF">
            <w:pPr>
              <w:pStyle w:val="4"/>
              <w:spacing w:before="105"/>
              <w:ind w:left="450"/>
              <w:jc w:val="left"/>
            </w:pPr>
            <w:r>
              <w:rPr>
                <w:rFonts w:ascii="仿宋_GB2312" w:hAnsi="仿宋_GB2312" w:eastAsia="仿宋_GB2312" w:cs="仿宋_GB2312"/>
                <w:sz w:val="24"/>
              </w:rPr>
              <w:t>一、建设标准及服务目标</w:t>
            </w:r>
          </w:p>
          <w:p w14:paraId="597D380E">
            <w:pPr>
              <w:pStyle w:val="4"/>
              <w:spacing w:before="60"/>
              <w:ind w:left="105" w:right="90" w:firstLine="339"/>
              <w:jc w:val="left"/>
            </w:pPr>
            <w:r>
              <w:rPr>
                <w:rFonts w:ascii="仿宋_GB2312" w:hAnsi="仿宋_GB2312" w:eastAsia="仿宋_GB2312" w:cs="仿宋_GB2312"/>
                <w:sz w:val="24"/>
              </w:rPr>
              <w:t>1、2026年，每个老年认知障碍友好社区需完成以下量化建设任务：开展不少于5次的认知障碍宣传教育活动，利用社区养老服务设施建设认知障碍支持中心不少于1处，利用社区党群服务中心、便民服务阵地、公园、广场等场所，建设认知障碍关爱角和宣传阵地不少于5处，城市认知障碍友好社区开展认知障碍早期风险筛查不少于2000人，制定早期干预方案，构建认知障碍风险评价、早期干预、家庭支持、宣传教育资源链接为一体的服务体系，建立健全工作运行、资金保障、专业支持等工作机制。</w:t>
            </w:r>
          </w:p>
          <w:p w14:paraId="6DA22FD3">
            <w:pPr>
              <w:pStyle w:val="4"/>
              <w:spacing w:before="60"/>
              <w:ind w:right="90"/>
              <w:jc w:val="left"/>
            </w:pPr>
            <w:r>
              <w:rPr>
                <w:rFonts w:ascii="仿宋_GB2312" w:hAnsi="仿宋_GB2312" w:eastAsia="仿宋_GB2312" w:cs="仿宋_GB2312"/>
                <w:sz w:val="24"/>
              </w:rPr>
              <w:t>2、通过政策、管理和引导，坚持预防为主和人文关怀，链接整合多方资源和专业力量，以社区为中心，辐射周边开展老年认知障碍宣传教育、风险测评、早期干预、家庭支持、资源链接等服务，加强早发现、早诊断、早干预，整合各类社会资源，建立健全工作运行、资金保障、专业支持等机制，构建分级分层预防体系和全程管理模式，营造关心关爱认知障碍老年人的友好社区氛围，不断提升老年认知障碍照护服务水平，引领和带动更多社区开展老年认知障碍服务工作，让老年人享有健康和尊严的老年生活。</w:t>
            </w:r>
          </w:p>
          <w:p w14:paraId="5A70D0D6">
            <w:pPr>
              <w:pStyle w:val="4"/>
              <w:ind w:left="450"/>
              <w:jc w:val="left"/>
            </w:pPr>
            <w:r>
              <w:rPr>
                <w:rFonts w:ascii="仿宋_GB2312" w:hAnsi="仿宋_GB2312" w:eastAsia="仿宋_GB2312" w:cs="仿宋_GB2312"/>
                <w:sz w:val="24"/>
              </w:rPr>
              <w:t>二、基础要求</w:t>
            </w:r>
          </w:p>
          <w:p w14:paraId="6B3BDCE3">
            <w:pPr>
              <w:pStyle w:val="4"/>
              <w:spacing w:before="60"/>
              <w:ind w:left="450"/>
              <w:jc w:val="left"/>
            </w:pPr>
            <w:r>
              <w:rPr>
                <w:rFonts w:ascii="仿宋_GB2312" w:hAnsi="仿宋_GB2312" w:eastAsia="仿宋_GB2312" w:cs="仿宋_GB2312"/>
                <w:sz w:val="24"/>
              </w:rPr>
              <w:t>2.1团队</w:t>
            </w:r>
          </w:p>
          <w:p w14:paraId="7856C81D">
            <w:pPr>
              <w:pStyle w:val="4"/>
              <w:spacing w:before="60"/>
              <w:ind w:left="105" w:right="90" w:firstLine="339"/>
              <w:jc w:val="left"/>
            </w:pPr>
            <w:r>
              <w:rPr>
                <w:rFonts w:ascii="仿宋_GB2312" w:hAnsi="仿宋_GB2312" w:eastAsia="仿宋_GB2312" w:cs="仿宋_GB2312"/>
                <w:sz w:val="24"/>
              </w:rPr>
              <w:t>2.1.1老年认知障碍友好社区建设应建立政府主导、相关职能部门协同、街道和社区为主体、第三方专业机构运营、社会广泛参与的工作机制。第三方专业机构应具备养老或认知障碍方面的专业服务能力、项目执行能力、资源链接能力等。</w:t>
            </w:r>
          </w:p>
          <w:p w14:paraId="03750B22">
            <w:pPr>
              <w:pStyle w:val="4"/>
              <w:ind w:left="105" w:right="90" w:firstLine="338"/>
              <w:jc w:val="left"/>
            </w:pPr>
            <w:r>
              <w:rPr>
                <w:rFonts w:ascii="仿宋_GB2312" w:hAnsi="仿宋_GB2312" w:eastAsia="仿宋_GB2312" w:cs="仿宋_GB2312"/>
                <w:sz w:val="24"/>
              </w:rPr>
              <w:t>2.1.2构建社区老年认知障碍友好支持网络，拓展老年认知障碍友好单位，培育发展不少于1支可持续运转的老年认知友好志愿者队伍(人数不少20人)。</w:t>
            </w:r>
          </w:p>
          <w:p w14:paraId="26E9E1ED">
            <w:pPr>
              <w:pStyle w:val="4"/>
              <w:ind w:left="450"/>
              <w:jc w:val="left"/>
            </w:pPr>
            <w:r>
              <w:rPr>
                <w:rFonts w:ascii="仿宋_GB2312" w:hAnsi="仿宋_GB2312" w:eastAsia="仿宋_GB2312" w:cs="仿宋_GB2312"/>
                <w:sz w:val="24"/>
              </w:rPr>
              <w:t>2.2场地</w:t>
            </w:r>
          </w:p>
          <w:p w14:paraId="0E280117">
            <w:pPr>
              <w:pStyle w:val="4"/>
              <w:spacing w:before="60"/>
              <w:ind w:left="105" w:right="90" w:firstLine="336"/>
              <w:jc w:val="left"/>
            </w:pPr>
            <w:r>
              <w:rPr>
                <w:rFonts w:ascii="仿宋_GB2312" w:hAnsi="仿宋_GB2312" w:eastAsia="仿宋_GB2312" w:cs="仿宋_GB2312"/>
                <w:sz w:val="24"/>
              </w:rPr>
              <w:t>2.2.1建立以社区老年认知障碍支持中心、社区认知角为网络的社区老年认知障碍服务阵地。</w:t>
            </w:r>
          </w:p>
          <w:p w14:paraId="7918726C">
            <w:pPr>
              <w:pStyle w:val="4"/>
              <w:ind w:left="105" w:right="90" w:firstLine="339"/>
              <w:jc w:val="left"/>
            </w:pPr>
            <w:r>
              <w:rPr>
                <w:rFonts w:ascii="仿宋_GB2312" w:hAnsi="仿宋_GB2312" w:eastAsia="仿宋_GB2312" w:cs="仿宋_GB2312"/>
                <w:sz w:val="24"/>
              </w:rPr>
              <w:t>2.2.2社区老年认知障碍支持中心为大众宣传、风险测评、早期干预、资源链接等场地，可依托社区养老服务综合体、综合性日间照料中心等场地打造，包含但不限于:老年认知障碍筛查室、干预活动区、运动康复训练区等，社区级面积不少于100平米。支持中心应配备与服务功能相适应的设施设备和氛围营造。</w:t>
            </w:r>
          </w:p>
          <w:p w14:paraId="6B2A7F7B">
            <w:pPr>
              <w:pStyle w:val="4"/>
              <w:ind w:left="105" w:right="90" w:firstLine="339"/>
              <w:jc w:val="left"/>
            </w:pPr>
            <w:r>
              <w:rPr>
                <w:rFonts w:ascii="仿宋_GB2312" w:hAnsi="仿宋_GB2312" w:eastAsia="仿宋_GB2312" w:cs="仿宋_GB2312"/>
                <w:sz w:val="24"/>
              </w:rPr>
              <w:t>2.2.3社区认知角为大众宣传、风险测评等场地，主要建设在社区党群服务中心等居民较为常去的公共服务场地，认知角需配备必要设施，包括但不限于:宣传栏、宣传册、测评所需桌椅等，面积不低于5平米。</w:t>
            </w:r>
          </w:p>
          <w:p w14:paraId="3EB6F8F7">
            <w:pPr>
              <w:pStyle w:val="4"/>
              <w:ind w:left="105" w:right="90" w:firstLine="337"/>
              <w:jc w:val="left"/>
            </w:pPr>
            <w:r>
              <w:rPr>
                <w:rFonts w:ascii="仿宋_GB2312" w:hAnsi="仿宋_GB2312" w:eastAsia="仿宋_GB2312" w:cs="仿宋_GB2312"/>
                <w:sz w:val="24"/>
              </w:rPr>
              <w:t>2.2.4在社区公共服务设施中加入老年认知障碍友好化元素，使得诸如居住、交通、公共空间方便老年认知障碍风险人群和认知症人群使用。</w:t>
            </w:r>
          </w:p>
          <w:p w14:paraId="62AA7ACF">
            <w:pPr>
              <w:pStyle w:val="4"/>
              <w:ind w:left="450"/>
              <w:jc w:val="left"/>
            </w:pPr>
            <w:r>
              <w:rPr>
                <w:rFonts w:ascii="仿宋_GB2312" w:hAnsi="仿宋_GB2312" w:eastAsia="仿宋_GB2312" w:cs="仿宋_GB2312"/>
                <w:sz w:val="24"/>
              </w:rPr>
              <w:t>2.3制度</w:t>
            </w:r>
          </w:p>
          <w:p w14:paraId="44E20C25">
            <w:pPr>
              <w:pStyle w:val="4"/>
              <w:spacing w:before="60"/>
              <w:ind w:left="105" w:right="90" w:firstLine="338"/>
              <w:jc w:val="left"/>
            </w:pPr>
            <w:r>
              <w:rPr>
                <w:rFonts w:ascii="仿宋_GB2312" w:hAnsi="仿宋_GB2312" w:eastAsia="仿宋_GB2312" w:cs="仿宋_GB2312"/>
                <w:sz w:val="24"/>
              </w:rPr>
              <w:t>2.3.1在对社区老年群体基础情况(如老年人口数量、老年人分布情况、老年人活动参与意愿等)开展广泛调研的基础上，引导参与项目的各类服务主体参与编制老年认知障碍友好社区建设实施细则及指导手册，实施细则应由区(市)县民政部门、街道、社区共同审核通过并报市养老服务发展促进中心备案后执行，确保项目实施标准化、服务管理专业化。</w:t>
            </w:r>
          </w:p>
          <w:p w14:paraId="55CD8009">
            <w:pPr>
              <w:pStyle w:val="4"/>
              <w:ind w:left="105" w:right="90" w:firstLine="338"/>
              <w:jc w:val="left"/>
            </w:pPr>
            <w:r>
              <w:rPr>
                <w:rFonts w:ascii="仿宋_GB2312" w:hAnsi="仿宋_GB2312" w:eastAsia="仿宋_GB2312" w:cs="仿宋_GB2312"/>
                <w:sz w:val="24"/>
              </w:rPr>
              <w:t>2.3.2市养老服务发展促进中心和区(市)县民政部门对项目进行全过程指导监督，区(市)县民政部门定期开展实地检查督导，梳理进度和存在问题。</w:t>
            </w:r>
          </w:p>
          <w:p w14:paraId="683EB8AF">
            <w:pPr>
              <w:pStyle w:val="4"/>
              <w:ind w:left="105" w:right="90" w:firstLine="339"/>
              <w:jc w:val="left"/>
            </w:pPr>
            <w:r>
              <w:rPr>
                <w:rFonts w:ascii="仿宋_GB2312" w:hAnsi="仿宋_GB2312" w:eastAsia="仿宋_GB2312" w:cs="仿宋_GB2312"/>
                <w:sz w:val="24"/>
              </w:rPr>
              <w:t>2.3.3第三方专业机构应协助社区建立长效运行机制，采取设立社区基金、争取社会力量支持等方式保证项目可持续运转。</w:t>
            </w:r>
          </w:p>
          <w:p w14:paraId="5A8EFFC1">
            <w:pPr>
              <w:pStyle w:val="4"/>
              <w:ind w:left="450"/>
              <w:jc w:val="left"/>
            </w:pPr>
            <w:r>
              <w:rPr>
                <w:rFonts w:ascii="仿宋_GB2312" w:hAnsi="仿宋_GB2312" w:eastAsia="仿宋_GB2312" w:cs="仿宋_GB2312"/>
                <w:sz w:val="24"/>
              </w:rPr>
              <w:t>2.4项目督导验收</w:t>
            </w:r>
          </w:p>
          <w:p w14:paraId="22287805">
            <w:pPr>
              <w:pStyle w:val="4"/>
              <w:spacing w:before="60"/>
              <w:ind w:left="105" w:right="90" w:firstLine="336"/>
              <w:jc w:val="left"/>
            </w:pPr>
            <w:r>
              <w:rPr>
                <w:rFonts w:ascii="仿宋_GB2312" w:hAnsi="仿宋_GB2312" w:eastAsia="仿宋_GB2312" w:cs="仿宋_GB2312"/>
                <w:sz w:val="24"/>
              </w:rPr>
              <w:t>2.4.1市养老服务发展促进中心组建市级认知障碍友好社区专家组，负责项目督导、验收等工作。</w:t>
            </w:r>
          </w:p>
          <w:p w14:paraId="17FEA11B">
            <w:pPr>
              <w:pStyle w:val="4"/>
              <w:ind w:left="120" w:right="90" w:firstLine="330"/>
              <w:jc w:val="left"/>
            </w:pPr>
            <w:r>
              <w:rPr>
                <w:rFonts w:ascii="仿宋_GB2312" w:hAnsi="仿宋_GB2312" w:eastAsia="仿宋_GB2312" w:cs="仿宋_GB2312"/>
                <w:sz w:val="24"/>
              </w:rPr>
              <w:t>2.4.2社区在项目开展周期内应每季度邀请专家组成员督导一次，产生的专家费由项目承接方承担。</w:t>
            </w:r>
          </w:p>
          <w:p w14:paraId="488723CB">
            <w:pPr>
              <w:pStyle w:val="4"/>
              <w:ind w:left="450"/>
              <w:jc w:val="left"/>
            </w:pPr>
            <w:r>
              <w:rPr>
                <w:rFonts w:ascii="仿宋_GB2312" w:hAnsi="仿宋_GB2312" w:eastAsia="仿宋_GB2312" w:cs="仿宋_GB2312"/>
                <w:sz w:val="24"/>
              </w:rPr>
              <w:t>2.5其他要求</w:t>
            </w:r>
          </w:p>
          <w:p w14:paraId="29B614E0">
            <w:pPr>
              <w:pStyle w:val="4"/>
              <w:spacing w:before="60"/>
              <w:ind w:left="120" w:right="90" w:firstLine="328"/>
              <w:jc w:val="left"/>
            </w:pPr>
            <w:r>
              <w:rPr>
                <w:rFonts w:ascii="仿宋_GB2312" w:hAnsi="仿宋_GB2312" w:eastAsia="仿宋_GB2312" w:cs="仿宋_GB2312"/>
                <w:sz w:val="24"/>
              </w:rPr>
              <w:t>2.5.1根据社区自身特点，差异化打造特色化老年认知障碍服务品牌。</w:t>
            </w:r>
          </w:p>
          <w:p w14:paraId="217C96DE">
            <w:pPr>
              <w:pStyle w:val="4"/>
              <w:spacing w:before="45"/>
              <w:ind w:right="90" w:firstLine="484"/>
              <w:jc w:val="left"/>
            </w:pPr>
            <w:r>
              <w:rPr>
                <w:rFonts w:ascii="仿宋_GB2312" w:hAnsi="仿宋_GB2312" w:eastAsia="仿宋_GB2312" w:cs="仿宋_GB2312"/>
                <w:sz w:val="24"/>
              </w:rPr>
              <w:t>2.5.2每月在社区范围为老年居民及家庭照护者开展至少1次认知方向的公共健康教育活动，教育内容包括但不限于:对老年认知障碍的科学认知、对老年认知障碍患病风险因素的了解、对老年认知障碍的辨识能力、早期干预的方式方法等。</w:t>
            </w:r>
          </w:p>
          <w:p w14:paraId="457697D2">
            <w:pPr>
              <w:pStyle w:val="4"/>
              <w:ind w:left="105" w:right="90" w:firstLine="334"/>
              <w:jc w:val="left"/>
            </w:pPr>
            <w:r>
              <w:rPr>
                <w:rFonts w:ascii="仿宋_GB2312" w:hAnsi="仿宋_GB2312" w:eastAsia="仿宋_GB2312" w:cs="仿宋_GB2312"/>
                <w:sz w:val="24"/>
              </w:rPr>
              <w:t>2.5.3在社区老年认知障碍支持中心开发配备数字化多维认知康复训练系统，用于老年人筛查及干预训练。</w:t>
            </w:r>
          </w:p>
          <w:p w14:paraId="6887A7D7">
            <w:pPr>
              <w:pStyle w:val="4"/>
              <w:ind w:left="105" w:right="90" w:firstLine="337"/>
              <w:jc w:val="left"/>
            </w:pPr>
            <w:r>
              <w:rPr>
                <w:rFonts w:ascii="仿宋_GB2312" w:hAnsi="仿宋_GB2312" w:eastAsia="仿宋_GB2312" w:cs="仿宋_GB2312"/>
                <w:sz w:val="24"/>
              </w:rPr>
              <w:t>2.5.4项目收集的数据需履行保密义务，不得泄露或非法向他人提供。</w:t>
            </w:r>
          </w:p>
          <w:p w14:paraId="6119927A">
            <w:pPr>
              <w:pStyle w:val="4"/>
              <w:ind w:left="105" w:right="90" w:firstLine="336"/>
              <w:jc w:val="left"/>
            </w:pPr>
            <w:r>
              <w:rPr>
                <w:rFonts w:ascii="仿宋_GB2312" w:hAnsi="仿宋_GB2312" w:eastAsia="仿宋_GB2312" w:cs="仿宋_GB2312"/>
                <w:sz w:val="24"/>
              </w:rPr>
              <w:t>2.5.5应合理划分资金使用比例，确保硬件建设经费不超过总经费的20%，并接受甲方及区(市)县民政部门的资金监管。</w:t>
            </w:r>
          </w:p>
          <w:p w14:paraId="4F95620E">
            <w:pPr>
              <w:pStyle w:val="4"/>
              <w:ind w:left="105" w:right="90" w:firstLine="335"/>
              <w:jc w:val="left"/>
            </w:pPr>
            <w:r>
              <w:rPr>
                <w:rFonts w:ascii="仿宋_GB2312" w:hAnsi="仿宋_GB2312" w:eastAsia="仿宋_GB2312" w:cs="仿宋_GB2312"/>
                <w:sz w:val="24"/>
              </w:rPr>
              <w:t>2.5.6项目电子资料应提交区(市)县民政部门留存不少于5年，纸质资料自行保存5年。</w:t>
            </w:r>
          </w:p>
          <w:p w14:paraId="052C4D40">
            <w:pPr>
              <w:pStyle w:val="4"/>
              <w:ind w:left="435"/>
              <w:jc w:val="left"/>
            </w:pPr>
            <w:r>
              <w:rPr>
                <w:rFonts w:ascii="仿宋_GB2312" w:hAnsi="仿宋_GB2312" w:eastAsia="仿宋_GB2312" w:cs="仿宋_GB2312"/>
                <w:sz w:val="24"/>
              </w:rPr>
              <w:t>三、风险测评</w:t>
            </w:r>
          </w:p>
          <w:p w14:paraId="324EECFF">
            <w:pPr>
              <w:pStyle w:val="4"/>
              <w:spacing w:before="60"/>
              <w:ind w:left="450"/>
              <w:jc w:val="left"/>
            </w:pPr>
            <w:r>
              <w:rPr>
                <w:rFonts w:ascii="仿宋_GB2312" w:hAnsi="仿宋_GB2312" w:eastAsia="仿宋_GB2312" w:cs="仿宋_GB2312"/>
                <w:sz w:val="24"/>
              </w:rPr>
              <w:t>3.1服务目的</w:t>
            </w:r>
          </w:p>
          <w:p w14:paraId="4DBAA5FE">
            <w:pPr>
              <w:pStyle w:val="4"/>
              <w:spacing w:before="60"/>
              <w:ind w:left="105" w:right="90" w:firstLine="336"/>
              <w:jc w:val="left"/>
            </w:pPr>
            <w:r>
              <w:rPr>
                <w:rFonts w:ascii="仿宋_GB2312" w:hAnsi="仿宋_GB2312" w:eastAsia="仿宋_GB2312" w:cs="仿宋_GB2312"/>
                <w:sz w:val="24"/>
              </w:rPr>
              <w:t>通过筛查掌握社区老年人老年认知障碍情况基础数据，建立重点干预、分类预防、分层初诊的记忆健康档案。</w:t>
            </w:r>
          </w:p>
          <w:p w14:paraId="5B47A1B0">
            <w:pPr>
              <w:pStyle w:val="4"/>
              <w:ind w:left="450"/>
              <w:jc w:val="left"/>
            </w:pPr>
            <w:r>
              <w:rPr>
                <w:rFonts w:ascii="仿宋_GB2312" w:hAnsi="仿宋_GB2312" w:eastAsia="仿宋_GB2312" w:cs="仿宋_GB2312"/>
                <w:sz w:val="24"/>
              </w:rPr>
              <w:t>3.2服务主体</w:t>
            </w:r>
          </w:p>
          <w:p w14:paraId="1215D118">
            <w:pPr>
              <w:pStyle w:val="4"/>
              <w:spacing w:before="60"/>
              <w:ind w:left="105" w:right="90" w:firstLine="338"/>
              <w:jc w:val="left"/>
            </w:pPr>
            <w:r>
              <w:rPr>
                <w:rFonts w:ascii="仿宋_GB2312" w:hAnsi="仿宋_GB2312" w:eastAsia="仿宋_GB2312" w:cs="仿宋_GB2312"/>
                <w:sz w:val="24"/>
              </w:rPr>
              <w:t>3.2.1培训1名社区工作人员兼职认知功能评估员，在社区认知角针对办事老人开展认知功能筛查。</w:t>
            </w:r>
          </w:p>
          <w:p w14:paraId="12281CAA">
            <w:pPr>
              <w:pStyle w:val="4"/>
              <w:ind w:left="120" w:right="90" w:firstLine="325"/>
              <w:jc w:val="left"/>
            </w:pPr>
            <w:r>
              <w:rPr>
                <w:rFonts w:ascii="仿宋_GB2312" w:hAnsi="仿宋_GB2312" w:eastAsia="仿宋_GB2312" w:cs="仿宋_GB2312"/>
                <w:sz w:val="24"/>
              </w:rPr>
              <w:t>3.2.2组建1支社区老年认知障碍筛查评估团队，在社区老年认知障碍支持中心开展集中认知功能筛查。</w:t>
            </w:r>
          </w:p>
          <w:p w14:paraId="5FAFC844">
            <w:pPr>
              <w:pStyle w:val="4"/>
              <w:ind w:left="450"/>
              <w:jc w:val="left"/>
            </w:pPr>
            <w:r>
              <w:rPr>
                <w:rFonts w:ascii="仿宋_GB2312" w:hAnsi="仿宋_GB2312" w:eastAsia="仿宋_GB2312" w:cs="仿宋_GB2312"/>
                <w:sz w:val="24"/>
              </w:rPr>
              <w:t>3.2.3认知功能评估员需经过专业培训并通过考核。</w:t>
            </w:r>
          </w:p>
          <w:p w14:paraId="121747A0">
            <w:pPr>
              <w:pStyle w:val="4"/>
              <w:spacing w:before="60"/>
              <w:ind w:left="450"/>
              <w:jc w:val="left"/>
            </w:pPr>
            <w:r>
              <w:rPr>
                <w:rFonts w:ascii="仿宋_GB2312" w:hAnsi="仿宋_GB2312" w:eastAsia="仿宋_GB2312" w:cs="仿宋_GB2312"/>
                <w:sz w:val="24"/>
              </w:rPr>
              <w:t>3.3服务内容</w:t>
            </w:r>
          </w:p>
          <w:p w14:paraId="76C140F3">
            <w:pPr>
              <w:pStyle w:val="4"/>
              <w:spacing w:before="60"/>
              <w:ind w:left="105" w:right="90" w:firstLine="340"/>
              <w:jc w:val="left"/>
            </w:pPr>
            <w:r>
              <w:rPr>
                <w:rFonts w:ascii="仿宋_GB2312" w:hAnsi="仿宋_GB2312" w:eastAsia="仿宋_GB2312" w:cs="仿宋_GB2312"/>
                <w:sz w:val="24"/>
              </w:rPr>
              <w:t>3.3.1对辖区内65岁及以上老年人“愿筛尽筛”，80岁及以上老年人“应筛尽筛”，社区级筛查总人数不少于2000人次，该社区如参与筛查人数不足，可扩围至相邻2个社区。</w:t>
            </w:r>
          </w:p>
          <w:p w14:paraId="33AF702E">
            <w:pPr>
              <w:pStyle w:val="4"/>
              <w:ind w:left="105" w:right="90" w:firstLine="340"/>
              <w:jc w:val="left"/>
            </w:pPr>
            <w:r>
              <w:rPr>
                <w:rFonts w:ascii="仿宋_GB2312" w:hAnsi="仿宋_GB2312" w:eastAsia="仿宋_GB2312" w:cs="仿宋_GB2312"/>
                <w:sz w:val="24"/>
              </w:rPr>
              <w:t>3.3.2采取线下他评方式，推荐由经过培训的认知功能评估员使用蒙特利尔认知评估量表(MoCA量表)或其他用于老年认知障碍早期筛查的国内外权威指南推荐量表对老年人进行筛查;原则上老年人可根据自身情况参加早期筛查，但每次筛查应间隔至少半年。</w:t>
            </w:r>
          </w:p>
          <w:p w14:paraId="56B0E647">
            <w:pPr>
              <w:pStyle w:val="4"/>
              <w:ind w:left="105" w:right="90" w:firstLine="339"/>
              <w:jc w:val="left"/>
            </w:pPr>
            <w:r>
              <w:rPr>
                <w:rFonts w:ascii="仿宋_GB2312" w:hAnsi="仿宋_GB2312" w:eastAsia="仿宋_GB2312" w:cs="仿宋_GB2312"/>
                <w:sz w:val="24"/>
              </w:rPr>
              <w:t>3.3.3为参与项目的老人建立专属健康档案，一人一档，包括老人基础信息、测评结果、后续跟进方式等;同时建立项目数据电子台账，并对社区老年认知整体情况进行分析，形成区域风险趋势报告。</w:t>
            </w:r>
          </w:p>
          <w:p w14:paraId="42F32983">
            <w:pPr>
              <w:pStyle w:val="4"/>
              <w:ind w:left="465"/>
              <w:jc w:val="left"/>
            </w:pPr>
            <w:r>
              <w:rPr>
                <w:rFonts w:ascii="仿宋_GB2312" w:hAnsi="仿宋_GB2312" w:eastAsia="仿宋_GB2312" w:cs="仿宋_GB2312"/>
                <w:sz w:val="24"/>
              </w:rPr>
              <w:t>四、早期干预</w:t>
            </w:r>
          </w:p>
          <w:p w14:paraId="040C64CB">
            <w:pPr>
              <w:pStyle w:val="4"/>
              <w:spacing w:before="60"/>
              <w:ind w:left="435"/>
              <w:jc w:val="left"/>
            </w:pPr>
            <w:r>
              <w:rPr>
                <w:rFonts w:ascii="仿宋_GB2312" w:hAnsi="仿宋_GB2312" w:eastAsia="仿宋_GB2312" w:cs="仿宋_GB2312"/>
                <w:sz w:val="24"/>
              </w:rPr>
              <w:t>4.1服务目的</w:t>
            </w:r>
          </w:p>
          <w:p w14:paraId="7A366A01">
            <w:pPr>
              <w:pStyle w:val="4"/>
              <w:spacing w:before="60"/>
              <w:ind w:left="105" w:right="90" w:firstLine="334"/>
              <w:jc w:val="left"/>
            </w:pPr>
            <w:r>
              <w:rPr>
                <w:rFonts w:ascii="仿宋_GB2312" w:hAnsi="仿宋_GB2312" w:eastAsia="仿宋_GB2312" w:cs="仿宋_GB2312"/>
                <w:sz w:val="24"/>
              </w:rPr>
              <w:t>对有老年认知障碍的风险人群开展非药物干预训练或专业疗法课程，尽可能推迟、甚至阻碍疾病的发生与进展。</w:t>
            </w:r>
          </w:p>
          <w:p w14:paraId="4A28A360">
            <w:pPr>
              <w:pStyle w:val="4"/>
              <w:ind w:left="435"/>
              <w:jc w:val="left"/>
            </w:pPr>
            <w:r>
              <w:rPr>
                <w:rFonts w:ascii="仿宋_GB2312" w:hAnsi="仿宋_GB2312" w:eastAsia="仿宋_GB2312" w:cs="仿宋_GB2312"/>
                <w:sz w:val="24"/>
              </w:rPr>
              <w:t>4.2服务对象</w:t>
            </w:r>
          </w:p>
          <w:p w14:paraId="7FFF457E">
            <w:pPr>
              <w:pStyle w:val="4"/>
              <w:spacing w:before="60"/>
              <w:ind w:left="105" w:right="90" w:firstLine="335"/>
              <w:jc w:val="left"/>
            </w:pPr>
            <w:r>
              <w:rPr>
                <w:rFonts w:ascii="仿宋_GB2312" w:hAnsi="仿宋_GB2312" w:eastAsia="仿宋_GB2312" w:cs="仿宋_GB2312"/>
                <w:sz w:val="24"/>
              </w:rPr>
              <w:t>使用蒙特利尔认知评估量表(MoCA量表)筛查出的风险人员及其他有意向参与干预的健康老人。</w:t>
            </w:r>
          </w:p>
          <w:p w14:paraId="3D187A47">
            <w:pPr>
              <w:pStyle w:val="4"/>
              <w:ind w:left="435"/>
              <w:jc w:val="left"/>
            </w:pPr>
            <w:r>
              <w:rPr>
                <w:rFonts w:ascii="仿宋_GB2312" w:hAnsi="仿宋_GB2312" w:eastAsia="仿宋_GB2312" w:cs="仿宋_GB2312"/>
                <w:sz w:val="24"/>
              </w:rPr>
              <w:t>4.3服务内容</w:t>
            </w:r>
          </w:p>
          <w:p w14:paraId="398F7673">
            <w:pPr>
              <w:pStyle w:val="4"/>
              <w:spacing w:before="60"/>
              <w:ind w:left="105" w:right="90" w:firstLine="335"/>
              <w:jc w:val="left"/>
            </w:pPr>
            <w:r>
              <w:rPr>
                <w:rFonts w:ascii="仿宋_GB2312" w:hAnsi="仿宋_GB2312" w:eastAsia="仿宋_GB2312" w:cs="仿宋_GB2312"/>
                <w:sz w:val="24"/>
              </w:rPr>
              <w:t>4.3.1对服务对象开展为期6个月的全程认知干预，社区级不少于120名老人，每位服务对象干预课程参与率不低于80%视为完成全程认知干预。</w:t>
            </w:r>
          </w:p>
          <w:p w14:paraId="37398729">
            <w:pPr>
              <w:pStyle w:val="4"/>
              <w:spacing w:before="45"/>
              <w:ind w:right="120"/>
              <w:jc w:val="left"/>
            </w:pPr>
            <w:r>
              <w:rPr>
                <w:rFonts w:ascii="仿宋_GB2312" w:hAnsi="仿宋_GB2312" w:eastAsia="仿宋_GB2312" w:cs="仿宋_GB2312"/>
                <w:sz w:val="24"/>
              </w:rPr>
              <w:t>4.3.2认知干预包括免费非药物干预训练或专业疗法课程，需采用多维干预方式，包括但不限于运动干预(如有氧训练、抗阻力训练、柔韧和平衡训练等)、认知干预(如记忆、逻辑思维、执行与视空间训练等)、身心锻炼(冥想、心理疏导等)、饮食干预(营养指导、膳食搭配等)、健康教育等内容，科学合理设置干预课程。</w:t>
            </w:r>
          </w:p>
          <w:p w14:paraId="1117D473">
            <w:pPr>
              <w:pStyle w:val="4"/>
              <w:ind w:left="105" w:right="90" w:firstLine="335"/>
              <w:jc w:val="left"/>
            </w:pPr>
            <w:r>
              <w:rPr>
                <w:rFonts w:ascii="仿宋_GB2312" w:hAnsi="仿宋_GB2312" w:eastAsia="仿宋_GB2312" w:cs="仿宋_GB2312"/>
                <w:sz w:val="24"/>
              </w:rPr>
              <w:t>4.3.3需由具有相关背景的专业干预团队为干预对象每周提供不少于3次线下课程，每次课程不少于1学时，为保证干预效果，每班次参与人数不超过30人。</w:t>
            </w:r>
          </w:p>
          <w:p w14:paraId="4DC30B59">
            <w:pPr>
              <w:pStyle w:val="4"/>
              <w:ind w:left="105" w:right="90" w:firstLine="335"/>
              <w:jc w:val="left"/>
            </w:pPr>
            <w:r>
              <w:rPr>
                <w:rFonts w:ascii="仿宋_GB2312" w:hAnsi="仿宋_GB2312" w:eastAsia="仿宋_GB2312" w:cs="仿宋_GB2312"/>
                <w:sz w:val="24"/>
              </w:rPr>
              <w:t>4.3.4针对干预训练建立激励机制及跟踪机制，做好相应跟踪及数据对比，提升干预效率和干预效果，干预结束后对干预人员进行一次认知功能复评。</w:t>
            </w:r>
          </w:p>
          <w:p w14:paraId="30787E0C">
            <w:pPr>
              <w:pStyle w:val="4"/>
              <w:ind w:left="450"/>
              <w:jc w:val="left"/>
            </w:pPr>
            <w:r>
              <w:rPr>
                <w:rFonts w:ascii="仿宋_GB2312" w:hAnsi="仿宋_GB2312" w:eastAsia="仿宋_GB2312" w:cs="仿宋_GB2312"/>
                <w:sz w:val="24"/>
              </w:rPr>
              <w:t>五、转介与医疗</w:t>
            </w:r>
          </w:p>
          <w:p w14:paraId="4F312842">
            <w:pPr>
              <w:pStyle w:val="4"/>
              <w:spacing w:before="60"/>
              <w:ind w:left="450"/>
              <w:jc w:val="left"/>
            </w:pPr>
            <w:r>
              <w:rPr>
                <w:rFonts w:ascii="仿宋_GB2312" w:hAnsi="仿宋_GB2312" w:eastAsia="仿宋_GB2312" w:cs="仿宋_GB2312"/>
                <w:sz w:val="24"/>
              </w:rPr>
              <w:t>5.1服务目的</w:t>
            </w:r>
          </w:p>
          <w:p w14:paraId="0041FEC4">
            <w:pPr>
              <w:pStyle w:val="4"/>
              <w:spacing w:before="60"/>
              <w:ind w:left="105" w:right="90" w:firstLine="337"/>
              <w:jc w:val="left"/>
            </w:pPr>
            <w:r>
              <w:rPr>
                <w:rFonts w:ascii="仿宋_GB2312" w:hAnsi="仿宋_GB2312" w:eastAsia="仿宋_GB2312" w:cs="仿宋_GB2312"/>
                <w:sz w:val="24"/>
              </w:rPr>
              <w:t>建立分层分级机制，根据服务对象的实际需要，提供专业照护服务或专业医疗保障资源。</w:t>
            </w:r>
          </w:p>
          <w:p w14:paraId="306FEFC7">
            <w:pPr>
              <w:pStyle w:val="4"/>
              <w:ind w:left="450"/>
              <w:jc w:val="left"/>
            </w:pPr>
            <w:r>
              <w:rPr>
                <w:rFonts w:ascii="仿宋_GB2312" w:hAnsi="仿宋_GB2312" w:eastAsia="仿宋_GB2312" w:cs="仿宋_GB2312"/>
                <w:sz w:val="24"/>
              </w:rPr>
              <w:t>5.2服务对象</w:t>
            </w:r>
          </w:p>
          <w:p w14:paraId="6C7FC5C1">
            <w:pPr>
              <w:pStyle w:val="4"/>
              <w:spacing w:before="60"/>
              <w:ind w:left="105" w:right="90" w:firstLine="335"/>
              <w:jc w:val="left"/>
            </w:pPr>
            <w:r>
              <w:rPr>
                <w:rFonts w:ascii="仿宋_GB2312" w:hAnsi="仿宋_GB2312" w:eastAsia="仿宋_GB2312" w:cs="仿宋_GB2312"/>
                <w:sz w:val="24"/>
              </w:rPr>
              <w:t>使用蒙特利尔认知评估量表(MoCA量表)筛查出的风险人员。</w:t>
            </w:r>
          </w:p>
          <w:p w14:paraId="02858E87">
            <w:pPr>
              <w:pStyle w:val="4"/>
              <w:ind w:left="450"/>
              <w:jc w:val="left"/>
            </w:pPr>
            <w:r>
              <w:rPr>
                <w:rFonts w:ascii="仿宋_GB2312" w:hAnsi="仿宋_GB2312" w:eastAsia="仿宋_GB2312" w:cs="仿宋_GB2312"/>
                <w:sz w:val="24"/>
              </w:rPr>
              <w:t>5.3服务内容</w:t>
            </w:r>
          </w:p>
          <w:p w14:paraId="38A1B811">
            <w:pPr>
              <w:pStyle w:val="4"/>
              <w:spacing w:before="60"/>
              <w:ind w:left="105" w:right="90" w:firstLine="340"/>
              <w:jc w:val="left"/>
            </w:pPr>
            <w:r>
              <w:rPr>
                <w:rFonts w:ascii="仿宋_GB2312" w:hAnsi="仿宋_GB2312" w:eastAsia="仿宋_GB2312" w:cs="仿宋_GB2312"/>
                <w:sz w:val="24"/>
              </w:rPr>
              <w:t>5.3.1与区域范围内精神卫生中心、三甲或三乙综合性医疗机构签订协议设立记忆门诊，建立就诊“绿色通道”，为需医疗诊治的服务对象提供医疗转介服务。</w:t>
            </w:r>
          </w:p>
          <w:p w14:paraId="189B90ED">
            <w:pPr>
              <w:pStyle w:val="4"/>
              <w:ind w:left="105" w:right="90" w:firstLine="339"/>
              <w:jc w:val="left"/>
            </w:pPr>
            <w:r>
              <w:rPr>
                <w:rFonts w:ascii="仿宋_GB2312" w:hAnsi="仿宋_GB2312" w:eastAsia="仿宋_GB2312" w:cs="仿宋_GB2312"/>
                <w:sz w:val="24"/>
              </w:rPr>
              <w:t>5.3.2与设置老年认知障碍照护专区的专业养老机构建立合作，为需要老年认知障碍照护的服务对象提供转介服务。</w:t>
            </w:r>
          </w:p>
          <w:p w14:paraId="264E3619">
            <w:pPr>
              <w:pStyle w:val="4"/>
              <w:ind w:left="450"/>
              <w:jc w:val="left"/>
            </w:pPr>
            <w:r>
              <w:rPr>
                <w:rFonts w:ascii="仿宋_GB2312" w:hAnsi="仿宋_GB2312" w:eastAsia="仿宋_GB2312" w:cs="仿宋_GB2312"/>
                <w:sz w:val="24"/>
              </w:rPr>
              <w:t>5.4老年认知障碍照护专区</w:t>
            </w:r>
          </w:p>
          <w:p w14:paraId="42B03302">
            <w:pPr>
              <w:pStyle w:val="4"/>
              <w:spacing w:before="60"/>
              <w:ind w:left="105" w:right="90" w:firstLine="338"/>
              <w:jc w:val="left"/>
            </w:pPr>
            <w:r>
              <w:rPr>
                <w:rFonts w:ascii="仿宋_GB2312" w:hAnsi="仿宋_GB2312" w:eastAsia="仿宋_GB2312" w:cs="仿宋_GB2312"/>
                <w:sz w:val="24"/>
              </w:rPr>
              <w:t>5.4.1根据老年认知障碍老人的身心特点，在养老机构内采用安全防护围挡或智能化门禁系统，与院区其他区域单独间隔，为认知障碍老人营造相对独立又安全可靠的宜居环境作为老年认知障碍照护专区。</w:t>
            </w:r>
          </w:p>
          <w:p w14:paraId="10719913">
            <w:pPr>
              <w:pStyle w:val="4"/>
              <w:ind w:left="105" w:right="90" w:firstLine="336"/>
              <w:jc w:val="left"/>
            </w:pPr>
            <w:r>
              <w:rPr>
                <w:rFonts w:ascii="仿宋_GB2312" w:hAnsi="仿宋_GB2312" w:eastAsia="仿宋_GB2312" w:cs="仿宋_GB2312"/>
                <w:sz w:val="24"/>
              </w:rPr>
              <w:t>5.4.2居室内配置独立卫生间，除电视、空调、日常家具等常规设施外，还配置有睡眠监测、紧急呼叫、跌倒报警等智能设备。</w:t>
            </w:r>
          </w:p>
          <w:p w14:paraId="6A3F3E41">
            <w:pPr>
              <w:pStyle w:val="4"/>
              <w:ind w:firstLine="484"/>
              <w:jc w:val="both"/>
            </w:pPr>
            <w:r>
              <w:rPr>
                <w:rFonts w:ascii="仿宋_GB2312" w:hAnsi="仿宋_GB2312" w:eastAsia="仿宋_GB2312" w:cs="仿宋_GB2312"/>
                <w:sz w:val="24"/>
              </w:rPr>
              <w:t>5.4.3老年认知障碍照护相关从业人员(管理人员、护理人员、照护专员等)均需经过老年认知障碍照护专业知识和技能培训，护理人员与入住对象的配比不低于1:5，配备持证社工及夜间护理人员。</w:t>
            </w:r>
          </w:p>
          <w:p w14:paraId="0D7EC8F9">
            <w:pPr>
              <w:pStyle w:val="4"/>
              <w:spacing w:before="105"/>
              <w:ind w:left="450"/>
              <w:jc w:val="left"/>
            </w:pPr>
          </w:p>
        </w:tc>
      </w:tr>
      <w:tr w14:paraId="765A7E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05FECC">
            <w:pPr>
              <w:pStyle w:val="4"/>
              <w:jc w:val="center"/>
            </w:pPr>
            <w:r>
              <w:rPr>
                <w:rFonts w:ascii="仿宋_GB2312" w:hAnsi="仿宋_GB2312" w:eastAsia="仿宋_GB2312" w:cs="仿宋_GB2312"/>
              </w:rPr>
              <w:t>2</w:t>
            </w:r>
          </w:p>
        </w:tc>
        <w:tc>
          <w:tcPr>
            <w:tcW w:w="581" w:type="dxa"/>
          </w:tcPr>
          <w:p w14:paraId="592D64A6"/>
        </w:tc>
        <w:tc>
          <w:tcPr>
            <w:tcW w:w="1495" w:type="dxa"/>
          </w:tcPr>
          <w:p w14:paraId="70C5B97E">
            <w:pPr>
              <w:pStyle w:val="4"/>
              <w:jc w:val="left"/>
            </w:pPr>
            <w:r>
              <w:rPr>
                <w:rFonts w:ascii="仿宋_GB2312" w:hAnsi="仿宋_GB2312" w:eastAsia="仿宋_GB2312" w:cs="仿宋_GB2312"/>
              </w:rPr>
              <w:t>履约能力要求</w:t>
            </w:r>
          </w:p>
        </w:tc>
        <w:tc>
          <w:tcPr>
            <w:tcW w:w="5814" w:type="dxa"/>
          </w:tcPr>
          <w:p w14:paraId="7B9F1585">
            <w:pPr>
              <w:pStyle w:val="4"/>
              <w:jc w:val="left"/>
            </w:pPr>
            <w:r>
              <w:rPr>
                <w:rFonts w:ascii="仿宋_GB2312" w:hAnsi="仿宋_GB2312" w:eastAsia="仿宋_GB2312" w:cs="仿宋_GB2312"/>
                <w:sz w:val="24"/>
              </w:rPr>
              <w:t>1、供应商为本项目提供服务方案、保障措施及培训方案；</w:t>
            </w:r>
          </w:p>
          <w:p w14:paraId="5E4B1774">
            <w:pPr>
              <w:pStyle w:val="4"/>
              <w:jc w:val="left"/>
            </w:pPr>
            <w:r>
              <w:rPr>
                <w:rFonts w:ascii="仿宋_GB2312" w:hAnsi="仿宋_GB2312" w:eastAsia="仿宋_GB2312" w:cs="仿宋_GB2312"/>
                <w:sz w:val="24"/>
              </w:rPr>
              <w:t>2、为本项目配备专业人员、供应商具有类似业绩。</w:t>
            </w:r>
          </w:p>
          <w:p w14:paraId="3E98AE97">
            <w:pPr>
              <w:pStyle w:val="4"/>
              <w:jc w:val="left"/>
            </w:pPr>
            <w:r>
              <w:rPr>
                <w:rFonts w:ascii="仿宋_GB2312" w:hAnsi="仿宋_GB2312" w:eastAsia="仿宋_GB2312" w:cs="仿宋_GB2312"/>
                <w:sz w:val="24"/>
                <w:shd w:val="clear" w:fill="FFFFFF"/>
              </w:rPr>
              <w:t>注：履约要求各项内容为采购人对潜在供应商的综合选择依据非实质性要求，仅作为评审因素，供应商未完全满足仅按要求进行扣分，不影响其响应文件有效性。</w:t>
            </w:r>
          </w:p>
        </w:tc>
      </w:tr>
    </w:tbl>
    <w:p w14:paraId="283DE91C">
      <w:pPr>
        <w:pStyle w:val="4"/>
        <w:jc w:val="left"/>
        <w:outlineLvl w:val="2"/>
      </w:pPr>
      <w:r>
        <w:rPr>
          <w:rFonts w:ascii="仿宋_GB2312" w:hAnsi="仿宋_GB2312" w:eastAsia="仿宋_GB2312" w:cs="仿宋_GB2312"/>
          <w:b/>
          <w:sz w:val="28"/>
        </w:rPr>
        <w:t>3.3.服务要求</w:t>
      </w:r>
    </w:p>
    <w:p w14:paraId="7EA0810D">
      <w:pPr>
        <w:pStyle w:val="4"/>
        <w:jc w:val="left"/>
        <w:outlineLvl w:val="3"/>
      </w:pPr>
      <w:r>
        <w:rPr>
          <w:rFonts w:ascii="仿宋_GB2312" w:hAnsi="仿宋_GB2312" w:eastAsia="仿宋_GB2312" w:cs="仿宋_GB2312"/>
          <w:b/>
          <w:sz w:val="24"/>
        </w:rPr>
        <w:t>3.3.1服务内容要求</w:t>
      </w:r>
    </w:p>
    <w:p w14:paraId="0FC3E6E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57253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D9BE10">
            <w:pPr>
              <w:pStyle w:val="4"/>
              <w:jc w:val="center"/>
            </w:pPr>
            <w:r>
              <w:rPr>
                <w:rFonts w:ascii="仿宋_GB2312" w:hAnsi="仿宋_GB2312" w:eastAsia="仿宋_GB2312" w:cs="仿宋_GB2312"/>
              </w:rPr>
              <w:t xml:space="preserve"> 序号</w:t>
            </w:r>
          </w:p>
        </w:tc>
        <w:tc>
          <w:tcPr>
            <w:tcW w:w="581" w:type="dxa"/>
          </w:tcPr>
          <w:p w14:paraId="7C739011">
            <w:pPr>
              <w:pStyle w:val="4"/>
              <w:jc w:val="center"/>
            </w:pPr>
            <w:r>
              <w:rPr>
                <w:rFonts w:ascii="仿宋_GB2312" w:hAnsi="仿宋_GB2312" w:eastAsia="仿宋_GB2312" w:cs="仿宋_GB2312"/>
              </w:rPr>
              <w:t xml:space="preserve"> 符号标识</w:t>
            </w:r>
          </w:p>
        </w:tc>
        <w:tc>
          <w:tcPr>
            <w:tcW w:w="1495" w:type="dxa"/>
          </w:tcPr>
          <w:p w14:paraId="325B7CEE">
            <w:pPr>
              <w:pStyle w:val="4"/>
              <w:jc w:val="center"/>
            </w:pPr>
            <w:r>
              <w:rPr>
                <w:rFonts w:ascii="仿宋_GB2312" w:hAnsi="仿宋_GB2312" w:eastAsia="仿宋_GB2312" w:cs="仿宋_GB2312"/>
              </w:rPr>
              <w:t xml:space="preserve"> 服务要求名称</w:t>
            </w:r>
          </w:p>
        </w:tc>
        <w:tc>
          <w:tcPr>
            <w:tcW w:w="5814" w:type="dxa"/>
          </w:tcPr>
          <w:p w14:paraId="427919B9">
            <w:pPr>
              <w:pStyle w:val="4"/>
              <w:jc w:val="center"/>
            </w:pPr>
            <w:r>
              <w:rPr>
                <w:rFonts w:ascii="仿宋_GB2312" w:hAnsi="仿宋_GB2312" w:eastAsia="仿宋_GB2312" w:cs="仿宋_GB2312"/>
              </w:rPr>
              <w:t xml:space="preserve"> 服务要求内容</w:t>
            </w:r>
          </w:p>
        </w:tc>
      </w:tr>
      <w:tr w14:paraId="0CC6D9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6538D7F">
            <w:pPr>
              <w:pStyle w:val="4"/>
              <w:jc w:val="center"/>
            </w:pPr>
            <w:r>
              <w:rPr>
                <w:rFonts w:ascii="仿宋_GB2312" w:hAnsi="仿宋_GB2312" w:eastAsia="仿宋_GB2312" w:cs="仿宋_GB2312"/>
              </w:rPr>
              <w:t>无</w:t>
            </w:r>
          </w:p>
        </w:tc>
      </w:tr>
    </w:tbl>
    <w:p w14:paraId="54080FA0">
      <w:pPr>
        <w:pStyle w:val="4"/>
        <w:jc w:val="left"/>
        <w:outlineLvl w:val="3"/>
      </w:pPr>
      <w:r>
        <w:rPr>
          <w:rFonts w:ascii="仿宋_GB2312" w:hAnsi="仿宋_GB2312" w:eastAsia="仿宋_GB2312" w:cs="仿宋_GB2312"/>
          <w:b/>
          <w:sz w:val="24"/>
        </w:rPr>
        <w:t>3.3.2.商务要求</w:t>
      </w:r>
    </w:p>
    <w:p w14:paraId="11C6BF5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E031F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815A4D0">
            <w:pPr>
              <w:pStyle w:val="4"/>
              <w:jc w:val="left"/>
            </w:pPr>
            <w:r>
              <w:rPr>
                <w:rFonts w:ascii="仿宋_GB2312" w:hAnsi="仿宋_GB2312" w:eastAsia="仿宋_GB2312" w:cs="仿宋_GB2312"/>
              </w:rPr>
              <w:t>序号</w:t>
            </w:r>
          </w:p>
        </w:tc>
        <w:tc>
          <w:tcPr>
            <w:tcW w:w="2076" w:type="dxa"/>
          </w:tcPr>
          <w:p w14:paraId="37903712">
            <w:pPr>
              <w:pStyle w:val="4"/>
              <w:jc w:val="left"/>
            </w:pPr>
            <w:r>
              <w:rPr>
                <w:rFonts w:ascii="仿宋_GB2312" w:hAnsi="仿宋_GB2312" w:eastAsia="仿宋_GB2312" w:cs="仿宋_GB2312"/>
              </w:rPr>
              <w:t>符号标识</w:t>
            </w:r>
          </w:p>
        </w:tc>
        <w:tc>
          <w:tcPr>
            <w:tcW w:w="2076" w:type="dxa"/>
          </w:tcPr>
          <w:p w14:paraId="1B17637D">
            <w:pPr>
              <w:pStyle w:val="4"/>
              <w:jc w:val="left"/>
            </w:pPr>
            <w:r>
              <w:rPr>
                <w:rFonts w:ascii="仿宋_GB2312" w:hAnsi="仿宋_GB2312" w:eastAsia="仿宋_GB2312" w:cs="仿宋_GB2312"/>
              </w:rPr>
              <w:t>商务要求名称</w:t>
            </w:r>
          </w:p>
        </w:tc>
        <w:tc>
          <w:tcPr>
            <w:tcW w:w="2076" w:type="dxa"/>
          </w:tcPr>
          <w:p w14:paraId="4F91F1BC">
            <w:pPr>
              <w:pStyle w:val="4"/>
              <w:jc w:val="left"/>
            </w:pPr>
            <w:r>
              <w:rPr>
                <w:rFonts w:ascii="仿宋_GB2312" w:hAnsi="仿宋_GB2312" w:eastAsia="仿宋_GB2312" w:cs="仿宋_GB2312"/>
              </w:rPr>
              <w:t>商务要求内容</w:t>
            </w:r>
          </w:p>
        </w:tc>
      </w:tr>
      <w:tr w14:paraId="2B1F4F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0BBBB4">
            <w:pPr>
              <w:pStyle w:val="4"/>
              <w:jc w:val="left"/>
            </w:pPr>
            <w:r>
              <w:rPr>
                <w:rFonts w:ascii="仿宋_GB2312" w:hAnsi="仿宋_GB2312" w:eastAsia="仿宋_GB2312" w:cs="仿宋_GB2312"/>
              </w:rPr>
              <w:t>1</w:t>
            </w:r>
          </w:p>
        </w:tc>
        <w:tc>
          <w:tcPr>
            <w:tcW w:w="2076" w:type="dxa"/>
          </w:tcPr>
          <w:p w14:paraId="29898A49">
            <w:pPr>
              <w:pStyle w:val="4"/>
              <w:jc w:val="left"/>
            </w:pPr>
            <w:r>
              <w:rPr>
                <w:rFonts w:ascii="仿宋_GB2312" w:hAnsi="仿宋_GB2312" w:eastAsia="仿宋_GB2312" w:cs="仿宋_GB2312"/>
              </w:rPr>
              <w:t>★</w:t>
            </w:r>
          </w:p>
        </w:tc>
        <w:tc>
          <w:tcPr>
            <w:tcW w:w="2076" w:type="dxa"/>
          </w:tcPr>
          <w:p w14:paraId="1F77951D">
            <w:pPr>
              <w:pStyle w:val="4"/>
              <w:jc w:val="left"/>
            </w:pPr>
            <w:r>
              <w:rPr>
                <w:rFonts w:ascii="仿宋_GB2312" w:hAnsi="仿宋_GB2312" w:eastAsia="仿宋_GB2312" w:cs="仿宋_GB2312"/>
              </w:rPr>
              <w:t>服务期限</w:t>
            </w:r>
          </w:p>
        </w:tc>
        <w:tc>
          <w:tcPr>
            <w:tcW w:w="2076" w:type="dxa"/>
          </w:tcPr>
          <w:p w14:paraId="63313792">
            <w:pPr>
              <w:pStyle w:val="4"/>
              <w:jc w:val="left"/>
            </w:pPr>
            <w:r>
              <w:rPr>
                <w:rFonts w:ascii="仿宋_GB2312" w:hAnsi="仿宋_GB2312" w:eastAsia="仿宋_GB2312" w:cs="仿宋_GB2312"/>
              </w:rPr>
              <w:t>自合同签订之日起365日</w:t>
            </w:r>
          </w:p>
        </w:tc>
      </w:tr>
      <w:tr w14:paraId="44DE38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5CC53D7">
            <w:pPr>
              <w:pStyle w:val="4"/>
              <w:jc w:val="left"/>
            </w:pPr>
            <w:r>
              <w:rPr>
                <w:rFonts w:ascii="仿宋_GB2312" w:hAnsi="仿宋_GB2312" w:eastAsia="仿宋_GB2312" w:cs="仿宋_GB2312"/>
              </w:rPr>
              <w:t>2</w:t>
            </w:r>
          </w:p>
        </w:tc>
        <w:tc>
          <w:tcPr>
            <w:tcW w:w="2076" w:type="dxa"/>
          </w:tcPr>
          <w:p w14:paraId="579B729D">
            <w:pPr>
              <w:pStyle w:val="4"/>
              <w:jc w:val="left"/>
            </w:pPr>
            <w:r>
              <w:rPr>
                <w:rFonts w:ascii="仿宋_GB2312" w:hAnsi="仿宋_GB2312" w:eastAsia="仿宋_GB2312" w:cs="仿宋_GB2312"/>
              </w:rPr>
              <w:t>★</w:t>
            </w:r>
          </w:p>
        </w:tc>
        <w:tc>
          <w:tcPr>
            <w:tcW w:w="2076" w:type="dxa"/>
          </w:tcPr>
          <w:p w14:paraId="218A3AED">
            <w:pPr>
              <w:pStyle w:val="4"/>
              <w:jc w:val="left"/>
            </w:pPr>
            <w:r>
              <w:rPr>
                <w:rFonts w:ascii="仿宋_GB2312" w:hAnsi="仿宋_GB2312" w:eastAsia="仿宋_GB2312" w:cs="仿宋_GB2312"/>
              </w:rPr>
              <w:t>服务地点</w:t>
            </w:r>
          </w:p>
        </w:tc>
        <w:tc>
          <w:tcPr>
            <w:tcW w:w="2076" w:type="dxa"/>
          </w:tcPr>
          <w:p w14:paraId="31AF2845">
            <w:pPr>
              <w:pStyle w:val="4"/>
              <w:jc w:val="left"/>
            </w:pPr>
            <w:r>
              <w:rPr>
                <w:rFonts w:ascii="仿宋_GB2312" w:hAnsi="仿宋_GB2312" w:eastAsia="仿宋_GB2312" w:cs="仿宋_GB2312"/>
              </w:rPr>
              <w:t>采购人指定地点</w:t>
            </w:r>
          </w:p>
        </w:tc>
      </w:tr>
      <w:tr w14:paraId="731037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78DC0D7">
            <w:pPr>
              <w:pStyle w:val="4"/>
              <w:jc w:val="left"/>
            </w:pPr>
            <w:r>
              <w:rPr>
                <w:rFonts w:ascii="仿宋_GB2312" w:hAnsi="仿宋_GB2312" w:eastAsia="仿宋_GB2312" w:cs="仿宋_GB2312"/>
              </w:rPr>
              <w:t>3</w:t>
            </w:r>
          </w:p>
        </w:tc>
        <w:tc>
          <w:tcPr>
            <w:tcW w:w="2076" w:type="dxa"/>
          </w:tcPr>
          <w:p w14:paraId="4EB11565">
            <w:pPr>
              <w:pStyle w:val="4"/>
              <w:jc w:val="left"/>
            </w:pPr>
            <w:r>
              <w:rPr>
                <w:rFonts w:ascii="仿宋_GB2312" w:hAnsi="仿宋_GB2312" w:eastAsia="仿宋_GB2312" w:cs="仿宋_GB2312"/>
              </w:rPr>
              <w:t>★</w:t>
            </w:r>
          </w:p>
        </w:tc>
        <w:tc>
          <w:tcPr>
            <w:tcW w:w="2076" w:type="dxa"/>
          </w:tcPr>
          <w:p w14:paraId="05FE988F">
            <w:pPr>
              <w:pStyle w:val="4"/>
              <w:jc w:val="left"/>
            </w:pPr>
            <w:r>
              <w:rPr>
                <w:rFonts w:ascii="仿宋_GB2312" w:hAnsi="仿宋_GB2312" w:eastAsia="仿宋_GB2312" w:cs="仿宋_GB2312"/>
              </w:rPr>
              <w:t>验收、交付标准和方法</w:t>
            </w:r>
          </w:p>
        </w:tc>
        <w:tc>
          <w:tcPr>
            <w:tcW w:w="2076" w:type="dxa"/>
          </w:tcPr>
          <w:p w14:paraId="46D65893">
            <w:pPr>
              <w:pStyle w:val="4"/>
              <w:jc w:val="left"/>
            </w:pPr>
            <w:r>
              <w:rPr>
                <w:rFonts w:ascii="仿宋_GB2312" w:hAnsi="仿宋_GB2312" w:eastAsia="仿宋_GB2312" w:cs="仿宋_GB2312"/>
              </w:rPr>
              <w:t>本项目验收要求采购人将严格按照政府采购相关法律法规以及《财 政部关于进一步加强政府采购需求和履约验收管理的指导意见》（财库〔2016〕205号）、《政府采 购需求管理办法》（财库〔2021〕22号）、《成都市财政局关于印发(成都市市级采购项目履约验收 实施细则(试行))的通知》(成财规[2026]1号)的要求进行验收。</w:t>
            </w:r>
          </w:p>
        </w:tc>
      </w:tr>
      <w:tr w14:paraId="41BB11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027DCC8">
            <w:pPr>
              <w:pStyle w:val="4"/>
              <w:jc w:val="left"/>
            </w:pPr>
            <w:r>
              <w:rPr>
                <w:rFonts w:ascii="仿宋_GB2312" w:hAnsi="仿宋_GB2312" w:eastAsia="仿宋_GB2312" w:cs="仿宋_GB2312"/>
              </w:rPr>
              <w:t>4</w:t>
            </w:r>
          </w:p>
        </w:tc>
        <w:tc>
          <w:tcPr>
            <w:tcW w:w="2076" w:type="dxa"/>
          </w:tcPr>
          <w:p w14:paraId="5970AC4B">
            <w:pPr>
              <w:pStyle w:val="4"/>
              <w:jc w:val="left"/>
            </w:pPr>
            <w:r>
              <w:rPr>
                <w:rFonts w:ascii="仿宋_GB2312" w:hAnsi="仿宋_GB2312" w:eastAsia="仿宋_GB2312" w:cs="仿宋_GB2312"/>
              </w:rPr>
              <w:t>★</w:t>
            </w:r>
          </w:p>
        </w:tc>
        <w:tc>
          <w:tcPr>
            <w:tcW w:w="2076" w:type="dxa"/>
          </w:tcPr>
          <w:p w14:paraId="04134F43">
            <w:pPr>
              <w:pStyle w:val="4"/>
              <w:jc w:val="left"/>
            </w:pPr>
            <w:r>
              <w:rPr>
                <w:rFonts w:ascii="仿宋_GB2312" w:hAnsi="仿宋_GB2312" w:eastAsia="仿宋_GB2312" w:cs="仿宋_GB2312"/>
              </w:rPr>
              <w:t>支付方式</w:t>
            </w:r>
          </w:p>
        </w:tc>
        <w:tc>
          <w:tcPr>
            <w:tcW w:w="2076" w:type="dxa"/>
          </w:tcPr>
          <w:p w14:paraId="74AEC6F2">
            <w:pPr>
              <w:pStyle w:val="4"/>
              <w:jc w:val="left"/>
            </w:pPr>
            <w:r>
              <w:rPr>
                <w:rFonts w:ascii="仿宋_GB2312" w:hAnsi="仿宋_GB2312" w:eastAsia="仿宋_GB2312" w:cs="仿宋_GB2312"/>
              </w:rPr>
              <w:t>分期付款</w:t>
            </w:r>
          </w:p>
        </w:tc>
      </w:tr>
      <w:tr w14:paraId="6A64BC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63D46F">
            <w:pPr>
              <w:pStyle w:val="4"/>
              <w:jc w:val="left"/>
            </w:pPr>
            <w:r>
              <w:rPr>
                <w:rFonts w:ascii="仿宋_GB2312" w:hAnsi="仿宋_GB2312" w:eastAsia="仿宋_GB2312" w:cs="仿宋_GB2312"/>
              </w:rPr>
              <w:t>5</w:t>
            </w:r>
          </w:p>
        </w:tc>
        <w:tc>
          <w:tcPr>
            <w:tcW w:w="2076" w:type="dxa"/>
          </w:tcPr>
          <w:p w14:paraId="6D36D4F0">
            <w:pPr>
              <w:pStyle w:val="4"/>
              <w:jc w:val="left"/>
            </w:pPr>
            <w:r>
              <w:rPr>
                <w:rFonts w:ascii="仿宋_GB2312" w:hAnsi="仿宋_GB2312" w:eastAsia="仿宋_GB2312" w:cs="仿宋_GB2312"/>
              </w:rPr>
              <w:t>★</w:t>
            </w:r>
          </w:p>
        </w:tc>
        <w:tc>
          <w:tcPr>
            <w:tcW w:w="2076" w:type="dxa"/>
          </w:tcPr>
          <w:p w14:paraId="6974E9A5">
            <w:pPr>
              <w:pStyle w:val="4"/>
              <w:jc w:val="left"/>
            </w:pPr>
            <w:r>
              <w:rPr>
                <w:rFonts w:ascii="仿宋_GB2312" w:hAnsi="仿宋_GB2312" w:eastAsia="仿宋_GB2312" w:cs="仿宋_GB2312"/>
              </w:rPr>
              <w:t>付款进度安排</w:t>
            </w:r>
          </w:p>
        </w:tc>
        <w:tc>
          <w:tcPr>
            <w:tcW w:w="2076" w:type="dxa"/>
          </w:tcPr>
          <w:p w14:paraId="3921A0A5">
            <w:pPr>
              <w:pStyle w:val="4"/>
              <w:jc w:val="left"/>
            </w:pPr>
            <w:r>
              <w:rPr>
                <w:rFonts w:ascii="仿宋_GB2312" w:hAnsi="仿宋_GB2312" w:eastAsia="仿宋_GB2312" w:cs="仿宋_GB2312"/>
              </w:rPr>
              <w:t>1付款条件：采购人与成交供应商签订合同并在合同生效之日起收到供应商提供的增值税普通发票，达到该付款条件起10个工作日内，支付合同总金额的40.00%</w:t>
            </w:r>
          </w:p>
          <w:p w14:paraId="6206EF67">
            <w:pPr>
              <w:pStyle w:val="4"/>
              <w:jc w:val="left"/>
            </w:pPr>
            <w:r>
              <w:rPr>
                <w:rFonts w:ascii="仿宋_GB2312" w:hAnsi="仿宋_GB2312" w:eastAsia="仿宋_GB2312" w:cs="仿宋_GB2312"/>
              </w:rPr>
              <w:t>2付款条件：中期评审通过后，收到供应商提供的增值税普通发票，达到该付款条件起10个工作日内，支付合同总金额的20.00%</w:t>
            </w:r>
          </w:p>
          <w:p w14:paraId="58E3C70E">
            <w:pPr>
              <w:pStyle w:val="4"/>
              <w:jc w:val="left"/>
            </w:pPr>
            <w:r>
              <w:rPr>
                <w:rFonts w:ascii="仿宋_GB2312" w:hAnsi="仿宋_GB2312" w:eastAsia="仿宋_GB2312" w:cs="仿宋_GB2312"/>
              </w:rPr>
              <w:t>3付款条件：终期验收通过后，收到供应商提供的增值税普通发票，达到该付款条件起10个工作日内，支付合同总金额的40.00%</w:t>
            </w:r>
          </w:p>
        </w:tc>
      </w:tr>
      <w:tr w14:paraId="67E03D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4F84C3C">
            <w:pPr>
              <w:pStyle w:val="4"/>
              <w:jc w:val="left"/>
            </w:pPr>
            <w:r>
              <w:rPr>
                <w:rFonts w:ascii="仿宋_GB2312" w:hAnsi="仿宋_GB2312" w:eastAsia="仿宋_GB2312" w:cs="仿宋_GB2312"/>
              </w:rPr>
              <w:t>6</w:t>
            </w:r>
          </w:p>
        </w:tc>
        <w:tc>
          <w:tcPr>
            <w:tcW w:w="2076" w:type="dxa"/>
          </w:tcPr>
          <w:p w14:paraId="54FA66A7">
            <w:pPr>
              <w:pStyle w:val="4"/>
              <w:jc w:val="left"/>
            </w:pPr>
            <w:r>
              <w:rPr>
                <w:rFonts w:ascii="仿宋_GB2312" w:hAnsi="仿宋_GB2312" w:eastAsia="仿宋_GB2312" w:cs="仿宋_GB2312"/>
              </w:rPr>
              <w:t>★</w:t>
            </w:r>
          </w:p>
        </w:tc>
        <w:tc>
          <w:tcPr>
            <w:tcW w:w="2076" w:type="dxa"/>
          </w:tcPr>
          <w:p w14:paraId="71A3E47D">
            <w:pPr>
              <w:pStyle w:val="4"/>
              <w:jc w:val="left"/>
            </w:pPr>
            <w:r>
              <w:rPr>
                <w:rFonts w:ascii="仿宋_GB2312" w:hAnsi="仿宋_GB2312" w:eastAsia="仿宋_GB2312" w:cs="仿宋_GB2312"/>
              </w:rPr>
              <w:t>违约责任与解决争议的方法</w:t>
            </w:r>
          </w:p>
        </w:tc>
        <w:tc>
          <w:tcPr>
            <w:tcW w:w="2076" w:type="dxa"/>
          </w:tcPr>
          <w:p w14:paraId="2A034EF1">
            <w:pPr>
              <w:pStyle w:val="4"/>
              <w:jc w:val="left"/>
            </w:pPr>
            <w:r>
              <w:rPr>
                <w:rFonts w:ascii="仿宋_GB2312" w:hAnsi="仿宋_GB2312" w:eastAsia="仿宋_GB2312" w:cs="仿宋_GB2312"/>
              </w:rPr>
              <w:t>1、供应商必须遵守采购合同并执行合同中的各项规定，保证采购合同的正常履行。2、如因供应商工作人员在履行职务过程中的的疏忽、失职、过错等故意或者过失原因给采购人造成损失或侵害，包括但不限于采购人本身的财产损失、由此而导致的采购人对任何第三方的法律责任等，供应商对此均应承担全部的赔偿责任。 3、供应商应当遵守采购人的相关项目需求及相关技术要求及实质性条款，实施完成采购合同应当完全满足相关项目需求及相关技术要求及实质性条款，若供应商瑕疵履行采购合同，采购人有权向供应商要求赔偿合同总价款10%的违约金，若造成相关损失的，采购人有权要求供应商承担所有赔偿责任。4、有下列情形之一的，当事人可以解除合同：（1）因不可抗力致使不能实现合同目的(由于非供应商或采购人原因，致使合同实质性条款无法实现的)； （2）当事人一方迟延履行主要任务，经催告后在合理期限内仍未履行；（3）当事人一方迟延履行任务或者有其他违约行为致使不能实现合同目的；（4）法律规定的其他情形。解决争议的方法 项目实施过程中如发生争议，双方应本着互相尊重、友好合作的原则，互相协商，妥善解决；协商不成的，任何一方均有权向采购人所在地有管辖权的人民法院提起诉讼。</w:t>
            </w:r>
          </w:p>
        </w:tc>
      </w:tr>
    </w:tbl>
    <w:p w14:paraId="3DE2A9A1">
      <w:pPr>
        <w:pStyle w:val="4"/>
        <w:jc w:val="left"/>
        <w:outlineLvl w:val="2"/>
      </w:pPr>
      <w:r>
        <w:rPr>
          <w:rFonts w:ascii="仿宋_GB2312" w:hAnsi="仿宋_GB2312" w:eastAsia="仿宋_GB2312" w:cs="仿宋_GB2312"/>
          <w:b/>
          <w:sz w:val="28"/>
        </w:rPr>
        <w:t>3.4.其他要求</w:t>
      </w:r>
    </w:p>
    <w:p w14:paraId="2AA1A771">
      <w:pPr>
        <w:pStyle w:val="4"/>
        <w:ind w:firstLine="480"/>
        <w:jc w:val="left"/>
      </w:pPr>
      <w:r>
        <w:rPr>
          <w:rFonts w:ascii="仿宋_GB2312" w:hAnsi="仿宋_GB2312" w:eastAsia="仿宋_GB2312" w:cs="仿宋_GB2312"/>
        </w:rPr>
        <w:t>采购包1：</w:t>
      </w:r>
    </w:p>
    <w:p w14:paraId="285C376A">
      <w:pPr>
        <w:pStyle w:val="4"/>
        <w:jc w:val="left"/>
      </w:pPr>
      <w:r>
        <w:rPr>
          <w:rFonts w:ascii="仿宋_GB2312" w:hAnsi="仿宋_GB2312" w:eastAsia="仿宋_GB2312" w:cs="仿宋_GB2312"/>
        </w:rPr>
        <w:t>无</w:t>
      </w:r>
    </w:p>
    <w:p w14:paraId="1D1892AD">
      <w:pPr>
        <w:pStyle w:val="4"/>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6DF2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2026-09-11T01:35:15Z</dcterms:created>
  <dc:creator>Intel</dc:creator>
  <cp:lastModifiedBy>正友之家</cp:lastModifiedBy>
  <dcterms:modified xsi:type="dcterms:W3CDTF">2026-09-11T01:35:59Z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eyJoZGlkIjoiMzgwZDhiYzUzYWYwN2NjYjMxYmE1Y2M3MGVhZDc2ZjUiLCJ1c2VySWQiOiIxNzY0ODE3NjMwIn0=</vt:lpwstr>
  </property>
  <property fmtid="{D5CDD505-2E9C-101B-9397-08002B2CF9AE}" pid="4" name="ICV">
    <vt:lpwstr>680465D1969C4F77BA28B0638C52FF80_12</vt:lpwstr>
  </property>
</Properties>
</file>