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445281-2025-05511</w:t>
      </w:r>
    </w:p>
    <w:p>
      <w:pPr>
        <w:pStyle w:val="null3"/>
        <w:jc w:val="center"/>
        <w:outlineLvl w:val="3"/>
      </w:pPr>
      <w:r>
        <w:rPr>
          <w:sz w:val="24"/>
          <w:b/>
        </w:rPr>
        <w:t>采购项目编号：</w:t>
      </w:r>
      <w:r>
        <w:rPr>
          <w:sz w:val="24"/>
          <w:b/>
        </w:rPr>
        <w:t>WX025FGG11003GD</w:t>
      </w:r>
    </w:p>
    <w:p>
      <w:pPr>
        <w:pStyle w:val="null3"/>
        <w:jc w:val="center"/>
        <w:outlineLvl w:val="3"/>
      </w:pPr>
      <w:r>
        <w:rPr>
          <w:sz w:val="24"/>
          <w:b/>
        </w:rPr>
        <w:t>项目名称：</w:t>
      </w:r>
      <w:r>
        <w:rPr>
          <w:sz w:val="24"/>
          <w:b/>
        </w:rPr>
        <w:t>普宁交管大队洪阳中队摩托车驾驶人科目二、科目三购买社会考场服务项目</w:t>
      </w:r>
    </w:p>
    <w:p>
      <w:pPr>
        <w:pStyle w:val="null3"/>
        <w:jc w:val="center"/>
        <w:outlineLvl w:val="3"/>
      </w:pPr>
      <w:r>
        <w:rPr>
          <w:sz w:val="24"/>
          <w:b/>
        </w:rPr>
        <w:t>采购人：</w:t>
      </w:r>
      <w:r>
        <w:rPr>
          <w:sz w:val="24"/>
          <w:b/>
        </w:rPr>
        <w:t>普宁市公安局</w:t>
      </w:r>
    </w:p>
    <w:p>
      <w:pPr>
        <w:pStyle w:val="null3"/>
        <w:jc w:val="center"/>
        <w:outlineLvl w:val="3"/>
      </w:pPr>
      <w:r>
        <w:rPr>
          <w:sz w:val="24"/>
          <w:b/>
        </w:rPr>
        <w:t>采购代理机构：</w:t>
      </w:r>
      <w:r>
        <w:rPr>
          <w:sz w:val="24"/>
          <w:b/>
        </w:rPr>
        <w:t>广东万欣招标代理有限公司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广东万欣招标代理有限公司</w:t>
      </w:r>
      <w:r>
        <w:rPr/>
        <w:t>受</w:t>
      </w:r>
      <w:r>
        <w:rPr/>
        <w:t>普宁市公安局</w:t>
      </w:r>
      <w:r>
        <w:rPr/>
        <w:t>的委托，采用</w:t>
      </w:r>
      <w:r>
        <w:rPr/>
        <w:t>公开招标</w:t>
      </w:r>
      <w:r>
        <w:rPr/>
        <w:t>方式组织采购</w:t>
      </w:r>
      <w:r>
        <w:rPr/>
        <w:t>普宁交管大队洪阳中队摩托车驾驶人科目二、科目三购买社会考场服务项目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普宁交管大队洪阳中队摩托车驾驶人科目二、科目三购买社会考场服务项目</w:t>
      </w:r>
    </w:p>
    <w:p>
      <w:pPr>
        <w:pStyle w:val="null3"/>
        <w:ind w:firstLine="480"/>
      </w:pPr>
      <w:r>
        <w:rPr/>
        <w:t>采购计划编号：</w:t>
      </w:r>
      <w:r>
        <w:rPr/>
        <w:t>445281-2025-05511</w:t>
      </w:r>
    </w:p>
    <w:p>
      <w:pPr>
        <w:pStyle w:val="null3"/>
        <w:ind w:firstLine="480"/>
      </w:pPr>
      <w:r>
        <w:rPr/>
        <w:t>采购项目编号：</w:t>
      </w:r>
      <w:r>
        <w:rPr/>
        <w:t>WX025FGG11003GD</w:t>
      </w:r>
    </w:p>
    <w:p>
      <w:pPr>
        <w:pStyle w:val="null3"/>
        <w:ind w:firstLine="480"/>
      </w:pPr>
      <w:r>
        <w:rPr/>
        <w:t>采购方式：</w:t>
      </w:r>
      <w:r>
        <w:rPr/>
        <w:t>公开招标</w:t>
      </w:r>
    </w:p>
    <w:p>
      <w:pPr>
        <w:pStyle w:val="null3"/>
        <w:ind w:firstLine="480"/>
      </w:pPr>
      <w:r>
        <w:rPr/>
        <w:t>预算金额：</w:t>
      </w:r>
      <w:r>
        <w:rPr/>
        <w:t>1,289,376.00</w:t>
      </w:r>
      <w:r>
        <w:rPr/>
        <w:t>元</w:t>
      </w:r>
    </w:p>
    <w:p>
      <w:pPr>
        <w:pStyle w:val="null3"/>
        <w:outlineLvl w:val="3"/>
      </w:pPr>
      <w:r>
        <w:rPr>
          <w:sz w:val="24"/>
          <w:b/>
        </w:rPr>
        <w:t>2.项目内容及需求情况（采购项目技术规格、参数及要求）</w:t>
      </w:r>
    </w:p>
    <w:p>
      <w:pPr>
        <w:pStyle w:val="null3"/>
      </w:pPr>
      <w:r>
        <w:rPr/>
        <w:t>采购包1(普宁交管大队洪阳中队摩托车驾驶人科目二、科目三购买社会考场服务):</w:t>
      </w:r>
    </w:p>
    <w:p>
      <w:pPr>
        <w:pStyle w:val="null3"/>
      </w:pPr>
      <w:r>
        <w:rPr/>
        <w:t>采购包预算金额：1,289,376.00元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普宁交管大队洪阳中队摩托车驾驶人科目二、科目三购买社会考场服务</w:t>
            </w:r>
          </w:p>
        </w:tc>
        <w:tc>
          <w:tcPr>
            <w:tcW w:type="dxa" w:w="977"/>
          </w:tcPr>
          <w:p>
            <w:pPr>
              <w:pStyle w:val="null3"/>
            </w:pPr>
            <w:r>
              <w:rPr/>
              <w:t>63,360(人次)</w:t>
            </w:r>
          </w:p>
        </w:tc>
        <w:tc>
          <w:tcPr>
            <w:tcW w:type="dxa" w:w="977"/>
          </w:tcPr>
          <w:p>
            <w:pPr>
              <w:pStyle w:val="null3"/>
            </w:pPr>
            <w:r>
              <w:rPr/>
              <w:t>详见第二章</w:t>
            </w:r>
          </w:p>
        </w:tc>
        <w:tc>
          <w:tcPr>
            <w:tcW w:type="dxa" w:w="977"/>
          </w:tcPr>
          <w:p>
            <w:pPr>
              <w:pStyle w:val="null3"/>
            </w:pPr>
            <w:r>
              <w:rPr/>
              <w:t>1,289,376.00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45个日历天内完成考场配套建设并提供符合标准和规范的摩托车驾驶人科目二、科目三系统评判考试所需的硬件设备、考试系统和考试车辆，场地验收合格并投入使用之日起服务期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Pr>
        <w:pStyle w:val="null3"/>
      </w:pPr>
      <w:r>
        <w:rPr/>
        <w:t>2）有依法缴纳税收和社会保障资金的良好记录：供应商必须有依法缴纳税收和社会保障资金的良好记录。【投标时须提供《资格承诺函》，可参照公告附件格式】</w:t>
      </w:r>
    </w:p>
    <w:p>
      <w:pPr>
        <w:pStyle w:val="null3"/>
      </w:pPr>
      <w:r>
        <w:rPr/>
        <w:t>3）具有良好的商业信誉和健全的财务会计制度：供应商必须具有良好的商业信誉和健全的财务会计制度。【投标时须提供《资格承诺函》，可参照公告附件格式】</w:t>
      </w:r>
    </w:p>
    <w:p>
      <w:pPr>
        <w:pStyle w:val="null3"/>
      </w:pPr>
      <w:r>
        <w:rPr/>
        <w:t>4）履行合同所必需的设备和专业技术能力：供应商必须具有履行合同所必需的设备和专业技术能力。【投标时须提供《设备和专业技术能力情况表》，可参照公告附件格式】</w:t>
      </w:r>
    </w:p>
    <w:p>
      <w:pPr>
        <w:pStyle w:val="null3"/>
      </w:pPr>
      <w:r>
        <w:rPr/>
        <w:t>5）参加采购活动前3年内，在经营活动中没有重大违法记录：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采购包1（普宁交管大队洪阳中队摩托车驾驶人科目二、科目三购买社会考场服务）：</w:t>
      </w:r>
      <w:r>
        <w:rPr/>
        <w:t>参与的供应商（联合体）采购包整体专门面向中小企业，本项目专门面向中小企业采购。投标供应商须符合本项目采购标的对应行业（本项目行业为：其他未列明行业）的政策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服务全部由符合政策要求的中小企业承接。</w:t>
      </w:r>
    </w:p>
    <w:p>
      <w:pPr>
        <w:pStyle w:val="null3"/>
        <w:outlineLvl w:val="3"/>
      </w:pPr>
      <w:r>
        <w:rPr>
          <w:sz w:val="24"/>
          <w:b/>
        </w:rPr>
        <w:t>3.本项目特定的资格要求：</w:t>
      </w:r>
    </w:p>
    <w:p>
      <w:pPr>
        <w:pStyle w:val="null3"/>
      </w:pPr>
      <w:r>
        <w:rPr/>
        <w:t>采购包1（普宁交管大队洪阳中队摩托车驾驶人科目二、科目三购买社会考场服务）：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响应）函相关承诺格式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广东万欣招标代理有限公司（www.gdwxzb.com）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普宁市公安局</w:t>
      </w:r>
    </w:p>
    <w:p>
      <w:pPr>
        <w:pStyle w:val="null3"/>
        <w:ind w:firstLine="480"/>
      </w:pPr>
      <w:r>
        <w:rPr/>
        <w:t xml:space="preserve"> 地址：</w:t>
      </w:r>
      <w:r>
        <w:rPr/>
        <w:t>普宁市流沙大道西99号</w:t>
      </w:r>
    </w:p>
    <w:p>
      <w:pPr>
        <w:pStyle w:val="null3"/>
        <w:ind w:firstLine="480"/>
      </w:pPr>
      <w:r>
        <w:rPr/>
        <w:t xml:space="preserve"> 联系方式：</w:t>
      </w:r>
      <w:r>
        <w:rPr/>
        <w:t>0663-2211134</w:t>
      </w:r>
    </w:p>
    <w:p>
      <w:pPr>
        <w:pStyle w:val="null3"/>
        <w:outlineLvl w:val="3"/>
      </w:pPr>
      <w:r>
        <w:rPr>
          <w:sz w:val="24"/>
          <w:b/>
        </w:rPr>
        <w:t xml:space="preserve"> 2.采购代理机构信息</w:t>
      </w:r>
    </w:p>
    <w:p>
      <w:pPr>
        <w:pStyle w:val="null3"/>
        <w:ind w:firstLine="480"/>
      </w:pPr>
      <w:r>
        <w:rPr/>
        <w:t xml:space="preserve"> 名称：</w:t>
      </w:r>
      <w:r>
        <w:rPr/>
        <w:t>广东万欣招标代理有限公司</w:t>
      </w:r>
    </w:p>
    <w:p>
      <w:pPr>
        <w:pStyle w:val="null3"/>
        <w:ind w:firstLine="480"/>
      </w:pPr>
      <w:r>
        <w:rPr/>
        <w:t xml:space="preserve"> 地址：</w:t>
      </w:r>
      <w:r>
        <w:rPr/>
        <w:t>广东省普宁市流沙西街道南山社区普宁大道商业街南侧第182幢首层105号</w:t>
      </w:r>
    </w:p>
    <w:p>
      <w:pPr>
        <w:pStyle w:val="null3"/>
        <w:ind w:firstLine="480"/>
      </w:pPr>
      <w:r>
        <w:rPr/>
        <w:t xml:space="preserve"> 联系方式：</w:t>
      </w:r>
      <w:r>
        <w:rPr/>
        <w:t>0663-2878655</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0663-2878655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广东万欣招标代理有限公司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222222"/>
          <w:shd w:fill="FFFFFF" w:val="clear"/>
        </w:rPr>
        <w:t>项目编号：</w:t>
      </w:r>
      <w:r>
        <w:rPr>
          <w:sz w:val="24"/>
          <w:color w:val="222222"/>
          <w:shd w:fill="FFFFFF" w:val="clear"/>
        </w:rPr>
        <w:t>WX025FGG11003GD</w:t>
      </w:r>
    </w:p>
    <w:p>
      <w:pPr>
        <w:pStyle w:val="null3"/>
        <w:jc w:val="both"/>
      </w:pPr>
      <w:r>
        <w:rPr>
          <w:sz w:val="24"/>
          <w:color w:val="222222"/>
          <w:shd w:fill="FFFFFF" w:val="clear"/>
        </w:rPr>
        <w:t>项目名称：</w:t>
      </w:r>
      <w:r>
        <w:rPr>
          <w:sz w:val="24"/>
          <w:color w:val="222222"/>
          <w:shd w:fill="FFFFFF" w:val="clear"/>
        </w:rPr>
        <w:t>普宁交管大队洪阳中队摩托车驾驶人科目二、科目三购买社会考场服务项目</w:t>
      </w:r>
    </w:p>
    <w:p>
      <w:pPr>
        <w:pStyle w:val="null3"/>
        <w:spacing w:before="105" w:after="105"/>
        <w:jc w:val="left"/>
      </w:pPr>
      <w:r>
        <w:rPr>
          <w:sz w:val="24"/>
          <w:color w:val="222222"/>
          <w:shd w:fill="FFFFFF" w:val="clear"/>
        </w:rPr>
        <w:t>预算金额：</w:t>
      </w:r>
      <w:r>
        <w:rPr>
          <w:sz w:val="24"/>
          <w:color w:val="222222"/>
          <w:shd w:fill="FFFFFF" w:val="clear"/>
        </w:rPr>
        <w:t>1289376.00</w:t>
      </w:r>
      <w:r>
        <w:rPr>
          <w:sz w:val="24"/>
          <w:color w:val="222222"/>
          <w:shd w:fill="FFFFFF" w:val="clear"/>
        </w:rPr>
        <w:t>元</w:t>
      </w:r>
    </w:p>
    <w:p>
      <w:pPr>
        <w:pStyle w:val="null3"/>
        <w:spacing w:before="105" w:after="105"/>
        <w:jc w:val="left"/>
      </w:pPr>
      <w:r>
        <w:rPr>
          <w:sz w:val="24"/>
          <w:color w:val="222222"/>
          <w:shd w:fill="FFFFFF" w:val="clear"/>
        </w:rPr>
        <w:t>最高限价（如有）：</w:t>
      </w:r>
      <w:r>
        <w:rPr>
          <w:sz w:val="24"/>
          <w:color w:val="222222"/>
          <w:shd w:fill="FFFFFF" w:val="clear"/>
        </w:rPr>
        <w:t>1289376.00</w:t>
      </w:r>
      <w:r>
        <w:rPr>
          <w:sz w:val="24"/>
          <w:color w:val="222222"/>
          <w:shd w:fill="FFFFFF" w:val="clear"/>
        </w:rPr>
        <w:t>元</w:t>
      </w:r>
    </w:p>
    <w:p>
      <w:pPr>
        <w:pStyle w:val="null3"/>
        <w:spacing w:before="105" w:after="105"/>
        <w:jc w:val="left"/>
      </w:pPr>
      <w:r>
        <w:rPr>
          <w:sz w:val="24"/>
          <w:color w:val="222222"/>
          <w:shd w:fill="FFFFFF" w:val="clear"/>
        </w:rPr>
        <w:t>采购需求：（包括但不限于标的的名称、数量、简要技术需求或服务要求等）</w:t>
      </w:r>
    </w:p>
    <w:p>
      <w:pPr>
        <w:pStyle w:val="null3"/>
        <w:spacing w:before="105" w:after="105"/>
        <w:jc w:val="left"/>
      </w:pPr>
      <w:r>
        <w:rPr>
          <w:sz w:val="24"/>
          <w:color w:val="222222"/>
          <w:shd w:fill="FFFFFF" w:val="clear"/>
        </w:rPr>
        <w:t>1、标的名称：</w:t>
      </w:r>
      <w:r>
        <w:rPr>
          <w:sz w:val="24"/>
          <w:color w:val="222222"/>
          <w:shd w:fill="FFFFFF" w:val="clear"/>
        </w:rPr>
        <w:t>普宁交管大队洪阳中队摩托车驾驶人科目二、科目三购买社会考场服务</w:t>
      </w:r>
    </w:p>
    <w:p>
      <w:pPr>
        <w:pStyle w:val="null3"/>
        <w:spacing w:before="105" w:after="105"/>
        <w:jc w:val="left"/>
      </w:pPr>
      <w:r>
        <w:rPr>
          <w:sz w:val="24"/>
          <w:color w:val="222222"/>
          <w:shd w:fill="FFFFFF" w:val="clear"/>
        </w:rPr>
        <w:t>2、标的数量：</w:t>
      </w:r>
      <w:r>
        <w:rPr>
          <w:sz w:val="24"/>
          <w:color w:val="222222"/>
          <w:shd w:fill="FFFFFF" w:val="clear"/>
        </w:rPr>
        <w:t>2</w:t>
      </w:r>
      <w:r>
        <w:rPr>
          <w:sz w:val="24"/>
          <w:color w:val="222222"/>
          <w:shd w:fill="FFFFFF" w:val="clear"/>
        </w:rPr>
        <w:t>年</w:t>
      </w:r>
    </w:p>
    <w:p>
      <w:pPr>
        <w:pStyle w:val="null3"/>
        <w:spacing w:before="105" w:after="105"/>
        <w:jc w:val="left"/>
      </w:pPr>
      <w:r>
        <w:rPr>
          <w:sz w:val="24"/>
          <w:color w:val="222222"/>
          <w:shd w:fill="FFFFFF" w:val="clear"/>
        </w:rPr>
        <w:t>3、简要技术需求或服务要求：</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777"/>
        <w:gridCol w:w="3765"/>
        <w:gridCol w:w="3765"/>
      </w:tblGrid>
      <w:tr>
        <w:tc>
          <w:tcPr>
            <w:tcW w:type="dxa" w:w="777"/>
            <w:tcBorders>
              <w:top w:val="singl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spacing w:before="75" w:after="75"/>
              <w:jc w:val="center"/>
            </w:pPr>
            <w:r>
              <w:rPr>
                <w:sz w:val="24"/>
                <w:color w:val="222222"/>
              </w:rPr>
              <w:t>序号</w:t>
            </w:r>
          </w:p>
        </w:tc>
        <w:tc>
          <w:tcPr>
            <w:tcW w:type="dxa" w:w="3765"/>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75" w:after="75"/>
              <w:jc w:val="center"/>
            </w:pPr>
            <w:r>
              <w:rPr>
                <w:sz w:val="24"/>
                <w:color w:val="222222"/>
              </w:rPr>
              <w:t>项目内容</w:t>
            </w:r>
          </w:p>
        </w:tc>
        <w:tc>
          <w:tcPr>
            <w:tcW w:type="dxa" w:w="3765"/>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75" w:after="75"/>
              <w:jc w:val="center"/>
            </w:pPr>
            <w:r>
              <w:rPr>
                <w:sz w:val="24"/>
                <w:color w:val="222222"/>
              </w:rPr>
              <w:t>合同履行期限</w:t>
            </w:r>
          </w:p>
        </w:tc>
      </w:tr>
      <w:tr>
        <w:tc>
          <w:tcPr>
            <w:tcW w:type="dxa" w:w="777"/>
            <w:tcBorders>
              <w:top w:val="non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spacing w:before="75" w:after="75"/>
              <w:jc w:val="center"/>
            </w:pPr>
            <w:r>
              <w:rPr>
                <w:sz w:val="24"/>
                <w:color w:val="222222"/>
              </w:rPr>
              <w:t>1</w:t>
            </w:r>
          </w:p>
        </w:tc>
        <w:tc>
          <w:tcPr>
            <w:tcW w:type="dxa" w:w="3765"/>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sz w:val="24"/>
                <w:color w:val="222222"/>
              </w:rPr>
              <w:t>普宁交管大队洪阳中队摩托车驾驶人科目二、科目三购买社会考场服务</w:t>
            </w:r>
          </w:p>
        </w:tc>
        <w:tc>
          <w:tcPr>
            <w:tcW w:type="dxa" w:w="3765"/>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sz w:val="24"/>
                <w:color w:val="222222"/>
              </w:rPr>
              <w:t>自合同签订之日起45个日历天内完成考场配套建设并提供符合标准和规范的摩托车驾驶人科目二、科目三系统评判考试所需的硬件设备、考试系统和考试车辆，场地验收合格并投入使用之日起服务期2年。</w:t>
            </w:r>
          </w:p>
        </w:tc>
      </w:tr>
    </w:tbl>
    <w:p>
      <w:pPr>
        <w:pStyle w:val="null3"/>
        <w:spacing w:before="105" w:after="105"/>
        <w:jc w:val="left"/>
      </w:pPr>
      <w:r>
        <w:rPr>
          <w:sz w:val="24"/>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spacing w:before="105" w:after="105"/>
        <w:jc w:val="left"/>
      </w:pPr>
      <w:r>
        <w:rPr>
          <w:sz w:val="24"/>
          <w:color w:val="222222"/>
          <w:shd w:fill="FFFFFF" w:val="clear"/>
        </w:rPr>
        <w:t>4、其他：详细内容见采购人需求</w:t>
      </w:r>
    </w:p>
    <w:p>
      <w:pPr>
        <w:pStyle w:val="null3"/>
        <w:spacing w:before="105" w:after="105"/>
        <w:jc w:val="left"/>
      </w:pPr>
      <w:r>
        <w:rPr>
          <w:sz w:val="24"/>
          <w:color w:val="222222"/>
          <w:shd w:fill="FFFFFF" w:val="clear"/>
        </w:rPr>
        <w:t>5、本项目不接受联合体投标。</w:t>
      </w:r>
    </w:p>
    <w:p>
      <w:pPr>
        <w:pStyle w:val="null3"/>
      </w:pPr>
      <w:r>
        <w:rPr/>
        <w:t>采购包1（普宁交管大队洪阳中队摩托车驾驶人科目二、科目三购买社会考场服务）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自合同签订之日起45个日历天内完成考场配套建设并提供符合标准和规范的摩托车驾驶人科目二、科目三系统评判考试所需的硬件设备、考试系统和考试车辆，场地验收合格并投入使用之日起服务期2年。</w:t>
            </w:r>
          </w:p>
        </w:tc>
      </w:tr>
      <w:tr>
        <w:tc>
          <w:tcPr>
            <w:tcW w:type="dxa" w:w="4153"/>
          </w:tcPr>
          <w:p>
            <w:pPr>
              <w:pStyle w:val="null3"/>
            </w:pPr>
            <w:r>
              <w:rPr/>
              <w:t>标的提供的地点</w:t>
            </w:r>
          </w:p>
        </w:tc>
        <w:tc>
          <w:tcPr>
            <w:tcW w:type="dxa" w:w="4153"/>
          </w:tcPr>
          <w:p>
            <w:pPr>
              <w:pStyle w:val="null3"/>
            </w:pPr>
            <w:r>
              <w:rPr/>
              <w:t>普宁市洪阳片区域范围内。</w:t>
            </w:r>
          </w:p>
        </w:tc>
      </w:tr>
      <w:tr>
        <w:tc>
          <w:tcPr>
            <w:tcW w:type="dxa" w:w="4153"/>
          </w:tcPr>
          <w:p>
            <w:pPr>
              <w:pStyle w:val="null3"/>
            </w:pPr>
            <w:r>
              <w:rPr/>
              <w:t>付款方式</w:t>
            </w:r>
          </w:p>
        </w:tc>
        <w:tc>
          <w:tcPr>
            <w:tcW w:type="dxa" w:w="4153"/>
          </w:tcPr>
          <w:p>
            <w:pPr>
              <w:pStyle w:val="null3"/>
            </w:pPr>
            <w:r>
              <w:rPr/>
              <w:t>1期：支付比例100%,（1）服务费按季度结算，科目二服务费=每季考试合格人次×中标项目单价，科目三服务费=每季考试合格人次×中标项目单价。 （2）在结算时，中标人须向采购人出具有效的等额结算发票及必要的凭证。 （3）因采购人使用的是财政资金，采购人在请款规定的付款时间向政府采购支付部门提出办理财政支付申请手续的时间（不含政府财政支付部门审核的时间），在规定时间内提出支付申请手续后即视为采购人已经按期支付。因财政资金未能及时拨付到位导致采购人无法按时支付相应价款给中标人，中标人表示谅解，并同意不视为采购人违约，不由此追究采购人的违约责任。采购人不承担因财政资金不能及时到位给中标人造成的任何损失。 （4）本项目所有约定的款项均为含税金额。 （5）结算金额达到预算价或本项目服务期满两年，视为项目已完成，合同终止。</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1期：（1）实现摩托车驾驶人科目二、科目三考试电子化评判，符合《机动车驾驶人考试场地及其设施设置规范》(GA1029-2022)和《GAT1030.2-2017机动车驾驶人考场使用验收规范--场地驾驶技能考场》的要求”内容。 （2）合同签订后45天内完成考场建设并交付公安交通管理部门验收，验收合格接入监管平台及社会化专网服务平台后投入考试服务工作。经公安交通管理部门验收不合格的，由中标人制定整改方案提交采购人审核确认后，在30天内由中标人委托有资质的单位进行施工并完成整改，整改完成后，由公安交通管理部门进行终验。无法验收的，采购人有权解除合同，并要求中标人赔偿相关经济损失，赔偿损失金额为本项目总预算金额的50%，采购人无需承担任何违约责任。 （3）验收时需提供公安部交通安全产品质量监管监测中心出具关于机动车驾驶人场地驾驶技能考试系统的检测报告。 （4）项目合同验收标准按合同约定执行。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时须在投标文件中分项报价表列明科目二、科目三项目单价（每项单价不能超过项目最高限单价）；报价中必须包括供货方设计、设备、安装、零配件、标配工具、运输保险、调试、培训、售后服务、各项税费及合同实施过程中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应急服务要求</w:t>
            </w:r>
          </w:p>
        </w:tc>
        <w:tc>
          <w:tcPr>
            <w:tcW w:type="dxa" w:w="2076"/>
          </w:tcPr>
          <w:p>
            <w:pPr>
              <w:pStyle w:val="null3"/>
              <w:jc w:val="left"/>
            </w:pPr>
            <w:r>
              <w:rPr/>
              <w:t>中标人应采取切实有效措施，确保考试有序、安全进行。考试场要制定紧急情况应急处置预案,一旦发生突发事件能有效进行处置。</w:t>
            </w:r>
          </w:p>
        </w:tc>
      </w:tr>
      <w:tr>
        <w:tc>
          <w:tcPr>
            <w:tcW w:type="dxa" w:w="2076"/>
          </w:tcPr>
          <w:p/>
        </w:tc>
        <w:tc>
          <w:tcPr>
            <w:tcW w:type="dxa" w:w="2076"/>
          </w:tcPr>
          <w:p>
            <w:pPr>
              <w:pStyle w:val="null3"/>
              <w:jc w:val="center"/>
            </w:pPr>
            <w:r>
              <w:rPr/>
              <w:t>3</w:t>
            </w:r>
          </w:p>
        </w:tc>
        <w:tc>
          <w:tcPr>
            <w:tcW w:type="dxa" w:w="2076"/>
          </w:tcPr>
          <w:p>
            <w:pPr>
              <w:pStyle w:val="null3"/>
              <w:jc w:val="left"/>
            </w:pPr>
            <w:r>
              <w:rPr/>
              <w:t>投入管理机构设立</w:t>
            </w:r>
          </w:p>
        </w:tc>
        <w:tc>
          <w:tcPr>
            <w:tcW w:type="dxa" w:w="2076"/>
          </w:tcPr>
          <w:p>
            <w:pPr>
              <w:pStyle w:val="null3"/>
              <w:jc w:val="left"/>
            </w:pPr>
            <w:r>
              <w:rPr/>
              <w:t>中标人应有健全、完善的组织管理机构、管理人员和相应的后勤保障人员;制定健全、完善、严密的日常工作管理制度,做到分工明确、责任到人,并建立工作日志和台帐,确保各项管理制度真正落到实处。</w:t>
            </w:r>
          </w:p>
        </w:tc>
      </w:tr>
      <w:tr>
        <w:tc>
          <w:tcPr>
            <w:tcW w:type="dxa" w:w="2076"/>
          </w:tcPr>
          <w:p/>
        </w:tc>
        <w:tc>
          <w:tcPr>
            <w:tcW w:type="dxa" w:w="2076"/>
          </w:tcPr>
          <w:p>
            <w:pPr>
              <w:pStyle w:val="null3"/>
              <w:jc w:val="center"/>
            </w:pPr>
            <w:r>
              <w:rPr/>
              <w:t>4</w:t>
            </w:r>
          </w:p>
        </w:tc>
        <w:tc>
          <w:tcPr>
            <w:tcW w:type="dxa" w:w="2076"/>
          </w:tcPr>
          <w:p>
            <w:pPr>
              <w:pStyle w:val="null3"/>
              <w:jc w:val="left"/>
            </w:pPr>
            <w:r>
              <w:rPr/>
              <w:t>考场运维要求</w:t>
            </w:r>
          </w:p>
        </w:tc>
        <w:tc>
          <w:tcPr>
            <w:tcW w:type="dxa" w:w="2076"/>
          </w:tcPr>
          <w:p>
            <w:pPr>
              <w:pStyle w:val="null3"/>
              <w:jc w:val="left"/>
            </w:pPr>
            <w:r>
              <w:rPr/>
              <w:t>（1）中标人须提供满足考场日常运营的人员配置及各项后勤保障服务，并保证考场正常运作。采购人对考场日常运营不再支付其他费用。 （2）中标人应加强对考试场地、考试设备、考试车辆的日常维护和保养,对出现故障的,应立即检查、及时排除。对已不适应实际工作需求的考试设备和考试用车,要及时申请更换考试用车要按规定严格进行定期安全检验和报废更新。 （3）在考场内发生的包括但不限于工作人员、考生等人员的工伤事故、安全事故、考试驾驶交通事故等一切安全责任，包括人身损害或财产损失由中标人承担相应的赔偿经济责任和法律责任。 （4）中标人交付的考场须满足采购人的功能需求，并在服务期内对考场所出现的质量问题承担保修义务。因中标人提供考场所出现质量问题而导致安全事故发生的，由中标人承担全部责任。</w:t>
            </w:r>
          </w:p>
        </w:tc>
      </w:tr>
      <w:tr>
        <w:tc>
          <w:tcPr>
            <w:tcW w:type="dxa" w:w="2076"/>
          </w:tcPr>
          <w:p/>
        </w:tc>
        <w:tc>
          <w:tcPr>
            <w:tcW w:type="dxa" w:w="2076"/>
          </w:tcPr>
          <w:p>
            <w:pPr>
              <w:pStyle w:val="null3"/>
              <w:jc w:val="center"/>
            </w:pPr>
            <w:r>
              <w:rPr/>
              <w:t>5</w:t>
            </w:r>
          </w:p>
        </w:tc>
        <w:tc>
          <w:tcPr>
            <w:tcW w:type="dxa" w:w="2076"/>
          </w:tcPr>
          <w:p>
            <w:pPr>
              <w:pStyle w:val="null3"/>
              <w:jc w:val="left"/>
            </w:pPr>
            <w:r>
              <w:rPr/>
              <w:t>违规处置</w:t>
            </w:r>
          </w:p>
        </w:tc>
        <w:tc>
          <w:tcPr>
            <w:tcW w:type="dxa" w:w="2076"/>
          </w:tcPr>
          <w:p>
            <w:pPr>
              <w:pStyle w:val="null3"/>
              <w:jc w:val="left"/>
            </w:pPr>
            <w:r>
              <w:rPr/>
              <w:t>（1）中标人有下列情形之一的，采购人有权停止该考场的考试业务，并责令限期整改：①考场内监管设施不完善，可能产生考试舞弊的；②考试设施损坏未及时修复，影响正常考试的；③因考生对考试标准及结果质疑而造成不良的社会影响的。被暂停考试的，中标人应当在规定时限内完成整改，并经复查合格后，方可恢复考试。 （2）中标人有下列情形之一的，采购人有权停止该考场的考试业务，并报省公安交通管理部门取消考场备案：①中标人出现考场人员组织、参与、协助考试作弊的，每出现1次，采购人可暂停该考场的考试业务；如合同期内累计出现3次该类情况的，或单次情节严重造成严重后果，采购人可终止合同，取消考场备案；②中标人有任何以考试为名直接或间接向入场进行考试的驾校或学员收取或接受任何形式费用，情节严重的；③依据相关规定，驾驶人考试的标准和条件发生变化后，考场方故意推延或拒不执行改造或补建要求的；④其他违反公安部《机动车驾驶证申领和使用规定》、《机动车驾驶证业务工作规范》和《机动车驾驶人考试工作规范》等相关规定，应当停止考试的情形。</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选址要求</w:t>
            </w:r>
          </w:p>
        </w:tc>
        <w:tc>
          <w:tcPr>
            <w:tcW w:type="dxa" w:w="2076"/>
          </w:tcPr>
          <w:p>
            <w:pPr>
              <w:pStyle w:val="null3"/>
              <w:jc w:val="left"/>
            </w:pPr>
            <w:r>
              <w:rPr/>
              <w:t>地点选择普宁市洪阳镇镇区范围内，交通相对便利，符合考场设置相关标准要求。应符合土地使用的登记规定、权属清晰，具备土地使用权证明文件；如是租赁场地，供应商在本项目中标后签订合同前须提供租赁合同、租赁期需满足本次服务要求时间。（投标文件中须提供承诺函，格式自拟。）</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服务保障要求</w:t>
            </w:r>
          </w:p>
        </w:tc>
        <w:tc>
          <w:tcPr>
            <w:tcW w:type="dxa" w:w="2076"/>
          </w:tcPr>
          <w:p>
            <w:pPr>
              <w:pStyle w:val="null3"/>
              <w:jc w:val="left"/>
            </w:pPr>
            <w:r>
              <w:rPr/>
              <w:t>（1）工作人员必须严格遵守采购单位制定的各项规章制度和管理规范规程、忠于职守、文明礼貌、严格遵守劳动纪律、服从和执行各项工作安排和调度。 （2）中标人必须按照标准按时足额发放工作人员的工资薪酬：中标人出现劳资纠纷影响正常工作的，由此产生的一切法律责任由中标人承担。 （3）根据所有工作人员的工作表现，如中标人的劳动者因工作表现造成投诉等不良影响的，采购人有权要求中标人必须无条件更换合格的人员。 （4）中标人必须保证本项目服务在岗人数，确保考试及相关业务正常运行，缺岗人数须及时补充上岗。 （5）为更好地保障日常考试工作，分担意外产生的风险情况，中标人需为投入该项目的服务团队人员购买在有效期内的人身意外保险。 （投标文件中须提供承诺函，格式自拟。）</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考试系统管理要求</w:t>
            </w:r>
          </w:p>
        </w:tc>
        <w:tc>
          <w:tcPr>
            <w:tcW w:type="dxa" w:w="2076"/>
          </w:tcPr>
          <w:p>
            <w:pPr>
              <w:pStyle w:val="null3"/>
              <w:jc w:val="left"/>
            </w:pPr>
            <w:r>
              <w:rPr/>
              <w:t>（1）中标人必须定期和不定期检查考试系统的性能，当考试设备出现不满足考试正常运作要求的条件时，中标人须在12小时以内到位响应，并及时整改，保障考试过程中设备的正常运作，保证考试的顺利进行。 （2）中标人应及时对可能存在的考场设施、考试设备系统故障隐患作评估，并进行恰当的预防性处理，以保证考试设备的安全运行。 （3）项目参考依据《机动车驾驶证申领和使用规定》(公安部令第172号) 《机动车驾驶人考试内容和方法》(GA1026-2022) 《机动车驾驶人考试场地及其设施设置规范》(GA1029-2022) 《机动车驾驶人考试系统通用技术条件》《机动车驾驶人考试监管系统通用技术条件》(GA/T1028.1.2.3.4-2022) 《机动车驾驶人考场使用验收规范第2部分：场地驾驶技能考场》（GA/T 1030.2-2022） 注:若有国家最新标准、行业标准、地方标准的按最新标准执行，中标人须在采购人指引下无条件遵守上述全部文件规定。（投标文件中须提供承诺函，格式自拟。）</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供货要求</w:t>
            </w:r>
          </w:p>
        </w:tc>
        <w:tc>
          <w:tcPr>
            <w:tcW w:type="dxa" w:w="2076"/>
          </w:tcPr>
          <w:p>
            <w:pPr>
              <w:pStyle w:val="null3"/>
              <w:jc w:val="left"/>
            </w:pPr>
            <w:r>
              <w:rPr/>
              <w:t>（1）投标人需承诺签订合同后45个日历日内按采购方使用需要提供全部考试用车（需具备完整购车发票、保险（含交强险、第三者商业险等）、证照齐全、并经公安部门检测合格，车辆喷涂、性能和装备符合考试用车标准（广东省公安厅《关于统一设置考试车辆标志的通知》（广公交（传）字(2015）204号）及《机动车驾驶人考试场地及其设施设置规范》（GA1029—2022）有关考试车型规定）。（投标文件中须提供承诺函，格式自拟。）</w:t>
            </w:r>
          </w:p>
        </w:tc>
      </w:tr>
      <w:tr>
        <w:tc>
          <w:tcPr>
            <w:tcW w:type="dxa" w:w="2076"/>
          </w:tcPr>
          <w:p/>
        </w:tc>
        <w:tc>
          <w:tcPr>
            <w:tcW w:type="dxa" w:w="2076"/>
          </w:tcPr>
          <w:p>
            <w:pPr>
              <w:pStyle w:val="null3"/>
              <w:jc w:val="center"/>
            </w:pPr>
            <w:r>
              <w:rPr/>
              <w:t>10</w:t>
            </w:r>
          </w:p>
        </w:tc>
        <w:tc>
          <w:tcPr>
            <w:tcW w:type="dxa" w:w="2076"/>
          </w:tcPr>
          <w:p>
            <w:pPr>
              <w:pStyle w:val="null3"/>
              <w:jc w:val="left"/>
            </w:pPr>
            <w:r>
              <w:rPr/>
              <w:t>售后服务</w:t>
            </w:r>
          </w:p>
        </w:tc>
        <w:tc>
          <w:tcPr>
            <w:tcW w:type="dxa" w:w="2076"/>
          </w:tcPr>
          <w:p>
            <w:pPr>
              <w:pStyle w:val="null3"/>
              <w:jc w:val="left"/>
            </w:pPr>
            <w:r>
              <w:rPr/>
              <w:t>须满足摩托车驾驶人科目二、科目三考试的各项功能需求。在服务期内考场的场地基建、考场设施及设备、考试系统、考试车辆等建设、保养、维修，考场内产生的包括但不限于考试车辆油料费、水、电、网络费等各种费用由提供服务方承担。考场内的一切人员包括但不限于人身、财物安全，考场发生的安全事故、交通事故及由此产生的经济责任、法律责任由中标人承担。</w:t>
            </w:r>
          </w:p>
        </w:tc>
      </w:tr>
      <w:tr>
        <w:tc>
          <w:tcPr>
            <w:tcW w:type="dxa" w:w="2076"/>
          </w:tcPr>
          <w:p/>
        </w:tc>
        <w:tc>
          <w:tcPr>
            <w:tcW w:type="dxa" w:w="2076"/>
          </w:tcPr>
          <w:p>
            <w:pPr>
              <w:pStyle w:val="null3"/>
              <w:jc w:val="center"/>
            </w:pPr>
            <w:r>
              <w:rPr/>
              <w:t>11</w:t>
            </w:r>
          </w:p>
        </w:tc>
        <w:tc>
          <w:tcPr>
            <w:tcW w:type="dxa" w:w="2076"/>
          </w:tcPr>
          <w:p>
            <w:pPr>
              <w:pStyle w:val="null3"/>
              <w:jc w:val="left"/>
            </w:pPr>
            <w:r>
              <w:rPr/>
              <w:t>其他要求</w:t>
            </w:r>
          </w:p>
        </w:tc>
        <w:tc>
          <w:tcPr>
            <w:tcW w:type="dxa" w:w="2076"/>
          </w:tcPr>
          <w:p>
            <w:pPr>
              <w:pStyle w:val="null3"/>
              <w:jc w:val="left"/>
            </w:pPr>
            <w:r>
              <w:rPr/>
              <w:t>（1）中标人不得将考场配套车辆、设备等用于考试以外的任何用途。 （2）考生预约考试成功后，允许在考场非考试时段免费让预约考生在考试前进入考场熟悉考试环境，不得设立强制性消费或服务项目。 （3）本项目服务期满后，采购人建设放置在理论考试室（科目一）的电脑及配套设备的安保看管责任由中标方负责，服务期满后相关设备如数归还采购人。（科目二、科目三）考场相关设备、设施（包含车辆、机房设备、考试系统、场地设备等）权属归中标人所有。 （4）投标人在本项目中标后签订合同前须必须提供机动车驾驶人驾驶技能考试系统，提供以下证明材料之一：1）投标人自有的，提供自有的软件著作权登记证书扫描件；2）非投标人自有的，需出具准予使用机动车驾驶人驾驶技能考试系统的证明文件（如合作意向书，委托开发协议或购买协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普宁交管大队洪阳中队摩托车驾驶人科目二、科目三购买社会考场服务</w:t>
            </w:r>
          </w:p>
        </w:tc>
        <w:tc>
          <w:tcPr>
            <w:tcW w:type="dxa" w:w="933"/>
          </w:tcPr>
          <w:p>
            <w:pPr>
              <w:pStyle w:val="null3"/>
              <w:jc w:val="left"/>
            </w:pPr>
            <w:r>
              <w:rPr/>
              <w:t>人次</w:t>
            </w:r>
          </w:p>
        </w:tc>
        <w:tc>
          <w:tcPr>
            <w:tcW w:type="dxa" w:w="933"/>
          </w:tcPr>
          <w:p>
            <w:pPr>
              <w:pStyle w:val="null3"/>
              <w:jc w:val="right"/>
            </w:pPr>
            <w:r>
              <w:rPr/>
              <w:t>63,360.00</w:t>
            </w:r>
          </w:p>
        </w:tc>
        <w:tc>
          <w:tcPr>
            <w:tcW w:type="dxa" w:w="933"/>
          </w:tcPr>
          <w:p>
            <w:pPr>
              <w:pStyle w:val="null3"/>
              <w:jc w:val="right"/>
            </w:pPr>
            <w:r>
              <w:rPr/>
              <w:t>20.35</w:t>
            </w:r>
          </w:p>
        </w:tc>
        <w:tc>
          <w:tcPr>
            <w:tcW w:type="dxa" w:w="933"/>
          </w:tcPr>
          <w:p>
            <w:pPr>
              <w:pStyle w:val="null3"/>
              <w:jc w:val="right"/>
            </w:pPr>
            <w:r>
              <w:rPr/>
              <w:t>1,289,376.00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普宁交管大队洪阳中队摩托车驾驶人科目二、科目三购买社会考场服务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766"/>
              <w:jc w:val="left"/>
            </w:pPr>
            <w:r>
              <w:rPr>
                <w:sz w:val="24"/>
                <w:b/>
                <w:color w:val="000000"/>
              </w:rPr>
              <w:t>（</w:t>
            </w:r>
            <w:r>
              <w:rPr>
                <w:sz w:val="24"/>
                <w:b/>
                <w:color w:val="000000"/>
              </w:rPr>
              <w:t>一</w:t>
            </w:r>
            <w:r>
              <w:rPr>
                <w:sz w:val="24"/>
                <w:b/>
                <w:color w:val="000000"/>
              </w:rPr>
              <w:t>）</w:t>
            </w:r>
            <w:r>
              <w:rPr>
                <w:sz w:val="24"/>
                <w:b/>
                <w:color w:val="000000"/>
              </w:rPr>
              <w:t>服务内容</w:t>
            </w:r>
          </w:p>
          <w:p>
            <w:pPr>
              <w:pStyle w:val="null3"/>
              <w:ind w:firstLine="564"/>
              <w:jc w:val="left"/>
            </w:pPr>
            <w:r>
              <w:rPr>
                <w:sz w:val="24"/>
                <w:color w:val="000000"/>
              </w:rPr>
              <w:t>1</w:t>
            </w:r>
            <w:r>
              <w:rPr>
                <w:sz w:val="24"/>
                <w:color w:val="000000"/>
              </w:rPr>
              <w:t>、</w:t>
            </w:r>
            <w:r>
              <w:rPr>
                <w:sz w:val="24"/>
                <w:color w:val="000000"/>
              </w:rPr>
              <w:t>地点位于普宁市洪阳镇范围内，交通便利。</w:t>
            </w:r>
          </w:p>
        </w:tc>
      </w:tr>
      <w:tr>
        <w:tc>
          <w:tcPr>
            <w:tcW w:type="dxa" w:w="2076"/>
          </w:tcPr>
          <w:p/>
        </w:tc>
        <w:tc>
          <w:tcPr>
            <w:tcW w:type="dxa" w:w="415"/>
          </w:tcPr>
          <w:p>
            <w:pPr>
              <w:pStyle w:val="null3"/>
            </w:pPr>
            <w:r>
              <w:rPr/>
              <w:t>2</w:t>
            </w:r>
          </w:p>
        </w:tc>
        <w:tc>
          <w:tcPr>
            <w:tcW w:type="dxa" w:w="5814"/>
          </w:tcPr>
          <w:p>
            <w:pPr>
              <w:pStyle w:val="null3"/>
              <w:ind w:firstLine="564"/>
              <w:jc w:val="left"/>
            </w:pPr>
            <w:r>
              <w:rPr>
                <w:sz w:val="24"/>
                <w:color w:val="000000"/>
              </w:rPr>
              <w:t>2、</w:t>
            </w:r>
            <w:r>
              <w:rPr>
                <w:sz w:val="24"/>
                <w:color w:val="000000"/>
              </w:rPr>
              <w:t>考场设计应满足每周考试不少于5天，且每天考试不少于120人次，年考</w:t>
            </w:r>
            <w:r>
              <w:rPr>
                <w:sz w:val="24"/>
                <w:color w:val="000000"/>
              </w:rPr>
              <w:t>能</w:t>
            </w:r>
            <w:r>
              <w:rPr>
                <w:sz w:val="24"/>
                <w:color w:val="000000"/>
              </w:rPr>
              <w:t>科目二不少于31680人次、科目三不少于31680人次，实现考场的考试系统符合有关规定及规范要求，适应驾驶人考试业务发展的实际需求。</w:t>
            </w:r>
          </w:p>
        </w:tc>
      </w:tr>
      <w:tr>
        <w:tc>
          <w:tcPr>
            <w:tcW w:type="dxa" w:w="2076"/>
          </w:tcPr>
          <w:p/>
        </w:tc>
        <w:tc>
          <w:tcPr>
            <w:tcW w:type="dxa" w:w="415"/>
          </w:tcPr>
          <w:p>
            <w:pPr>
              <w:pStyle w:val="null3"/>
            </w:pPr>
            <w:r>
              <w:rPr/>
              <w:t>3</w:t>
            </w:r>
          </w:p>
        </w:tc>
        <w:tc>
          <w:tcPr>
            <w:tcW w:type="dxa" w:w="5814"/>
          </w:tcPr>
          <w:p>
            <w:pPr>
              <w:pStyle w:val="null3"/>
              <w:ind w:firstLine="564"/>
              <w:jc w:val="left"/>
            </w:pPr>
            <w:r>
              <w:rPr>
                <w:sz w:val="24"/>
                <w:color w:val="000000"/>
              </w:rPr>
              <w:t>3、</w:t>
            </w:r>
            <w:r>
              <w:rPr>
                <w:sz w:val="24"/>
                <w:color w:val="000000"/>
              </w:rPr>
              <w:t>场内可用面积不低于1800平方米，要求为一整块的围闭场地，能够防止与考试无关的车辆和人员进入，已完成场地硬化，通电、通网络、通水且能随时使用，配套建设监考室、候考室，并在合同期内提供不低于60平方米房供</w:t>
            </w:r>
            <w:r>
              <w:rPr>
                <w:sz w:val="24"/>
                <w:color w:val="000000"/>
              </w:rPr>
              <w:t>采购人</w:t>
            </w:r>
            <w:r>
              <w:rPr>
                <w:sz w:val="24"/>
                <w:color w:val="000000"/>
              </w:rPr>
              <w:t>用于建设摩托车理论考试室（含安全文明考试），理论考试室用房通电、通网络、通水且能随时接通使用。</w:t>
            </w:r>
          </w:p>
        </w:tc>
      </w:tr>
      <w:tr>
        <w:tc>
          <w:tcPr>
            <w:tcW w:type="dxa" w:w="2076"/>
          </w:tcPr>
          <w:p/>
        </w:tc>
        <w:tc>
          <w:tcPr>
            <w:tcW w:type="dxa" w:w="415"/>
          </w:tcPr>
          <w:p>
            <w:pPr>
              <w:pStyle w:val="null3"/>
            </w:pPr>
            <w:r>
              <w:rPr/>
              <w:t>4</w:t>
            </w:r>
          </w:p>
        </w:tc>
        <w:tc>
          <w:tcPr>
            <w:tcW w:type="dxa" w:w="5814"/>
          </w:tcPr>
          <w:p>
            <w:pPr>
              <w:pStyle w:val="null3"/>
              <w:ind w:firstLine="564"/>
              <w:jc w:val="left"/>
            </w:pPr>
            <w:r>
              <w:rPr>
                <w:sz w:val="24"/>
                <w:color w:val="000000"/>
              </w:rPr>
              <w:t>4、</w:t>
            </w:r>
            <w:r>
              <w:rPr>
                <w:sz w:val="24"/>
                <w:color w:val="000000"/>
              </w:rPr>
              <w:t>按照公安部摩托车驾驶人考试场地设施设置规范标准建设，科目二场地驾驶技能考场、科目三道路驾驶技能考场，并通过公安交通管理部门验收。规划建设科目二场地驾驶技能考场需满足D、E摩托车驾驶人考试，需配备科二场地配置普通二轮桩考一条、三轮摩托车桩考两条、二轮单边桥一条；三轮单边桥两条；上坡起步车道两条；科目三直线长度需满足考试项目；科目二、三需配备普通二轮和三轮摩托考试车6台以上（D车型4台、E车型2台）。能根据考试需求及时增配考试用车。建设候考室、监控中心、办公室等配套服务；考试期间需配备安全员不少于3人，确保考场考试工作安全、正常开展，因人员不足影响考试服务时，应根据</w:t>
            </w:r>
            <w:r>
              <w:rPr>
                <w:sz w:val="24"/>
                <w:color w:val="000000"/>
              </w:rPr>
              <w:t>采购人</w:t>
            </w:r>
            <w:r>
              <w:rPr>
                <w:sz w:val="24"/>
                <w:color w:val="000000"/>
              </w:rPr>
              <w:t>意见及时增派人员，以满足考试管理服务需求。</w:t>
            </w:r>
          </w:p>
        </w:tc>
      </w:tr>
      <w:tr>
        <w:tc>
          <w:tcPr>
            <w:tcW w:type="dxa" w:w="2076"/>
          </w:tcPr>
          <w:p/>
        </w:tc>
        <w:tc>
          <w:tcPr>
            <w:tcW w:type="dxa" w:w="415"/>
          </w:tcPr>
          <w:p>
            <w:pPr>
              <w:pStyle w:val="null3"/>
            </w:pPr>
            <w:r>
              <w:rPr/>
              <w:t>5</w:t>
            </w:r>
          </w:p>
        </w:tc>
        <w:tc>
          <w:tcPr>
            <w:tcW w:type="dxa" w:w="5814"/>
          </w:tcPr>
          <w:p>
            <w:pPr>
              <w:pStyle w:val="null3"/>
              <w:ind w:firstLine="564"/>
              <w:jc w:val="left"/>
            </w:pPr>
            <w:r>
              <w:rPr>
                <w:sz w:val="24"/>
                <w:color w:val="000000"/>
              </w:rPr>
              <w:t>5、</w:t>
            </w:r>
            <w:r>
              <w:rPr>
                <w:sz w:val="24"/>
                <w:color w:val="000000"/>
              </w:rPr>
              <w:t>场地附近不能有影响考试信号正常使用的设施或建（构）筑物存在，场地及设施设备符合中华人民共和国公安部发布现行有效的摩托车驾驶人科目二、科目三考试场地有关要求，需按最新标准执行改造建设，改造期不计入合同履行期。</w:t>
            </w:r>
          </w:p>
        </w:tc>
      </w:tr>
      <w:tr>
        <w:tc>
          <w:tcPr>
            <w:tcW w:type="dxa" w:w="2076"/>
          </w:tcPr>
          <w:p/>
        </w:tc>
        <w:tc>
          <w:tcPr>
            <w:tcW w:type="dxa" w:w="415"/>
          </w:tcPr>
          <w:p>
            <w:pPr>
              <w:pStyle w:val="null3"/>
            </w:pPr>
            <w:r>
              <w:rPr/>
              <w:t>6</w:t>
            </w:r>
          </w:p>
        </w:tc>
        <w:tc>
          <w:tcPr>
            <w:tcW w:type="dxa" w:w="5814"/>
          </w:tcPr>
          <w:p>
            <w:pPr>
              <w:pStyle w:val="null3"/>
              <w:ind w:firstLine="564"/>
              <w:jc w:val="left"/>
            </w:pPr>
            <w:r>
              <w:rPr>
                <w:sz w:val="24"/>
                <w:color w:val="000000"/>
              </w:rPr>
              <w:t>6、中标人</w:t>
            </w:r>
            <w:r>
              <w:rPr>
                <w:sz w:val="24"/>
                <w:color w:val="000000"/>
              </w:rPr>
              <w:t>按照要求在45个日历日内提供符合标准和规范的摩托车驾驶人科目二、科目三系统评判考试所需的硬件设备、考试系统和考试车辆。</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564"/>
              <w:jc w:val="left"/>
            </w:pPr>
            <w:r>
              <w:rPr>
                <w:sz w:val="24"/>
                <w:color w:val="000000"/>
              </w:rPr>
              <w:t>7、项目单价</w:t>
            </w:r>
          </w:p>
          <w:tbl>
            <w:tblPr>
              <w:tblBorders>
                <w:top w:val="none" w:color="000000" w:sz="4"/>
                <w:left w:val="none" w:color="000000" w:sz="4"/>
                <w:bottom w:val="none" w:color="000000" w:sz="4"/>
                <w:right w:val="none" w:color="000000" w:sz="4"/>
                <w:insideH w:val="none"/>
                <w:insideV w:val="none"/>
              </w:tblBorders>
            </w:tblPr>
            <w:tblGrid>
              <w:gridCol w:w="1865"/>
              <w:gridCol w:w="1865"/>
              <w:gridCol w:w="1866"/>
            </w:tblGrid>
            <w:tr>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考试科目</w:t>
                  </w:r>
                </w:p>
              </w:tc>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项目最高限单价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2年暂估数量</w:t>
                  </w:r>
                </w:p>
              </w:tc>
            </w:tr>
            <w:tr>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科目二</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11.67元/人</w:t>
                  </w:r>
                </w:p>
              </w:tc>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63360人次</w:t>
                  </w:r>
                </w:p>
              </w:tc>
            </w:tr>
            <w:tr>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科目三</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8.68元/人</w:t>
                  </w:r>
                </w:p>
              </w:tc>
              <w:tc>
                <w:tcPr>
                  <w:tcW w:type="dxa" w:w="1866"/>
                  <w:vMerge/>
                  <w:tcBorders>
                    <w:top w:val="none" w:color="000000" w:sz="4"/>
                    <w:left w:val="single" w:color="000000" w:sz="4"/>
                    <w:bottom w:val="single" w:color="000000" w:sz="4"/>
                    <w:right w:val="single" w:color="000000" w:sz="4"/>
                  </w:tcBorders>
                </w:tcPr>
                <w:p/>
              </w:tc>
            </w:tr>
            <w:tr>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小计</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20.35元/人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63360</w:t>
                  </w:r>
                  <w:r>
                    <w:rPr>
                      <w:sz w:val="24"/>
                      <w:color w:val="000000"/>
                    </w:rPr>
                    <w:t>人次</w:t>
                  </w:r>
                </w:p>
              </w:tc>
            </w:tr>
          </w:tbl>
          <w:p/>
        </w:tc>
      </w:tr>
      <w:tr>
        <w:tc>
          <w:tcPr>
            <w:tcW w:type="dxa" w:w="2076"/>
          </w:tcPr>
          <w:p>
            <w:pPr>
              <w:pStyle w:val="null3"/>
            </w:pPr>
            <w:r>
              <w:rPr/>
              <w:t>▲</w:t>
            </w:r>
          </w:p>
        </w:tc>
        <w:tc>
          <w:tcPr>
            <w:tcW w:type="dxa" w:w="415"/>
          </w:tcPr>
          <w:p>
            <w:pPr>
              <w:pStyle w:val="null3"/>
            </w:pPr>
            <w:r>
              <w:rPr/>
              <w:t>8</w:t>
            </w:r>
          </w:p>
        </w:tc>
        <w:tc>
          <w:tcPr>
            <w:tcW w:type="dxa" w:w="5814"/>
          </w:tcPr>
          <w:p>
            <w:pPr>
              <w:pStyle w:val="null3"/>
              <w:ind w:firstLine="566"/>
              <w:jc w:val="left"/>
            </w:pPr>
            <w:r>
              <w:rPr>
                <w:sz w:val="24"/>
                <w:b/>
                <w:color w:val="000000"/>
              </w:rPr>
              <w:t>（二）服务要求</w:t>
            </w:r>
          </w:p>
          <w:p>
            <w:pPr>
              <w:pStyle w:val="null3"/>
              <w:ind w:firstLine="566"/>
              <w:jc w:val="left"/>
            </w:pPr>
            <w:r>
              <w:rPr>
                <w:sz w:val="24"/>
                <w:color w:val="000000"/>
              </w:rPr>
              <w:t>1、中标人要能够依据《广东省公安厅关于机动车驾驶考场管理规定》及其他相关规定制度，提供符合《机动车驾驶人考试场地及其设施设置规范》及政策要求的全科目系统评判三轮和二轮摩托车考场各项需求，并通过公安交通管理部门验收并与省市联网，有专职管理人员，营业执照等证件齐全，内部管理制度完善，日常管理严格规范。</w:t>
            </w:r>
          </w:p>
        </w:tc>
      </w:tr>
      <w:tr>
        <w:tc>
          <w:tcPr>
            <w:tcW w:type="dxa" w:w="2076"/>
          </w:tcPr>
          <w:p/>
        </w:tc>
        <w:tc>
          <w:tcPr>
            <w:tcW w:type="dxa" w:w="415"/>
          </w:tcPr>
          <w:p>
            <w:pPr>
              <w:pStyle w:val="null3"/>
            </w:pPr>
            <w:r>
              <w:rPr/>
              <w:t>9</w:t>
            </w:r>
          </w:p>
        </w:tc>
        <w:tc>
          <w:tcPr>
            <w:tcW w:type="dxa" w:w="5814"/>
          </w:tcPr>
          <w:p>
            <w:pPr>
              <w:pStyle w:val="null3"/>
              <w:ind w:firstLine="564"/>
              <w:jc w:val="left"/>
            </w:pPr>
            <w:r>
              <w:rPr>
                <w:sz w:val="24"/>
                <w:color w:val="000000"/>
              </w:rPr>
              <w:t>2、中标人应做好网络数据系统以及高速光纤连接；配备监控室、待考区实施封闭管理，并设置符合考试需求的音视频录像。场地设置符合消防安全设计规定。</w:t>
            </w:r>
          </w:p>
        </w:tc>
      </w:tr>
      <w:tr>
        <w:tc>
          <w:tcPr>
            <w:tcW w:type="dxa" w:w="2076"/>
          </w:tcPr>
          <w:p/>
        </w:tc>
        <w:tc>
          <w:tcPr>
            <w:tcW w:type="dxa" w:w="415"/>
          </w:tcPr>
          <w:p>
            <w:pPr>
              <w:pStyle w:val="null3"/>
            </w:pPr>
            <w:r>
              <w:rPr/>
              <w:t>10</w:t>
            </w:r>
          </w:p>
        </w:tc>
        <w:tc>
          <w:tcPr>
            <w:tcW w:type="dxa" w:w="5814"/>
          </w:tcPr>
          <w:p>
            <w:pPr>
              <w:pStyle w:val="null3"/>
              <w:ind w:firstLine="564"/>
              <w:jc w:val="left"/>
            </w:pPr>
            <w:r>
              <w:rPr>
                <w:sz w:val="24"/>
                <w:color w:val="000000"/>
              </w:rPr>
              <w:t>3、摩托车驾驶人考场管理人员必须服从普宁市公安局交通管理大队的指挥，提供尽职服务，保证每场考试顺利进行。</w:t>
            </w:r>
          </w:p>
        </w:tc>
      </w:tr>
      <w:tr>
        <w:tc>
          <w:tcPr>
            <w:tcW w:type="dxa" w:w="2076"/>
          </w:tcPr>
          <w:p>
            <w:pPr>
              <w:pStyle w:val="null3"/>
            </w:pPr>
            <w:r>
              <w:rPr/>
              <w:t>▲</w:t>
            </w:r>
          </w:p>
        </w:tc>
        <w:tc>
          <w:tcPr>
            <w:tcW w:type="dxa" w:w="415"/>
          </w:tcPr>
          <w:p>
            <w:pPr>
              <w:pStyle w:val="null3"/>
            </w:pPr>
            <w:r>
              <w:rPr/>
              <w:t>11</w:t>
            </w:r>
          </w:p>
        </w:tc>
        <w:tc>
          <w:tcPr>
            <w:tcW w:type="dxa" w:w="5814"/>
          </w:tcPr>
          <w:p>
            <w:pPr>
              <w:pStyle w:val="null3"/>
              <w:ind w:firstLine="564"/>
              <w:jc w:val="left"/>
            </w:pPr>
            <w:r>
              <w:rPr>
                <w:sz w:val="24"/>
                <w:color w:val="000000"/>
              </w:rPr>
              <w:t>4、中标人所提供场地必须具有合法使用权证明文件，且合法使用期限不低于二年，场地必须具有相应消防资质必须保证场地内排水、排污、防涝等整体功能。</w:t>
            </w:r>
          </w:p>
        </w:tc>
      </w:tr>
      <w:tr>
        <w:tc>
          <w:tcPr>
            <w:tcW w:type="dxa" w:w="2076"/>
          </w:tcPr>
          <w:p>
            <w:pPr>
              <w:pStyle w:val="null3"/>
            </w:pPr>
            <w:r>
              <w:rPr/>
              <w:t>▲</w:t>
            </w:r>
          </w:p>
        </w:tc>
        <w:tc>
          <w:tcPr>
            <w:tcW w:type="dxa" w:w="415"/>
          </w:tcPr>
          <w:p>
            <w:pPr>
              <w:pStyle w:val="null3"/>
            </w:pPr>
            <w:r>
              <w:rPr/>
              <w:t>12</w:t>
            </w:r>
          </w:p>
        </w:tc>
        <w:tc>
          <w:tcPr>
            <w:tcW w:type="dxa" w:w="5814"/>
          </w:tcPr>
          <w:p>
            <w:pPr>
              <w:pStyle w:val="null3"/>
              <w:ind w:firstLine="564"/>
              <w:jc w:val="left"/>
            </w:pPr>
            <w:r>
              <w:rPr>
                <w:sz w:val="24"/>
                <w:color w:val="000000"/>
              </w:rPr>
              <w:t>5、具体需求：</w:t>
            </w:r>
          </w:p>
          <w:p>
            <w:pPr>
              <w:pStyle w:val="null3"/>
              <w:ind w:firstLine="564"/>
              <w:jc w:val="left"/>
            </w:pPr>
            <w:r>
              <w:rPr>
                <w:sz w:val="24"/>
                <w:color w:val="000000"/>
              </w:rPr>
              <w:t>①场地：</w:t>
            </w:r>
          </w:p>
          <w:p>
            <w:pPr>
              <w:pStyle w:val="null3"/>
              <w:ind w:firstLine="564"/>
              <w:jc w:val="left"/>
            </w:pPr>
            <w:r>
              <w:rPr>
                <w:sz w:val="24"/>
                <w:color w:val="000000"/>
              </w:rPr>
              <w:t>（1）理论考试室场地：面积不少于60平方米，配套水电、网络、空调等设施；（2）场地：面积不少于1800平方米；设置规范合格的相关标志、标线；设置科目二普通二轮桩考一条、三轮摩托车桩考两条、二轮单边桥一条；三轮单边桥两条；上坡起步车道两条，同时满足D、E车型考试，科目三需配备考试路线、其中具备起步、掉头、直线行驶、通过人行横道、靠边停车等考试项目，同时满足二轮、三轮摩托车同时考试；（3）候考室和监控室及机房建筑面积不少于150平方米，相关用房面积应能满足考试业务的实际应用需求，配套水电、网络、空调等设施；（4）停车区域满足考试人员停放需要；（5）配套相关生活设施。</w:t>
            </w:r>
          </w:p>
          <w:p>
            <w:pPr>
              <w:pStyle w:val="null3"/>
              <w:ind w:firstLine="564"/>
              <w:jc w:val="left"/>
            </w:pPr>
            <w:r>
              <w:rPr>
                <w:sz w:val="24"/>
                <w:color w:val="000000"/>
              </w:rPr>
              <w:t>②网络服务：配套符合考场考试需求的网络配套服务。</w:t>
            </w:r>
          </w:p>
          <w:p>
            <w:pPr>
              <w:pStyle w:val="null3"/>
              <w:ind w:firstLine="564"/>
              <w:jc w:val="left"/>
            </w:pPr>
            <w:r>
              <w:rPr>
                <w:sz w:val="24"/>
                <w:color w:val="000000"/>
              </w:rPr>
              <w:t>③考场设备设施：（1）核心机房设备1套；（2）智能化车载考试设备6套；（D车型4台、E车型2台）（3）监控中心设备1套；（4）无线AP和差分基站设备1套；（5）项目标牌和标识杆1套；（6）人脸识别闸机1套；（7）场地设备1套；（8）考试专用二轮摩托车2辆（符合考试车辆要求）；三轮摩托车4辆（符合考试车辆要求）；</w:t>
            </w:r>
          </w:p>
          <w:p>
            <w:pPr>
              <w:pStyle w:val="null3"/>
              <w:ind w:firstLine="564"/>
              <w:jc w:val="left"/>
            </w:pPr>
            <w:r>
              <w:rPr>
                <w:sz w:val="24"/>
                <w:color w:val="000000"/>
              </w:rPr>
              <w:t>④相关考场管理服务：（1)考试期间需配备安全员不少于3人，确保考场考试工作安全、正常开展，因人员不足影响考试服务时，应根据采购人意见及时增派人员，以满足考试管理服务需求；（2）考试专用摩托车加油及维修保养服务、水电费用由中标人负责。（3）设备的维修及零配件更换，场地的维修及相关零配件、物品更换的费用由中标人承担。</w:t>
            </w:r>
          </w:p>
        </w:tc>
      </w:tr>
      <w:tr>
        <w:tc>
          <w:tcPr>
            <w:tcW w:type="dxa" w:w="2076"/>
          </w:tcPr>
          <w:p/>
        </w:tc>
        <w:tc>
          <w:tcPr>
            <w:tcW w:type="dxa" w:w="415"/>
          </w:tcPr>
          <w:p>
            <w:pPr>
              <w:pStyle w:val="null3"/>
            </w:pPr>
            <w:r>
              <w:rPr/>
              <w:t>13</w:t>
            </w:r>
          </w:p>
        </w:tc>
        <w:tc>
          <w:tcPr>
            <w:tcW w:type="dxa" w:w="5814"/>
          </w:tcPr>
          <w:p>
            <w:pPr>
              <w:pStyle w:val="null3"/>
              <w:ind w:firstLine="566"/>
              <w:jc w:val="left"/>
            </w:pPr>
            <w:r>
              <w:rPr>
                <w:sz w:val="24"/>
                <w:b/>
                <w:color w:val="000000"/>
              </w:rPr>
              <w:t>（三）服务设备清单</w:t>
            </w:r>
          </w:p>
          <w:tbl>
            <w:tblPr>
              <w:tblBorders>
                <w:top w:val="none" w:color="000000" w:sz="4"/>
                <w:left w:val="none" w:color="000000" w:sz="4"/>
                <w:bottom w:val="none" w:color="000000" w:sz="4"/>
                <w:right w:val="none" w:color="000000" w:sz="4"/>
                <w:insideH w:val="none"/>
                <w:insideV w:val="none"/>
              </w:tblBorders>
            </w:tblPr>
            <w:tblGrid>
              <w:gridCol w:w="447"/>
              <w:gridCol w:w="765"/>
              <w:gridCol w:w="3336"/>
              <w:gridCol w:w="498"/>
              <w:gridCol w:w="541"/>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货物名称</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规格型号</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一、摩托车场地监控设备</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海康监控摄像机400万全彩</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海康监控摄像机400万全彩</w:t>
                  </w:r>
                  <w:r>
                    <w:rPr>
                      <w:sz w:val="24"/>
                      <w:color w:val="000000"/>
                    </w:rPr>
                    <w:t>，6-8MM</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海康半球摄像机400万全彩</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海康半球摄像机400万全彩</w:t>
                  </w:r>
                  <w:r>
                    <w:rPr>
                      <w:sz w:val="24"/>
                      <w:color w:val="000000"/>
                    </w:rPr>
                    <w:t>，4-6MM</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监控立杆3.5米</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监控立杆3.5米</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监控立杆地笼</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监控立杆地笼</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监控立杆箱</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监控立杆箱</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海康硬盘录像机32 路16盘位</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海康硬盘录像机32 路16盘位</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海康硬盘录像机16路4盘位</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海康硬盘录像机16路4盘位</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海康半球摄像机400万全彩</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海康半球摄像机400万全彩</w:t>
                  </w:r>
                  <w:r>
                    <w:rPr>
                      <w:sz w:val="24"/>
                      <w:color w:val="000000"/>
                    </w:rPr>
                    <w:t>，4mm</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海康半球摄像机400万全彩</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海康半球摄像机400万全彩</w:t>
                  </w:r>
                  <w:r>
                    <w:rPr>
                      <w:sz w:val="24"/>
                      <w:color w:val="000000"/>
                    </w:rPr>
                    <w:t>，4mm</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海康监控专用硬盘8T</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海康监控专用硬盘8T</w:t>
                  </w:r>
                  <w:r>
                    <w:rPr>
                      <w:sz w:val="24"/>
                      <w:color w:val="000000"/>
                    </w:rPr>
                    <w:t>，储存1年</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交换机8路POE</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交换机8路POE</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交换机16 路POE</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交换机16 路POE</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55寸监控专用显示器</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55寸监控专用显示器</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55寸显示器支架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55寸显示器支架</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光纤收发器千兆</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光纤收发器千兆</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42U机柜</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42U机柜</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海康六类网线</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海康六类网线</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电源线3</w:t>
                  </w:r>
                  <w:r>
                    <w:rPr>
                      <w:sz w:val="24"/>
                      <w:color w:val="000000"/>
                    </w:rPr>
                    <w:t>×</w:t>
                  </w:r>
                  <w:r>
                    <w:rPr>
                      <w:sz w:val="24"/>
                      <w:color w:val="000000"/>
                    </w:rPr>
                    <w:t>2.5</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电源线3</w:t>
                  </w:r>
                  <w:r>
                    <w:rPr>
                      <w:sz w:val="24"/>
                      <w:color w:val="000000"/>
                    </w:rPr>
                    <w:t>×</w:t>
                  </w:r>
                  <w:r>
                    <w:rPr>
                      <w:sz w:val="24"/>
                      <w:color w:val="000000"/>
                    </w:rPr>
                    <w:t>2.5</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HDMI线30 米</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HDMI线30 米</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机柜排插</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机柜排插</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8芯光纤</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8芯光纤</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4口监控切换器</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4口监控切换器</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HDMI线2米</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HDMI线2米</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熔纤盘8位</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熔纤盘8位</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挖线缆沟</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挖线缆沟</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破路面线缆沟</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破路面线缆沟</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PVC联塑6 分线管</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PVC联塑6 分线管</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辅材</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辅材</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w:t>
                  </w:r>
                  <w:r>
                    <w:rPr>
                      <w:sz w:val="24"/>
                      <w:b/>
                      <w:color w:val="000000"/>
                    </w:rPr>
                    <w:t>项目标牌</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三轮桩考</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两轮桩考</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三轮单边桥</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两轮单边桥</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坡道定点停车和起步</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上车准备、起步</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直线行驶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掉头</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通过人行横道</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靠边停车</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立杆式单柱结构，700</w:t>
                  </w:r>
                  <w:r>
                    <w:rPr>
                      <w:sz w:val="24"/>
                      <w:color w:val="000000"/>
                    </w:rPr>
                    <w:t>×</w:t>
                  </w:r>
                  <w:r>
                    <w:rPr>
                      <w:sz w:val="24"/>
                      <w:color w:val="000000"/>
                    </w:rPr>
                    <w:t>350</w:t>
                  </w:r>
                  <w:r>
                    <w:rPr>
                      <w:sz w:val="24"/>
                      <w:color w:val="000000"/>
                    </w:rPr>
                    <w:t>cm</w:t>
                  </w:r>
                  <w:r>
                    <w:rPr>
                      <w:sz w:val="24"/>
                      <w:color w:val="000000"/>
                    </w:rPr>
                    <w:t>方牌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服务大厅，监控中心制度牌</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服务大厅，监控中心制度牌</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场地画线</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按照公安部部令要求</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三、摩托车车辆</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二轮摩托车</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1、品牌：雅马哈；</w:t>
                  </w:r>
                </w:p>
                <w:p>
                  <w:pPr>
                    <w:pStyle w:val="null3"/>
                    <w:jc w:val="left"/>
                  </w:pPr>
                  <w:r>
                    <w:rPr>
                      <w:sz w:val="24"/>
                      <w:color w:val="000000"/>
                    </w:rPr>
                    <w:t>2、型号：JYM110-3；</w:t>
                  </w:r>
                </w:p>
                <w:p>
                  <w:pPr>
                    <w:pStyle w:val="null3"/>
                    <w:jc w:val="left"/>
                  </w:pPr>
                  <w:r>
                    <w:rPr>
                      <w:sz w:val="24"/>
                      <w:color w:val="000000"/>
                    </w:rPr>
                    <w:t>3、车辆外廓尺寸：1890×670×1050mm。</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辆</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正三轮摩托车</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1、品牌：宗申牌；</w:t>
                  </w:r>
                </w:p>
                <w:p>
                  <w:pPr>
                    <w:pStyle w:val="null3"/>
                    <w:jc w:val="left"/>
                  </w:pPr>
                  <w:r>
                    <w:rPr>
                      <w:sz w:val="24"/>
                      <w:color w:val="000000"/>
                    </w:rPr>
                    <w:t>2、型号：ZS110ZH-12M；</w:t>
                  </w:r>
                </w:p>
                <w:p>
                  <w:pPr>
                    <w:pStyle w:val="null3"/>
                    <w:jc w:val="left"/>
                  </w:pPr>
                  <w:r>
                    <w:rPr>
                      <w:sz w:val="24"/>
                      <w:color w:val="000000"/>
                    </w:rPr>
                    <w:t>3、车辆外廓尺寸：2896×1030×1280mm。</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辆</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四、监控中心桌椅</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监控中心电脑桌</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1、监控中心2套，科目二、三候考室2套；2、规格：长140厘米、宽60厘米、高74厘米；</w:t>
                  </w:r>
                </w:p>
                <w:p>
                  <w:pPr>
                    <w:pStyle w:val="null3"/>
                    <w:jc w:val="left"/>
                  </w:pPr>
                  <w:r>
                    <w:rPr>
                      <w:sz w:val="24"/>
                      <w:color w:val="000000"/>
                    </w:rPr>
                    <w:t>3、木质结构。</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理论监考考台（桌椅）</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1、规格：长140厘米、宽60厘米、高74厘米；</w:t>
                  </w:r>
                </w:p>
                <w:p>
                  <w:pPr>
                    <w:pStyle w:val="null3"/>
                    <w:jc w:val="left"/>
                  </w:pPr>
                  <w:r>
                    <w:rPr>
                      <w:sz w:val="24"/>
                      <w:color w:val="000000"/>
                    </w:rPr>
                    <w:t>2、木质结构。</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考生考台（桌椅）</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1、规格：长80厘米、宽60厘米、高76厘米；</w:t>
                  </w:r>
                </w:p>
                <w:p>
                  <w:pPr>
                    <w:pStyle w:val="null3"/>
                    <w:jc w:val="left"/>
                  </w:pPr>
                  <w:r>
                    <w:rPr>
                      <w:sz w:val="24"/>
                      <w:color w:val="000000"/>
                    </w:rPr>
                    <w:t>2、木质结构。</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单边桥</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两轮一套，三轮一套</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五、科目二项目设备清单</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（1）三轮摩托车（D）考试项目设备</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桩考（桩杆、信号采集套件、项目测绘）</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桩考（桩杆、信号采集套件、项目测绘）</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坡道定点停车和起步（项目测绘）</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坡道定点停车和起步（项目测绘）</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单边桥（项目测绘）</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单边桥（项目测绘）</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（2）两轮摩托车（E）考试项目设备</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桩考（桩杆、信号采集套件、项目测绘）</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桩考（桩杆、信号采集套件、项目测绘）</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坡道定点停车和起步（项目测绘）</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坡道定点停车和起步（项目测绘）</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单边桥（项目测绘）</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单边桥（项目测绘）</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（3）车载考核设备（6套：三轮摩托车2台、两轮摩托车4台）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网络传输套件</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工作频段：4920~6100MHz；支持标准：IEEE 802.11a/n/h/d；IEEE802.3d/u/ab；最大支持150Mbps带宽，采用POE-DC供电模式、宽电压设计支持DC 12～24V输入。</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车载传感器组件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工作电压：DC9～18V，最高支持100Hz的频率响应,连续工作温度-20℃~75℃，支持8路DI，7路DO。含手把、档位、熄火、踏脚等信号采集。</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音视频组件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最小照度：0.01Lux，支持最高分辨率：1080×720；镜头：2.8mm，视频压缩标准：H.264，音频压缩标准：G.711/G.722.1/G.726/MP2L2；支持数字宽动态；支持双向语音对讲功能。</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车载评判系统软件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CS架构，符合172号令评判需求</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GNSS卫星定位系统</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GNSS双天线输入，支持BDS B1/B2、GPS L1/L2、GLONASS L1/L2三系统六频信号定位和定向。</w:t>
                  </w:r>
                </w:p>
                <w:p>
                  <w:pPr>
                    <w:pStyle w:val="null3"/>
                    <w:jc w:val="left"/>
                  </w:pPr>
                  <w:r>
                    <w:rPr>
                      <w:sz w:val="24"/>
                      <w:color w:val="000000"/>
                    </w:rPr>
                    <w:t>数据更新率：始数据更新率：1Hz、2Hz、5Hz、10Hz、20Hz；</w:t>
                  </w:r>
                </w:p>
                <w:p>
                  <w:pPr>
                    <w:pStyle w:val="null3"/>
                    <w:jc w:val="left"/>
                  </w:pPr>
                  <w:r>
                    <w:rPr>
                      <w:sz w:val="24"/>
                      <w:color w:val="000000"/>
                    </w:rPr>
                    <w:t>RTK精度H:10mm+1ppm，V:20mm+1ppm，抗干扰能力强，实现在恶劣环境下的连续可靠定位定向。</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附件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防水套件，固定支架，电源，防护管网等材料</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（4）无线网络AP设备</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一体化无线基站</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传输协议NSTREME,CSMA/CA，TCP/IP，IPX/SPX，NetBEUI，DHCP，NDIS3，NDIS4，NDIS5；网络标准 EEE802.11A；最大传输速率(Mbps) 22-54；传输速率(Mbps)40；额定电压(V) DC 12-24 Volt+5%; 2A(Max.)；AC adapter AC 100V~240V，五类线远程供电（POE）；产品亮点防风、防雨、防晒、防尘、防震以及散热设计。</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立柱</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∮50×2000×2镀锌管</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附件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超五类室外网线、纯铜4×2×0.502，护线外壳；绝缘防水胶泥等。</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（5）考试中心设备</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管理服务器</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3.5英寸机箱含高达2Cabled硬盘英特尔至强 E-2314 2.8GHz, 8M 缓存, 4C/4T, Turbo (65W), 3200 MT/s</w:t>
                  </w:r>
                </w:p>
                <w:p>
                  <w:pPr>
                    <w:pStyle w:val="null3"/>
                    <w:jc w:val="left"/>
                  </w:pPr>
                  <w:r>
                    <w:rPr>
                      <w:sz w:val="24"/>
                      <w:color w:val="000000"/>
                    </w:rPr>
                    <w:t>8GB DDR4 UDIMM 3200MT/s ECC</w:t>
                  </w:r>
                </w:p>
                <w:p>
                  <w:pPr>
                    <w:pStyle w:val="null3"/>
                    <w:jc w:val="left"/>
                  </w:pPr>
                  <w:r>
                    <w:rPr>
                      <w:sz w:val="24"/>
                      <w:color w:val="000000"/>
                    </w:rPr>
                    <w:t>1TB硬盘SATA 6Gbps 7.2K 512n 3.5英寸热插拔企业级机械硬盘；</w:t>
                  </w:r>
                </w:p>
                <w:p>
                  <w:pPr>
                    <w:pStyle w:val="null3"/>
                    <w:jc w:val="left"/>
                  </w:pPr>
                  <w:r>
                    <w:rPr>
                      <w:sz w:val="24"/>
                      <w:color w:val="000000"/>
                    </w:rPr>
                    <w:t>单，有线电源，450W；</w:t>
                  </w:r>
                </w:p>
                <w:p>
                  <w:pPr>
                    <w:pStyle w:val="null3"/>
                    <w:jc w:val="left"/>
                  </w:pPr>
                  <w:r>
                    <w:rPr>
                      <w:sz w:val="24"/>
                      <w:color w:val="000000"/>
                    </w:rPr>
                    <w:t>电源线-C13，2M，250V，10A(中国) PowerEdge R250 主板with Broadcom 5720双端口1Gb主板集成LOM，V2。</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中心管理系统</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1、对考核人员信息进行管理；</w:t>
                  </w:r>
                </w:p>
                <w:p>
                  <w:pPr>
                    <w:pStyle w:val="null3"/>
                    <w:jc w:val="left"/>
                  </w:pPr>
                  <w:r>
                    <w:rPr>
                      <w:sz w:val="24"/>
                      <w:color w:val="000000"/>
                    </w:rPr>
                    <w:t>2、能通过姓名、身份证明号码、考试时间、考试车辆等关键字段进行查询和回放；</w:t>
                  </w:r>
                </w:p>
                <w:p>
                  <w:pPr>
                    <w:pStyle w:val="null3"/>
                    <w:jc w:val="left"/>
                  </w:pPr>
                  <w:r>
                    <w:rPr>
                      <w:sz w:val="24"/>
                      <w:color w:val="000000"/>
                    </w:rPr>
                    <w:t>3、根据不同用户角色应根据业务需求限制性给予不同的管理权限。</w:t>
                  </w:r>
                </w:p>
                <w:p>
                  <w:pPr>
                    <w:pStyle w:val="null3"/>
                    <w:jc w:val="left"/>
                  </w:pPr>
                  <w:r>
                    <w:rPr>
                      <w:sz w:val="24"/>
                      <w:color w:val="000000"/>
                    </w:rPr>
                    <w:t>4、能够实现通过高精度GPS技术，对考车位置进行定位，并对GPS信号进行传输；</w:t>
                  </w:r>
                </w:p>
                <w:p>
                  <w:pPr>
                    <w:pStyle w:val="null3"/>
                    <w:jc w:val="left"/>
                  </w:pPr>
                  <w:r>
                    <w:rPr>
                      <w:sz w:val="24"/>
                      <w:color w:val="000000"/>
                    </w:rPr>
                    <w:t>5、能够实现实时调取考生视频，场地项目视频以及考车轨迹信息进行调用以及合成。</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管理工作站</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1、英特尔赛扬I3-CPU；</w:t>
                  </w:r>
                </w:p>
                <w:p>
                  <w:pPr>
                    <w:pStyle w:val="null3"/>
                    <w:jc w:val="left"/>
                  </w:pPr>
                  <w:r>
                    <w:rPr>
                      <w:sz w:val="24"/>
                      <w:color w:val="000000"/>
                    </w:rPr>
                    <w:t>2、8GB DDR4-2133MHz SODIMM内存；</w:t>
                  </w:r>
                </w:p>
                <w:p>
                  <w:pPr>
                    <w:pStyle w:val="null3"/>
                    <w:jc w:val="left"/>
                  </w:pPr>
                  <w:r>
                    <w:rPr>
                      <w:sz w:val="24"/>
                      <w:color w:val="000000"/>
                    </w:rPr>
                    <w:t>3、256固态硬盘；有线键鼠，21.5寸液晶。</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管理主机</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1、英特尔赛扬 I5-CPU,</w:t>
                  </w:r>
                </w:p>
                <w:p>
                  <w:pPr>
                    <w:pStyle w:val="null3"/>
                    <w:jc w:val="left"/>
                  </w:pPr>
                  <w:r>
                    <w:rPr>
                      <w:sz w:val="24"/>
                      <w:color w:val="000000"/>
                    </w:rPr>
                    <w:t>2、8GB DDR4-2133MHz SODIMM内存；</w:t>
                  </w:r>
                </w:p>
                <w:p>
                  <w:pPr>
                    <w:pStyle w:val="null3"/>
                    <w:jc w:val="left"/>
                  </w:pPr>
                  <w:r>
                    <w:rPr>
                      <w:sz w:val="24"/>
                      <w:color w:val="000000"/>
                    </w:rPr>
                    <w:t>3、256固态硬盘；有线键鼠,21.5寸液晶。</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激光打印机</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1、黑白激光打印机，最大打印幅面A4，打印速度：≥20ppm；首页打印时间：≥7.6秒（就绪后），≥14秒（睡眠模式）；</w:t>
                  </w:r>
                </w:p>
                <w:p>
                  <w:pPr>
                    <w:pStyle w:val="null3"/>
                    <w:jc w:val="left"/>
                  </w:pPr>
                  <w:r>
                    <w:rPr>
                      <w:sz w:val="24"/>
                      <w:color w:val="000000"/>
                    </w:rPr>
                    <w:t>2、接口类型：USB 2.0；产品尺寸：≥380.5×293.4×211mm。</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千兆交换机</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千兆以太网交换机,两层，传输速率：10/100/1000Mbps；24个10/100/1000Mbps自适应以太网端口；网络标准：IEEE 802.3x，IEEE 802.3，IEEE 802.3u，IEEE 802.3ab。</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服务器机柜</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主体采用承载能力强、耐腐蚀、易导电的优质型材为主体结构，配合优质冷扎钢板精工制作。各部件均是在经过脱脂、酸洗、防锈磷化、磷酸盐防腐蚀预处理后，再用独特的静电喷塑工艺进行表面喷涂。最大载重：800-1000Kg；符合国家标准；尺寸：1000×600×1800mm。</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系统软件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符合172号令评判需求</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GNSS基准站</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1、信号跟踪：440通道；GPS L1/L2，BDS B1/B2，GLONASS G1/G2；</w:t>
                  </w:r>
                </w:p>
                <w:p>
                  <w:pPr>
                    <w:pStyle w:val="null3"/>
                    <w:jc w:val="left"/>
                  </w:pPr>
                  <w:r>
                    <w:rPr>
                      <w:sz w:val="24"/>
                      <w:color w:val="000000"/>
                    </w:rPr>
                    <w:t>2、数据更新率：始数据更新率：1Hz、2Hz、5Hz、10Hz、20Hz；</w:t>
                  </w:r>
                </w:p>
                <w:p>
                  <w:pPr>
                    <w:pStyle w:val="null3"/>
                    <w:jc w:val="left"/>
                  </w:pPr>
                  <w:r>
                    <w:rPr>
                      <w:sz w:val="24"/>
                      <w:color w:val="000000"/>
                    </w:rPr>
                    <w:t>3、伪距精度：GPS:L1=10cm(1σ),L2=10cm(1σ)；BDS:B1=10cm(1σ)B2=10cm(1σ)，GLONASS:G1=10cm(1σ),G2=10cm(1σ)；</w:t>
                  </w:r>
                </w:p>
                <w:p>
                  <w:pPr>
                    <w:pStyle w:val="null3"/>
                    <w:jc w:val="left"/>
                  </w:pPr>
                  <w:r>
                    <w:rPr>
                      <w:sz w:val="24"/>
                      <w:color w:val="000000"/>
                    </w:rPr>
                    <w:t>4、载波精度：GPS:L1=0.5mm(1σ),L2=1.0mm(1σ)BDS:B1=0.5mm(1σ)，B2=0.5mm(1σ)；GLONASS:G1=1.0mm(1σ),G2=1.0mm(1σ)；</w:t>
                  </w:r>
                </w:p>
                <w:p>
                  <w:pPr>
                    <w:pStyle w:val="null3"/>
                    <w:jc w:val="left"/>
                  </w:pPr>
                  <w:r>
                    <w:rPr>
                      <w:sz w:val="24"/>
                      <w:color w:val="000000"/>
                    </w:rPr>
                    <w:t>5、RTK精度H:10mm+1ppm，V:20mm+1ppm；</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GNSS专用稳压电源</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GPS专用稳压电源</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（UPS）电源</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额定功率2KVA，保护机房设备，15-20分钟，输入电压176-276、输入频率46.5-55HZ、输出电压220，内置电池。</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车载视频合码器</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单机最大可以实现8路500W/16路1080P/32路720P/64路4CIF解码单机最大可以实现8路XGA/SXGA/720P/UXGA/1080P等多种分辨率合码支持1/4/9/16规则画面格式的合码DVI（VGA/HDMI）输出口最大分辨率支持1920×1080。</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网络硬盘录像机</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1、1个HDMI，1个VGA；</w:t>
                  </w:r>
                </w:p>
                <w:p>
                  <w:pPr>
                    <w:pStyle w:val="null3"/>
                    <w:jc w:val="both"/>
                  </w:pPr>
                  <w:r>
                    <w:rPr>
                      <w:sz w:val="24"/>
                      <w:color w:val="000000"/>
                    </w:rPr>
                    <w:t>2、支持2个SATA接口，支持满配8T硬盘；</w:t>
                  </w:r>
                </w:p>
                <w:p>
                  <w:pPr>
                    <w:pStyle w:val="null3"/>
                    <w:jc w:val="both"/>
                  </w:pPr>
                  <w:r>
                    <w:rPr>
                      <w:sz w:val="24"/>
                      <w:color w:val="000000"/>
                    </w:rPr>
                    <w:t>3、2个，RJ4510M/100M/1000M自适应以太网口；</w:t>
                  </w:r>
                </w:p>
                <w:p>
                  <w:pPr>
                    <w:pStyle w:val="null3"/>
                    <w:jc w:val="both"/>
                  </w:pPr>
                  <w:r>
                    <w:rPr>
                      <w:sz w:val="24"/>
                      <w:color w:val="000000"/>
                    </w:rPr>
                    <w:t>4、2个USB2.0；</w:t>
                  </w:r>
                </w:p>
                <w:p>
                  <w:pPr>
                    <w:pStyle w:val="null3"/>
                    <w:jc w:val="both"/>
                  </w:pPr>
                  <w:r>
                    <w:rPr>
                      <w:sz w:val="24"/>
                      <w:color w:val="000000"/>
                    </w:rPr>
                    <w:t>5、报警IO：4进1出；</w:t>
                  </w:r>
                </w:p>
                <w:p>
                  <w:pPr>
                    <w:pStyle w:val="null3"/>
                    <w:jc w:val="both"/>
                  </w:pPr>
                  <w:r>
                    <w:rPr>
                      <w:sz w:val="24"/>
                      <w:color w:val="000000"/>
                    </w:rPr>
                    <w:t>6、输入带宽：160Mbps；</w:t>
                  </w:r>
                </w:p>
                <w:p>
                  <w:pPr>
                    <w:pStyle w:val="null3"/>
                    <w:jc w:val="both"/>
                  </w:pPr>
                  <w:r>
                    <w:rPr>
                      <w:sz w:val="24"/>
                      <w:color w:val="000000"/>
                    </w:rPr>
                    <w:t>7、同步回放16；</w:t>
                  </w:r>
                </w:p>
                <w:p>
                  <w:pPr>
                    <w:pStyle w:val="null3"/>
                    <w:jc w:val="both"/>
                  </w:pPr>
                  <w:r>
                    <w:rPr>
                      <w:sz w:val="24"/>
                      <w:color w:val="000000"/>
                    </w:rPr>
                    <w:t>8、最大支持6×1080P解码；</w:t>
                  </w:r>
                </w:p>
                <w:p>
                  <w:pPr>
                    <w:pStyle w:val="null3"/>
                    <w:jc w:val="both"/>
                  </w:pPr>
                  <w:r>
                    <w:rPr>
                      <w:sz w:val="24"/>
                      <w:color w:val="000000"/>
                    </w:rPr>
                    <w:t>9、支持H.265,H.264,Smart264和Smart265解码；</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硬盘</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容量6T，监控级硬盘</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NVR</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32路网络监控接入；</w:t>
                  </w:r>
                </w:p>
                <w:p>
                  <w:pPr>
                    <w:pStyle w:val="null3"/>
                    <w:jc w:val="both"/>
                  </w:pPr>
                  <w:r>
                    <w:rPr>
                      <w:sz w:val="24"/>
                      <w:color w:val="000000"/>
                    </w:rPr>
                    <w:t>支持1/4/6/8/9/16/25/32画面预览分割；</w:t>
                  </w:r>
                </w:p>
                <w:p>
                  <w:pPr>
                    <w:pStyle w:val="null3"/>
                    <w:jc w:val="both"/>
                  </w:pPr>
                  <w:r>
                    <w:rPr>
                      <w:sz w:val="24"/>
                      <w:color w:val="000000"/>
                    </w:rPr>
                    <w:t>8个SATA接口，1个eSATA接口，接口支持最大6T硬盘；</w:t>
                  </w:r>
                </w:p>
                <w:p>
                  <w:pPr>
                    <w:pStyle w:val="null3"/>
                    <w:jc w:val="both"/>
                  </w:pPr>
                  <w:r>
                    <w:rPr>
                      <w:sz w:val="24"/>
                      <w:color w:val="000000"/>
                    </w:rPr>
                    <w:t>支持最大16路1080p同步回放及多路同步倒放；</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考车与地图绘制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考试项目及考车模型的GPS坐标采集和测绘</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驾驶人考试人脸比对服务系统</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1、系统采集考生的当前人脸信息进行人脸信息建模；</w:t>
                  </w:r>
                </w:p>
                <w:p>
                  <w:pPr>
                    <w:pStyle w:val="null3"/>
                    <w:jc w:val="both"/>
                  </w:pPr>
                  <w:r>
                    <w:rPr>
                      <w:sz w:val="24"/>
                      <w:color w:val="000000"/>
                    </w:rPr>
                    <w:t>2、系统将建模的人脸信息与门禁照片进行人脸比对，核实是否为考生本人；</w:t>
                  </w:r>
                </w:p>
                <w:p>
                  <w:pPr>
                    <w:pStyle w:val="null3"/>
                    <w:jc w:val="both"/>
                  </w:pPr>
                  <w:r>
                    <w:rPr>
                      <w:sz w:val="24"/>
                      <w:color w:val="000000"/>
                    </w:rPr>
                    <w:t>3、系统对考生的考试预约信息进行有效性验证，核实是否为今日预约考生；</w:t>
                  </w:r>
                </w:p>
                <w:p>
                  <w:pPr>
                    <w:pStyle w:val="null3"/>
                    <w:jc w:val="both"/>
                  </w:pPr>
                  <w:r>
                    <w:rPr>
                      <w:sz w:val="24"/>
                      <w:color w:val="000000"/>
                    </w:rPr>
                    <w:t>4、系统预留了考试监管系统提供的接口身份认证功能，接口信息符合《GA1027》的要求，方便后期进行考试监管系统接入；</w:t>
                  </w:r>
                </w:p>
                <w:p>
                  <w:pPr>
                    <w:pStyle w:val="null3"/>
                    <w:jc w:val="both"/>
                  </w:pPr>
                  <w:r>
                    <w:rPr>
                      <w:sz w:val="24"/>
                      <w:color w:val="000000"/>
                    </w:rPr>
                    <w:t>5、考前人脸比对认证服务支持多路并发比对，最多可以支持10路。</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55寸液晶电视</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A级商业屏幕，屏幕尺寸50英寸，分辨率：全高清（1920×1080）；支持格式（高清）1080p/1080i/720p；</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电子签名系统</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签字板满足172号令监管签字端口接入，实现无纸化签名。（设备需要无锡所备案）含签字板、摄像头、读卡器。</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主控室各类附件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两芯、三芯电源线、1.2MM胶管、超五类网线、GPS防护箱</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（6）候考大厅设备</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侯考室专用NVR</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1、支持4K高清分辨率显示输出和网络视频的预览、存储与回放，支持H.265、H.264编码前端自适应接入；</w:t>
                  </w:r>
                </w:p>
                <w:p>
                  <w:pPr>
                    <w:pStyle w:val="null3"/>
                    <w:jc w:val="both"/>
                  </w:pPr>
                  <w:r>
                    <w:rPr>
                      <w:sz w:val="24"/>
                      <w:color w:val="000000"/>
                    </w:rPr>
                    <w:t>2、支持IPC集中管理，包括IPC参数配置、信息的导入/导出、升级等功能；</w:t>
                  </w:r>
                </w:p>
                <w:p>
                  <w:pPr>
                    <w:pStyle w:val="null3"/>
                    <w:jc w:val="both"/>
                  </w:pPr>
                  <w:r>
                    <w:rPr>
                      <w:sz w:val="24"/>
                      <w:color w:val="000000"/>
                    </w:rPr>
                    <w:t>3、支持多路同步回放和同步倒放，在预览画面下对指定通道的当前录像进行回放，并且不影响其他通道预览；</w:t>
                  </w:r>
                </w:p>
                <w:p>
                  <w:pPr>
                    <w:pStyle w:val="null3"/>
                    <w:jc w:val="both"/>
                  </w:pPr>
                  <w:r>
                    <w:rPr>
                      <w:sz w:val="24"/>
                      <w:color w:val="000000"/>
                    </w:rPr>
                    <w:t>4、支持硬盘配额和硬盘盘组存储模式，可对不同通道分配不同的录像保存容量，支持4个SATA接口。</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交换机</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16口百兆交换机，10Mbps/100Mbps自适应网口</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功放</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电源电压：220/V，功率：60/W；带USB/SD解码/带显示屏/带遥控/带收音；各通道独立音量控制</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音箱（含支架）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额定功率：30W；输入电压：70V—100V；</w:t>
                  </w:r>
                </w:p>
                <w:p>
                  <w:pPr>
                    <w:pStyle w:val="null3"/>
                    <w:jc w:val="both"/>
                  </w:pPr>
                  <w:r>
                    <w:rPr>
                      <w:sz w:val="24"/>
                      <w:color w:val="000000"/>
                    </w:rPr>
                    <w:t>灵敏度：91士3dB；频率响应：100—16KHz。</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安装附件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两芯、三芯电源线、1.2MM胶管、超五类网线</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（7）门禁管理设备</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闸机（单通道）</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单通道翼闸，伸缩翼，翼臂长度26CM；</w:t>
                  </w:r>
                </w:p>
                <w:p>
                  <w:pPr>
                    <w:pStyle w:val="null3"/>
                    <w:jc w:val="both"/>
                  </w:pPr>
                  <w:r>
                    <w:rPr>
                      <w:sz w:val="24"/>
                      <w:color w:val="000000"/>
                    </w:rPr>
                    <w:t>温度：-10℃~50℃相对湿度：≤90%，不凝露；开闸时间：0.8秒；工作环境：室内、室外（防水）</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人脸门禁一体机</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1、设备采用触摸显示屏，尺寸≥10寸；分辨率≥分辨率1024×600；</w:t>
                  </w:r>
                </w:p>
                <w:p>
                  <w:pPr>
                    <w:pStyle w:val="null3"/>
                    <w:jc w:val="both"/>
                  </w:pPr>
                  <w:r>
                    <w:rPr>
                      <w:sz w:val="24"/>
                      <w:color w:val="000000"/>
                    </w:rPr>
                    <w:t>2、设备采用≥200万广角宽动态摄像头，支持室外逆光、暗光环境；最远人脸识别距离可大于2m；适应身高范围1.2m-2m；支持照片视频防假；</w:t>
                  </w:r>
                </w:p>
                <w:p>
                  <w:pPr>
                    <w:pStyle w:val="null3"/>
                    <w:jc w:val="both"/>
                  </w:pPr>
                  <w:r>
                    <w:rPr>
                      <w:sz w:val="24"/>
                      <w:color w:val="000000"/>
                    </w:rPr>
                    <w:t>3、设备采用深度学习算法，本地支持</w:t>
                  </w:r>
                </w:p>
                <w:p>
                  <w:pPr>
                    <w:pStyle w:val="null3"/>
                    <w:jc w:val="both"/>
                  </w:pPr>
                  <w:r>
                    <w:rPr>
                      <w:sz w:val="24"/>
                      <w:color w:val="000000"/>
                    </w:rPr>
                    <w:t>50000人脸库，1：N比对时间＜0.2S/人，人脸验证准确率≥99%。</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自助签到侯考系统</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系统功能：实现考生凭身份证自助签到候考，通过身份证信息读取等技术手段，实现人证合一及报名照片自动比对，确认考生身份。</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管理计算机</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G6400/4G/256G固态硬盘/USB键鼠/内置扬声器TW/Windows 10 Home64）加液晶21.5寸</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六、科目三项目设备清单</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w:t>
                  </w:r>
                  <w:r>
                    <w:rPr>
                      <w:sz w:val="24"/>
                      <w:b/>
                      <w:color w:val="000000"/>
                    </w:rPr>
                    <w:t>1</w:t>
                  </w:r>
                  <w:r>
                    <w:rPr>
                      <w:sz w:val="24"/>
                      <w:b/>
                      <w:color w:val="000000"/>
                    </w:rPr>
                    <w:t>）</w:t>
                  </w:r>
                  <w:r>
                    <w:rPr>
                      <w:sz w:val="24"/>
                      <w:b/>
                      <w:color w:val="000000"/>
                    </w:rPr>
                    <w:t>车载考核及软件中心部分</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车载评判系统软件</w:t>
                  </w:r>
                </w:p>
              </w:tc>
              <w:tc>
                <w:tcPr>
                  <w:tcW w:type="dxa" w:w="3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CS架构，符合172号令评判需求</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系统软件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符合172号令评判需求</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考车及考试项目测绘与地图绘制</w:t>
                  </w:r>
                </w:p>
              </w:tc>
              <w:tc>
                <w:tcPr>
                  <w:tcW w:type="dxa" w:w="3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考试项目及考车模型的GPS坐标采集和测绘</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r>
          </w:tbl>
          <w:p/>
        </w:tc>
      </w:tr>
      <w:tr>
        <w:tc>
          <w:tcPr>
            <w:tcW w:type="dxa" w:w="2076"/>
          </w:tcPr>
          <w:p/>
        </w:tc>
        <w:tc>
          <w:tcPr>
            <w:tcW w:type="dxa" w:w="415"/>
          </w:tcPr>
          <w:p>
            <w:pPr>
              <w:pStyle w:val="null3"/>
            </w:pPr>
            <w:r>
              <w:rPr/>
              <w:t>14</w:t>
            </w:r>
          </w:p>
        </w:tc>
        <w:tc>
          <w:tcPr>
            <w:tcW w:type="dxa" w:w="5814"/>
          </w:tcPr>
          <w:p>
            <w:pPr>
              <w:pStyle w:val="null3"/>
              <w:ind w:firstLine="566"/>
              <w:jc w:val="left"/>
            </w:pPr>
            <w:r>
              <w:rPr>
                <w:sz w:val="24"/>
                <w:b/>
                <w:color w:val="000000"/>
              </w:rPr>
              <w:t>（四）服务人员清单</w:t>
            </w:r>
          </w:p>
          <w:tbl>
            <w:tblPr>
              <w:tblBorders>
                <w:top w:val="none" w:color="000000" w:sz="4"/>
                <w:left w:val="none" w:color="000000" w:sz="4"/>
                <w:bottom w:val="none" w:color="000000" w:sz="4"/>
                <w:right w:val="none" w:color="000000" w:sz="4"/>
                <w:insideH w:val="none"/>
                <w:insideV w:val="none"/>
              </w:tblBorders>
            </w:tblPr>
            <w:tblGrid>
              <w:gridCol w:w="545"/>
              <w:gridCol w:w="1282"/>
              <w:gridCol w:w="862"/>
              <w:gridCol w:w="849"/>
              <w:gridCol w:w="2058"/>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岗位</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w:t>
                  </w:r>
                </w:p>
              </w:tc>
              <w:tc>
                <w:tcPr>
                  <w:tcW w:type="dxa" w:w="2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项目需配套3个安全员协助</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清洁工</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w:t>
                  </w:r>
                </w:p>
              </w:tc>
              <w:tc>
                <w:tcPr>
                  <w:tcW w:type="dxa" w:w="2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项目需配套1个清洁人员，负责场地清洁</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行政管理人员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w:t>
                  </w:r>
                </w:p>
              </w:tc>
              <w:tc>
                <w:tcPr>
                  <w:tcW w:type="dxa" w:w="2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项目需配备1个管理人员，负责管理</w:t>
                  </w:r>
                </w:p>
              </w:tc>
            </w:tr>
          </w:tbl>
          <w:p/>
        </w:tc>
      </w:tr>
      <w:tr>
        <w:tc>
          <w:tcPr>
            <w:tcW w:type="dxa" w:w="2076"/>
          </w:tcPr>
          <w:p/>
        </w:tc>
        <w:tc>
          <w:tcPr>
            <w:tcW w:type="dxa" w:w="415"/>
          </w:tcPr>
          <w:p>
            <w:pPr>
              <w:pStyle w:val="null3"/>
            </w:pPr>
            <w:r>
              <w:rPr/>
              <w:t>15</w:t>
            </w:r>
          </w:p>
        </w:tc>
        <w:tc>
          <w:tcPr>
            <w:tcW w:type="dxa" w:w="5814"/>
          </w:tcPr>
          <w:p>
            <w:pPr>
              <w:pStyle w:val="null3"/>
              <w:ind w:firstLine="566"/>
              <w:jc w:val="left"/>
            </w:pPr>
            <w:r>
              <w:rPr>
                <w:sz w:val="24"/>
                <w:b/>
                <w:color w:val="000000"/>
              </w:rPr>
              <w:t>（五）培训服务</w:t>
            </w:r>
          </w:p>
          <w:p>
            <w:pPr>
              <w:pStyle w:val="null3"/>
              <w:ind w:firstLine="564"/>
              <w:jc w:val="left"/>
            </w:pPr>
            <w:r>
              <w:rPr>
                <w:sz w:val="24"/>
                <w:color w:val="000000"/>
              </w:rPr>
              <w:t>1、培训要求</w:t>
            </w:r>
          </w:p>
          <w:p>
            <w:pPr>
              <w:pStyle w:val="null3"/>
              <w:ind w:firstLine="564"/>
              <w:jc w:val="left"/>
            </w:pPr>
            <w:r>
              <w:rPr>
                <w:sz w:val="24"/>
                <w:color w:val="000000"/>
              </w:rPr>
              <w:t>包括系统维护培训、管理人员培训和操作使用培训。</w:t>
            </w:r>
          </w:p>
          <w:p>
            <w:pPr>
              <w:pStyle w:val="null3"/>
              <w:ind w:firstLine="564"/>
              <w:jc w:val="left"/>
            </w:pPr>
            <w:r>
              <w:rPr>
                <w:sz w:val="24"/>
                <w:color w:val="000000"/>
              </w:rPr>
              <w:t>2、培训内容</w:t>
            </w:r>
          </w:p>
          <w:p>
            <w:pPr>
              <w:pStyle w:val="null3"/>
              <w:ind w:firstLine="564"/>
              <w:jc w:val="left"/>
            </w:pPr>
            <w:r>
              <w:rPr>
                <w:sz w:val="24"/>
                <w:color w:val="000000"/>
              </w:rPr>
              <w:t>培训内容主要涉及产品基本原理、安装、调试、操作使用和保养维修等有关内容的学习。</w:t>
            </w:r>
          </w:p>
        </w:tc>
      </w:tr>
      <w:tr>
        <w:tc>
          <w:tcPr>
            <w:tcW w:type="dxa" w:w="2076"/>
          </w:tcPr>
          <w:p>
            <w:pPr>
              <w:pStyle w:val="null3"/>
            </w:pPr>
            <w:r>
              <w:rPr/>
              <w:t>▲</w:t>
            </w:r>
          </w:p>
        </w:tc>
        <w:tc>
          <w:tcPr>
            <w:tcW w:type="dxa" w:w="415"/>
          </w:tcPr>
          <w:p>
            <w:pPr>
              <w:pStyle w:val="null3"/>
            </w:pPr>
            <w:r>
              <w:rPr/>
              <w:t>16</w:t>
            </w:r>
          </w:p>
        </w:tc>
        <w:tc>
          <w:tcPr>
            <w:tcW w:type="dxa" w:w="5814"/>
          </w:tcPr>
          <w:p>
            <w:pPr>
              <w:pStyle w:val="null3"/>
              <w:ind w:firstLine="566"/>
              <w:jc w:val="left"/>
            </w:pPr>
            <w:r>
              <w:rPr>
                <w:sz w:val="24"/>
                <w:b/>
                <w:color w:val="000000"/>
              </w:rPr>
              <w:t>（六）维护要求</w:t>
            </w:r>
          </w:p>
          <w:p>
            <w:pPr>
              <w:pStyle w:val="null3"/>
              <w:ind w:firstLine="564"/>
              <w:jc w:val="left"/>
            </w:pPr>
            <w:r>
              <w:rPr>
                <w:sz w:val="24"/>
                <w:color w:val="000000"/>
              </w:rPr>
              <w:t>项目验收后中标人必须提供合同期内的免费维护服务，系统维护的范围为本次项目交付的设备，项目中硬件部分保修按标准提供合同期内维护服务，建立售后服务团队对项目售后服务进行技术支持，工程维护阶段，每月巡查一次，指定1名固定维护工程师，项目出现故障的情况由该名维护技术人员进行处理。</w:t>
            </w:r>
          </w:p>
          <w:p>
            <w:pPr>
              <w:pStyle w:val="null3"/>
              <w:ind w:firstLine="564"/>
              <w:jc w:val="left"/>
            </w:pPr>
            <w:r>
              <w:rPr>
                <w:sz w:val="24"/>
                <w:color w:val="000000"/>
              </w:rPr>
              <w:t>1、系统维护范围如下：</w:t>
            </w:r>
          </w:p>
          <w:tbl>
            <w:tblPr>
              <w:tblInd w:type="dxa" w:w="360"/>
              <w:tblBorders>
                <w:top w:val="none" w:color="000000" w:sz="4"/>
                <w:left w:val="none" w:color="000000" w:sz="4"/>
                <w:bottom w:val="none" w:color="000000" w:sz="4"/>
                <w:right w:val="none" w:color="000000" w:sz="4"/>
                <w:insideH w:val="none"/>
                <w:insideV w:val="none"/>
              </w:tblBorders>
            </w:tblPr>
            <w:tblGrid>
              <w:gridCol w:w="707"/>
              <w:gridCol w:w="1453"/>
              <w:gridCol w:w="3427"/>
            </w:tblGrid>
            <w:tr>
              <w:tc>
                <w:tcPr>
                  <w:tcW w:type="dxa" w:w="7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序号</w:t>
                  </w:r>
                </w:p>
              </w:tc>
              <w:tc>
                <w:tcPr>
                  <w:tcW w:type="dxa" w:w="14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维护内容</w:t>
                  </w:r>
                </w:p>
              </w:tc>
              <w:tc>
                <w:tcPr>
                  <w:tcW w:type="dxa" w:w="34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维护内容详细描述</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系统功能优化</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检测各系统运行是否正常，及时修正系统中存在的BUG。配合业务需求，对软件系统作小规模修改、升级和完善。</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系统性能提升</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对系统提供性能监测、系统优化、故障检测、故障排除、用户管理、资源分配、安全性控制等。</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3</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产品安全升级</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提供紧急病毒故障处理服务，对突发的新计算机病毒进行及时响应。</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4</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日常巡检</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每月对设备及系统定检一次，检查各应用系统、服务器、数据库、网络设备等维护内容中的所有设备的使用状况。</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5</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故障处理</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检查由于网络设备(如防火墙、交换机等)或网络设置造成的局域网络通信故障。</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6</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应急演练</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每年不定期安排演练，建立应急预案定期演练制度。通过演练，发现和解决应急工作体系和工作机制存在的问题，不断完善应急预案，提高应急处置能力。</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7</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系统迁移</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根据系统使用需求进行系统迁移。</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8</w:t>
                  </w:r>
                </w:p>
              </w:tc>
              <w:tc>
                <w:tcPr>
                  <w:tcW w:type="dxa" w:w="1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数据备份及恢复</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对数据库进行日常维护、备份。</w:t>
                  </w:r>
                </w:p>
              </w:tc>
            </w:tr>
          </w:tbl>
          <w:p>
            <w:pPr>
              <w:pStyle w:val="null3"/>
              <w:ind w:firstLine="564"/>
              <w:jc w:val="left"/>
            </w:pPr>
            <w:r>
              <w:rPr>
                <w:sz w:val="24"/>
                <w:color w:val="000000"/>
              </w:rPr>
              <w:t>一般服务响应时间：</w:t>
            </w:r>
          </w:p>
          <w:p>
            <w:pPr>
              <w:pStyle w:val="null3"/>
              <w:ind w:firstLine="564"/>
              <w:jc w:val="left"/>
            </w:pPr>
            <w:r>
              <w:rPr>
                <w:sz w:val="24"/>
                <w:color w:val="000000"/>
              </w:rPr>
              <w:t>提供7×24小时服务，接故障通知30分钟内给予答复，4小时内到达现场提供服务（保修期内为免费服务），8小时内处理完毕；保修期后的定时检查维护双方协商确定。保修期间用户所购设备各部件发生非人为故障，在48小时内提供免费上门更换同种品牌不低于原规格型号的新部件。对于</w:t>
            </w:r>
            <w:r>
              <w:rPr>
                <w:sz w:val="24"/>
                <w:color w:val="000000"/>
              </w:rPr>
              <w:t>不能明确是否是硬件出现故障时，尽力配合进行检查，并在上述响应时间内到达现场协助排除问题。</w:t>
            </w:r>
          </w:p>
        </w:tc>
      </w:tr>
      <w:tr>
        <w:tc>
          <w:tcPr>
            <w:tcW w:type="dxa" w:w="2076"/>
          </w:tcPr>
          <w:p/>
        </w:tc>
        <w:tc>
          <w:tcPr>
            <w:tcW w:type="dxa" w:w="415"/>
          </w:tcPr>
          <w:p>
            <w:pPr>
              <w:pStyle w:val="null3"/>
            </w:pPr>
            <w:r>
              <w:rPr/>
              <w:t>17</w:t>
            </w:r>
          </w:p>
        </w:tc>
        <w:tc>
          <w:tcPr>
            <w:tcW w:type="dxa" w:w="5814"/>
          </w:tcPr>
          <w:p>
            <w:pPr>
              <w:pStyle w:val="null3"/>
              <w:ind w:firstLine="564"/>
              <w:jc w:val="left"/>
            </w:pPr>
            <w:r>
              <w:rPr>
                <w:sz w:val="24"/>
                <w:color w:val="000000"/>
              </w:rPr>
              <w:t>2、设备维修及更换：</w:t>
            </w:r>
          </w:p>
          <w:p>
            <w:pPr>
              <w:pStyle w:val="null3"/>
              <w:ind w:firstLine="564"/>
              <w:jc w:val="left"/>
            </w:pPr>
            <w:r>
              <w:rPr>
                <w:sz w:val="24"/>
                <w:color w:val="000000"/>
              </w:rPr>
              <w:t>维护内容中的设备，在维护合同内出现故障：</w:t>
            </w:r>
          </w:p>
          <w:p>
            <w:pPr>
              <w:pStyle w:val="null3"/>
              <w:ind w:firstLine="564"/>
              <w:jc w:val="left"/>
            </w:pPr>
            <w:r>
              <w:rPr>
                <w:sz w:val="24"/>
                <w:color w:val="000000"/>
              </w:rPr>
              <w:t>（1）保修期内维修，指需要维修或更换的设备在规定标准保修期内，坏件返回维修，服务人员跟进维修过程，直至设备正常投入使用。</w:t>
            </w:r>
          </w:p>
          <w:p>
            <w:pPr>
              <w:pStyle w:val="null3"/>
              <w:ind w:firstLine="564"/>
              <w:jc w:val="left"/>
            </w:pPr>
            <w:r>
              <w:rPr>
                <w:sz w:val="24"/>
                <w:color w:val="000000"/>
              </w:rPr>
              <w:t>（2）保修期外维修，对已过保修期的坏件，根据</w:t>
            </w:r>
            <w:r>
              <w:rPr>
                <w:sz w:val="24"/>
                <w:color w:val="000000"/>
              </w:rPr>
              <w:t>服务人员</w:t>
            </w:r>
            <w:r>
              <w:rPr>
                <w:sz w:val="24"/>
                <w:color w:val="000000"/>
              </w:rPr>
              <w:t>的反馈情况提交书面报告，获得批准后将坏件送维修，跟进全过程，直至设备正常投入使用。</w:t>
            </w:r>
          </w:p>
        </w:tc>
      </w:tr>
      <w:tr>
        <w:tc>
          <w:tcPr>
            <w:tcW w:type="dxa" w:w="2076"/>
          </w:tcPr>
          <w:p/>
        </w:tc>
        <w:tc>
          <w:tcPr>
            <w:tcW w:type="dxa" w:w="415"/>
          </w:tcPr>
          <w:p>
            <w:pPr>
              <w:pStyle w:val="null3"/>
            </w:pPr>
            <w:r>
              <w:rPr/>
              <w:t>18</w:t>
            </w:r>
          </w:p>
        </w:tc>
        <w:tc>
          <w:tcPr>
            <w:tcW w:type="dxa" w:w="5814"/>
          </w:tcPr>
          <w:p>
            <w:pPr>
              <w:pStyle w:val="null3"/>
              <w:ind w:firstLine="566"/>
              <w:jc w:val="left"/>
            </w:pPr>
            <w:r>
              <w:rPr>
                <w:sz w:val="24"/>
                <w:b/>
                <w:color w:val="000000"/>
              </w:rPr>
              <w:t>（七）项目设计要求</w:t>
            </w:r>
          </w:p>
          <w:p>
            <w:pPr>
              <w:pStyle w:val="null3"/>
              <w:ind w:firstLine="564"/>
              <w:jc w:val="left"/>
            </w:pPr>
            <w:r>
              <w:rPr>
                <w:sz w:val="24"/>
                <w:color w:val="000000"/>
              </w:rPr>
              <w:t>系统要求成熟技术，并遵循安全性原则、可扩展性原则、标准化原则、实用性原则、合理性原则等设计原则。</w:t>
            </w:r>
          </w:p>
          <w:p>
            <w:pPr>
              <w:pStyle w:val="null3"/>
              <w:ind w:firstLine="564"/>
              <w:jc w:val="left"/>
            </w:pPr>
            <w:r>
              <w:rPr>
                <w:sz w:val="24"/>
                <w:color w:val="000000"/>
              </w:rPr>
              <w:t>安全性：系统应具有较强的抗干扰、抗静电能力，同时提供自动数据备份、恢复功能。系统还将提供用户等级权限保护，有效排除人为因素的干扰。</w:t>
            </w:r>
          </w:p>
          <w:p>
            <w:pPr>
              <w:pStyle w:val="null3"/>
              <w:ind w:firstLine="564"/>
              <w:jc w:val="left"/>
            </w:pPr>
            <w:r>
              <w:rPr>
                <w:sz w:val="24"/>
                <w:color w:val="000000"/>
              </w:rPr>
              <w:t>扩展性：系统预留接口，实现未来能够与监管平台无缝连接，实现视频追踪监管功能，网络要达到视频传输流畅。</w:t>
            </w:r>
          </w:p>
          <w:p>
            <w:pPr>
              <w:pStyle w:val="null3"/>
              <w:ind w:firstLine="564"/>
              <w:jc w:val="left"/>
            </w:pPr>
            <w:r>
              <w:rPr>
                <w:sz w:val="24"/>
                <w:color w:val="000000"/>
              </w:rPr>
              <w:t>规范性：系统设计符合《中华人民共和国道路交通安全法》和《机动车驾驶证申领和使用规定》（公安部令第172号）《机动车登记规定》及相关行业法规的要求。</w:t>
            </w:r>
          </w:p>
          <w:p>
            <w:pPr>
              <w:pStyle w:val="null3"/>
              <w:ind w:firstLine="564"/>
              <w:jc w:val="left"/>
            </w:pPr>
            <w:r>
              <w:rPr>
                <w:sz w:val="24"/>
                <w:color w:val="000000"/>
              </w:rPr>
              <w:t>实用性：系统功能充分满足用户的实际需求，人机界面友好，易于使用、管理、维护，并且具有良好的扩展性。</w:t>
            </w:r>
          </w:p>
          <w:p>
            <w:pPr>
              <w:pStyle w:val="null3"/>
              <w:ind w:firstLine="564"/>
              <w:jc w:val="left"/>
            </w:pPr>
            <w:r>
              <w:rPr>
                <w:sz w:val="24"/>
                <w:color w:val="000000"/>
              </w:rPr>
              <w:t>合理性：严格以系统工程学及其它先进理论为指导进行设计，使系统的各部分合理配置，有机融合并尽可能的发挥设备潜力和软件功能，最大限度地提高性能价格比。</w:t>
            </w:r>
          </w:p>
          <w:p>
            <w:pPr>
              <w:pStyle w:val="null3"/>
              <w:ind w:firstLine="564"/>
              <w:jc w:val="left"/>
            </w:pPr>
            <w:r>
              <w:rPr>
                <w:sz w:val="24"/>
                <w:color w:val="000000"/>
              </w:rPr>
              <w:t>系统的建设目的主要是处理摩托车驾驶人考试业务的需求，满足考试建设方日常考试流程业务、满足公安部对摩托车考试评判的要求、满足管理方对机动车驾驶人考试业务的管理要求。同时系统具备对接未来可能升级的监管接口的功能。</w:t>
            </w:r>
          </w:p>
          <w:p>
            <w:pPr>
              <w:pStyle w:val="null3"/>
              <w:ind w:firstLine="564"/>
              <w:jc w:val="left"/>
            </w:pPr>
            <w:r>
              <w:rPr>
                <w:sz w:val="24"/>
                <w:color w:val="000000"/>
              </w:rPr>
              <w:t>网络建设：系统以自建局域网作为传输通道，确保网络传输的高效性；</w:t>
            </w:r>
          </w:p>
          <w:p>
            <w:pPr>
              <w:pStyle w:val="null3"/>
              <w:ind w:firstLine="564"/>
              <w:jc w:val="left"/>
            </w:pPr>
            <w:r>
              <w:rPr>
                <w:sz w:val="24"/>
                <w:color w:val="000000"/>
              </w:rPr>
              <w:t>场地建设：利用现有的成熟技术以及行业间主流技术状态，使用虚拟传感器结合场地传感器方案；其中场地传感器主要包含：单边桥的压力传感器和桩考的碰桩传感器；</w:t>
            </w:r>
          </w:p>
          <w:p>
            <w:pPr>
              <w:pStyle w:val="null3"/>
              <w:ind w:firstLine="564"/>
              <w:jc w:val="left"/>
            </w:pPr>
            <w:r>
              <w:rPr>
                <w:sz w:val="24"/>
                <w:color w:val="000000"/>
              </w:rPr>
              <w:t>车载设备：车载安装带有惯导的北斗GPS模块、具备播报语音功能及能远程指令控制的信号采集模块、安装车载摄像头以满足实时人脸抓拍、所用摩托车必须具备机动车驾驶人考试业务要求的所有信号量；</w:t>
            </w:r>
          </w:p>
          <w:p>
            <w:pPr>
              <w:pStyle w:val="null3"/>
              <w:ind w:firstLine="564"/>
              <w:jc w:val="left"/>
            </w:pPr>
            <w:r>
              <w:rPr>
                <w:sz w:val="24"/>
                <w:color w:val="000000"/>
              </w:rPr>
              <w:t>车载计算：系统采用双天线定位定向的载波相位动态实时差分技术，沿用场地考试的虚拟传感器技术方案，将考车和项目进行区域模型化处理，利用车载RTK卫星定位和惯性导航姿态结合，利用空间几何的欧拉变换算法进行空间姿态位置计算；</w:t>
            </w:r>
          </w:p>
          <w:p>
            <w:pPr>
              <w:pStyle w:val="null3"/>
              <w:ind w:firstLine="564"/>
              <w:jc w:val="left"/>
            </w:pPr>
            <w:r>
              <w:rPr>
                <w:sz w:val="24"/>
                <w:color w:val="000000"/>
              </w:rPr>
              <w:t>评判业务：评判系统采用后台评判的方式，后台监考软件实时接收处理车载终端发送的车辆信号和卫星信号实时数据和场地项目（桩考、通过单边桥）实时传感器信号，结合前期场地车模的测绘数据及车模测绘数据实时计算的考车位置，评判考车开始、扣分、结束等；</w:t>
            </w:r>
          </w:p>
          <w:p>
            <w:pPr>
              <w:pStyle w:val="null3"/>
              <w:ind w:firstLine="564"/>
              <w:jc w:val="left"/>
            </w:pPr>
            <w:r>
              <w:rPr>
                <w:sz w:val="24"/>
                <w:color w:val="000000"/>
              </w:rPr>
              <w:t>数据服务：使用成熟、稳定产品作为监管系统数据服务，开通数据服务审计功能；</w:t>
            </w:r>
          </w:p>
          <w:p>
            <w:pPr>
              <w:pStyle w:val="null3"/>
              <w:ind w:firstLine="564"/>
              <w:jc w:val="left"/>
            </w:pPr>
            <w:r>
              <w:rPr>
                <w:sz w:val="24"/>
                <w:color w:val="000000"/>
              </w:rPr>
              <w:t>管理业务：系统采用B/S或C/S架构的管理系统，管理平台的业务层满足摩托车考试管理业务，同时满足公安部的安全性要求；</w:t>
            </w:r>
          </w:p>
          <w:p>
            <w:pPr>
              <w:pStyle w:val="null3"/>
              <w:ind w:firstLine="564"/>
              <w:jc w:val="left"/>
            </w:pPr>
            <w:r>
              <w:rPr>
                <w:sz w:val="24"/>
                <w:color w:val="000000"/>
              </w:rPr>
              <w:t>流程设计：需包含考生人脸核验、自助签到、自动叫号，同时为考试流程业务预留接入接口，可根据各考场主管单位实际要求添加。</w:t>
            </w:r>
          </w:p>
          <w:p>
            <w:pPr>
              <w:pStyle w:val="null3"/>
              <w:ind w:firstLine="564"/>
              <w:jc w:val="left"/>
            </w:pPr>
            <w:r>
              <w:rPr>
                <w:sz w:val="24"/>
                <w:color w:val="000000"/>
              </w:rPr>
              <w:t>监控系统:监控视频实现全场无死角且存储应满足考试不少于3年、场地不少于1年的要求。</w:t>
            </w:r>
          </w:p>
          <w:p>
            <w:pPr>
              <w:pStyle w:val="null3"/>
              <w:ind w:firstLine="564"/>
              <w:jc w:val="left"/>
            </w:pPr>
            <w:r>
              <w:rPr>
                <w:sz w:val="24"/>
                <w:color w:val="000000"/>
              </w:rPr>
              <w:t>后备电源：满足保证停电后计算机考台、网络交换机、音视频监控等设备正常工作至正在进行考试的考生完成考试。</w:t>
            </w:r>
          </w:p>
        </w:tc>
      </w:tr>
      <w:tr>
        <w:tc>
          <w:tcPr>
            <w:tcW w:type="dxa" w:w="2076"/>
          </w:tcPr>
          <w:p/>
        </w:tc>
        <w:tc>
          <w:tcPr>
            <w:tcW w:type="dxa" w:w="415"/>
          </w:tcPr>
          <w:p>
            <w:pPr>
              <w:pStyle w:val="null3"/>
            </w:pPr>
            <w:r>
              <w:rPr/>
              <w:t>19</w:t>
            </w:r>
          </w:p>
        </w:tc>
        <w:tc>
          <w:tcPr>
            <w:tcW w:type="dxa" w:w="5814"/>
          </w:tcPr>
          <w:p>
            <w:pPr>
              <w:pStyle w:val="null3"/>
              <w:ind w:firstLine="566"/>
              <w:jc w:val="left"/>
            </w:pPr>
            <w:r>
              <w:rPr>
                <w:sz w:val="24"/>
                <w:b/>
                <w:color w:val="000000"/>
              </w:rPr>
              <w:t>（八）系统数据连接及安全</w:t>
            </w:r>
          </w:p>
          <w:p>
            <w:pPr>
              <w:pStyle w:val="null3"/>
              <w:ind w:firstLine="564"/>
              <w:jc w:val="left"/>
            </w:pPr>
            <w:r>
              <w:rPr>
                <w:sz w:val="24"/>
                <w:color w:val="000000"/>
              </w:rPr>
              <w:t>考试系统实现考试科目数据的集成，配备网络设备联入考试专网。</w:t>
            </w:r>
          </w:p>
          <w:p>
            <w:pPr>
              <w:pStyle w:val="null3"/>
              <w:ind w:firstLine="564"/>
              <w:jc w:val="left"/>
            </w:pPr>
            <w:r>
              <w:rPr>
                <w:sz w:val="24"/>
                <w:color w:val="000000"/>
              </w:rPr>
              <w:t>数据服务用户不存在无用途用户，用户权限为满足应用要求的最低权限；数据服务所有默认用户的缺省密码或空密码应已更改，密码组成应有一定复杂度。</w:t>
            </w:r>
          </w:p>
          <w:p>
            <w:pPr>
              <w:pStyle w:val="null3"/>
              <w:ind w:firstLine="564"/>
              <w:jc w:val="left"/>
            </w:pPr>
            <w:r>
              <w:rPr>
                <w:sz w:val="24"/>
                <w:color w:val="000000"/>
              </w:rPr>
              <w:t>考试系统操作用户的密码组成应有一定复杂度；系统管理员、系统操作员、考试员等应有不同的操作权限。</w:t>
            </w:r>
          </w:p>
          <w:p>
            <w:pPr>
              <w:pStyle w:val="null3"/>
              <w:ind w:firstLine="564"/>
              <w:jc w:val="left"/>
            </w:pPr>
            <w:r>
              <w:rPr>
                <w:sz w:val="24"/>
                <w:color w:val="000000"/>
              </w:rPr>
              <w:t>考试过程中数据服务和结果数据应进行数据加密并防止非法篡改。</w:t>
            </w:r>
          </w:p>
          <w:p>
            <w:pPr>
              <w:pStyle w:val="null3"/>
              <w:ind w:firstLine="564"/>
              <w:jc w:val="left"/>
            </w:pPr>
            <w:r>
              <w:rPr>
                <w:sz w:val="24"/>
                <w:color w:val="000000"/>
              </w:rPr>
              <w:t>系统登录、用户管理和信息修改（异常操作）应自动生成操作日志并防止非法篡改。</w:t>
            </w:r>
          </w:p>
          <w:p>
            <w:pPr>
              <w:pStyle w:val="null3"/>
              <w:ind w:firstLine="564"/>
              <w:jc w:val="left"/>
            </w:pPr>
            <w:r>
              <w:rPr>
                <w:sz w:val="24"/>
                <w:color w:val="000000"/>
              </w:rPr>
              <w:t>考试系统数据服务具有备份功能，能定期备份考试系统数据，并根据需要恢复到最近的数据信息。</w:t>
            </w:r>
          </w:p>
          <w:p>
            <w:pPr>
              <w:pStyle w:val="null3"/>
              <w:ind w:firstLine="564"/>
              <w:jc w:val="left"/>
            </w:pPr>
            <w:r>
              <w:rPr>
                <w:sz w:val="24"/>
                <w:color w:val="000000"/>
              </w:rPr>
              <w:t>考试系统数据服务应开启审计功能，对于考试系统数据对象的删改操作信息进行记录。</w:t>
            </w:r>
          </w:p>
          <w:p>
            <w:pPr>
              <w:pStyle w:val="null3"/>
              <w:ind w:firstLine="564"/>
              <w:jc w:val="left"/>
            </w:pPr>
            <w:r>
              <w:rPr>
                <w:sz w:val="24"/>
                <w:color w:val="000000"/>
              </w:rPr>
              <w:t>考试系统软件不应提供以下违规功能：（1）屏蔽考试扣分项；（2）修改考试成绩；（3）通过修改考试预约信息让不合格考生多次补考；（4）修改考试员准考车型；（5）修改考试员证件有效期止；（6）修改考试员证件状态信息。</w:t>
            </w:r>
          </w:p>
        </w:tc>
      </w:tr>
      <w:tr>
        <w:tc>
          <w:tcPr>
            <w:tcW w:type="dxa" w:w="2076"/>
          </w:tcPr>
          <w:p/>
        </w:tc>
        <w:tc>
          <w:tcPr>
            <w:tcW w:type="dxa" w:w="415"/>
          </w:tcPr>
          <w:p>
            <w:pPr>
              <w:pStyle w:val="null3"/>
            </w:pPr>
            <w:r>
              <w:rPr/>
              <w:t>20</w:t>
            </w:r>
          </w:p>
        </w:tc>
        <w:tc>
          <w:tcPr>
            <w:tcW w:type="dxa" w:w="5814"/>
          </w:tcPr>
          <w:p>
            <w:pPr>
              <w:pStyle w:val="null3"/>
              <w:ind w:firstLine="566"/>
              <w:jc w:val="left"/>
            </w:pPr>
            <w:r>
              <w:rPr>
                <w:sz w:val="24"/>
                <w:b/>
                <w:color w:val="000000"/>
              </w:rPr>
              <w:t>（九）考试场地及考试项目</w:t>
            </w:r>
          </w:p>
          <w:p>
            <w:pPr>
              <w:pStyle w:val="null3"/>
              <w:ind w:firstLine="564"/>
              <w:jc w:val="left"/>
            </w:pPr>
            <w:r>
              <w:rPr>
                <w:sz w:val="24"/>
                <w:color w:val="000000"/>
              </w:rPr>
              <w:t>本项目摩托车考场包含理论考室60平方米、候考室和监控室及机房建筑面积不少于150平方米和D、E两种车型科二、三考试场地用地面积约为1800平方米，具体考试项目如下：</w:t>
            </w:r>
          </w:p>
          <w:p>
            <w:pPr>
              <w:pStyle w:val="null3"/>
              <w:ind w:firstLine="564"/>
              <w:jc w:val="left"/>
            </w:pPr>
            <w:r>
              <w:rPr>
                <w:sz w:val="24"/>
                <w:color w:val="000000"/>
              </w:rPr>
              <w:t>1、理论考室：监考考台1套，考生考台15套。</w:t>
            </w:r>
          </w:p>
          <w:p>
            <w:pPr>
              <w:pStyle w:val="null3"/>
              <w:ind w:firstLine="564"/>
              <w:jc w:val="left"/>
            </w:pPr>
            <w:r>
              <w:rPr>
                <w:sz w:val="24"/>
                <w:color w:val="000000"/>
              </w:rPr>
              <w:t>2、科目二：3个单边桥项目、3个桩考项目、2个上坡起步项目。</w:t>
            </w:r>
          </w:p>
          <w:p>
            <w:pPr>
              <w:pStyle w:val="null3"/>
              <w:ind w:firstLine="564"/>
              <w:jc w:val="left"/>
            </w:pPr>
            <w:r>
              <w:rPr>
                <w:sz w:val="24"/>
                <w:color w:val="000000"/>
              </w:rPr>
              <w:t>3、科目三：起步、通过路口、通过人行横道、靠边停车、掉头等。</w:t>
            </w:r>
          </w:p>
        </w:tc>
      </w:tr>
      <w:tr>
        <w:tc>
          <w:tcPr>
            <w:tcW w:type="dxa" w:w="2076"/>
          </w:tcPr>
          <w:p/>
        </w:tc>
        <w:tc>
          <w:tcPr>
            <w:tcW w:type="dxa" w:w="415"/>
          </w:tcPr>
          <w:p>
            <w:pPr>
              <w:pStyle w:val="null3"/>
            </w:pPr>
            <w:r>
              <w:rPr/>
              <w:t>21</w:t>
            </w:r>
          </w:p>
        </w:tc>
        <w:tc>
          <w:tcPr>
            <w:tcW w:type="dxa" w:w="5814"/>
          </w:tcPr>
          <w:p>
            <w:pPr>
              <w:pStyle w:val="null3"/>
              <w:ind w:firstLine="566"/>
              <w:jc w:val="left"/>
            </w:pPr>
            <w:r>
              <w:rPr>
                <w:sz w:val="24"/>
                <w:b/>
                <w:color w:val="000000"/>
              </w:rPr>
              <w:t>（十）考试内容及评判要求</w:t>
            </w:r>
          </w:p>
          <w:p>
            <w:pPr>
              <w:pStyle w:val="null3"/>
              <w:ind w:firstLine="560"/>
              <w:jc w:val="left"/>
            </w:pPr>
            <w:r>
              <w:rPr>
                <w:sz w:val="24"/>
                <w:color w:val="000000"/>
              </w:rPr>
              <w:t>1、考试内容</w:t>
            </w:r>
          </w:p>
          <w:p>
            <w:pPr>
              <w:pStyle w:val="null3"/>
              <w:ind w:firstLine="560"/>
              <w:jc w:val="left"/>
            </w:pPr>
            <w:r>
              <w:rPr>
                <w:sz w:val="24"/>
                <w:color w:val="000000"/>
              </w:rPr>
              <w:t>普通三轮摩托车、普通二轮摩托车准驾车型的科目一考试内容应包括：普通三轮摩托车、普通二轮摩托车准驾车型的科目二考试内容应包括：（1）桩考；（2）坡道定点停车和起步；（3）通过单边桥。</w:t>
            </w:r>
          </w:p>
          <w:p>
            <w:pPr>
              <w:pStyle w:val="null3"/>
              <w:ind w:firstLine="560"/>
              <w:jc w:val="left"/>
            </w:pPr>
            <w:r>
              <w:rPr>
                <w:sz w:val="24"/>
                <w:color w:val="000000"/>
              </w:rPr>
              <w:t>普通三轮摩托车、普通二轮摩托车准驾车型的科目三考试内容如下：（1）起步；（2）掉头；（3）通过路口或通过人行横道线或通过学校区域或通过公共汽车站；（4）靠边停车；（5）省级公安机关交通管理部门规定的其他考试内容。</w:t>
            </w:r>
          </w:p>
        </w:tc>
      </w:tr>
      <w:tr>
        <w:tc>
          <w:tcPr>
            <w:tcW w:type="dxa" w:w="2076"/>
          </w:tcPr>
          <w:p/>
        </w:tc>
        <w:tc>
          <w:tcPr>
            <w:tcW w:type="dxa" w:w="415"/>
          </w:tcPr>
          <w:p>
            <w:pPr>
              <w:pStyle w:val="null3"/>
            </w:pPr>
            <w:r>
              <w:rPr/>
              <w:t>22</w:t>
            </w:r>
          </w:p>
        </w:tc>
        <w:tc>
          <w:tcPr>
            <w:tcW w:type="dxa" w:w="5814"/>
          </w:tcPr>
          <w:p>
            <w:pPr>
              <w:pStyle w:val="null3"/>
              <w:ind w:firstLine="560"/>
              <w:jc w:val="left"/>
            </w:pPr>
            <w:r>
              <w:rPr>
                <w:sz w:val="24"/>
                <w:color w:val="000000"/>
              </w:rPr>
              <w:t>2、考试评判要求</w:t>
            </w:r>
          </w:p>
          <w:p>
            <w:pPr>
              <w:pStyle w:val="null3"/>
              <w:ind w:firstLine="560"/>
              <w:jc w:val="left"/>
            </w:pPr>
            <w:r>
              <w:rPr>
                <w:sz w:val="24"/>
                <w:color w:val="000000"/>
              </w:rPr>
              <w:t>科目二考试评判要求</w:t>
            </w:r>
          </w:p>
          <w:tbl>
            <w:tblPr>
              <w:tblBorders>
                <w:top w:val="none" w:color="000000" w:sz="4"/>
                <w:left w:val="none" w:color="000000" w:sz="4"/>
                <w:bottom w:val="none" w:color="000000" w:sz="4"/>
                <w:right w:val="none" w:color="000000" w:sz="4"/>
                <w:insideH w:val="none"/>
                <w:insideV w:val="none"/>
              </w:tblBorders>
            </w:tblPr>
            <w:tblGrid>
              <w:gridCol w:w="577"/>
              <w:gridCol w:w="682"/>
              <w:gridCol w:w="1679"/>
              <w:gridCol w:w="857"/>
              <w:gridCol w:w="1775"/>
            </w:tblGrid>
            <w:tr>
              <w:tc>
                <w:tcPr>
                  <w:tcW w:type="dxa" w:w="5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序号</w:t>
                  </w:r>
                </w:p>
              </w:tc>
              <w:tc>
                <w:tcPr>
                  <w:tcW w:type="dxa" w:w="6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考试项目</w:t>
                  </w:r>
                </w:p>
              </w:tc>
              <w:tc>
                <w:tcPr>
                  <w:tcW w:type="dxa" w:w="16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检测评判项</w:t>
                  </w:r>
                </w:p>
              </w:tc>
              <w:tc>
                <w:tcPr>
                  <w:tcW w:type="dxa" w:w="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判定结果</w:t>
                  </w:r>
                </w:p>
              </w:tc>
              <w:tc>
                <w:tcPr>
                  <w:tcW w:type="dxa" w:w="17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说明</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w:t>
                  </w:r>
                </w:p>
              </w:tc>
              <w:tc>
                <w:tcPr>
                  <w:tcW w:type="dxa" w:w="68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通用要求</w:t>
                  </w: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启动发动机时挡位未置于空挡</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发动机启动后，不及时松开启动开关</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发动机启动后，2s内未松开启动开关</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3</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因操作不当造成发动机熄火一次</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4</w:t>
                  </w:r>
                </w:p>
              </w:tc>
              <w:tc>
                <w:tcPr>
                  <w:tcW w:type="dxa" w:w="68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桩考</w:t>
                  </w: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不按规定路线、顺序行驶</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未按GA1026规定的运行路线行驶</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5</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碰擦桩杆</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行驶中，驾驶人或车身任意点碰擦桩杆</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6</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车身出线或二轮摩托车轮出线</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两轮摩托车车轮触地点出道路边线内侧；其他准驾车型除车把外的车身任意点出道路边线内侧；</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7</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中途停车</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每次扣5分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进退途中停车时间超过2s</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8</w:t>
                  </w:r>
                </w:p>
              </w:tc>
              <w:tc>
                <w:tcPr>
                  <w:tcW w:type="dxa" w:w="68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坡道定点停车和起步</w:t>
                  </w: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不按考试员指令驾驶</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车辆尾部驶过上控制线前未停车</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9</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车辆停止后，前轴未定于桩杆线上，且前后超出50cm</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汽车前保险杠或摩托车前轴驶过上控制线下边缘或未驶过下控制线上边缘</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10</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行驶中车轮轧道路边缘线</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11</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车辆停止后，车身距离路边缘线超出</w:t>
                  </w:r>
                </w:p>
                <w:p>
                  <w:pPr>
                    <w:pStyle w:val="null3"/>
                    <w:jc w:val="center"/>
                  </w:pPr>
                  <w:r>
                    <w:rPr>
                      <w:sz w:val="24"/>
                      <w:color w:val="000000"/>
                    </w:rPr>
                    <w:t>50cm</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二轮摩托车车辆前、后轮与道路边缘线内侧最大距离；其他准驾车型货箱右侧最前、最后点与道路边缘线内侧最大距离</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12</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车辆停止后，起步时间超过30s</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从车辆停车开始至向前移动</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13</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起步时车辆后溜距离大于30cm</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停车后累计后溜距离大于30cm</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14</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车辆停止后，前轴未定于桩杆线上，且前后不超出50cm</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汽车前保险杠或摩托车前轴位于停车桩杆线与控制线之间</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15</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车辆停止后，车身距离路边缘线超出30cm，未超出50cm</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二轮摩托车车辆前、后轮与道路边缘线内侧最大距离；其他准驾车型货箱右侧最前、最后点与道路边缘线内侧最大距离</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16</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停车后，三轮汽车或普通三轮摩托车未拉紧驻车制动器</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停车后至起步前，未拉起过驻车制动器</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17</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起步时车辆后溜距离小于或等于30cm</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停车后累计后溜距离10cm～30cm</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18</w:t>
                  </w:r>
                </w:p>
              </w:tc>
              <w:tc>
                <w:tcPr>
                  <w:tcW w:type="dxa" w:w="68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通过单边桥</w:t>
                  </w: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不按规定路线、顺序行驶</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正三轮摩托车左侧、右侧车轮均未驶上桥面或普通二轮摩托车前轮、后轮均未驶上桥面；车辆在项目区域内向后倒车</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19</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车轮已驶过桥面起始位置，有一轮未上桥</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20</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已驶上桥面，但行驶中掉下桥面</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每次扣10分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w:t>
                  </w:r>
                </w:p>
              </w:tc>
            </w:tr>
            <w:tr>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21</w:t>
                  </w:r>
                </w:p>
              </w:tc>
              <w:tc>
                <w:tcPr>
                  <w:tcW w:type="dxa" w:w="682"/>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中途停车</w:t>
                  </w:r>
                </w:p>
              </w:tc>
              <w:tc>
                <w:tcPr>
                  <w:tcW w:type="dxa" w:w="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每次扣5分</w:t>
                  </w:r>
                </w:p>
              </w:tc>
              <w:tc>
                <w:tcPr>
                  <w:tcW w:type="dxa" w:w="1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进退途中停车时间超过2s</w:t>
                  </w:r>
                </w:p>
              </w:tc>
            </w:tr>
            <w:tr>
              <w:tc>
                <w:tcPr>
                  <w:tcW w:type="dxa" w:w="5570"/>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从科目考试开始到考试结束检测评判。</w:t>
                  </w:r>
                </w:p>
              </w:tc>
            </w:tr>
          </w:tbl>
          <w:p>
            <w:pPr>
              <w:pStyle w:val="null3"/>
              <w:spacing w:before="105"/>
              <w:ind w:left="585"/>
              <w:jc w:val="left"/>
            </w:pPr>
            <w:r>
              <w:rPr>
                <w:sz w:val="24"/>
                <w:color w:val="000000"/>
              </w:rPr>
              <w:t>科目三评判要求</w:t>
            </w:r>
          </w:p>
          <w:tbl>
            <w:tblPr>
              <w:tblBorders>
                <w:top w:val="none" w:color="000000" w:sz="4"/>
                <w:left w:val="none" w:color="000000" w:sz="4"/>
                <w:bottom w:val="none" w:color="000000" w:sz="4"/>
                <w:right w:val="none" w:color="000000" w:sz="4"/>
                <w:insideH w:val="none"/>
                <w:insideV w:val="none"/>
              </w:tblBorders>
            </w:tblPr>
            <w:tblGrid>
              <w:gridCol w:w="505"/>
              <w:gridCol w:w="539"/>
              <w:gridCol w:w="2225"/>
              <w:gridCol w:w="787"/>
              <w:gridCol w:w="1523"/>
            </w:tblGrid>
            <w:tr>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序号</w:t>
                  </w:r>
                </w:p>
              </w:tc>
              <w:tc>
                <w:tcPr>
                  <w:tcW w:type="dxa" w:w="5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考试项目</w:t>
                  </w:r>
                </w:p>
              </w:tc>
              <w:tc>
                <w:tcPr>
                  <w:tcW w:type="dxa" w:w="22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检测评判项</w:t>
                  </w:r>
                </w:p>
              </w:tc>
              <w:tc>
                <w:tcPr>
                  <w:tcW w:type="dxa" w:w="7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判定结果要求</w:t>
                  </w:r>
                </w:p>
              </w:tc>
              <w:tc>
                <w:tcPr>
                  <w:tcW w:type="dxa" w:w="15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参数设置要求</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w:t>
                  </w:r>
                </w:p>
              </w:tc>
              <w:tc>
                <w:tcPr>
                  <w:tcW w:type="dxa" w:w="5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一般要求</w:t>
                  </w: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启动发动机时挡位未置于空挡（驻车挡）</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制动时不同时使用前、后制动器的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3</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开转向灯少于3秒即转向</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4</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行驶中，空挡滑行的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行驶时间大于5秒</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5</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行驶中，不按规定速度行驶的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不得连续使用1档5秒以上</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6</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因操作不当造成发动机熄火一次</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每次扣10分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7</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将车辆停在人行横道、网状线内等禁止停车区域</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熄火后停车时间超过20秒</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8</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车辆行驶中骑轧车道中心实线或者车道边缘实线</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以实线内侧为准，距离检测误差</w:t>
                  </w:r>
                </w:p>
                <w:p>
                  <w:pPr>
                    <w:pStyle w:val="null3"/>
                    <w:jc w:val="center"/>
                  </w:pPr>
                  <w:r>
                    <w:rPr>
                      <w:sz w:val="24"/>
                      <w:color w:val="000000"/>
                    </w:rPr>
                    <w:t>0mm～+50mm</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9</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不按规定戴安全头盔的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10</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二轮摩托车在行驶中脚触地的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11</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起步、掉头、靠边停车未回头观察确认安全的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侧后观察大于45度</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12</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操作完成后不关闭转向灯的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每次扣10分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操作完成后超过3秒未关闭</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13</w:t>
                  </w:r>
                </w:p>
              </w:tc>
              <w:tc>
                <w:tcPr>
                  <w:tcW w:type="dxa" w:w="5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w:t>
                  </w: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起步前未开启左转向灯的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14</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起步时车辆后溜距离大于30cm的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停车后累计后溜距离大于30cm</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15</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三轮摩托车不松驻车制动器起步，未及时纠正</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行驶距离大于5m</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16</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三轮摩托车不松驻车制动器起步，但能及时纠正</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每次扣10分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行驶距离为1m～5m</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17</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起步挂错档</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未从1档起步</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18</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起步时车辆发生闯动</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扣5分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19</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直线行驶</w:t>
                  </w: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方向控制不稳，不能保持车辆直线运行</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行驶10m内偏移量大于±30cm</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20</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通过人行横道线</w:t>
                  </w: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不按规定减速慢行</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摩托车前轴到人行横道线前10m范围内未踩制动</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21</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掉头</w:t>
                  </w: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掉头前未开启左转向灯</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22</w:t>
                  </w:r>
                </w:p>
              </w:tc>
              <w:tc>
                <w:tcPr>
                  <w:tcW w:type="dxa" w:w="5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靠边停车</w:t>
                  </w: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靠边停车前未开启右转向灯的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23</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考试员发出靠边停车指令后，未能在规定的距离内停车</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未在规定路段区域内停车，或未在指令发出后30m以内停车</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24</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停车后，车身距离道路右侧边缘线或者人行道边缘超出50cm</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不合格</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以边缘线内侧为准，距离检测误差0mm～+50mm</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25</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停车后，车身距离道路右侧边缘线或者人行道边缘超出30cm，未超出50cm</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以边缘线内侧为准，距离检测误差0mm～+50mm</w:t>
                  </w: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26</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停车后，三轮摩托车未拉紧驻车制动器的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27</w:t>
                  </w:r>
                </w:p>
              </w:tc>
              <w:tc>
                <w:tcPr>
                  <w:tcW w:type="dxa" w:w="539"/>
                  <w:vMerge/>
                  <w:tcBorders>
                    <w:top w:val="none" w:color="000000" w:sz="4"/>
                    <w:left w:val="single" w:color="000000" w:sz="4"/>
                    <w:bottom w:val="single" w:color="000000" w:sz="4"/>
                    <w:right w:val="single" w:color="000000" w:sz="4"/>
                  </w:tcBorders>
                </w:tcPr>
                <w:p/>
              </w:tc>
              <w:tc>
                <w:tcPr>
                  <w:tcW w:type="dxa" w:w="2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三轮摩托车拉紧驻车制动器前放松行车制动踏板的</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扣10分</w:t>
                  </w:r>
                </w:p>
              </w:tc>
              <w:tc>
                <w:tcPr>
                  <w:tcW w:type="dxa" w:w="15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57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注：9、10、11项为推荐性评判项目。</w:t>
                  </w:r>
                </w:p>
              </w:tc>
            </w:tr>
          </w:tbl>
          <w:p/>
        </w:tc>
      </w:tr>
      <w:tr>
        <w:tc>
          <w:tcPr>
            <w:tcW w:type="dxa" w:w="2076"/>
          </w:tcPr>
          <w:p/>
        </w:tc>
        <w:tc>
          <w:tcPr>
            <w:tcW w:type="dxa" w:w="415"/>
          </w:tcPr>
          <w:p>
            <w:pPr>
              <w:pStyle w:val="null3"/>
            </w:pPr>
            <w:r>
              <w:rPr/>
              <w:t>23</w:t>
            </w:r>
          </w:p>
        </w:tc>
        <w:tc>
          <w:tcPr>
            <w:tcW w:type="dxa" w:w="5814"/>
          </w:tcPr>
          <w:p>
            <w:pPr>
              <w:pStyle w:val="null3"/>
              <w:ind w:firstLine="560"/>
              <w:jc w:val="left"/>
            </w:pPr>
            <w:r>
              <w:rPr>
                <w:sz w:val="24"/>
                <w:color w:val="000000"/>
              </w:rPr>
              <w:t>3、专网安全防御</w:t>
            </w:r>
          </w:p>
          <w:p>
            <w:pPr>
              <w:pStyle w:val="null3"/>
              <w:ind w:firstLine="560"/>
              <w:jc w:val="left"/>
            </w:pPr>
            <w:r>
              <w:rPr>
                <w:sz w:val="24"/>
                <w:color w:val="000000"/>
              </w:rPr>
              <w:t>在网络边界处及内网均部署防火墙，根据会话状态信息为数据流提供明确的允许/拒绝访问的能力，控制粒度为端口级，在防火墙上开启IP加MAC绑定实现对各网段的地址欺骗控制，支持按用户和系统之间的允许访问规则，允许或拒绝用户对受控系统进行资源访问。将用户信息网络划分出不同网络安全区域，对于跨越安全区域的访问进行访问控制，重点根据源、目标地址、协议、端口、服务、用户等信息进行判断，符合访问控制策略的将被允许，否则将被禁止。</w:t>
            </w:r>
          </w:p>
        </w:tc>
      </w:tr>
      <w:tr>
        <w:tc>
          <w:tcPr>
            <w:tcW w:type="dxa" w:w="2076"/>
          </w:tcPr>
          <w:p/>
        </w:tc>
        <w:tc>
          <w:tcPr>
            <w:tcW w:type="dxa" w:w="415"/>
          </w:tcPr>
          <w:p>
            <w:pPr>
              <w:pStyle w:val="null3"/>
            </w:pPr>
            <w:r>
              <w:rPr/>
              <w:t>24</w:t>
            </w:r>
          </w:p>
        </w:tc>
        <w:tc>
          <w:tcPr>
            <w:tcW w:type="dxa" w:w="5814"/>
          </w:tcPr>
          <w:p>
            <w:pPr>
              <w:pStyle w:val="null3"/>
              <w:ind w:firstLine="560"/>
              <w:jc w:val="left"/>
            </w:pPr>
            <w:r>
              <w:rPr>
                <w:sz w:val="24"/>
                <w:color w:val="000000"/>
              </w:rPr>
              <w:t>4、网络行为审计</w:t>
            </w:r>
          </w:p>
          <w:p>
            <w:pPr>
              <w:pStyle w:val="null3"/>
              <w:ind w:firstLine="560"/>
              <w:jc w:val="left"/>
            </w:pPr>
            <w:r>
              <w:rPr>
                <w:sz w:val="24"/>
                <w:color w:val="000000"/>
              </w:rPr>
              <w:t>包括：</w:t>
            </w:r>
          </w:p>
          <w:p>
            <w:pPr>
              <w:pStyle w:val="null3"/>
              <w:ind w:firstLine="560"/>
              <w:jc w:val="left"/>
            </w:pPr>
            <w:r>
              <w:rPr>
                <w:sz w:val="24"/>
                <w:color w:val="000000"/>
              </w:rPr>
              <w:t>（1）应用审计</w:t>
            </w:r>
          </w:p>
          <w:p>
            <w:pPr>
              <w:pStyle w:val="null3"/>
              <w:ind w:firstLine="560"/>
              <w:jc w:val="left"/>
            </w:pPr>
            <w:r>
              <w:rPr>
                <w:sz w:val="24"/>
                <w:color w:val="000000"/>
              </w:rPr>
              <w:t>审计应用的分类、应用名、使用该应用的用户、用户所在部门、目的地址、应用流量、应用使用时长等。</w:t>
            </w:r>
          </w:p>
          <w:p>
            <w:pPr>
              <w:pStyle w:val="null3"/>
              <w:ind w:firstLine="560"/>
              <w:jc w:val="left"/>
            </w:pPr>
            <w:r>
              <w:rPr>
                <w:sz w:val="24"/>
                <w:color w:val="000000"/>
              </w:rPr>
              <w:t>（2）知　名端口非标协议审计</w:t>
            </w:r>
          </w:p>
          <w:p>
            <w:pPr>
              <w:pStyle w:val="null3"/>
              <w:ind w:firstLine="560"/>
              <w:jc w:val="left"/>
            </w:pPr>
            <w:r>
              <w:rPr>
                <w:sz w:val="24"/>
                <w:color w:val="000000"/>
              </w:rPr>
              <w:t>审计常见端口（21、25、80、110和443端口）上的非标准协议流量，以识别潜在风险。</w:t>
            </w:r>
          </w:p>
          <w:p>
            <w:pPr>
              <w:pStyle w:val="null3"/>
              <w:ind w:firstLine="560"/>
              <w:jc w:val="left"/>
            </w:pPr>
            <w:r>
              <w:rPr>
                <w:sz w:val="24"/>
                <w:color w:val="000000"/>
              </w:rPr>
              <w:t>（3）UR　L访问审计</w:t>
            </w:r>
          </w:p>
          <w:p>
            <w:pPr>
              <w:pStyle w:val="null3"/>
              <w:ind w:firstLine="560"/>
              <w:jc w:val="left"/>
            </w:pPr>
            <w:r>
              <w:rPr>
                <w:sz w:val="24"/>
                <w:color w:val="000000"/>
              </w:rPr>
              <w:t>审计域用户所访问的UR　L，支持审计所有UR　L和仅审计指定分类的UR</w:t>
            </w:r>
            <w:r>
              <w:rPr>
                <w:sz w:val="24"/>
                <w:color w:val="000000"/>
              </w:rPr>
              <w:t>　</w:t>
            </w:r>
            <w:r>
              <w:rPr>
                <w:sz w:val="24"/>
                <w:color w:val="000000"/>
              </w:rPr>
              <w:t>L。</w:t>
            </w:r>
          </w:p>
          <w:p>
            <w:pPr>
              <w:pStyle w:val="null3"/>
              <w:ind w:firstLine="560"/>
              <w:jc w:val="left"/>
            </w:pPr>
            <w:r>
              <w:rPr>
                <w:sz w:val="24"/>
                <w:color w:val="000000"/>
              </w:rPr>
              <w:t>（4）Web文件外发审计</w:t>
            </w:r>
          </w:p>
          <w:p>
            <w:pPr>
              <w:pStyle w:val="null3"/>
              <w:ind w:firstLine="560"/>
              <w:jc w:val="left"/>
            </w:pPr>
            <w:r>
              <w:rPr>
                <w:sz w:val="24"/>
                <w:color w:val="000000"/>
              </w:rPr>
              <w:t>审计用户通过HTTP协议上传的文件，有效追踪泄密事件。</w:t>
            </w:r>
          </w:p>
          <w:p>
            <w:pPr>
              <w:pStyle w:val="null3"/>
              <w:ind w:firstLine="560"/>
              <w:jc w:val="left"/>
            </w:pPr>
            <w:r>
              <w:rPr>
                <w:sz w:val="24"/>
                <w:color w:val="000000"/>
              </w:rPr>
              <w:t>（5）Web文件下载行为审计</w:t>
            </w:r>
          </w:p>
          <w:p>
            <w:pPr>
              <w:pStyle w:val="null3"/>
              <w:ind w:firstLine="560"/>
              <w:jc w:val="left"/>
            </w:pPr>
            <w:r>
              <w:rPr>
                <w:sz w:val="24"/>
                <w:color w:val="000000"/>
              </w:rPr>
              <w:t>审计用户通过网站下载的文件名称、类型和大小，了解用户下载行为。</w:t>
            </w:r>
          </w:p>
        </w:tc>
      </w:tr>
      <w:tr>
        <w:tc>
          <w:tcPr>
            <w:tcW w:type="dxa" w:w="2076"/>
          </w:tcPr>
          <w:p/>
        </w:tc>
        <w:tc>
          <w:tcPr>
            <w:tcW w:type="dxa" w:w="415"/>
          </w:tcPr>
          <w:p>
            <w:pPr>
              <w:pStyle w:val="null3"/>
            </w:pPr>
            <w:r>
              <w:rPr/>
              <w:t>25</w:t>
            </w:r>
          </w:p>
        </w:tc>
        <w:tc>
          <w:tcPr>
            <w:tcW w:type="dxa" w:w="5814"/>
          </w:tcPr>
          <w:p>
            <w:pPr>
              <w:pStyle w:val="null3"/>
              <w:ind w:firstLine="560"/>
              <w:jc w:val="left"/>
            </w:pPr>
            <w:r>
              <w:rPr>
                <w:sz w:val="24"/>
                <w:color w:val="000000"/>
              </w:rPr>
              <w:t>5、数据服务审计</w:t>
            </w:r>
          </w:p>
          <w:p>
            <w:pPr>
              <w:pStyle w:val="null3"/>
              <w:ind w:firstLine="560"/>
              <w:jc w:val="left"/>
            </w:pPr>
            <w:r>
              <w:rPr>
                <w:sz w:val="24"/>
                <w:color w:val="000000"/>
              </w:rPr>
              <w:t>数据服务审计系统保障用户信息资产和业务服务的保密性、完整性和可用性，具备以下要求：</w:t>
            </w:r>
          </w:p>
          <w:p>
            <w:pPr>
              <w:pStyle w:val="null3"/>
              <w:ind w:firstLine="560"/>
              <w:jc w:val="left"/>
            </w:pPr>
            <w:r>
              <w:rPr>
                <w:sz w:val="24"/>
                <w:color w:val="000000"/>
              </w:rPr>
              <w:t>实用性：</w:t>
            </w:r>
          </w:p>
          <w:p>
            <w:pPr>
              <w:pStyle w:val="null3"/>
              <w:ind w:firstLine="560"/>
              <w:jc w:val="left"/>
            </w:pPr>
            <w:r>
              <w:rPr>
                <w:sz w:val="24"/>
                <w:color w:val="000000"/>
              </w:rPr>
              <w:t>审计系统对于数据服务的操作行为审计细化到指令、表名、视图、字段等，同时支持审计数据服务返回的信息，包括错误码和数据服务响应时长，在数据服务出现关键错误时及时响应，避免由于数据服务故障带来的业务损失。</w:t>
            </w:r>
          </w:p>
          <w:p>
            <w:pPr>
              <w:pStyle w:val="null3"/>
              <w:ind w:firstLine="560"/>
              <w:jc w:val="left"/>
            </w:pPr>
            <w:r>
              <w:rPr>
                <w:sz w:val="24"/>
                <w:color w:val="000000"/>
              </w:rPr>
              <w:t>灵活性：</w:t>
            </w:r>
          </w:p>
          <w:p>
            <w:pPr>
              <w:pStyle w:val="null3"/>
              <w:ind w:firstLine="560"/>
              <w:jc w:val="left"/>
            </w:pPr>
            <w:r>
              <w:rPr>
                <w:sz w:val="24"/>
                <w:color w:val="000000"/>
              </w:rPr>
              <w:t>审计系统应提供缺省的审计策略及自定义策略，可结合用户业务特点，对关键业务用户、操作途径、重要操作、重要表、重要字段进行过滤审计，并可指定操作事件发生时，系统的响应方式。</w:t>
            </w:r>
          </w:p>
          <w:p>
            <w:pPr>
              <w:pStyle w:val="null3"/>
              <w:ind w:firstLine="560"/>
              <w:jc w:val="left"/>
            </w:pPr>
            <w:r>
              <w:rPr>
                <w:sz w:val="24"/>
                <w:color w:val="000000"/>
              </w:rPr>
              <w:t>独立性：</w:t>
            </w:r>
          </w:p>
          <w:p>
            <w:pPr>
              <w:pStyle w:val="null3"/>
              <w:ind w:firstLine="560"/>
              <w:jc w:val="left"/>
            </w:pPr>
            <w:r>
              <w:rPr>
                <w:sz w:val="24"/>
                <w:color w:val="000000"/>
              </w:rPr>
              <w:t>审计系统应独立存在，即使系统遭到破坏，仍然要保证审计日志的准确性和完整性；同时，审计系统的运行，对系统和业务操作不应造成影响。</w:t>
            </w:r>
          </w:p>
          <w:p>
            <w:pPr>
              <w:pStyle w:val="null3"/>
              <w:ind w:firstLine="560"/>
              <w:jc w:val="left"/>
            </w:pPr>
            <w:r>
              <w:rPr>
                <w:sz w:val="24"/>
                <w:color w:val="000000"/>
              </w:rPr>
              <w:t>扩展性：</w:t>
            </w:r>
          </w:p>
          <w:p>
            <w:pPr>
              <w:pStyle w:val="null3"/>
              <w:ind w:firstLine="560"/>
              <w:jc w:val="left"/>
            </w:pPr>
            <w:r>
              <w:rPr>
                <w:sz w:val="24"/>
                <w:color w:val="000000"/>
              </w:rPr>
              <w:t>审计系统支持业务和存储平滑扩容，也支持通过数据共享接口向第三方平台提供审计记录信息。</w:t>
            </w:r>
          </w:p>
          <w:p>
            <w:pPr>
              <w:pStyle w:val="null3"/>
              <w:ind w:firstLine="560"/>
              <w:jc w:val="left"/>
            </w:pPr>
            <w:r>
              <w:rPr>
                <w:sz w:val="24"/>
                <w:color w:val="000000"/>
              </w:rPr>
              <w:t>可靠性：</w:t>
            </w:r>
          </w:p>
          <w:p>
            <w:pPr>
              <w:pStyle w:val="null3"/>
              <w:ind w:firstLine="560"/>
              <w:jc w:val="left"/>
            </w:pPr>
            <w:r>
              <w:rPr>
                <w:sz w:val="24"/>
                <w:color w:val="000000"/>
              </w:rPr>
              <w:t>审计系统能连续稳定运行，且提供足够的存储空间来存储审计日志，审计内容的保存时间应不少于3年,满足在线存储至少6个月的要求；审计系统能够保证审计记录的时间的一致性，避免错误时间记录给追踪溯源带来的影响。</w:t>
            </w:r>
          </w:p>
          <w:p>
            <w:pPr>
              <w:pStyle w:val="null3"/>
              <w:ind w:firstLine="560"/>
              <w:jc w:val="left"/>
            </w:pPr>
            <w:r>
              <w:rPr>
                <w:sz w:val="24"/>
                <w:color w:val="000000"/>
              </w:rPr>
              <w:t>安全性：</w:t>
            </w:r>
          </w:p>
          <w:p>
            <w:pPr>
              <w:pStyle w:val="null3"/>
              <w:ind w:firstLine="560"/>
              <w:jc w:val="left"/>
            </w:pPr>
            <w:r>
              <w:rPr>
                <w:sz w:val="24"/>
                <w:color w:val="000000"/>
              </w:rPr>
              <w:t>审计系统采取分权限管理，可以根据用户分级，提供不同的操作权限和网络数据操作范围限制，用户只能在其权限内对网络数据进行审计和相关操作，充分保障数据安全性。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1.采购代理机构：本项目是指广东万欣招标代理有限公司，负责整个采购活动的组织，依法负责编制和发布招标文件，对招标文件拥有最终的解释权，不以任何身份出任评标委员会成员。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采购机构代理服务收费标准：以预算金额为收费的计算基数，按照原国家计委颁布的《招标代理服务收费管理暂行办法》〔计价格（2002）1980号〕进行计取招标代理服务费。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★政府强制采购产品，投标供应商报价的产品如涉及《财政部 发展改革委&lt;关于印发节能产品政府采购品目清单的通知&gt;（财库〔2019〕19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 （若本项目无涉及上述节能产品政府强制采购产品，投标供应商也可在《投标文件格式》承诺函中对本条款进行响应并注明本次采购内容无涉及相关节能产品政府强制采购产品。）</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广东万欣招标代理有限公司</w:t>
      </w:r>
      <w:r>
        <w:rPr/>
        <w:t>代收。具体操作要求详见</w:t>
      </w:r>
      <w:r>
        <w:rPr/>
        <w:t>广东万欣招标代理有限公司</w:t>
      </w:r>
      <w:r>
        <w:rPr/>
        <w:t>有关指引，递交事宜请自行咨询</w:t>
      </w:r>
      <w:r>
        <w:rPr/>
        <w:t>广东万欣招标代理有限公司</w:t>
      </w:r>
      <w:r>
        <w:rPr/>
        <w:t>；请各投标人在投标文件递交截止时间前按须知前附表规定的金额递交至</w:t>
      </w:r>
      <w:r>
        <w:rPr/>
        <w:t>广东万欣招标代理有限公司</w:t>
      </w:r>
      <w:r>
        <w:rPr/>
        <w:t>，到账情况以开标时</w:t>
      </w:r>
      <w:r>
        <w:rPr/>
        <w:t>广东万欣招标代理有限公司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广东万欣招标代理有限公司（www.gdwxzb.com）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广东万欣招标代理有限公司（www.gdwxzb.com）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0663-2878655</w:t>
      </w:r>
    </w:p>
    <w:p>
      <w:pPr>
        <w:pStyle w:val="null3"/>
        <w:ind w:firstLine="480"/>
      </w:pPr>
      <w:r>
        <w:rPr/>
        <w:t>传真：</w:t>
      </w:r>
      <w:r>
        <w:rPr/>
        <w:t>0663-2878655</w:t>
      </w:r>
    </w:p>
    <w:p>
      <w:pPr>
        <w:pStyle w:val="null3"/>
        <w:ind w:firstLine="480"/>
      </w:pPr>
      <w:r>
        <w:rPr/>
        <w:t>邮箱：</w:t>
      </w:r>
      <w:r>
        <w:rPr/>
        <w:t>gdwanxi@163.com</w:t>
      </w:r>
    </w:p>
    <w:p>
      <w:pPr>
        <w:pStyle w:val="null3"/>
        <w:ind w:firstLine="480"/>
      </w:pPr>
      <w:r>
        <w:rPr/>
        <w:t>地址：</w:t>
      </w:r>
      <w:r>
        <w:rPr/>
        <w:t>广东省普宁市流沙西街道南山社区普宁大道商业街南侧第182幢首层105号</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普宁交管大队洪阳中队摩托车驾驶人科目二、科目三购买社会考场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广东万欣招标代理有限公司</w:t>
      </w:r>
      <w:r>
        <w:rPr/>
        <w:t>统一对外发布。</w:t>
      </w:r>
    </w:p>
    <w:p>
      <w:pPr>
        <w:pStyle w:val="null3"/>
        <w:ind w:firstLine="480"/>
      </w:pPr>
      <w:r>
        <w:rPr/>
        <w:t>（2）对</w:t>
      </w:r>
      <w:r>
        <w:rPr/>
        <w:t>广东万欣招标代理有限公司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采购包1（普宁交管大队洪阳中队摩托车驾驶人科目二、科目三购买社会考场服务）：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采购包1（普宁交管大队洪阳中队摩托车驾驶人科目二、科目三购买社会考场服务）：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响应）函相关承诺格式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采购包整体专门面向中小企业，本项目专门面向中小企业采购。投标供应商须符合本项目采购标的对应行业（本项目行业为：其他未列明行业）的政策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服务全部由符合政策要求的中小企业承接。</w:t>
            </w:r>
          </w:p>
        </w:tc>
      </w:tr>
    </w:tbl>
    <w:p>
      <w:pPr>
        <w:pStyle w:val="null3"/>
        <w:ind w:firstLine="480"/>
      </w:pPr>
      <w:r>
        <w:rPr/>
        <w:t>表二符合性审查表：</w:t>
      </w:r>
    </w:p>
    <w:p>
      <w:pPr>
        <w:pStyle w:val="null3"/>
      </w:pPr>
      <w:r>
        <w:rPr/>
        <w:t>采购包1（普宁交管大队洪阳中队摩托车驾驶人科目二、科目三购买社会考场服务）：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法定代表人授权证明</w:t>
            </w:r>
          </w:p>
        </w:tc>
        <w:tc>
          <w:tcPr>
            <w:tcW w:type="dxa" w:w="4238"/>
          </w:tcPr>
          <w:p>
            <w:pPr>
              <w:pStyle w:val="null3"/>
            </w:pPr>
            <w:r>
              <w:rPr/>
              <w:t>按招标文件要求提供《法定代表人/负责人资格证明书》，若有授权时须同时提供《法定代表人/负责人授权委托书》的，并附其相关人员身份证件复印件。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采购包1(普宁交管大队洪阳中队摩托车驾驶人科目二、科目三购买社会考场服务):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(30.0分)</w:t>
            </w:r>
          </w:p>
        </w:tc>
        <w:tc>
          <w:tcPr>
            <w:tcW w:type="dxa" w:w="5076"/>
          </w:tcPr>
          <w:p>
            <w:pPr>
              <w:pStyle w:val="null3"/>
              <w:jc w:val="left"/>
            </w:pPr>
            <w:r>
              <w:rPr/>
              <w:t>完全满足或优于采购人需求中技术要求的参数（条款）的得满分；若标“▲”参数（条款）未响应或不满足的，每项负偏离扣2分，其他参数（条款）未响应或不满足的，每项负偏离扣1分，扣完为止。</w:t>
            </w:r>
          </w:p>
        </w:tc>
      </w:tr>
      <w:tr>
        <w:tc>
          <w:tcPr>
            <w:tcW w:type="dxa" w:w="922"/>
            <w:gridSpan w:val="2"/>
            <w:vMerge/>
          </w:tcPr>
          <w:p/>
        </w:tc>
        <w:tc>
          <w:tcPr>
            <w:tcW w:type="dxa" w:w="2307"/>
          </w:tcPr>
          <w:p>
            <w:pPr>
              <w:pStyle w:val="null3"/>
              <w:jc w:val="left"/>
            </w:pPr>
            <w:r>
              <w:rPr/>
              <w:t>重点难点分析及措施方案 (15.0分)</w:t>
            </w:r>
          </w:p>
        </w:tc>
        <w:tc>
          <w:tcPr>
            <w:tcW w:type="dxa" w:w="5076"/>
          </w:tcPr>
          <w:p>
            <w:pPr>
              <w:pStyle w:val="null3"/>
              <w:jc w:val="left"/>
            </w:pPr>
            <w:r>
              <w:rPr/>
              <w:t>根据投标人针对本项目编制的重点难点分析及措施方案（包括但不限于：设备质量保证重点难点分析、安全保证重点难点分析、考试场地设计重点难点分析、以及相关的措施方案）进行评审： 1、投标人所提供的重点难点分析及措施方案，方案非常详细清晰，方案严谨合理、可行性高、完全满足且优于采购人需求的，得15分； 2、投标人所提供的重点难点分析及措施方案，方案较详细清晰，方案合理性和可行性良好、较满足采购人需求的，得10分； 3、投标人所提供的重点难点分析及措施方案，方案清晰度一般，方案基本合理、可行性一般，基本满足采购人需求的，得5分； 4、投标人所提供的重点难点分析及措施方案，方案不够详细清晰，方案合理性和可行性较差，不能够满足采购人需求的，得1分； 5、没有编制方案的不得分。</w:t>
            </w:r>
          </w:p>
        </w:tc>
      </w:tr>
      <w:tr>
        <w:tc>
          <w:tcPr>
            <w:tcW w:type="dxa" w:w="922"/>
            <w:gridSpan w:val="2"/>
            <w:vMerge/>
          </w:tcPr>
          <w:p/>
        </w:tc>
        <w:tc>
          <w:tcPr>
            <w:tcW w:type="dxa" w:w="2307"/>
          </w:tcPr>
          <w:p>
            <w:pPr>
              <w:pStyle w:val="null3"/>
              <w:jc w:val="left"/>
            </w:pPr>
            <w:r>
              <w:rPr/>
              <w:t>项目服务运营方案 (15.0分)</w:t>
            </w:r>
          </w:p>
        </w:tc>
        <w:tc>
          <w:tcPr>
            <w:tcW w:type="dxa" w:w="5076"/>
          </w:tcPr>
          <w:p>
            <w:pPr>
              <w:pStyle w:val="null3"/>
              <w:jc w:val="left"/>
            </w:pPr>
            <w:r>
              <w:rPr/>
              <w:t>根据投标人为本项目编制的项目服务运营方案（包括考场运维、绩效管理、激励机制、人员分配方案、安全防护措施、服务岗位的工作时间等内容）的详细具体程度、合理性及可行性进行综合评分： 1、投标人所提供的项目服务运营方案，技术路线及思路阐述非常详细清晰，方案严谨合理、可行性高、完全满足且优于采购人需求的，得15分； 2、投标人所提供的项目服务运营方案，技术路线及思路阐述较详细清晰，方案合理性和可行性良好、较满足采购人需求的，得10分； 3、投标人所提供的项目服务运营方案，技术路线及思路阐述清晰度一般，方案基本合理、可行性一般，基本满足采购人需求的，得5分； 4、投标人所提供的项目服务运营方案，技术路线及思路阐述不够详细清晰，方案合理性和可行性较差，不能够满足采购人需求的，得1分； 5、没有编制方案的不得分。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考场建设方案及服务质量保障措施方案 (15.0分)</w:t>
            </w:r>
          </w:p>
        </w:tc>
        <w:tc>
          <w:tcPr>
            <w:tcW w:type="dxa" w:w="5076"/>
          </w:tcPr>
          <w:p>
            <w:pPr>
              <w:pStyle w:val="null3"/>
              <w:jc w:val="left"/>
            </w:pPr>
            <w:r>
              <w:rPr/>
              <w:t>根据投标人为本项目编制的考场建设方案及服务质量保障措施方案（包括考场设计建设情况平面图和效果图、考场建设进度计划及保障措施、考场设备与车辆质量管理等内容）的详细具体程度、合理性及可行性进行综合评分： 1、投标人所提供的考场建设方案及服务质量保障措施方案，对项目建设服务工作内容及周期认识充分，保障措施全面，方案非常详细清晰，完整、科学的方案严谨合理、可行性高、完全满足且优于采购人需求的，得15分； 2、投标人所提供的考场建设方案及服务质量保障措施方案，对项目建设服务工作内容及周期有较好的认识，保障措施明确，方案较详细清晰，方案合理性和可行性良好、较满足采购人需求的，得10分； 3、投标人所提供的考场建设方案及服务质量保障措施方案，对项目建设服务工作内容及周期认识基本清晰，保障措施简单，方案基本合理、可行性一般，基本满足采购人需求的，得5分； 4、投标人所提供的考场建设方案及服务质量保障措施方案，对项目建设服务工作内容及周期认识不够清晰具体，保障措施不切合实际，方案合理性和可行性较差，不能够满足采购人需求的，得1分； 5、没有编制方案的不得分。</w:t>
            </w:r>
          </w:p>
        </w:tc>
      </w:tr>
      <w:tr>
        <w:tc>
          <w:tcPr>
            <w:tcW w:type="dxa" w:w="922"/>
            <w:gridSpan w:val="2"/>
            <w:vMerge/>
          </w:tcPr>
          <w:p/>
        </w:tc>
        <w:tc>
          <w:tcPr>
            <w:tcW w:type="dxa" w:w="2307"/>
          </w:tcPr>
          <w:p>
            <w:pPr>
              <w:pStyle w:val="null3"/>
              <w:jc w:val="left"/>
            </w:pPr>
            <w:r>
              <w:rPr/>
              <w:t>突发事件应急措施方案 (15.0分)</w:t>
            </w:r>
          </w:p>
        </w:tc>
        <w:tc>
          <w:tcPr>
            <w:tcW w:type="dxa" w:w="5076"/>
          </w:tcPr>
          <w:p>
            <w:pPr>
              <w:pStyle w:val="null3"/>
              <w:jc w:val="left"/>
            </w:pPr>
            <w:r>
              <w:rPr/>
              <w:t>根据投标人为本项目编制的突发事件应急措施方案，包括但不限于：事件发生的预警措施、安全事故应急检验、紧急突发事件保障措施、人员调配有效性、响应速度方案等内容进行评审： 1、投标人所提供突发事件应急措施方案，响应速度非常迅速，应急措施完善，工作安排非常详细清晰，方案严谨合理、可行性高、完全能够满足采购人需求的，得15分； 2、投标人所提供突发事件应急措施方案，响应速度快，应急措施较好，工作安排较详细清晰，方案合理、可行性良好、较满足采购人需求的，得10分； 3、投标人所提供突发事件应急措施方案，响应速度一般，应急措施一般，工作安排简单，方案基本合理、可行性中等，基本满足采购人需求的，得5分； 4、投标人所提供突发事件应急措施方案，响应速度慢，应急措施差，无具体工作安排，方案合理性和可行性较差，不能够满足采购人需求的，得1分； 5、没有编制方案的不得分。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jc w:val="center"/>
      </w:pPr>
      <w:r>
        <w:rPr>
          <w:sz w:val="36"/>
          <w:b/>
        </w:rPr>
        <w:t>合　同　书</w:t>
      </w:r>
    </w:p>
    <w:p>
      <w:pPr>
        <w:pStyle w:val="null3"/>
        <w:jc w:val="center"/>
      </w:pPr>
      <w:r>
        <w:br/>
      </w:r>
      <w:r>
        <w:br/>
      </w:r>
      <w:r>
        <w:br/>
      </w:r>
      <w:r>
        <w:br/>
      </w:r>
      <w:r>
        <w:br/>
      </w:r>
      <w:r>
        <w:br/>
      </w:r>
      <w:r>
        <w:br/>
      </w:r>
      <w:r>
        <w:br/>
      </w:r>
      <w:r>
        <w:rPr/>
        <w:t xml:space="preserve">  </w:t>
      </w:r>
    </w:p>
    <w:p>
      <w:pPr>
        <w:pStyle w:val="null3"/>
        <w:jc w:val="center"/>
      </w:pPr>
      <w:r>
        <w:rPr>
          <w:sz w:val="24"/>
        </w:rPr>
        <w:t>采购计划编号：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jc w:val="center"/>
      </w:pPr>
      <w:r>
        <w:rPr>
          <w:sz w:val="24"/>
        </w:rPr>
        <w:t xml:space="preserve"> 项目编号：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jc w:val="center"/>
      </w:pPr>
      <w:r>
        <w:rPr>
          <w:sz w:val="24"/>
        </w:rPr>
        <w:t xml:space="preserve"> 项目名称：</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jc w:val="center"/>
      </w:pPr>
      <w:r>
        <w:rPr>
          <w:sz w:val="24"/>
        </w:rPr>
        <w:t xml:space="preserve"> </w:t>
      </w:r>
      <w:r>
        <w:rPr>
          <w:sz w:val="24"/>
          <w:b/>
        </w:rPr>
        <w:t>注: 本合同仅为合同的参考文本，合同签订双方可根据项目的具体要求进行修订。</w:t>
      </w:r>
    </w:p>
    <w:p>
      <w:pPr>
        <w:pStyle w:val="null3"/>
      </w:pPr>
      <w:r>
        <w:br/>
      </w:r>
      <w:r>
        <w:rPr/>
        <w:t xml:space="preserve">  </w:t>
      </w:r>
    </w:p>
    <w:p>
      <w:pPr>
        <w:pStyle w:val="null3"/>
      </w:pPr>
      <w:r>
        <w:rPr>
          <w:sz w:val="24"/>
          <w:b/>
        </w:rPr>
        <w:t xml:space="preserve">甲方： </w:t>
      </w:r>
      <w:r>
        <w:rPr>
          <w:sz w:val="24"/>
          <w:u w:val="single"/>
        </w:rPr>
        <w:t xml:space="preserve">　　　　　 </w:t>
      </w:r>
      <w:r>
        <w:rPr>
          <w:sz w:val="24"/>
          <w:u w:val="single"/>
        </w:rPr>
        <w:t xml:space="preserve"> </w:t>
      </w:r>
      <w:r>
        <w:rPr>
          <w:sz w:val="24"/>
          <w:u w:val="single"/>
        </w:rPr>
        <w:t xml:space="preserve"> </w:t>
      </w:r>
    </w:p>
    <w:p>
      <w:pPr>
        <w:pStyle w:val="null3"/>
      </w:pPr>
      <w:r>
        <w:rPr>
          <w:sz w:val="24"/>
        </w:rPr>
        <w:t xml:space="preserve">电话： </w:t>
      </w:r>
      <w:r>
        <w:rPr>
          <w:sz w:val="24"/>
          <w:u w:val="single"/>
        </w:rPr>
        <w:t>　　　　</w:t>
      </w:r>
      <w:r>
        <w:rPr>
          <w:sz w:val="24"/>
          <w:u w:val="single"/>
        </w:rPr>
        <w:t xml:space="preserve"> </w:t>
      </w:r>
      <w:r>
        <w:rPr>
          <w:sz w:val="24"/>
          <w:u w:val="single"/>
        </w:rPr>
        <w:t xml:space="preserve"> </w:t>
      </w:r>
      <w:r>
        <w:rPr>
          <w:sz w:val="24"/>
          <w:u w:val="single"/>
        </w:rPr>
        <w:t xml:space="preserve"> </w:t>
      </w:r>
      <w:r>
        <w:rPr>
          <w:sz w:val="24"/>
        </w:rPr>
        <w:t xml:space="preserve">传真 ： </w:t>
      </w:r>
      <w:r>
        <w:rPr>
          <w:sz w:val="24"/>
          <w:u w:val="single"/>
        </w:rPr>
        <w:t>　　　</w:t>
      </w:r>
      <w:r>
        <w:rPr>
          <w:sz w:val="24"/>
          <w:u w:val="single"/>
        </w:rPr>
        <w:t xml:space="preserve"> </w:t>
      </w:r>
      <w:r>
        <w:rPr>
          <w:sz w:val="24"/>
          <w:u w:val="single"/>
        </w:rPr>
        <w:t xml:space="preserve"> </w:t>
      </w:r>
      <w:r>
        <w:rPr>
          <w:sz w:val="24"/>
          <w:u w:val="single"/>
        </w:rPr>
        <w:t xml:space="preserve"> </w:t>
      </w:r>
      <w:r>
        <w:rPr>
          <w:sz w:val="24"/>
        </w:rPr>
        <w:t xml:space="preserve">地址：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pPr>
      <w:r>
        <w:rPr>
          <w:sz w:val="24"/>
          <w:b/>
        </w:rPr>
        <w:t xml:space="preserve">乙方： </w:t>
      </w:r>
      <w:r>
        <w:rPr>
          <w:sz w:val="24"/>
          <w:u w:val="single"/>
        </w:rPr>
        <w:t xml:space="preserve">　　　　　 </w:t>
      </w:r>
      <w:r>
        <w:rPr>
          <w:sz w:val="24"/>
          <w:u w:val="single"/>
        </w:rPr>
        <w:t xml:space="preserve"> </w:t>
      </w:r>
      <w:r>
        <w:rPr>
          <w:sz w:val="24"/>
          <w:u w:val="single"/>
        </w:rPr>
        <w:t xml:space="preserve"> </w:t>
      </w:r>
    </w:p>
    <w:p>
      <w:pPr>
        <w:pStyle w:val="null3"/>
      </w:pPr>
      <w:r>
        <w:rPr>
          <w:sz w:val="24"/>
        </w:rPr>
        <w:t xml:space="preserve">电话： </w:t>
      </w:r>
      <w:r>
        <w:rPr>
          <w:sz w:val="24"/>
          <w:u w:val="single"/>
        </w:rPr>
        <w:t>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传真：</w:t>
      </w:r>
      <w:r>
        <w:rPr>
          <w:sz w:val="24"/>
          <w:u w:val="single"/>
        </w:rPr>
        <w:t>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 xml:space="preserve">地址： </w:t>
      </w:r>
      <w:r>
        <w:rPr>
          <w:sz w:val="24"/>
          <w:u w:val="single"/>
        </w:rPr>
        <w:t xml:space="preserve">　　　 </w:t>
      </w:r>
      <w:r>
        <w:rPr>
          <w:sz w:val="24"/>
          <w:u w:val="single"/>
        </w:rPr>
        <w:t xml:space="preserve"> </w:t>
      </w:r>
      <w:r>
        <w:rPr>
          <w:sz w:val="24"/>
          <w:u w:val="single"/>
        </w:rPr>
        <w:t xml:space="preserve">  </w:t>
      </w:r>
    </w:p>
    <w:p>
      <w:pPr>
        <w:pStyle w:val="null3"/>
      </w:pPr>
      <w:r>
        <w:rPr>
          <w:sz w:val="24"/>
        </w:rPr>
        <w:t xml:space="preserve">　　根据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项目</w:t>
      </w:r>
      <w:r>
        <w:rPr>
          <w:sz w:val="24"/>
          <w:u w:val="single"/>
        </w:rPr>
        <w:t xml:space="preserve"> </w:t>
      </w:r>
      <w:r>
        <w:rPr>
          <w:sz w:val="24"/>
        </w:rPr>
        <w:t>的采购结果，按照《中华人民共和国政府采购法》，《中华人民共和国民法典(合同编)》的规定，经双方协商，本着平等互利和诚实信用的原则，一致同意遵守本合同如下。</w:t>
      </w:r>
    </w:p>
    <w:p>
      <w:pPr>
        <w:pStyle w:val="null3"/>
      </w:pPr>
      <w:r>
        <w:rPr>
          <w:sz w:val="24"/>
          <w:b/>
        </w:rPr>
        <w:t>一、合同金额</w:t>
      </w:r>
    </w:p>
    <w:p>
      <w:pPr>
        <w:pStyle w:val="null3"/>
      </w:pPr>
      <w:r>
        <w:rPr>
          <w:sz w:val="24"/>
        </w:rPr>
        <w:t>　　合同金额为（大写）：_____________元（￥_________元）人民币。</w:t>
      </w:r>
    </w:p>
    <w:p>
      <w:pPr>
        <w:pStyle w:val="null3"/>
      </w:pPr>
      <w:r>
        <w:rPr>
          <w:sz w:val="24"/>
          <w:b/>
        </w:rPr>
        <w:t>二、服务范围</w:t>
      </w:r>
    </w:p>
    <w:p>
      <w:pPr>
        <w:pStyle w:val="null3"/>
      </w:pPr>
      <w:r>
        <w:rPr>
          <w:sz w:val="24"/>
        </w:rPr>
        <w:t>　　甲方聘请乙方提供以下服务：</w:t>
      </w:r>
    </w:p>
    <w:p>
      <w:pPr>
        <w:pStyle w:val="null3"/>
      </w:pPr>
      <w:r>
        <w:rPr>
          <w:sz w:val="24"/>
        </w:rPr>
        <w:t>　　1．</w:t>
      </w:r>
      <w:r>
        <w:rPr>
          <w:sz w:val="24"/>
          <w:u w:val="single"/>
        </w:rPr>
        <w:t>　　　　　　　　　　　</w:t>
      </w:r>
      <w:r>
        <w:rPr>
          <w:sz w:val="24"/>
        </w:rPr>
        <w:t>。</w:t>
      </w:r>
    </w:p>
    <w:p>
      <w:pPr>
        <w:pStyle w:val="null3"/>
      </w:pPr>
      <w:r>
        <w:rPr>
          <w:sz w:val="24"/>
        </w:rPr>
        <w:t>　　2．</w:t>
      </w:r>
      <w:r>
        <w:rPr>
          <w:sz w:val="24"/>
          <w:u w:val="single"/>
        </w:rPr>
        <w:t>　　　　　　　　　　　</w:t>
      </w:r>
    </w:p>
    <w:p>
      <w:pPr>
        <w:pStyle w:val="null3"/>
      </w:pPr>
      <w:r>
        <w:rPr>
          <w:sz w:val="24"/>
        </w:rPr>
        <w:t>……</w:t>
      </w:r>
    </w:p>
    <w:p>
      <w:pPr>
        <w:pStyle w:val="null3"/>
      </w:pPr>
      <w:r>
        <w:rPr>
          <w:sz w:val="24"/>
          <w:b/>
        </w:rPr>
        <w:t>三、甲方乙方的权利和义务</w:t>
      </w:r>
    </w:p>
    <w:p>
      <w:pPr>
        <w:pStyle w:val="null3"/>
      </w:pPr>
      <w:r>
        <w:rPr>
          <w:sz w:val="24"/>
        </w:rPr>
        <w:t>　　1.甲方的权利和义务</w:t>
      </w:r>
    </w:p>
    <w:p>
      <w:pPr>
        <w:pStyle w:val="null3"/>
      </w:pPr>
      <w:r>
        <w:rPr>
          <w:sz w:val="24"/>
        </w:rPr>
        <w:t>　　2.乙方的权利和义务</w:t>
      </w:r>
    </w:p>
    <w:p>
      <w:pPr>
        <w:pStyle w:val="null3"/>
      </w:pPr>
      <w:r>
        <w:rPr>
          <w:sz w:val="24"/>
          <w:b/>
        </w:rPr>
        <w:t>四、服务期间（项目完成期限）</w:t>
      </w:r>
    </w:p>
    <w:p>
      <w:pPr>
        <w:pStyle w:val="null3"/>
      </w:pPr>
      <w:r>
        <w:rPr>
          <w:sz w:val="24"/>
        </w:rPr>
        <w:t>　　1.委托服务期间自______年______月______日至______年______月_____日止。</w:t>
      </w:r>
    </w:p>
    <w:p>
      <w:pPr>
        <w:pStyle w:val="null3"/>
      </w:pPr>
      <w:r>
        <w:rPr>
          <w:sz w:val="24"/>
          <w:b/>
        </w:rPr>
        <w:t>五、付款方式</w:t>
      </w:r>
    </w:p>
    <w:p>
      <w:pPr>
        <w:pStyle w:val="null3"/>
      </w:pPr>
      <w:r>
        <w:rPr>
          <w:sz w:val="24"/>
        </w:rPr>
        <w:t>　　</w:t>
      </w:r>
      <w:r>
        <w:rPr>
          <w:sz w:val="24"/>
        </w:rPr>
        <w:t>1.服务费按季度结算，科目二服务费=每季考试合格人次×中标项目单价，科目三服务费=每季考试合格人次×中标项目单价。</w:t>
      </w:r>
    </w:p>
    <w:p>
      <w:pPr>
        <w:pStyle w:val="null3"/>
      </w:pPr>
      <w:r>
        <w:rPr>
          <w:sz w:val="24"/>
        </w:rPr>
        <w:t>　　2.在结算时，乙方须向甲方出具有效的等额结算发票及必要的凭证。</w:t>
      </w:r>
    </w:p>
    <w:p>
      <w:pPr>
        <w:pStyle w:val="null3"/>
      </w:pPr>
      <w:r>
        <w:rPr>
          <w:sz w:val="24"/>
        </w:rPr>
        <w:t>　　3.因甲方使用的是财政资金，甲方在请款规定的付款时间向政府采购支付部门提出办理财政支付申请手续的时间（不含政府财政支付部门审核的时间），在规定时间内提出支付申请手续后即视为甲方已经按期支付。因财政资金未能及时拨付到位导致甲方无法按时支付相应价款给乙方，乙方表示谅解，并同意不视为甲方违约，不由此追究甲方的违约责任。甲方不承担因财政资金不能及时到位给乙方造成的任何损失。</w:t>
      </w:r>
    </w:p>
    <w:p>
      <w:pPr>
        <w:pStyle w:val="null3"/>
      </w:pPr>
      <w:r>
        <w:rPr>
          <w:sz w:val="24"/>
        </w:rPr>
        <w:t>　　4.本项目所有约定的款项均为含税金额。</w:t>
      </w:r>
    </w:p>
    <w:p>
      <w:pPr>
        <w:pStyle w:val="null3"/>
      </w:pPr>
      <w:r>
        <w:rPr>
          <w:sz w:val="24"/>
        </w:rPr>
        <w:t>　　5.结算金额达到预算价或本项目服务期满两年，视为项目已完成，合同终止。</w:t>
      </w:r>
    </w:p>
    <w:p>
      <w:pPr>
        <w:pStyle w:val="null3"/>
      </w:pPr>
      <w:r>
        <w:rPr>
          <w:sz w:val="24"/>
          <w:b/>
        </w:rPr>
        <w:t>六、知识产权归属</w:t>
      </w:r>
    </w:p>
    <w:p>
      <w:pPr>
        <w:pStyle w:val="null3"/>
      </w:pPr>
      <w:r>
        <w:rPr>
          <w:sz w:val="24"/>
          <w:b/>
        </w:rPr>
        <w:t>七、保</w:t>
      </w:r>
      <w:r>
        <w:rPr>
          <w:sz w:val="24"/>
        </w:rPr>
        <w:t>　</w:t>
      </w:r>
      <w:r>
        <w:rPr>
          <w:sz w:val="24"/>
          <w:b/>
        </w:rPr>
        <w:t>密</w:t>
      </w:r>
    </w:p>
    <w:p>
      <w:pPr>
        <w:pStyle w:val="null3"/>
      </w:pPr>
      <w:r>
        <w:rPr>
          <w:sz w:val="24"/>
          <w:b/>
        </w:rPr>
        <w:t>八、违约责任与赔偿损失</w:t>
      </w:r>
    </w:p>
    <w:p>
      <w:pPr>
        <w:pStyle w:val="null3"/>
      </w:pPr>
      <w:r>
        <w:rPr>
          <w:sz w:val="24"/>
        </w:rPr>
        <w:t>　　1.乙方提供的服务不符合本合同规定的，甲方有权拒收，并且乙方须向甲方支付本合同总价5%的违约金。</w:t>
      </w:r>
    </w:p>
    <w:p>
      <w:pPr>
        <w:pStyle w:val="null3"/>
      </w:pPr>
      <w:r>
        <w:rPr>
          <w:sz w:val="24"/>
        </w:rPr>
        <w:t>　　2.乙方未能按本合同规定的交货时间提供服务，从逾期之日起每日按本合同总价3‰的数额向甲方支付违约金；逾期半个月以上的，甲方有权终止合同，由此造成的甲方经济损失由乙方承担。</w:t>
      </w:r>
    </w:p>
    <w:p>
      <w:pPr>
        <w:pStyle w:val="null3"/>
      </w:pPr>
      <w:r>
        <w:rPr>
          <w:sz w:val="24"/>
        </w:rPr>
        <w:t>　　3.甲方无正当理由拒收接受服务，到期拒付服务款项的，甲方向乙方偿付本合同总的5%的违约金。甲方人逾期付款，则每日按本合同总价的3‰向乙方偿付违约金。</w:t>
      </w:r>
    </w:p>
    <w:p>
      <w:pPr>
        <w:pStyle w:val="null3"/>
      </w:pPr>
      <w:r>
        <w:rPr>
          <w:sz w:val="24"/>
        </w:rPr>
        <w:t>　　4.对于因甲方原因导致变更、中止或者终止政府采购合同的，甲方应当依照以下合同约定对供应商受到的损失予以赔偿或者补偿：</w:t>
      </w:r>
    </w:p>
    <w:p>
      <w:pPr>
        <w:pStyle w:val="null3"/>
      </w:pP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pPr>
      <w:r>
        <w:rPr>
          <w:sz w:val="24"/>
        </w:rPr>
        <w:t>　　5.其它违约责任按《中华人民共和国民法典(合同编)》处理。</w:t>
      </w:r>
    </w:p>
    <w:p>
      <w:pPr>
        <w:pStyle w:val="null3"/>
      </w:pPr>
      <w:r>
        <w:rPr>
          <w:sz w:val="24"/>
          <w:b/>
        </w:rPr>
        <w:t>九、争议的解决</w:t>
      </w:r>
    </w:p>
    <w:p>
      <w:pPr>
        <w:pStyle w:val="null3"/>
      </w:pPr>
      <w:r>
        <w:rPr>
          <w:sz w:val="24"/>
        </w:rPr>
        <w:t xml:space="preserve">　　合同执行过程中发生的任何争议，如双方不能通过友好协商解决，按相关法律法规处理。      </w:t>
      </w:r>
    </w:p>
    <w:p>
      <w:pPr>
        <w:pStyle w:val="null3"/>
      </w:pPr>
      <w:r>
        <w:rPr>
          <w:sz w:val="24"/>
          <w:b/>
        </w:rPr>
        <w:t>十、不可抗力</w:t>
      </w:r>
    </w:p>
    <w:p>
      <w:pPr>
        <w:pStyle w:val="null3"/>
      </w:pPr>
      <w:r>
        <w:rPr>
          <w:sz w:val="24"/>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十一、税费</w:t>
      </w:r>
    </w:p>
    <w:p>
      <w:pPr>
        <w:pStyle w:val="null3"/>
      </w:pPr>
      <w:r>
        <w:rPr>
          <w:sz w:val="24"/>
        </w:rPr>
        <w:t>　　在中国境内、外发生的与本合同执行有关的一切税费均由乙方负担。</w:t>
      </w:r>
    </w:p>
    <w:p>
      <w:pPr>
        <w:pStyle w:val="null3"/>
      </w:pPr>
      <w:r>
        <w:rPr>
          <w:sz w:val="24"/>
          <w:b/>
        </w:rPr>
        <w:t>十二、其它</w:t>
      </w:r>
    </w:p>
    <w:p>
      <w:pPr>
        <w:pStyle w:val="null3"/>
      </w:pPr>
      <w:r>
        <w:rPr>
          <w:sz w:val="24"/>
        </w:rPr>
        <w:t>　　1.本合同所有附件、招标文件、投标文件、中标通知书均为合同的有效组成部分，与本合同具有同等法律效力。</w:t>
      </w:r>
    </w:p>
    <w:p>
      <w:pPr>
        <w:pStyle w:val="null3"/>
      </w:pPr>
      <w:r>
        <w:rPr>
          <w:sz w:val="24"/>
        </w:rPr>
        <w:t>　　2.在执行本合同的过程中，所有经双方签署确认的文件（包括会议纪要、补充协议、往来信函）即成为本合同的有效组成部分。</w:t>
      </w:r>
    </w:p>
    <w:p>
      <w:pPr>
        <w:pStyle w:val="null3"/>
      </w:pPr>
      <w:r>
        <w:rPr>
          <w:sz w:val="24"/>
        </w:rPr>
        <w:t>　　3.如一方地址、电话、传真号码有变更，应在变更当日内书面通知对方，否则，应承担相应责任。</w:t>
      </w:r>
    </w:p>
    <w:p>
      <w:pPr>
        <w:pStyle w:val="null3"/>
      </w:pPr>
      <w:r>
        <w:rPr>
          <w:sz w:val="24"/>
        </w:rPr>
        <w:t>　　4.除甲方事先书面同意外，乙方不得部分或全部转让其应履行的合同项下的义务。</w:t>
      </w:r>
    </w:p>
    <w:p>
      <w:pPr>
        <w:pStyle w:val="null3"/>
      </w:pPr>
      <w:r>
        <w:rPr>
          <w:sz w:val="24"/>
          <w:b/>
        </w:rPr>
        <w:t>十三、合同生效</w:t>
      </w:r>
    </w:p>
    <w:p>
      <w:pPr>
        <w:pStyle w:val="null3"/>
      </w:pPr>
      <w:r>
        <w:rPr>
          <w:sz w:val="24"/>
        </w:rPr>
        <w:t>　　1.本合同在甲乙双方法人代表或其授权代表签字盖章后生效。</w:t>
      </w:r>
    </w:p>
    <w:p>
      <w:pPr>
        <w:pStyle w:val="null3"/>
      </w:pPr>
      <w:r>
        <w:rPr>
          <w:sz w:val="24"/>
        </w:rPr>
        <w:t>　　2.合同一式</w:t>
      </w:r>
      <w:r>
        <w:rPr>
          <w:sz w:val="24"/>
          <w:u w:val="single"/>
        </w:rPr>
        <w:t xml:space="preserve">    </w:t>
      </w:r>
      <w:r>
        <w:rPr>
          <w:sz w:val="24"/>
        </w:rPr>
        <w:t>份，甲乙双方各执</w:t>
      </w:r>
      <w:r>
        <w:rPr>
          <w:sz w:val="24"/>
          <w:u w:val="single"/>
        </w:rPr>
        <w:t xml:space="preserve">   </w:t>
      </w:r>
      <w:r>
        <w:rPr>
          <w:sz w:val="24"/>
        </w:rPr>
        <w:t>份，监督部门</w:t>
      </w:r>
      <w:r>
        <w:rPr>
          <w:sz w:val="24"/>
          <w:u w:val="single"/>
        </w:rPr>
        <w:t xml:space="preserve">   </w:t>
      </w:r>
      <w:r>
        <w:rPr>
          <w:sz w:val="24"/>
        </w:rPr>
        <w:t>份，采购代理机构</w:t>
      </w:r>
      <w:r>
        <w:rPr>
          <w:sz w:val="24"/>
          <w:u w:val="single"/>
        </w:rPr>
        <w:t xml:space="preserve">  </w:t>
      </w:r>
      <w:r>
        <w:rPr>
          <w:sz w:val="24"/>
        </w:rPr>
        <w:t>份，各份具有同等法律效力；本合同其他未尽事宜双方可另行签订补充协议明确。</w:t>
      </w:r>
    </w:p>
    <w:p>
      <w:pPr>
        <w:pStyle w:val="null3"/>
      </w:pPr>
      <w:r>
        <w:rPr>
          <w:sz w:val="24"/>
          <w:b/>
        </w:rPr>
        <w:t xml:space="preserve">甲方（盖章）：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乙方（盖章）：</w:t>
      </w:r>
    </w:p>
    <w:p>
      <w:pPr>
        <w:pStyle w:val="null3"/>
      </w:pPr>
      <w:r>
        <w:rPr>
          <w:sz w:val="24"/>
          <w:b/>
        </w:rPr>
        <w:t xml:space="preserve">代表：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代表：</w:t>
      </w:r>
    </w:p>
    <w:p>
      <w:pPr>
        <w:pStyle w:val="null3"/>
      </w:pPr>
      <w:r>
        <w:rPr>
          <w:sz w:val="24"/>
        </w:rPr>
        <w:t>签订地点：</w:t>
      </w:r>
    </w:p>
    <w:p>
      <w:pPr>
        <w:pStyle w:val="null3"/>
      </w:pPr>
      <w:r>
        <w:rPr>
          <w:sz w:val="24"/>
        </w:rPr>
        <w:t>签订日期：　　　年　　月　　日  签订日期：　　　年　　月　　日</w:t>
      </w:r>
    </w:p>
    <w:p>
      <w:pPr>
        <w:pStyle w:val="null3"/>
      </w:pPr>
      <w:r>
        <w:rPr>
          <w:sz w:val="24"/>
        </w:rPr>
        <w:t xml:space="preserve">                                                     开户名称：</w:t>
      </w:r>
    </w:p>
    <w:p>
      <w:pPr>
        <w:pStyle w:val="null3"/>
      </w:pPr>
      <w:r>
        <w:rPr>
          <w:sz w:val="24"/>
        </w:rPr>
        <w:t xml:space="preserve">                                                     银行帐号：</w:t>
      </w:r>
    </w:p>
    <w:p>
      <w:pPr>
        <w:pStyle w:val="null3"/>
      </w:pPr>
      <w:r>
        <w:rPr>
          <w:sz w:val="24"/>
        </w:rPr>
        <w:t xml:space="preserve">                                                     开 户 行：</w:t>
      </w:r>
    </w:p>
    <w:p>
      <w:pPr>
        <w:pStyle w:val="null3"/>
      </w:pPr>
      <w:r>
        <w:rPr>
          <w:sz w:val="24"/>
        </w:rPr>
        <w:t>采购代理机构登记备案（盖章）：</w:t>
      </w:r>
    </w:p>
    <w:p>
      <w:pPr>
        <w:pStyle w:val="null3"/>
      </w:pPr>
      <w:r>
        <w:rPr>
          <w:sz w:val="36"/>
          <w:b/>
        </w:rPr>
        <w:t>廉政合同</w:t>
      </w:r>
    </w:p>
    <w:p>
      <w:pPr>
        <w:pStyle w:val="null3"/>
      </w:pPr>
      <w:r>
        <w:rPr>
          <w:sz w:val="24"/>
        </w:rPr>
        <w:t>采购人（全称）：</w:t>
      </w:r>
      <w:r>
        <w:rPr>
          <w:sz w:val="24"/>
          <w:u w:val="single"/>
        </w:rPr>
        <w:t xml:space="preserve">                            </w:t>
      </w:r>
      <w:r>
        <w:rPr>
          <w:sz w:val="24"/>
        </w:rPr>
        <w:t>（甲方）</w:t>
      </w:r>
    </w:p>
    <w:p>
      <w:pPr>
        <w:pStyle w:val="null3"/>
      </w:pPr>
      <w:r>
        <w:rPr>
          <w:sz w:val="24"/>
        </w:rPr>
        <w:t>通信地址：</w:t>
      </w:r>
      <w:r>
        <w:rPr>
          <w:sz w:val="24"/>
          <w:u w:val="single"/>
        </w:rPr>
        <w:t xml:space="preserve">                                       </w:t>
      </w:r>
    </w:p>
    <w:p>
      <w:pPr>
        <w:pStyle w:val="null3"/>
      </w:pPr>
      <w:r>
        <w:rPr>
          <w:sz w:val="24"/>
        </w:rPr>
        <w:t>邮政编码：</w:t>
      </w:r>
      <w:r>
        <w:rPr>
          <w:sz w:val="24"/>
          <w:u w:val="single"/>
        </w:rPr>
        <w:t xml:space="preserve">                                       </w:t>
      </w:r>
    </w:p>
    <w:p>
      <w:pPr>
        <w:pStyle w:val="null3"/>
      </w:pPr>
      <w:r>
        <w:rPr>
          <w:sz w:val="24"/>
        </w:rPr>
        <w:t>举报电话：</w:t>
      </w:r>
      <w:r>
        <w:rPr>
          <w:sz w:val="24"/>
          <w:u w:val="single"/>
        </w:rPr>
        <w:t xml:space="preserve">                                       </w:t>
      </w:r>
    </w:p>
    <w:p>
      <w:pPr>
        <w:pStyle w:val="null3"/>
      </w:pPr>
      <w:r>
        <w:rPr>
          <w:sz w:val="24"/>
        </w:rPr>
        <w:t>中标人（全称）：</w:t>
      </w:r>
      <w:r>
        <w:rPr>
          <w:sz w:val="24"/>
          <w:u w:val="single"/>
        </w:rPr>
        <w:t xml:space="preserve">                            </w:t>
      </w:r>
      <w:r>
        <w:rPr>
          <w:sz w:val="24"/>
        </w:rPr>
        <w:t>（乙方）</w:t>
      </w:r>
    </w:p>
    <w:p>
      <w:pPr>
        <w:pStyle w:val="null3"/>
      </w:pPr>
      <w:r>
        <w:rPr>
          <w:sz w:val="24"/>
        </w:rPr>
        <w:t>通信地址：</w:t>
      </w:r>
      <w:r>
        <w:rPr>
          <w:sz w:val="24"/>
          <w:u w:val="single"/>
        </w:rPr>
        <w:t xml:space="preserve">                                       </w:t>
      </w:r>
    </w:p>
    <w:p>
      <w:pPr>
        <w:pStyle w:val="null3"/>
      </w:pPr>
      <w:r>
        <w:rPr>
          <w:sz w:val="24"/>
        </w:rPr>
        <w:t>邮政编码：</w:t>
      </w:r>
      <w:r>
        <w:rPr>
          <w:sz w:val="24"/>
          <w:u w:val="single"/>
        </w:rPr>
        <w:t xml:space="preserve">                                       </w:t>
      </w:r>
    </w:p>
    <w:p>
      <w:pPr>
        <w:pStyle w:val="null3"/>
      </w:pPr>
      <w:r>
        <w:rPr>
          <w:sz w:val="24"/>
        </w:rPr>
        <w:t>举报电话：</w:t>
      </w:r>
      <w:r>
        <w:rPr>
          <w:sz w:val="24"/>
          <w:u w:val="single"/>
        </w:rPr>
        <w:t xml:space="preserve">                                       </w:t>
      </w:r>
    </w:p>
    <w:p>
      <w:pPr>
        <w:pStyle w:val="null3"/>
      </w:pPr>
      <w:r>
        <w:rPr>
          <w:sz w:val="24"/>
        </w:rPr>
        <w:t>　　为搞好重点工程建设中的党风廉政工作，从源头上杜绝采购过程违纪违规行为的发生，根据中共　中央、国务院《关于实行党风廉政建设责任制的规定》，甲方和乙方共同协商一致，签订如下廉政合同：</w:t>
      </w:r>
    </w:p>
    <w:p>
      <w:pPr>
        <w:pStyle w:val="null3"/>
      </w:pPr>
      <w:r>
        <w:rPr>
          <w:sz w:val="24"/>
        </w:rPr>
        <w:t>　　第一条  本合同作为</w:t>
      </w:r>
      <w:r>
        <w:rPr>
          <w:sz w:val="24"/>
          <w:u w:val="single"/>
        </w:rPr>
        <w:t xml:space="preserve">                    </w:t>
      </w:r>
      <w:r>
        <w:rPr>
          <w:sz w:val="24"/>
        </w:rPr>
        <w:t>采购合同的附件，与采购合同具有同等的法律效力，经合同双方签署立即生效。</w:t>
      </w:r>
    </w:p>
    <w:p>
      <w:pPr>
        <w:pStyle w:val="null3"/>
      </w:pPr>
      <w:r>
        <w:rPr>
          <w:sz w:val="24"/>
        </w:rPr>
        <w:t>　　第二条  甲乙双方的权利和义务</w:t>
      </w:r>
    </w:p>
    <w:p>
      <w:pPr>
        <w:pStyle w:val="null3"/>
      </w:pPr>
      <w:r>
        <w:rPr>
          <w:sz w:val="24"/>
        </w:rPr>
        <w:t>　　（一）  严格遵守党和国家有关的法律法规、廉洁自律规定，以及相关行业的有关规定。</w:t>
      </w:r>
    </w:p>
    <w:p>
      <w:pPr>
        <w:pStyle w:val="null3"/>
      </w:pPr>
      <w:r>
        <w:rPr>
          <w:sz w:val="24"/>
        </w:rPr>
        <w:t xml:space="preserve">　　（二）  严格执行合同的条款，自觉履行合同双方的权利、义务和责任。  </w:t>
      </w:r>
    </w:p>
    <w:p>
      <w:pPr>
        <w:pStyle w:val="null3"/>
      </w:pPr>
      <w:r>
        <w:rPr>
          <w:sz w:val="24"/>
        </w:rPr>
        <w:t>　　（三）  甲乙双方的业务活动坚持公开、公正、诚信、透明的原则（除法律认定的商业条文和合同文件另有规定之外），不得损害国家和集体利益，违反相关行业管理的规章制度。</w:t>
      </w:r>
    </w:p>
    <w:p>
      <w:pPr>
        <w:pStyle w:val="null3"/>
      </w:pPr>
      <w:r>
        <w:rPr>
          <w:sz w:val="24"/>
        </w:rPr>
        <w:t>　　（四）  甲乙双方应建立健全内部廉政制度，开展廉政教育，公布举报电话，　监督并认真查处违法违纪行为。</w:t>
      </w:r>
    </w:p>
    <w:p>
      <w:pPr>
        <w:pStyle w:val="null3"/>
      </w:pPr>
      <w:r>
        <w:rPr>
          <w:sz w:val="24"/>
        </w:rPr>
        <w:t>　　（五）  甲乙双方工作人员必须严格执行本合同的条款，不得与对方工作人员串通，损害单位的利益。</w:t>
      </w:r>
    </w:p>
    <w:p>
      <w:pPr>
        <w:pStyle w:val="null3"/>
      </w:pPr>
      <w:r>
        <w:rPr>
          <w:sz w:val="24"/>
        </w:rPr>
        <w:t>　　（六）  发现对方有违反本合同的行为倾向，有及时提醒对方纠正的权利和义务。</w:t>
      </w:r>
    </w:p>
    <w:p>
      <w:pPr>
        <w:pStyle w:val="null3"/>
      </w:pPr>
      <w:r>
        <w:rPr>
          <w:sz w:val="24"/>
        </w:rPr>
        <w:t>　　（七）  发现对方有违反本合同义务条款的行为，有及时向相关的监督部门举报、建议给予处理并要求告知处理结果的权利。</w:t>
      </w:r>
    </w:p>
    <w:p>
      <w:pPr>
        <w:pStyle w:val="null3"/>
      </w:pPr>
      <w:r>
        <w:rPr>
          <w:sz w:val="24"/>
        </w:rPr>
        <w:t>　　第三条  甲方的义务</w:t>
      </w:r>
    </w:p>
    <w:p>
      <w:pPr>
        <w:pStyle w:val="null3"/>
      </w:pPr>
      <w:r>
        <w:rPr>
          <w:sz w:val="24"/>
        </w:rPr>
        <w:t>　　（一）  甲方工作人员不得向乙方索要或收受乙方馈赠的礼品（包括现金、礼金、有价证券、支付凭证及及贵重物品）；有责任教育自己的亲属不得接受乙方及其工作人员以各种名义赠送的上述礼品；</w:t>
      </w:r>
    </w:p>
    <w:p>
      <w:pPr>
        <w:pStyle w:val="null3"/>
      </w:pPr>
      <w:r>
        <w:rPr>
          <w:sz w:val="24"/>
        </w:rPr>
        <w:t>　　（二）  甲方工作人员不得要求或接受乙方为甲方单位或个人购置、提供通信工具、交通工具和高档办公用品等。</w:t>
      </w:r>
    </w:p>
    <w:p>
      <w:pPr>
        <w:pStyle w:val="null3"/>
      </w:pPr>
      <w:r>
        <w:rPr>
          <w:sz w:val="24"/>
        </w:rPr>
        <w:t>　　（三）  甲方工作人员不得以任何理由要求乙方提供宴请、联谊活动、度假、出国（出境）旅游，以及到营业性娱乐场所（包括：营业性的歌厅、舞厅、卡拉OK厅、夜总会和高尔夫球）活动。</w:t>
      </w:r>
    </w:p>
    <w:p>
      <w:pPr>
        <w:pStyle w:val="null3"/>
      </w:pPr>
      <w:r>
        <w:rPr>
          <w:sz w:val="24"/>
        </w:rPr>
        <w:t>　　（四）  甲方工作人员不得要求乙方为其配偶子女安排工作；以及为其个人及其亲属支付应由个人自付的各种费用，包括住宅装修、婚丧嫁娶、旅游、度假、食宿、购物、学费、子女出国留学等费用。</w:t>
      </w:r>
    </w:p>
    <w:p>
      <w:pPr>
        <w:pStyle w:val="null3"/>
      </w:pPr>
      <w:r>
        <w:rPr>
          <w:sz w:val="24"/>
        </w:rPr>
        <w:t>　　（五）  乙方工作人员主动向甲方工作人员行贿或安排、提供第四条（一）至（四）条款内容所指的，甲方工作人员应提醒对方纠正，对无法拒绝的，应及时向相关监督部门举报。</w:t>
      </w:r>
    </w:p>
    <w:p>
      <w:pPr>
        <w:pStyle w:val="null3"/>
      </w:pPr>
      <w:r>
        <w:rPr>
          <w:sz w:val="24"/>
        </w:rPr>
        <w:t>　　第四条   乙方的义务</w:t>
      </w:r>
    </w:p>
    <w:p>
      <w:pPr>
        <w:pStyle w:val="null3"/>
      </w:pPr>
      <w:r>
        <w:rPr>
          <w:sz w:val="24"/>
        </w:rPr>
        <w:t>　　（一）  乙方不得向甲方工作人员行贿或馈赠礼品（包括现金、礼金、有价证券、支付凭证及及贵重物品）；也不得以各种形式向甲方工作人员的亲属赠送上述礼品；</w:t>
      </w:r>
    </w:p>
    <w:p>
      <w:pPr>
        <w:pStyle w:val="null3"/>
      </w:pPr>
      <w:r>
        <w:rPr>
          <w:sz w:val="24"/>
        </w:rPr>
        <w:t>　　（二）  乙方不得为甲方单位和个人购置或提供通信工具、交通工具和高档办公用品等。</w:t>
      </w:r>
    </w:p>
    <w:p>
      <w:pPr>
        <w:pStyle w:val="null3"/>
      </w:pPr>
      <w:r>
        <w:rPr>
          <w:sz w:val="24"/>
        </w:rPr>
        <w:t>　　（三）  乙方不得向甲方工作人员提供宴请、联谊活动、度假、出国出境旅游，以及到营业性娱乐场所（包括：营业性的歌厅、舞厅、卡拉OK厅、夜总会和高尔夫球）活动。</w:t>
      </w:r>
    </w:p>
    <w:p>
      <w:pPr>
        <w:pStyle w:val="null3"/>
      </w:pPr>
      <w:r>
        <w:rPr>
          <w:sz w:val="24"/>
        </w:rPr>
        <w:t>　　（四）  乙方不得以任何名义为甲方工作人员的配偶子女安排工作，以及为甲方工作人员及其亲属支付应由其个人自付的各种费用，包括住宅装修、婚丧嫁娶、旅游、度假、食宿、购物、学费、子女出国留学等费用。</w:t>
      </w:r>
    </w:p>
    <w:p>
      <w:pPr>
        <w:pStyle w:val="null3"/>
      </w:pPr>
      <w:r>
        <w:rPr>
          <w:sz w:val="24"/>
        </w:rPr>
        <w:t>　　（五）  甲方工作人员主动向乙方索要或要求乙方安排和提供第五条（一）至（四）条款所指内容的，乙方应予提醒对方纠正，对方拒绝纠正的，乙方应向相关监督部门举报。</w:t>
      </w:r>
    </w:p>
    <w:p>
      <w:pPr>
        <w:pStyle w:val="null3"/>
      </w:pPr>
      <w:r>
        <w:rPr>
          <w:sz w:val="24"/>
        </w:rPr>
        <w:t>　　第五条  违约责任</w:t>
      </w:r>
    </w:p>
    <w:p>
      <w:pPr>
        <w:pStyle w:val="null3"/>
      </w:pPr>
      <w:r>
        <w:rPr>
          <w:sz w:val="24"/>
        </w:rPr>
        <w:t>　　（一） 乙方工作人员违反本合同规定的，经监督部门认定违约事实，乙方应承担违约责任。情节严重的，甲方建议政府有关行业管理部门给予乙方一年至三年不得进入行业市场的处罚；并在三年内不与乙方订立任何投资项目合同。涉嫌犯罪的，移交司法机关追究刑事责任。给甲方造成经济损失，乙方赔偿甲方经济损失。</w:t>
      </w:r>
    </w:p>
    <w:p>
      <w:pPr>
        <w:pStyle w:val="null3"/>
      </w:pPr>
      <w:r>
        <w:rPr>
          <w:sz w:val="24"/>
        </w:rPr>
        <w:t>　　（二） 甲方工作人员违反本合同规定的，经监督部门认定违约事实，甲方应承担违约责任。由甲方监督部门提请有关部门按人员管理权限，依据有关规定给予党纪政纪或组织处理。涉嫌犯罪的，移交司法机关追究刑事责任。给乙方造成经济损失，甲方赔偿乙方经济损失。</w:t>
      </w:r>
    </w:p>
    <w:p>
      <w:pPr>
        <w:pStyle w:val="null3"/>
      </w:pPr>
      <w:r>
        <w:rPr>
          <w:sz w:val="24"/>
        </w:rPr>
        <w:t>　　（三） 双方约定：本合同由</w:t>
      </w:r>
      <w:r>
        <w:rPr>
          <w:sz w:val="24"/>
          <w:u w:val="single"/>
        </w:rPr>
        <w:t xml:space="preserve">                                   </w:t>
      </w:r>
      <w:r>
        <w:rPr>
          <w:sz w:val="24"/>
        </w:rPr>
        <w:t>负责监督执行。</w:t>
      </w:r>
    </w:p>
    <w:p>
      <w:pPr>
        <w:pStyle w:val="null3"/>
      </w:pPr>
      <w:r>
        <w:rPr>
          <w:sz w:val="24"/>
        </w:rPr>
        <w:t>　　另外，甲方指定由</w:t>
      </w:r>
      <w:r>
        <w:rPr>
          <w:sz w:val="24"/>
          <w:u w:val="single"/>
        </w:rPr>
        <w:t xml:space="preserve">               </w:t>
      </w:r>
      <w:r>
        <w:rPr>
          <w:sz w:val="24"/>
        </w:rPr>
        <w:t>作为甲方执行本合同的监督部门，乙方指定由公司办公室作为乙方执行本合同的监督部门。</w:t>
      </w:r>
    </w:p>
    <w:p>
      <w:pPr>
        <w:pStyle w:val="null3"/>
      </w:pPr>
      <w:r>
        <w:rPr>
          <w:sz w:val="24"/>
        </w:rPr>
        <w:t>　　由甲方的监督部门约请乙方的监督部门对本合同执行情况进行监督；受理有关违反本合同规定行为的举报；提出在本合同规定范围内的裁定意见。</w:t>
      </w:r>
    </w:p>
    <w:p>
      <w:pPr>
        <w:pStyle w:val="null3"/>
      </w:pPr>
      <w:r>
        <w:rPr>
          <w:sz w:val="24"/>
        </w:rPr>
        <w:t>　　第六条  本合同如有争议，通过双方监督部门协商解决。</w:t>
      </w:r>
    </w:p>
    <w:p>
      <w:pPr>
        <w:pStyle w:val="null3"/>
      </w:pPr>
      <w:r>
        <w:rPr>
          <w:sz w:val="24"/>
        </w:rPr>
        <w:t>　　本合同的有效期与采购合同双方签署的有效期相同。</w:t>
      </w:r>
    </w:p>
    <w:p>
      <w:pPr>
        <w:pStyle w:val="null3"/>
      </w:pPr>
      <w:r>
        <w:rPr>
          <w:sz w:val="24"/>
        </w:rPr>
        <w:t>　　本合同一式四份，甲乙双方各执二份。</w:t>
      </w:r>
    </w:p>
    <w:p>
      <w:pPr>
        <w:pStyle w:val="null3"/>
      </w:pPr>
      <w:r>
        <w:rPr>
          <w:sz w:val="24"/>
        </w:rPr>
        <w:t>采购人（甲方）：</w:t>
      </w:r>
      <w:r>
        <w:rPr>
          <w:sz w:val="24"/>
          <w:u w:val="single"/>
        </w:rPr>
        <w:t xml:space="preserve">                       </w:t>
      </w:r>
      <w:r>
        <w:rPr>
          <w:sz w:val="24"/>
        </w:rPr>
        <w:t xml:space="preserve">      中标人（乙方）：</w:t>
      </w:r>
      <w:r>
        <w:rPr>
          <w:sz w:val="24"/>
          <w:u w:val="single"/>
        </w:rPr>
        <w:t xml:space="preserve">                         </w:t>
      </w:r>
    </w:p>
    <w:p>
      <w:pPr>
        <w:pStyle w:val="null3"/>
      </w:pPr>
      <w:r>
        <w:rPr>
          <w:sz w:val="24"/>
        </w:rPr>
        <w:t xml:space="preserve">            （盖单位章）                             （盖单位章）</w:t>
      </w:r>
    </w:p>
    <w:p>
      <w:pPr>
        <w:pStyle w:val="null3"/>
      </w:pPr>
      <w:r>
        <w:rPr>
          <w:sz w:val="24"/>
        </w:rPr>
        <w:t>法定代表人                                         法定代表人</w:t>
      </w:r>
    </w:p>
    <w:p>
      <w:pPr>
        <w:pStyle w:val="null3"/>
      </w:pPr>
      <w:r>
        <w:rPr>
          <w:sz w:val="24"/>
        </w:rPr>
        <w:t>或其委托代理人：</w:t>
      </w:r>
      <w:r>
        <w:rPr>
          <w:sz w:val="24"/>
          <w:u w:val="single"/>
        </w:rPr>
        <w:t xml:space="preserve">               </w:t>
      </w:r>
      <w:r>
        <w:rPr>
          <w:sz w:val="24"/>
        </w:rPr>
        <w:t>（签字）   或其委托代理人：</w:t>
      </w:r>
      <w:r>
        <w:rPr>
          <w:sz w:val="24"/>
          <w:u w:val="single"/>
        </w:rPr>
        <w:t xml:space="preserve">               </w:t>
      </w:r>
      <w:r>
        <w:rPr>
          <w:sz w:val="24"/>
        </w:rPr>
        <w:t>（签字）</w:t>
      </w:r>
    </w:p>
    <w:p>
      <w:pPr>
        <w:pStyle w:val="null3"/>
      </w:pP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445281-2025-05511</w:t>
      </w:r>
    </w:p>
    <w:p>
      <w:pPr>
        <w:pStyle w:val="null3"/>
        <w:jc w:val="center"/>
        <w:outlineLvl w:val="3"/>
      </w:pPr>
      <w:r>
        <w:rPr>
          <w:sz w:val="24"/>
          <w:b/>
        </w:rPr>
        <w:t>采购项目编号：</w:t>
      </w:r>
      <w:r>
        <w:rPr>
          <w:sz w:val="24"/>
          <w:b/>
        </w:rPr>
        <w:t>WX025FGG11003GD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广东万欣招标代理有限公司</w:t>
      </w:r>
    </w:p>
    <w:p>
      <w:pPr>
        <w:pStyle w:val="null3"/>
        <w:ind w:firstLine="480"/>
      </w:pPr>
      <w:r>
        <w:rPr/>
        <w:t xml:space="preserve"> 你方组织的</w:t>
      </w:r>
      <w:r>
        <w:rPr>
          <w:u w:val="single"/>
        </w:rPr>
        <w:t>“</w:t>
      </w:r>
      <w:r>
        <w:rPr>
          <w:u w:val="single"/>
        </w:rPr>
        <w:t>普宁交管大队洪阳中队摩托车驾驶人科目二、科目三购买社会考场服务项目</w:t>
      </w:r>
      <w:r>
        <w:rPr>
          <w:u w:val="single"/>
        </w:rPr>
        <w:t>”</w:t>
      </w:r>
      <w:r>
        <w:rPr/>
        <w:t>项目的招标[采购项目编号为：</w:t>
      </w:r>
      <w:r>
        <w:rPr>
          <w:u w:val="single"/>
        </w:rPr>
        <w:t>WX025FGG11003GD</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普宁交管大队洪阳中队摩托车驾驶人科目二、科目三购买社会考场服务项目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广东万欣招标代理有限公司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普宁交管大队洪阳中队摩托车驾驶人科目二、科目三购买社会考场服务项目</w:t>
      </w:r>
      <w:r>
        <w:rPr/>
        <w:t>”项目采购[采购项目编号为</w:t>
      </w:r>
      <w:r>
        <w:rPr/>
        <w:t>WX025FGG11003GD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广东万欣招标代理有限公司</w:t>
      </w:r>
    </w:p>
    <w:p>
      <w:pPr>
        <w:pStyle w:val="null3"/>
        <w:ind w:firstLine="480"/>
      </w:pPr>
      <w:r>
        <w:rPr/>
        <w:t xml:space="preserve"> 如果我方在贵采购代理机构组织的</w:t>
      </w:r>
      <w:r>
        <w:rPr/>
        <w:t>普宁交管大队洪阳中队摩托车驾驶人科目二、科目三购买社会考场服务项目</w:t>
      </w:r>
      <w:r>
        <w:rPr/>
        <w:t>招标中获中标（采购项目编号：</w:t>
      </w:r>
      <w:r>
        <w:rPr/>
        <w:t>WX025FGG11003GD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广东万欣招标代理有限公司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广东万欣招标代理有限公司</w:t>
      </w:r>
    </w:p>
    <w:p>
      <w:pPr>
        <w:pStyle w:val="null3"/>
        <w:ind w:firstLine="480"/>
      </w:pPr>
      <w:r>
        <w:rPr/>
        <w:t>我单位已登记并准备参与“</w:t>
      </w:r>
      <w:r>
        <w:rPr/>
        <w:t>普宁交管大队洪阳中队摩托车驾驶人科目二、科目三购买社会考场服务项目</w:t>
      </w:r>
      <w:r>
        <w:rPr/>
        <w:t>”项目（采购项目编号：</w:t>
      </w:r>
      <w:r>
        <w:rPr/>
        <w:t>WX025FGG11003GD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